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200"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157480</wp:posOffset>
            </wp:positionH>
            <wp:positionV relativeFrom="page">
              <wp:posOffset>243205</wp:posOffset>
            </wp:positionV>
            <wp:extent cx="7246620" cy="17145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page">
              <wp:posOffset>1761490</wp:posOffset>
            </wp:positionH>
            <wp:positionV relativeFrom="page">
              <wp:posOffset>3021965</wp:posOffset>
            </wp:positionV>
            <wp:extent cx="4047490" cy="56578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clrChange>
                        <a:clrFrom>
                          <a:srgbClr val="FFFFFF"/>
                        </a:clrFrom>
                        <a:clrTo>
                          <a:srgbClr val="FFFFFF">
                            <a:alpha val="0"/>
                          </a:srgbClr>
                        </a:clrTo>
                      </a:clrChange>
                      <a:extLst>
                        <a:ext uri="{28A0092B-C50C-407E-A947-70E740481C1C}"/>
                      </a:extLst>
                    </a:blip>
                    <a:srcRect/>
                    <a:stretch>
                      <a:fillRect/>
                    </a:stretch>
                  </pic:blipFill>
                  <pic:spPr bwMode="auto">
                    <a:xfrm>
                      <a:off x="0" y="0"/>
                      <a:ext cx="4047490" cy="56578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73" w:lineRule="exact"/>
        <w:rPr>
          <w:sz w:val="24"/>
          <w:szCs w:val="24"/>
          <w:color w:val="auto"/>
        </w:rPr>
      </w:pPr>
    </w:p>
    <w:p>
      <w:pPr>
        <w:jc w:val="center"/>
        <w:ind w:right="-20"/>
        <w:spacing w:after="0"/>
        <w:rPr>
          <w:sz w:val="20"/>
          <w:szCs w:val="20"/>
          <w:color w:val="auto"/>
        </w:rPr>
      </w:pPr>
      <w:r>
        <w:rPr>
          <w:rFonts w:ascii="Arial" w:cs="Arial" w:eastAsia="Arial" w:hAnsi="Arial"/>
          <w:sz w:val="50"/>
          <w:szCs w:val="50"/>
          <w:color w:val="828282"/>
        </w:rPr>
        <w:t>2018</w:t>
      </w:r>
    </w:p>
    <w:p>
      <w:pPr>
        <w:spacing w:after="0" w:line="9" w:lineRule="exact"/>
        <w:rPr>
          <w:sz w:val="24"/>
          <w:szCs w:val="24"/>
          <w:color w:val="auto"/>
        </w:rPr>
      </w:pPr>
    </w:p>
    <w:p>
      <w:pPr>
        <w:jc w:val="center"/>
        <w:ind w:right="-20"/>
        <w:spacing w:after="0"/>
        <w:rPr>
          <w:sz w:val="20"/>
          <w:szCs w:val="20"/>
          <w:color w:val="auto"/>
        </w:rPr>
      </w:pPr>
      <w:r>
        <w:rPr>
          <w:rFonts w:ascii="Arial" w:cs="Arial" w:eastAsia="Arial" w:hAnsi="Arial"/>
          <w:sz w:val="32"/>
          <w:szCs w:val="32"/>
          <w:color w:val="828282"/>
        </w:rPr>
        <w:t>Notice of Annual Meeting of Shareholders</w:t>
      </w:r>
    </w:p>
    <w:p>
      <w:pPr>
        <w:spacing w:after="0" w:line="200" w:lineRule="exact"/>
        <w:rPr>
          <w:sz w:val="24"/>
          <w:szCs w:val="24"/>
          <w:color w:val="auto"/>
        </w:rPr>
      </w:pPr>
    </w:p>
    <w:p>
      <w:pPr>
        <w:spacing w:after="0" w:line="240" w:lineRule="exact"/>
        <w:rPr>
          <w:sz w:val="24"/>
          <w:szCs w:val="24"/>
          <w:color w:val="auto"/>
        </w:rPr>
      </w:pPr>
    </w:p>
    <w:p>
      <w:pPr>
        <w:ind w:left="3400"/>
        <w:spacing w:after="0"/>
        <w:rPr>
          <w:sz w:val="20"/>
          <w:szCs w:val="20"/>
          <w:color w:val="auto"/>
        </w:rPr>
      </w:pPr>
      <w:r>
        <w:rPr>
          <w:rFonts w:ascii="Arial" w:cs="Arial" w:eastAsia="Arial" w:hAnsi="Arial"/>
          <w:sz w:val="25"/>
          <w:szCs w:val="25"/>
          <w:color w:val="828282"/>
        </w:rPr>
        <w:t>December 11, 2018</w:t>
      </w:r>
    </w:p>
    <w:p>
      <w:pPr>
        <w:spacing w:after="0" w:line="10" w:lineRule="exact"/>
        <w:rPr>
          <w:sz w:val="24"/>
          <w:szCs w:val="24"/>
          <w:color w:val="auto"/>
        </w:rPr>
      </w:pPr>
    </w:p>
    <w:p>
      <w:pPr>
        <w:ind w:left="3240"/>
        <w:spacing w:after="0"/>
        <w:rPr>
          <w:sz w:val="20"/>
          <w:szCs w:val="20"/>
          <w:color w:val="auto"/>
        </w:rPr>
      </w:pPr>
      <w:r>
        <w:rPr>
          <w:rFonts w:ascii="Arial" w:cs="Arial" w:eastAsia="Arial" w:hAnsi="Arial"/>
          <w:sz w:val="25"/>
          <w:szCs w:val="25"/>
          <w:color w:val="828282"/>
        </w:rPr>
        <w:t>4:00 p.m. Central Time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-756285</wp:posOffset>
            </wp:positionH>
            <wp:positionV relativeFrom="paragraph">
              <wp:posOffset>2698115</wp:posOffset>
            </wp:positionV>
            <wp:extent cx="7246620" cy="25717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257175"/>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1" w:name="page2"/>
    <w:bookmarkEnd w:id="1"/>
    <w:p>
      <w:pPr>
        <w:spacing w:after="0" w:line="95"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568960</wp:posOffset>
            </wp:positionV>
            <wp:extent cx="72466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466090</wp:posOffset>
            </wp:positionV>
            <wp:extent cx="7246620" cy="260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jc w:val="center"/>
        <w:ind w:right="-99"/>
        <w:spacing w:after="0"/>
        <w:rPr>
          <w:sz w:val="20"/>
          <w:szCs w:val="20"/>
          <w:color w:val="auto"/>
        </w:rPr>
      </w:pPr>
      <w:r>
        <w:rPr>
          <w:rFonts w:ascii="Arial" w:cs="Arial" w:eastAsia="Arial" w:hAnsi="Arial"/>
          <w:sz w:val="18"/>
          <w:szCs w:val="18"/>
          <w:b w:val="1"/>
          <w:bCs w:val="1"/>
          <w:color w:val="auto"/>
        </w:rPr>
        <w:t>UNITED STATES</w:t>
      </w:r>
    </w:p>
    <w:p>
      <w:pPr>
        <w:spacing w:after="0" w:line="31"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2843530</wp:posOffset>
            </wp:positionH>
            <wp:positionV relativeFrom="paragraph">
              <wp:posOffset>263525</wp:posOffset>
            </wp:positionV>
            <wp:extent cx="158623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86230" cy="17145"/>
                    </a:xfrm>
                    <a:prstGeom prst="rect">
                      <a:avLst/>
                    </a:prstGeom>
                    <a:noFill/>
                  </pic:spPr>
                </pic:pic>
              </a:graphicData>
            </a:graphic>
          </wp:anchor>
        </w:drawing>
      </w:r>
    </w:p>
    <w:p>
      <w:pPr>
        <w:spacing w:after="0" w:line="200" w:lineRule="exact"/>
        <w:rPr>
          <w:sz w:val="20"/>
          <w:szCs w:val="20"/>
          <w:color w:val="auto"/>
        </w:rPr>
      </w:pPr>
    </w:p>
    <w:p>
      <w:pPr>
        <w:spacing w:after="0" w:line="217" w:lineRule="exact"/>
        <w:rPr>
          <w:sz w:val="20"/>
          <w:szCs w:val="20"/>
          <w:color w:val="auto"/>
        </w:rPr>
      </w:pPr>
    </w:p>
    <w:p>
      <w:pPr>
        <w:jc w:val="center"/>
        <w:ind w:right="-119"/>
        <w:spacing w:after="0"/>
        <w:rPr>
          <w:sz w:val="20"/>
          <w:szCs w:val="20"/>
          <w:color w:val="auto"/>
        </w:rPr>
      </w:pPr>
      <w:r>
        <w:rPr>
          <w:rFonts w:ascii="Arial" w:cs="Arial" w:eastAsia="Arial" w:hAnsi="Arial"/>
          <w:sz w:val="22"/>
          <w:szCs w:val="22"/>
          <w:b w:val="1"/>
          <w:bCs w:val="1"/>
          <w:color w:val="auto"/>
        </w:rPr>
        <w:t>SCHEDULE 14A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2843530</wp:posOffset>
            </wp:positionH>
            <wp:positionV relativeFrom="paragraph">
              <wp:posOffset>31750</wp:posOffset>
            </wp:positionV>
            <wp:extent cx="158623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86230" cy="17145"/>
                    </a:xfrm>
                    <a:prstGeom prst="rect">
                      <a:avLst/>
                    </a:prstGeom>
                    <a:noFill/>
                  </pic:spPr>
                </pic:pic>
              </a:graphicData>
            </a:graphic>
          </wp:anchor>
        </w:drawing>
      </w:r>
    </w:p>
    <w:p>
      <w:pPr>
        <w:spacing w:after="0" w:line="356" w:lineRule="exact"/>
        <w:rPr>
          <w:sz w:val="20"/>
          <w:szCs w:val="20"/>
          <w:color w:val="auto"/>
        </w:rPr>
      </w:pPr>
    </w:p>
    <w:p>
      <w:pPr>
        <w:jc w:val="center"/>
        <w:ind w:right="-99"/>
        <w:spacing w:after="0"/>
        <w:rPr>
          <w:sz w:val="20"/>
          <w:szCs w:val="20"/>
          <w:color w:val="auto"/>
        </w:rPr>
      </w:pPr>
      <w:r>
        <w:rPr>
          <w:rFonts w:ascii="Arial" w:cs="Arial" w:eastAsia="Arial" w:hAnsi="Arial"/>
          <w:sz w:val="16"/>
          <w:szCs w:val="16"/>
          <w:color w:val="auto"/>
        </w:rPr>
        <w:t>Proxy Statement Pursuant to Section 14(a) of the Securities Exchange Act of 1934</w:t>
      </w:r>
    </w:p>
    <w:p>
      <w:pPr>
        <w:spacing w:after="0" w:line="205"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Filed by the Registrant </w:t>
      </w:r>
      <w:r>
        <w:rPr>
          <w:rFonts w:ascii="Arial" w:cs="Arial" w:eastAsia="Arial" w:hAnsi="Arial"/>
          <w:sz w:val="18"/>
          <w:szCs w:val="18"/>
          <w:color w:val="auto"/>
        </w:rPr>
        <w:t>x</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Filed by party other than the Registrant </w:t>
      </w:r>
      <w:r>
        <w:rPr>
          <w:rFonts w:ascii="Arial" w:cs="Arial" w:eastAsia="Arial" w:hAnsi="Arial"/>
          <w:sz w:val="18"/>
          <w:szCs w:val="18"/>
          <w:color w:val="auto"/>
        </w:rPr>
        <w:t>o</w:t>
      </w:r>
    </w:p>
    <w:p>
      <w:pPr>
        <w:spacing w:after="0" w:line="11" w:lineRule="exact"/>
        <w:rPr>
          <w:sz w:val="20"/>
          <w:szCs w:val="20"/>
          <w:color w:val="auto"/>
        </w:rPr>
      </w:pPr>
    </w:p>
    <w:p>
      <w:pPr>
        <w:spacing w:after="0"/>
        <w:rPr>
          <w:sz w:val="20"/>
          <w:szCs w:val="20"/>
          <w:color w:val="auto"/>
        </w:rPr>
      </w:pPr>
      <w:r>
        <w:rPr>
          <w:rFonts w:ascii="Arial" w:cs="Arial" w:eastAsia="Arial" w:hAnsi="Arial"/>
          <w:sz w:val="16"/>
          <w:szCs w:val="16"/>
          <w:color w:val="auto"/>
        </w:rPr>
        <w:t>Check the appropriate box:</w:t>
      </w:r>
    </w:p>
    <w:p>
      <w:pPr>
        <w:spacing w:after="0" w:line="6" w:lineRule="exact"/>
        <w:rPr>
          <w:sz w:val="20"/>
          <w:szCs w:val="20"/>
          <w:color w:val="auto"/>
        </w:rPr>
      </w:pPr>
    </w:p>
    <w:p>
      <w:pPr>
        <w:ind w:left="280" w:hanging="272"/>
        <w:spacing w:after="0"/>
        <w:tabs>
          <w:tab w:leader="none" w:pos="280" w:val="left"/>
        </w:tabs>
        <w:numPr>
          <w:ilvl w:val="0"/>
          <w:numId w:val="1"/>
        </w:numPr>
        <w:rPr>
          <w:rFonts w:ascii="Arial" w:cs="Arial" w:eastAsia="Arial" w:hAnsi="Arial"/>
          <w:sz w:val="18"/>
          <w:szCs w:val="18"/>
          <w:color w:val="auto"/>
        </w:rPr>
      </w:pPr>
      <w:r>
        <w:rPr>
          <w:rFonts w:ascii="Arial" w:cs="Arial" w:eastAsia="Arial" w:hAnsi="Arial"/>
          <w:sz w:val="16"/>
          <w:szCs w:val="16"/>
          <w:color w:val="auto"/>
        </w:rPr>
        <w:t>Preliminary Proxy Statement</w:t>
      </w:r>
    </w:p>
    <w:p>
      <w:pPr>
        <w:spacing w:after="0" w:line="21" w:lineRule="exact"/>
        <w:rPr>
          <w:rFonts w:ascii="Arial" w:cs="Arial" w:eastAsia="Arial" w:hAnsi="Arial"/>
          <w:sz w:val="18"/>
          <w:szCs w:val="18"/>
          <w:color w:val="auto"/>
        </w:rPr>
      </w:pPr>
    </w:p>
    <w:p>
      <w:pPr>
        <w:ind w:right="5280" w:firstLine="8"/>
        <w:spacing w:after="0" w:line="241" w:lineRule="auto"/>
        <w:tabs>
          <w:tab w:leader="none" w:pos="270" w:val="left"/>
        </w:tabs>
        <w:numPr>
          <w:ilvl w:val="0"/>
          <w:numId w:val="1"/>
        </w:numPr>
        <w:rPr>
          <w:rFonts w:ascii="Arial" w:cs="Arial" w:eastAsia="Arial" w:hAnsi="Arial"/>
          <w:sz w:val="18"/>
          <w:szCs w:val="18"/>
          <w:color w:val="auto"/>
        </w:rPr>
      </w:pPr>
      <w:r>
        <w:rPr>
          <w:rFonts w:ascii="Arial" w:cs="Arial" w:eastAsia="Arial" w:hAnsi="Arial"/>
          <w:sz w:val="16"/>
          <w:szCs w:val="16"/>
          <w:color w:val="auto"/>
        </w:rPr>
        <w:t xml:space="preserve">Confidential, For Use of the Commission Only (as permitted by Rule 14a-6(e)(2)) </w:t>
      </w:r>
      <w:r>
        <w:rPr>
          <w:rFonts w:ascii="Arial" w:cs="Arial" w:eastAsia="Arial" w:hAnsi="Arial"/>
          <w:sz w:val="18"/>
          <w:szCs w:val="18"/>
          <w:color w:val="auto"/>
        </w:rPr>
        <w:t xml:space="preserve">x </w:t>
      </w:r>
      <w:r>
        <w:rPr>
          <w:rFonts w:ascii="Arial" w:cs="Arial" w:eastAsia="Arial" w:hAnsi="Arial"/>
          <w:sz w:val="16"/>
          <w:szCs w:val="16"/>
          <w:color w:val="auto"/>
        </w:rPr>
        <w:t>Definitive Proxy Statement</w:t>
      </w:r>
    </w:p>
    <w:p>
      <w:pPr>
        <w:spacing w:after="0" w:line="4" w:lineRule="exact"/>
        <w:rPr>
          <w:rFonts w:ascii="Arial" w:cs="Arial" w:eastAsia="Arial" w:hAnsi="Arial"/>
          <w:sz w:val="18"/>
          <w:szCs w:val="18"/>
          <w:color w:val="auto"/>
        </w:rPr>
      </w:pPr>
    </w:p>
    <w:p>
      <w:pPr>
        <w:ind w:left="280" w:hanging="272"/>
        <w:spacing w:after="0"/>
        <w:tabs>
          <w:tab w:leader="none" w:pos="280" w:val="left"/>
        </w:tabs>
        <w:numPr>
          <w:ilvl w:val="0"/>
          <w:numId w:val="1"/>
        </w:numPr>
        <w:rPr>
          <w:rFonts w:ascii="Arial" w:cs="Arial" w:eastAsia="Arial" w:hAnsi="Arial"/>
          <w:sz w:val="18"/>
          <w:szCs w:val="18"/>
          <w:color w:val="auto"/>
        </w:rPr>
      </w:pPr>
      <w:r>
        <w:rPr>
          <w:rFonts w:ascii="Arial" w:cs="Arial" w:eastAsia="Arial" w:hAnsi="Arial"/>
          <w:sz w:val="16"/>
          <w:szCs w:val="16"/>
          <w:color w:val="auto"/>
        </w:rPr>
        <w:t>Definitive Additional Materials</w:t>
      </w:r>
    </w:p>
    <w:p>
      <w:pPr>
        <w:spacing w:after="0" w:line="9" w:lineRule="exact"/>
        <w:rPr>
          <w:rFonts w:ascii="Arial" w:cs="Arial" w:eastAsia="Arial" w:hAnsi="Arial"/>
          <w:sz w:val="18"/>
          <w:szCs w:val="18"/>
          <w:color w:val="auto"/>
        </w:rPr>
      </w:pPr>
    </w:p>
    <w:p>
      <w:pPr>
        <w:ind w:left="280" w:hanging="272"/>
        <w:spacing w:after="0"/>
        <w:tabs>
          <w:tab w:leader="none" w:pos="280" w:val="left"/>
        </w:tabs>
        <w:numPr>
          <w:ilvl w:val="0"/>
          <w:numId w:val="1"/>
        </w:numPr>
        <w:rPr>
          <w:rFonts w:ascii="Arial" w:cs="Arial" w:eastAsia="Arial" w:hAnsi="Arial"/>
          <w:sz w:val="18"/>
          <w:szCs w:val="18"/>
          <w:color w:val="auto"/>
        </w:rPr>
      </w:pPr>
      <w:r>
        <w:rPr>
          <w:rFonts w:ascii="Arial" w:cs="Arial" w:eastAsia="Arial" w:hAnsi="Arial"/>
          <w:sz w:val="16"/>
          <w:szCs w:val="16"/>
          <w:color w:val="auto"/>
        </w:rPr>
        <w:t>Soliciting Material Pursuant to Section 240.14a-12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2423795</wp:posOffset>
            </wp:positionH>
            <wp:positionV relativeFrom="paragraph">
              <wp:posOffset>123825</wp:posOffset>
            </wp:positionV>
            <wp:extent cx="2418080" cy="34290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2418080" cy="3429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ind w:right="20"/>
        <w:spacing w:after="0"/>
        <w:rPr>
          <w:sz w:val="20"/>
          <w:szCs w:val="20"/>
          <w:color w:val="auto"/>
        </w:rPr>
      </w:pPr>
      <w:r>
        <w:rPr>
          <w:rFonts w:ascii="Arial" w:cs="Arial" w:eastAsia="Arial" w:hAnsi="Arial"/>
          <w:sz w:val="29"/>
          <w:szCs w:val="29"/>
          <w:b w:val="1"/>
          <w:bCs w:val="1"/>
          <w:color w:val="auto"/>
        </w:rPr>
        <w:t>WINNEBAGO INDUSTRIES,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45085</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21"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(Name of Registrant as Specified in Its Charter)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190500</wp:posOffset>
            </wp:positionV>
            <wp:extent cx="72466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50"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(Name of Person(s) Filing Proxy Statement, if Other than the Registrant)</w:t>
      </w: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6"/>
          <w:szCs w:val="16"/>
          <w:color w:val="auto"/>
        </w:rPr>
        <w:t>Payment of Filing Fee (Check the appropriate box):</w:t>
      </w:r>
    </w:p>
    <w:p>
      <w:pPr>
        <w:spacing w:after="0" w:line="6" w:lineRule="exact"/>
        <w:rPr>
          <w:sz w:val="20"/>
          <w:szCs w:val="20"/>
          <w:color w:val="auto"/>
        </w:rPr>
      </w:pPr>
    </w:p>
    <w:p>
      <w:pPr>
        <w:ind w:left="280" w:hanging="272"/>
        <w:spacing w:after="0"/>
        <w:tabs>
          <w:tab w:leader="none" w:pos="280" w:val="left"/>
        </w:tabs>
        <w:numPr>
          <w:ilvl w:val="0"/>
          <w:numId w:val="2"/>
        </w:numPr>
        <w:rPr>
          <w:rFonts w:ascii="Arial" w:cs="Arial" w:eastAsia="Arial" w:hAnsi="Arial"/>
          <w:sz w:val="18"/>
          <w:szCs w:val="18"/>
          <w:color w:val="auto"/>
        </w:rPr>
      </w:pPr>
      <w:r>
        <w:rPr>
          <w:rFonts w:ascii="Arial" w:cs="Arial" w:eastAsia="Arial" w:hAnsi="Arial"/>
          <w:sz w:val="16"/>
          <w:szCs w:val="16"/>
          <w:color w:val="auto"/>
        </w:rPr>
        <w:t>No fee required.</w:t>
      </w:r>
    </w:p>
    <w:p>
      <w:pPr>
        <w:spacing w:after="0" w:line="9" w:lineRule="exact"/>
        <w:rPr>
          <w:sz w:val="20"/>
          <w:szCs w:val="20"/>
          <w:color w:val="auto"/>
        </w:rPr>
      </w:pPr>
    </w:p>
    <w:p>
      <w:pPr>
        <w:ind w:left="280" w:hanging="272"/>
        <w:spacing w:after="0"/>
        <w:tabs>
          <w:tab w:leader="none" w:pos="280" w:val="left"/>
        </w:tabs>
        <w:numPr>
          <w:ilvl w:val="0"/>
          <w:numId w:val="3"/>
        </w:numPr>
        <w:rPr>
          <w:rFonts w:ascii="Arial" w:cs="Arial" w:eastAsia="Arial" w:hAnsi="Arial"/>
          <w:sz w:val="18"/>
          <w:szCs w:val="18"/>
          <w:color w:val="auto"/>
        </w:rPr>
      </w:pPr>
      <w:r>
        <w:rPr>
          <w:rFonts w:ascii="Arial" w:cs="Arial" w:eastAsia="Arial" w:hAnsi="Arial"/>
          <w:sz w:val="16"/>
          <w:szCs w:val="16"/>
          <w:color w:val="auto"/>
        </w:rPr>
        <w:t>Fee computed on table below per Exchange Act Rules 14a-6(i)(1) and 0-11.</w:t>
      </w:r>
    </w:p>
    <w:p>
      <w:pPr>
        <w:spacing w:after="0" w:line="7" w:lineRule="exact"/>
        <w:rPr>
          <w:rFonts w:ascii="Arial" w:cs="Arial" w:eastAsia="Arial" w:hAnsi="Arial"/>
          <w:sz w:val="18"/>
          <w:szCs w:val="18"/>
          <w:color w:val="auto"/>
        </w:rPr>
      </w:pPr>
    </w:p>
    <w:p>
      <w:pPr>
        <w:ind w:left="980" w:hanging="324"/>
        <w:spacing w:after="0"/>
        <w:tabs>
          <w:tab w:leader="none" w:pos="980" w:val="left"/>
        </w:tabs>
        <w:numPr>
          <w:ilvl w:val="1"/>
          <w:numId w:val="3"/>
        </w:numPr>
        <w:rPr>
          <w:rFonts w:ascii="Arial" w:cs="Arial" w:eastAsia="Arial" w:hAnsi="Arial"/>
          <w:sz w:val="16"/>
          <w:szCs w:val="16"/>
          <w:color w:val="auto"/>
        </w:rPr>
      </w:pPr>
      <w:r>
        <w:rPr>
          <w:rFonts w:ascii="Arial" w:cs="Arial" w:eastAsia="Arial" w:hAnsi="Arial"/>
          <w:sz w:val="16"/>
          <w:szCs w:val="16"/>
          <w:color w:val="auto"/>
        </w:rPr>
        <w:t>Title of each class of securities to which transaction applies:</w:t>
      </w:r>
    </w:p>
    <w:p>
      <w:pPr>
        <w:spacing w:after="0" w:line="5" w:lineRule="exact"/>
        <w:rPr>
          <w:rFonts w:ascii="Arial" w:cs="Arial" w:eastAsia="Arial" w:hAnsi="Arial"/>
          <w:sz w:val="16"/>
          <w:szCs w:val="16"/>
          <w:color w:val="auto"/>
        </w:rPr>
      </w:pPr>
    </w:p>
    <w:p>
      <w:pPr>
        <w:ind w:left="980" w:hanging="324"/>
        <w:spacing w:after="0"/>
        <w:tabs>
          <w:tab w:leader="none" w:pos="980" w:val="left"/>
        </w:tabs>
        <w:numPr>
          <w:ilvl w:val="1"/>
          <w:numId w:val="3"/>
        </w:numPr>
        <w:rPr>
          <w:rFonts w:ascii="Arial" w:cs="Arial" w:eastAsia="Arial" w:hAnsi="Arial"/>
          <w:sz w:val="16"/>
          <w:szCs w:val="16"/>
          <w:color w:val="auto"/>
        </w:rPr>
      </w:pPr>
      <w:r>
        <w:rPr>
          <w:rFonts w:ascii="Arial" w:cs="Arial" w:eastAsia="Arial" w:hAnsi="Arial"/>
          <w:sz w:val="16"/>
          <w:szCs w:val="16"/>
          <w:color w:val="auto"/>
        </w:rPr>
        <w:t>Aggregate number of securities to which transaction applies:</w:t>
      </w:r>
    </w:p>
    <w:p>
      <w:pPr>
        <w:spacing w:after="0" w:line="5" w:lineRule="exact"/>
        <w:rPr>
          <w:rFonts w:ascii="Arial" w:cs="Arial" w:eastAsia="Arial" w:hAnsi="Arial"/>
          <w:sz w:val="16"/>
          <w:szCs w:val="16"/>
          <w:color w:val="auto"/>
        </w:rPr>
      </w:pPr>
    </w:p>
    <w:p>
      <w:pPr>
        <w:ind w:left="980" w:hanging="324"/>
        <w:spacing w:after="0" w:line="246" w:lineRule="auto"/>
        <w:tabs>
          <w:tab w:leader="none" w:pos="980" w:val="left"/>
        </w:tabs>
        <w:numPr>
          <w:ilvl w:val="1"/>
          <w:numId w:val="3"/>
        </w:numPr>
        <w:rPr>
          <w:rFonts w:ascii="Arial" w:cs="Arial" w:eastAsia="Arial" w:hAnsi="Arial"/>
          <w:sz w:val="16"/>
          <w:szCs w:val="16"/>
          <w:color w:val="auto"/>
        </w:rPr>
      </w:pPr>
      <w:r>
        <w:rPr>
          <w:rFonts w:ascii="Arial" w:cs="Arial" w:eastAsia="Arial" w:hAnsi="Arial"/>
          <w:sz w:val="16"/>
          <w:szCs w:val="16"/>
          <w:color w:val="auto"/>
        </w:rPr>
        <w:t>Per unit price or other underlying value of transaction computed pursuant to Exchange Act Rule 0-11 (set forth the amount on which the filing fee is calculated and state how it was determined):</w:t>
      </w:r>
    </w:p>
    <w:p>
      <w:pPr>
        <w:ind w:left="980" w:hanging="324"/>
        <w:spacing w:after="0"/>
        <w:tabs>
          <w:tab w:leader="none" w:pos="980" w:val="left"/>
        </w:tabs>
        <w:numPr>
          <w:ilvl w:val="1"/>
          <w:numId w:val="3"/>
        </w:numPr>
        <w:rPr>
          <w:rFonts w:ascii="Arial" w:cs="Arial" w:eastAsia="Arial" w:hAnsi="Arial"/>
          <w:sz w:val="16"/>
          <w:szCs w:val="16"/>
          <w:color w:val="auto"/>
        </w:rPr>
      </w:pPr>
      <w:r>
        <w:rPr>
          <w:rFonts w:ascii="Arial" w:cs="Arial" w:eastAsia="Arial" w:hAnsi="Arial"/>
          <w:sz w:val="16"/>
          <w:szCs w:val="16"/>
          <w:color w:val="auto"/>
        </w:rPr>
        <w:t>Proposed maximum aggregate value of transaction:</w:t>
      </w:r>
    </w:p>
    <w:p>
      <w:pPr>
        <w:spacing w:after="0" w:line="5" w:lineRule="exact"/>
        <w:rPr>
          <w:rFonts w:ascii="Arial" w:cs="Arial" w:eastAsia="Arial" w:hAnsi="Arial"/>
          <w:sz w:val="16"/>
          <w:szCs w:val="16"/>
          <w:color w:val="auto"/>
        </w:rPr>
      </w:pPr>
    </w:p>
    <w:p>
      <w:pPr>
        <w:ind w:left="980" w:hanging="324"/>
        <w:spacing w:after="0"/>
        <w:tabs>
          <w:tab w:leader="none" w:pos="980" w:val="left"/>
        </w:tabs>
        <w:numPr>
          <w:ilvl w:val="1"/>
          <w:numId w:val="3"/>
        </w:numPr>
        <w:rPr>
          <w:rFonts w:ascii="Arial" w:cs="Arial" w:eastAsia="Arial" w:hAnsi="Arial"/>
          <w:sz w:val="16"/>
          <w:szCs w:val="16"/>
          <w:color w:val="auto"/>
        </w:rPr>
      </w:pPr>
      <w:r>
        <w:rPr>
          <w:rFonts w:ascii="Arial" w:cs="Arial" w:eastAsia="Arial" w:hAnsi="Arial"/>
          <w:sz w:val="16"/>
          <w:szCs w:val="16"/>
          <w:color w:val="auto"/>
        </w:rPr>
        <w:t>Total fee paid:</w:t>
      </w:r>
    </w:p>
    <w:p>
      <w:pPr>
        <w:spacing w:after="0" w:line="10" w:lineRule="exact"/>
        <w:rPr>
          <w:rFonts w:ascii="Arial" w:cs="Arial" w:eastAsia="Arial" w:hAnsi="Arial"/>
          <w:sz w:val="16"/>
          <w:szCs w:val="16"/>
          <w:color w:val="auto"/>
        </w:rPr>
      </w:pPr>
    </w:p>
    <w:p>
      <w:pPr>
        <w:ind w:left="280" w:hanging="272"/>
        <w:spacing w:after="0" w:line="234" w:lineRule="auto"/>
        <w:tabs>
          <w:tab w:leader="none" w:pos="280" w:val="left"/>
        </w:tabs>
        <w:numPr>
          <w:ilvl w:val="0"/>
          <w:numId w:val="3"/>
        </w:numPr>
        <w:rPr>
          <w:rFonts w:ascii="Arial" w:cs="Arial" w:eastAsia="Arial" w:hAnsi="Arial"/>
          <w:sz w:val="18"/>
          <w:szCs w:val="18"/>
          <w:color w:val="auto"/>
        </w:rPr>
      </w:pPr>
      <w:r>
        <w:rPr>
          <w:rFonts w:ascii="Arial" w:cs="Arial" w:eastAsia="Arial" w:hAnsi="Arial"/>
          <w:sz w:val="16"/>
          <w:szCs w:val="16"/>
          <w:color w:val="auto"/>
        </w:rPr>
        <w:t>Fee paid previously with preliminary materials.</w:t>
      </w:r>
    </w:p>
    <w:p>
      <w:pPr>
        <w:spacing w:after="0" w:line="9" w:lineRule="exact"/>
        <w:rPr>
          <w:rFonts w:ascii="Arial" w:cs="Arial" w:eastAsia="Arial" w:hAnsi="Arial"/>
          <w:sz w:val="18"/>
          <w:szCs w:val="18"/>
          <w:color w:val="auto"/>
        </w:rPr>
      </w:pPr>
    </w:p>
    <w:p>
      <w:pPr>
        <w:ind w:left="280" w:hanging="272"/>
        <w:spacing w:after="0"/>
        <w:tabs>
          <w:tab w:leader="none" w:pos="280" w:val="left"/>
        </w:tabs>
        <w:numPr>
          <w:ilvl w:val="0"/>
          <w:numId w:val="3"/>
        </w:numPr>
        <w:rPr>
          <w:rFonts w:ascii="Arial" w:cs="Arial" w:eastAsia="Arial" w:hAnsi="Arial"/>
          <w:sz w:val="18"/>
          <w:szCs w:val="18"/>
          <w:color w:val="auto"/>
        </w:rPr>
      </w:pPr>
      <w:r>
        <w:rPr>
          <w:rFonts w:ascii="Arial" w:cs="Arial" w:eastAsia="Arial" w:hAnsi="Arial"/>
          <w:sz w:val="16"/>
          <w:szCs w:val="16"/>
          <w:color w:val="auto"/>
        </w:rPr>
        <w:t>Check box if any part of the fee is offset as provided by Exchange Act Rule 0-11(a)(2) and identify the filing for which the</w:t>
      </w:r>
    </w:p>
    <w:p>
      <w:pPr>
        <w:spacing w:after="0" w:line="8" w:lineRule="exact"/>
        <w:rPr>
          <w:sz w:val="20"/>
          <w:szCs w:val="20"/>
          <w:color w:val="auto"/>
        </w:rPr>
      </w:pPr>
    </w:p>
    <w:p>
      <w:pPr>
        <w:ind w:left="660" w:right="1840"/>
        <w:spacing w:after="0" w:line="246" w:lineRule="auto"/>
        <w:rPr>
          <w:sz w:val="20"/>
          <w:szCs w:val="20"/>
          <w:color w:val="auto"/>
        </w:rPr>
      </w:pPr>
      <w:r>
        <w:rPr>
          <w:rFonts w:ascii="Arial" w:cs="Arial" w:eastAsia="Arial" w:hAnsi="Arial"/>
          <w:sz w:val="16"/>
          <w:szCs w:val="16"/>
          <w:color w:val="auto"/>
        </w:rPr>
        <w:t>offsetting fee was paid previously. Identify the previous filing by registration statement number, or the Form or Schedule and the date of its filing.</w:t>
      </w:r>
    </w:p>
    <w:p>
      <w:pPr>
        <w:spacing w:after="0" w:line="1" w:lineRule="exact"/>
        <w:rPr>
          <w:sz w:val="20"/>
          <w:szCs w:val="20"/>
          <w:color w:val="auto"/>
        </w:rPr>
      </w:pPr>
    </w:p>
    <w:p>
      <w:pPr>
        <w:ind w:left="980" w:hanging="324"/>
        <w:spacing w:after="0"/>
        <w:tabs>
          <w:tab w:leader="none" w:pos="980" w:val="left"/>
        </w:tabs>
        <w:numPr>
          <w:ilvl w:val="0"/>
          <w:numId w:val="4"/>
        </w:numPr>
        <w:rPr>
          <w:rFonts w:ascii="Arial" w:cs="Arial" w:eastAsia="Arial" w:hAnsi="Arial"/>
          <w:sz w:val="16"/>
          <w:szCs w:val="16"/>
          <w:color w:val="auto"/>
        </w:rPr>
      </w:pPr>
      <w:r>
        <w:rPr>
          <w:rFonts w:ascii="Arial" w:cs="Arial" w:eastAsia="Arial" w:hAnsi="Arial"/>
          <w:sz w:val="16"/>
          <w:szCs w:val="16"/>
          <w:color w:val="auto"/>
        </w:rPr>
        <w:t>Amount previously paid:</w:t>
      </w:r>
    </w:p>
    <w:p>
      <w:pPr>
        <w:spacing w:after="0" w:line="5" w:lineRule="exact"/>
        <w:rPr>
          <w:rFonts w:ascii="Arial" w:cs="Arial" w:eastAsia="Arial" w:hAnsi="Arial"/>
          <w:sz w:val="16"/>
          <w:szCs w:val="16"/>
          <w:color w:val="auto"/>
        </w:rPr>
      </w:pPr>
    </w:p>
    <w:p>
      <w:pPr>
        <w:ind w:left="980" w:hanging="324"/>
        <w:spacing w:after="0"/>
        <w:tabs>
          <w:tab w:leader="none" w:pos="980" w:val="left"/>
        </w:tabs>
        <w:numPr>
          <w:ilvl w:val="0"/>
          <w:numId w:val="4"/>
        </w:numPr>
        <w:rPr>
          <w:rFonts w:ascii="Arial" w:cs="Arial" w:eastAsia="Arial" w:hAnsi="Arial"/>
          <w:sz w:val="16"/>
          <w:szCs w:val="16"/>
          <w:color w:val="auto"/>
        </w:rPr>
      </w:pPr>
      <w:r>
        <w:rPr>
          <w:rFonts w:ascii="Arial" w:cs="Arial" w:eastAsia="Arial" w:hAnsi="Arial"/>
          <w:sz w:val="16"/>
          <w:szCs w:val="16"/>
          <w:color w:val="auto"/>
        </w:rPr>
        <w:t>Form, Schedule or Registration Statement No.:</w:t>
      </w:r>
    </w:p>
    <w:p>
      <w:pPr>
        <w:spacing w:after="0" w:line="5" w:lineRule="exact"/>
        <w:rPr>
          <w:rFonts w:ascii="Arial" w:cs="Arial" w:eastAsia="Arial" w:hAnsi="Arial"/>
          <w:sz w:val="16"/>
          <w:szCs w:val="16"/>
          <w:color w:val="auto"/>
        </w:rPr>
      </w:pPr>
    </w:p>
    <w:p>
      <w:pPr>
        <w:ind w:left="980" w:hanging="324"/>
        <w:spacing w:after="0"/>
        <w:tabs>
          <w:tab w:leader="none" w:pos="980" w:val="left"/>
        </w:tabs>
        <w:numPr>
          <w:ilvl w:val="0"/>
          <w:numId w:val="4"/>
        </w:numPr>
        <w:rPr>
          <w:rFonts w:ascii="Arial" w:cs="Arial" w:eastAsia="Arial" w:hAnsi="Arial"/>
          <w:sz w:val="16"/>
          <w:szCs w:val="16"/>
          <w:color w:val="auto"/>
        </w:rPr>
      </w:pPr>
      <w:r>
        <w:rPr>
          <w:rFonts w:ascii="Arial" w:cs="Arial" w:eastAsia="Arial" w:hAnsi="Arial"/>
          <w:sz w:val="16"/>
          <w:szCs w:val="16"/>
          <w:color w:val="auto"/>
        </w:rPr>
        <w:t>Filing party:</w:t>
      </w:r>
    </w:p>
    <w:p>
      <w:pPr>
        <w:spacing w:after="0" w:line="5" w:lineRule="exact"/>
        <w:rPr>
          <w:rFonts w:ascii="Arial" w:cs="Arial" w:eastAsia="Arial" w:hAnsi="Arial"/>
          <w:sz w:val="16"/>
          <w:szCs w:val="16"/>
          <w:color w:val="auto"/>
        </w:rPr>
      </w:pPr>
    </w:p>
    <w:p>
      <w:pPr>
        <w:ind w:left="980" w:hanging="324"/>
        <w:spacing w:after="0"/>
        <w:tabs>
          <w:tab w:leader="none" w:pos="980" w:val="left"/>
        </w:tabs>
        <w:numPr>
          <w:ilvl w:val="0"/>
          <w:numId w:val="4"/>
        </w:numPr>
        <w:rPr>
          <w:rFonts w:ascii="Arial" w:cs="Arial" w:eastAsia="Arial" w:hAnsi="Arial"/>
          <w:sz w:val="16"/>
          <w:szCs w:val="16"/>
          <w:color w:val="auto"/>
        </w:rPr>
      </w:pPr>
      <w:r>
        <w:rPr>
          <w:rFonts w:ascii="Arial" w:cs="Arial" w:eastAsia="Arial" w:hAnsi="Arial"/>
          <w:sz w:val="16"/>
          <w:szCs w:val="16"/>
          <w:color w:val="auto"/>
        </w:rPr>
        <w:t>Date filed: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996950</wp:posOffset>
            </wp:positionV>
            <wp:extent cx="7246620" cy="260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911225</wp:posOffset>
            </wp:positionV>
            <wp:extent cx="72466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40"/>
          </w:cols>
          <w:pgMar w:left="240" w:top="1440" w:right="319" w:bottom="1440" w:gutter="0" w:footer="0" w:header="0"/>
        </w:sectPr>
      </w:pPr>
    </w:p>
    <w:bookmarkStart w:id="2" w:name="page3"/>
    <w:bookmarkEnd w:id="2"/>
    <w:p>
      <w:pPr>
        <w:jc w:val="center"/>
        <w:spacing w:after="0"/>
        <w:rPr>
          <w:sz w:val="20"/>
          <w:szCs w:val="20"/>
          <w:color w:val="auto"/>
        </w:rPr>
      </w:pPr>
      <w:r>
        <w:rPr>
          <w:rFonts w:ascii="Arial" w:cs="Arial" w:eastAsia="Arial" w:hAnsi="Arial"/>
          <w:sz w:val="22"/>
          <w:szCs w:val="22"/>
          <w:color w:val="828282"/>
        </w:rPr>
        <w:drawing>
          <wp:anchor simplePos="0" relativeHeight="251657728" behindDoc="1" locked="0" layoutInCell="0" allowOverlap="1">
            <wp:simplePos x="0" y="0"/>
            <wp:positionH relativeFrom="page">
              <wp:posOffset>157480</wp:posOffset>
            </wp:positionH>
            <wp:positionV relativeFrom="page">
              <wp:posOffset>243205</wp:posOffset>
            </wp:positionV>
            <wp:extent cx="2418080" cy="34290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clrChange>
                        <a:clrFrom>
                          <a:srgbClr val="FFFFFF"/>
                        </a:clrFrom>
                        <a:clrTo>
                          <a:srgbClr val="FFFFFF">
                            <a:alpha val="0"/>
                          </a:srgbClr>
                        </a:clrTo>
                      </a:clrChange>
                      <a:extLst>
                        <a:ext uri="{28A0092B-C50C-407E-A947-70E740481C1C}"/>
                      </a:extLst>
                    </a:blip>
                    <a:srcRect/>
                    <a:stretch>
                      <a:fillRect/>
                    </a:stretch>
                  </pic:blipFill>
                  <pic:spPr bwMode="auto">
                    <a:xfrm>
                      <a:off x="0" y="0"/>
                      <a:ext cx="2418080" cy="342900"/>
                    </a:xfrm>
                    <a:prstGeom prst="rect">
                      <a:avLst/>
                    </a:prstGeom>
                    <a:noFill/>
                  </pic:spPr>
                </pic:pic>
              </a:graphicData>
            </a:graphic>
          </wp:anchor>
        </w:drawing>
        <w:t>Notice of Annual Meeting</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22"/>
          <w:szCs w:val="22"/>
          <w:color w:val="828282"/>
        </w:rPr>
        <w:t>of Shareholders</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22"/>
          <w:szCs w:val="22"/>
          <w:color w:val="828282"/>
        </w:rPr>
        <w:t>to be held December 11, 2018</w:t>
      </w:r>
    </w:p>
    <w:p>
      <w:pPr>
        <w:spacing w:after="0" w:line="377" w:lineRule="exact"/>
        <w:rPr>
          <w:sz w:val="20"/>
          <w:szCs w:val="20"/>
          <w:color w:val="auto"/>
        </w:rPr>
      </w:pPr>
    </w:p>
    <w:p>
      <w:pPr>
        <w:spacing w:after="0"/>
        <w:rPr>
          <w:sz w:val="20"/>
          <w:szCs w:val="20"/>
          <w:color w:val="auto"/>
        </w:rPr>
      </w:pPr>
      <w:r>
        <w:rPr>
          <w:rFonts w:ascii="Arial" w:cs="Arial" w:eastAsia="Arial" w:hAnsi="Arial"/>
          <w:sz w:val="16"/>
          <w:szCs w:val="16"/>
          <w:color w:val="auto"/>
        </w:rPr>
        <w:t>Dear Fellow Shareholders,</w:t>
      </w:r>
    </w:p>
    <w:p>
      <w:pPr>
        <w:spacing w:after="0" w:line="194" w:lineRule="exact"/>
        <w:rPr>
          <w:sz w:val="20"/>
          <w:szCs w:val="20"/>
          <w:color w:val="auto"/>
        </w:rPr>
      </w:pPr>
    </w:p>
    <w:p>
      <w:pPr>
        <w:ind w:right="40"/>
        <w:spacing w:after="0" w:line="251" w:lineRule="auto"/>
        <w:rPr>
          <w:sz w:val="20"/>
          <w:szCs w:val="20"/>
          <w:color w:val="auto"/>
        </w:rPr>
      </w:pPr>
      <w:r>
        <w:rPr>
          <w:rFonts w:ascii="Arial" w:cs="Arial" w:eastAsia="Arial" w:hAnsi="Arial"/>
          <w:sz w:val="16"/>
          <w:szCs w:val="16"/>
          <w:color w:val="auto"/>
        </w:rPr>
        <w:t>Winnebago Industries, Inc. will hold its 2018 Annual Meeting of Shareholders on December 11, 2018, at 4:00 p.m. Central Standard Time. The Annual Meeting will be completely virtual. You may attend the meeting, submit questions, and vote your shares electronically during the meeting via live webcast by visiting www.virtualshareholdermeeting.com/WGO2018 and entering the 16-digit control number included with the Notice of Internet Availability or proxy card. Instructions on how to attend and participate in the Annual Meeting via the webcast are posted on this site as well.</w:t>
      </w:r>
    </w:p>
    <w:p>
      <w:pPr>
        <w:spacing w:after="0" w:line="176" w:lineRule="exact"/>
        <w:rPr>
          <w:sz w:val="20"/>
          <w:szCs w:val="20"/>
          <w:color w:val="auto"/>
        </w:rPr>
      </w:pPr>
    </w:p>
    <w:p>
      <w:pPr>
        <w:ind w:right="280"/>
        <w:spacing w:after="0" w:line="260" w:lineRule="auto"/>
        <w:rPr>
          <w:sz w:val="20"/>
          <w:szCs w:val="20"/>
          <w:color w:val="auto"/>
        </w:rPr>
      </w:pPr>
      <w:r>
        <w:rPr>
          <w:rFonts w:ascii="Arial" w:cs="Arial" w:eastAsia="Arial" w:hAnsi="Arial"/>
          <w:sz w:val="16"/>
          <w:szCs w:val="16"/>
          <w:color w:val="auto"/>
        </w:rPr>
        <w:t>The proxy materials were either made available to you over the Internet or mailed to you on or about October 31, 2018. At the meeting, shareholders will be asked to:</w:t>
      </w:r>
    </w:p>
    <w:p>
      <w:pPr>
        <w:spacing w:after="0" w:line="302" w:lineRule="exact"/>
        <w:rPr>
          <w:sz w:val="20"/>
          <w:szCs w:val="20"/>
          <w:color w:val="auto"/>
        </w:rPr>
      </w:pPr>
    </w:p>
    <w:tbl>
      <w:tblPr>
        <w:tblLayout w:type="fixed"/>
        <w:tblInd w:w="140" w:type="dxa"/>
        <w:tblCellMar>
          <w:top w:w="0" w:type="dxa"/>
          <w:left w:w="0" w:type="dxa"/>
          <w:bottom w:w="0" w:type="dxa"/>
          <w:right w:w="0" w:type="dxa"/>
        </w:tblCellMar>
      </w:tblPr>
      <w:tr>
        <w:trPr>
          <w:trHeight w:val="250"/>
        </w:trPr>
        <w:tc>
          <w:tcPr>
            <w:tcW w:w="1660" w:type="dxa"/>
            <w:vAlign w:val="bottom"/>
            <w:tcBorders>
              <w:bottom w:val="single" w:sz="8" w:color="BF2115"/>
            </w:tcBorders>
            <w:shd w:val="clear" w:color="auto" w:fill="BF2115"/>
          </w:tcPr>
          <w:p>
            <w:pPr>
              <w:spacing w:after="0"/>
              <w:rPr>
                <w:sz w:val="21"/>
                <w:szCs w:val="21"/>
                <w:color w:val="auto"/>
              </w:rPr>
            </w:pPr>
          </w:p>
        </w:tc>
        <w:tc>
          <w:tcPr>
            <w:tcW w:w="5520" w:type="dxa"/>
            <w:vAlign w:val="bottom"/>
            <w:tcBorders>
              <w:bottom w:val="single" w:sz="8" w:color="BF2115"/>
              <w:right w:val="single" w:sz="8" w:color="BF2115"/>
            </w:tcBorders>
            <w:shd w:val="clear" w:color="auto" w:fill="BF2115"/>
          </w:tcPr>
          <w:p>
            <w:pPr>
              <w:spacing w:after="0"/>
              <w:rPr>
                <w:sz w:val="21"/>
                <w:szCs w:val="21"/>
                <w:color w:val="auto"/>
              </w:rPr>
            </w:pPr>
          </w:p>
        </w:tc>
        <w:tc>
          <w:tcPr>
            <w:tcW w:w="4020" w:type="dxa"/>
            <w:vAlign w:val="bottom"/>
            <w:tcBorders>
              <w:bottom w:val="single" w:sz="8" w:color="BF2115"/>
            </w:tcBorders>
            <w:gridSpan w:val="2"/>
            <w:shd w:val="clear" w:color="auto" w:fill="BF2115"/>
          </w:tcPr>
          <w:p>
            <w:pPr>
              <w:jc w:val="center"/>
              <w:ind w:right="800"/>
              <w:spacing w:after="0"/>
              <w:rPr>
                <w:sz w:val="20"/>
                <w:szCs w:val="20"/>
                <w:color w:val="auto"/>
              </w:rPr>
            </w:pPr>
            <w:r>
              <w:rPr>
                <w:rFonts w:ascii="Arial" w:cs="Arial" w:eastAsia="Arial" w:hAnsi="Arial"/>
                <w:sz w:val="16"/>
                <w:szCs w:val="16"/>
                <w:color w:val="FFFFFF"/>
              </w:rPr>
              <w:t>BOARD RECOMMENDATIONS</w:t>
            </w:r>
          </w:p>
        </w:tc>
        <w:tc>
          <w:tcPr>
            <w:tcW w:w="0" w:type="dxa"/>
            <w:vAlign w:val="bottom"/>
          </w:tcPr>
          <w:p>
            <w:pPr>
              <w:spacing w:after="0"/>
              <w:rPr>
                <w:sz w:val="1"/>
                <w:szCs w:val="1"/>
                <w:color w:val="auto"/>
              </w:rPr>
            </w:pPr>
          </w:p>
        </w:tc>
      </w:tr>
      <w:tr>
        <w:trPr>
          <w:trHeight w:val="318"/>
        </w:trPr>
        <w:tc>
          <w:tcPr>
            <w:tcW w:w="1660" w:type="dxa"/>
            <w:vAlign w:val="bottom"/>
          </w:tcPr>
          <w:p>
            <w:pPr>
              <w:jc w:val="right"/>
              <w:ind w:right="699"/>
              <w:spacing w:after="0"/>
              <w:rPr>
                <w:sz w:val="20"/>
                <w:szCs w:val="20"/>
                <w:color w:val="auto"/>
              </w:rPr>
            </w:pPr>
            <w:r>
              <w:rPr>
                <w:rFonts w:ascii="Arial" w:cs="Arial" w:eastAsia="Arial" w:hAnsi="Arial"/>
                <w:sz w:val="16"/>
                <w:szCs w:val="16"/>
                <w:color w:val="auto"/>
              </w:rPr>
              <w:t>1</w:t>
            </w:r>
          </w:p>
        </w:tc>
        <w:tc>
          <w:tcPr>
            <w:tcW w:w="5520" w:type="dxa"/>
            <w:vAlign w:val="bottom"/>
            <w:tcBorders>
              <w:right w:val="single" w:sz="8" w:color="auto"/>
            </w:tcBorders>
          </w:tcPr>
          <w:p>
            <w:pPr>
              <w:ind w:left="40"/>
              <w:spacing w:after="0"/>
              <w:rPr>
                <w:sz w:val="20"/>
                <w:szCs w:val="20"/>
                <w:color w:val="auto"/>
              </w:rPr>
            </w:pPr>
            <w:r>
              <w:rPr>
                <w:rFonts w:ascii="Arial" w:cs="Arial" w:eastAsia="Arial" w:hAnsi="Arial"/>
                <w:sz w:val="16"/>
                <w:szCs w:val="16"/>
                <w:color w:val="auto"/>
              </w:rPr>
              <w:t>Elect three Class I directors to hold office for a three-year term;</w:t>
            </w:r>
          </w:p>
        </w:tc>
        <w:tc>
          <w:tcPr>
            <w:tcW w:w="3240" w:type="dxa"/>
            <w:vAlign w:val="bottom"/>
            <w:shd w:val="clear" w:color="auto" w:fill="828282"/>
          </w:tcPr>
          <w:p>
            <w:pPr>
              <w:jc w:val="center"/>
              <w:spacing w:after="0"/>
              <w:rPr>
                <w:sz w:val="20"/>
                <w:szCs w:val="20"/>
                <w:color w:val="auto"/>
              </w:rPr>
            </w:pPr>
            <w:r>
              <w:rPr>
                <w:rFonts w:ascii="Arial" w:cs="Arial" w:eastAsia="Arial" w:hAnsi="Arial"/>
                <w:sz w:val="16"/>
                <w:szCs w:val="16"/>
                <w:color w:val="FFFFFF"/>
              </w:rPr>
              <w:t>FOR</w:t>
            </w: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4"/>
        </w:trPr>
        <w:tc>
          <w:tcPr>
            <w:tcW w:w="1660" w:type="dxa"/>
            <w:vAlign w:val="bottom"/>
          </w:tcPr>
          <w:p>
            <w:pPr>
              <w:spacing w:after="0"/>
              <w:rPr>
                <w:sz w:val="9"/>
                <w:szCs w:val="9"/>
                <w:color w:val="auto"/>
              </w:rPr>
            </w:pPr>
          </w:p>
        </w:tc>
        <w:tc>
          <w:tcPr>
            <w:tcW w:w="5520" w:type="dxa"/>
            <w:vAlign w:val="bottom"/>
            <w:tcBorders>
              <w:bottom w:val="single" w:sz="8" w:color="auto"/>
              <w:right w:val="single" w:sz="8" w:color="auto"/>
            </w:tcBorders>
          </w:tcPr>
          <w:p>
            <w:pPr>
              <w:spacing w:after="0"/>
              <w:rPr>
                <w:sz w:val="9"/>
                <w:szCs w:val="9"/>
                <w:color w:val="auto"/>
              </w:rPr>
            </w:pPr>
          </w:p>
        </w:tc>
        <w:tc>
          <w:tcPr>
            <w:tcW w:w="3240" w:type="dxa"/>
            <w:vAlign w:val="bottom"/>
            <w:tcBorders>
              <w:bottom w:val="single" w:sz="8" w:color="auto"/>
            </w:tcBorders>
            <w:shd w:val="clear" w:color="auto" w:fill="828282"/>
          </w:tcPr>
          <w:p>
            <w:pPr>
              <w:spacing w:after="0"/>
              <w:rPr>
                <w:sz w:val="9"/>
                <w:szCs w:val="9"/>
                <w:color w:val="auto"/>
              </w:rPr>
            </w:pPr>
          </w:p>
        </w:tc>
        <w:tc>
          <w:tcPr>
            <w:tcW w:w="7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1"/>
        </w:trPr>
        <w:tc>
          <w:tcPr>
            <w:tcW w:w="1660" w:type="dxa"/>
            <w:vAlign w:val="bottom"/>
            <w:vMerge w:val="restart"/>
          </w:tcPr>
          <w:p>
            <w:pPr>
              <w:jc w:val="right"/>
              <w:ind w:right="699"/>
              <w:spacing w:after="0"/>
              <w:rPr>
                <w:sz w:val="20"/>
                <w:szCs w:val="20"/>
                <w:color w:val="auto"/>
              </w:rPr>
            </w:pPr>
            <w:r>
              <w:rPr>
                <w:rFonts w:ascii="Arial" w:cs="Arial" w:eastAsia="Arial" w:hAnsi="Arial"/>
                <w:sz w:val="16"/>
                <w:szCs w:val="16"/>
                <w:color w:val="auto"/>
              </w:rPr>
              <w:t>2</w:t>
            </w:r>
          </w:p>
        </w:tc>
        <w:tc>
          <w:tcPr>
            <w:tcW w:w="5520" w:type="dxa"/>
            <w:vAlign w:val="bottom"/>
            <w:tcBorders>
              <w:right w:val="single" w:sz="8" w:color="auto"/>
            </w:tcBorders>
          </w:tcPr>
          <w:p>
            <w:pPr>
              <w:ind w:left="40"/>
              <w:spacing w:after="0"/>
              <w:rPr>
                <w:sz w:val="20"/>
                <w:szCs w:val="20"/>
                <w:color w:val="auto"/>
              </w:rPr>
            </w:pPr>
            <w:r>
              <w:rPr>
                <w:rFonts w:ascii="Arial" w:cs="Arial" w:eastAsia="Arial" w:hAnsi="Arial"/>
                <w:sz w:val="16"/>
                <w:szCs w:val="16"/>
                <w:color w:val="auto"/>
              </w:rPr>
              <w:t>Approve, on an advisory basis, the compensation of our Named Executive</w:t>
            </w:r>
          </w:p>
        </w:tc>
        <w:tc>
          <w:tcPr>
            <w:tcW w:w="3240" w:type="dxa"/>
            <w:vAlign w:val="bottom"/>
            <w:vMerge w:val="restart"/>
            <w:shd w:val="clear" w:color="auto" w:fill="828282"/>
          </w:tcPr>
          <w:p>
            <w:pPr>
              <w:jc w:val="center"/>
              <w:spacing w:after="0"/>
              <w:rPr>
                <w:sz w:val="20"/>
                <w:szCs w:val="20"/>
                <w:color w:val="auto"/>
              </w:rPr>
            </w:pPr>
            <w:r>
              <w:rPr>
                <w:rFonts w:ascii="Arial" w:cs="Arial" w:eastAsia="Arial" w:hAnsi="Arial"/>
                <w:sz w:val="16"/>
                <w:szCs w:val="16"/>
                <w:color w:val="FFFFFF"/>
              </w:rPr>
              <w:t>FOR</w:t>
            </w:r>
          </w:p>
        </w:tc>
        <w:tc>
          <w:tcPr>
            <w:tcW w:w="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0"/>
        </w:trPr>
        <w:tc>
          <w:tcPr>
            <w:tcW w:w="1660" w:type="dxa"/>
            <w:vAlign w:val="bottom"/>
            <w:vMerge w:val="continue"/>
          </w:tcPr>
          <w:p>
            <w:pPr>
              <w:spacing w:after="0"/>
              <w:rPr>
                <w:sz w:val="8"/>
                <w:szCs w:val="8"/>
                <w:color w:val="auto"/>
              </w:rPr>
            </w:pPr>
          </w:p>
        </w:tc>
        <w:tc>
          <w:tcPr>
            <w:tcW w:w="5520" w:type="dxa"/>
            <w:vAlign w:val="bottom"/>
            <w:tcBorders>
              <w:right w:val="single" w:sz="8" w:color="auto"/>
            </w:tcBorders>
            <w:vMerge w:val="restart"/>
          </w:tcPr>
          <w:p>
            <w:pPr>
              <w:ind w:left="40"/>
              <w:spacing w:after="0"/>
              <w:rPr>
                <w:sz w:val="20"/>
                <w:szCs w:val="20"/>
                <w:color w:val="auto"/>
              </w:rPr>
            </w:pPr>
            <w:r>
              <w:rPr>
                <w:rFonts w:ascii="Arial" w:cs="Arial" w:eastAsia="Arial" w:hAnsi="Arial"/>
                <w:sz w:val="16"/>
                <w:szCs w:val="16"/>
                <w:color w:val="auto"/>
              </w:rPr>
              <w:t>Officers;</w:t>
            </w:r>
          </w:p>
        </w:tc>
        <w:tc>
          <w:tcPr>
            <w:tcW w:w="3240" w:type="dxa"/>
            <w:vAlign w:val="bottom"/>
            <w:vMerge w:val="continue"/>
            <w:shd w:val="clear" w:color="auto" w:fill="828282"/>
          </w:tcPr>
          <w:p>
            <w:pPr>
              <w:spacing w:after="0"/>
              <w:rPr>
                <w:sz w:val="8"/>
                <w:szCs w:val="8"/>
                <w:color w:val="auto"/>
              </w:rPr>
            </w:pPr>
          </w:p>
        </w:tc>
        <w:tc>
          <w:tcPr>
            <w:tcW w:w="7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8"/>
        </w:trPr>
        <w:tc>
          <w:tcPr>
            <w:tcW w:w="1660" w:type="dxa"/>
            <w:vAlign w:val="bottom"/>
          </w:tcPr>
          <w:p>
            <w:pPr>
              <w:spacing w:after="0"/>
              <w:rPr>
                <w:sz w:val="9"/>
                <w:szCs w:val="9"/>
                <w:color w:val="auto"/>
              </w:rPr>
            </w:pPr>
          </w:p>
        </w:tc>
        <w:tc>
          <w:tcPr>
            <w:tcW w:w="5520" w:type="dxa"/>
            <w:vAlign w:val="bottom"/>
            <w:tcBorders>
              <w:bottom w:val="single" w:sz="8" w:color="auto"/>
              <w:right w:val="single" w:sz="8" w:color="auto"/>
            </w:tcBorders>
            <w:vMerge w:val="continue"/>
          </w:tcPr>
          <w:p>
            <w:pPr>
              <w:spacing w:after="0"/>
              <w:rPr>
                <w:sz w:val="9"/>
                <w:szCs w:val="9"/>
                <w:color w:val="auto"/>
              </w:rPr>
            </w:pPr>
          </w:p>
        </w:tc>
        <w:tc>
          <w:tcPr>
            <w:tcW w:w="3240" w:type="dxa"/>
            <w:vAlign w:val="bottom"/>
            <w:tcBorders>
              <w:bottom w:val="single" w:sz="8" w:color="auto"/>
            </w:tcBorders>
            <w:shd w:val="clear" w:color="auto" w:fill="828282"/>
          </w:tcPr>
          <w:p>
            <w:pPr>
              <w:spacing w:after="0"/>
              <w:rPr>
                <w:sz w:val="9"/>
                <w:szCs w:val="9"/>
                <w:color w:val="auto"/>
              </w:rPr>
            </w:pPr>
          </w:p>
        </w:tc>
        <w:tc>
          <w:tcPr>
            <w:tcW w:w="7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05"/>
        </w:trPr>
        <w:tc>
          <w:tcPr>
            <w:tcW w:w="1660" w:type="dxa"/>
            <w:vAlign w:val="bottom"/>
          </w:tcPr>
          <w:p>
            <w:pPr>
              <w:jc w:val="right"/>
              <w:ind w:right="699"/>
              <w:spacing w:after="0"/>
              <w:rPr>
                <w:sz w:val="20"/>
                <w:szCs w:val="20"/>
                <w:color w:val="auto"/>
              </w:rPr>
            </w:pPr>
            <w:r>
              <w:rPr>
                <w:rFonts w:ascii="Arial" w:cs="Arial" w:eastAsia="Arial" w:hAnsi="Arial"/>
                <w:sz w:val="16"/>
                <w:szCs w:val="16"/>
                <w:color w:val="auto"/>
              </w:rPr>
              <w:t>3</w:t>
            </w:r>
          </w:p>
        </w:tc>
        <w:tc>
          <w:tcPr>
            <w:tcW w:w="5520" w:type="dxa"/>
            <w:vAlign w:val="bottom"/>
            <w:tcBorders>
              <w:right w:val="single" w:sz="8" w:color="auto"/>
            </w:tcBorders>
          </w:tcPr>
          <w:p>
            <w:pPr>
              <w:ind w:left="40"/>
              <w:spacing w:after="0"/>
              <w:rPr>
                <w:sz w:val="20"/>
                <w:szCs w:val="20"/>
                <w:color w:val="auto"/>
              </w:rPr>
            </w:pPr>
            <w:r>
              <w:rPr>
                <w:rFonts w:ascii="Arial" w:cs="Arial" w:eastAsia="Arial" w:hAnsi="Arial"/>
                <w:sz w:val="16"/>
                <w:szCs w:val="16"/>
                <w:color w:val="auto"/>
              </w:rPr>
              <w:t>Approve the 2019 Omnibus Incentive Plan;</w:t>
            </w:r>
          </w:p>
        </w:tc>
        <w:tc>
          <w:tcPr>
            <w:tcW w:w="3240" w:type="dxa"/>
            <w:vAlign w:val="bottom"/>
            <w:shd w:val="clear" w:color="auto" w:fill="828282"/>
          </w:tcPr>
          <w:p>
            <w:pPr>
              <w:jc w:val="center"/>
              <w:spacing w:after="0"/>
              <w:rPr>
                <w:sz w:val="20"/>
                <w:szCs w:val="20"/>
                <w:color w:val="auto"/>
              </w:rPr>
            </w:pPr>
            <w:r>
              <w:rPr>
                <w:rFonts w:ascii="Arial" w:cs="Arial" w:eastAsia="Arial" w:hAnsi="Arial"/>
                <w:sz w:val="16"/>
                <w:szCs w:val="16"/>
                <w:color w:val="FFFFFF"/>
              </w:rPr>
              <w:t>FOR</w:t>
            </w: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4"/>
        </w:trPr>
        <w:tc>
          <w:tcPr>
            <w:tcW w:w="1660" w:type="dxa"/>
            <w:vAlign w:val="bottom"/>
          </w:tcPr>
          <w:p>
            <w:pPr>
              <w:spacing w:after="0"/>
              <w:rPr>
                <w:sz w:val="9"/>
                <w:szCs w:val="9"/>
                <w:color w:val="auto"/>
              </w:rPr>
            </w:pPr>
          </w:p>
        </w:tc>
        <w:tc>
          <w:tcPr>
            <w:tcW w:w="5520" w:type="dxa"/>
            <w:vAlign w:val="bottom"/>
            <w:tcBorders>
              <w:bottom w:val="single" w:sz="8" w:color="auto"/>
              <w:right w:val="single" w:sz="8" w:color="auto"/>
            </w:tcBorders>
          </w:tcPr>
          <w:p>
            <w:pPr>
              <w:spacing w:after="0"/>
              <w:rPr>
                <w:sz w:val="9"/>
                <w:szCs w:val="9"/>
                <w:color w:val="auto"/>
              </w:rPr>
            </w:pPr>
          </w:p>
        </w:tc>
        <w:tc>
          <w:tcPr>
            <w:tcW w:w="3240" w:type="dxa"/>
            <w:vAlign w:val="bottom"/>
            <w:tcBorders>
              <w:bottom w:val="single" w:sz="8" w:color="auto"/>
            </w:tcBorders>
            <w:shd w:val="clear" w:color="auto" w:fill="828282"/>
          </w:tcPr>
          <w:p>
            <w:pPr>
              <w:spacing w:after="0"/>
              <w:rPr>
                <w:sz w:val="9"/>
                <w:szCs w:val="9"/>
                <w:color w:val="auto"/>
              </w:rPr>
            </w:pPr>
          </w:p>
        </w:tc>
        <w:tc>
          <w:tcPr>
            <w:tcW w:w="7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1"/>
        </w:trPr>
        <w:tc>
          <w:tcPr>
            <w:tcW w:w="1660" w:type="dxa"/>
            <w:vAlign w:val="bottom"/>
            <w:vMerge w:val="restart"/>
          </w:tcPr>
          <w:p>
            <w:pPr>
              <w:jc w:val="right"/>
              <w:ind w:right="699"/>
              <w:spacing w:after="0"/>
              <w:rPr>
                <w:sz w:val="20"/>
                <w:szCs w:val="20"/>
                <w:color w:val="auto"/>
              </w:rPr>
            </w:pPr>
            <w:r>
              <w:rPr>
                <w:rFonts w:ascii="Arial" w:cs="Arial" w:eastAsia="Arial" w:hAnsi="Arial"/>
                <w:sz w:val="16"/>
                <w:szCs w:val="16"/>
                <w:color w:val="auto"/>
              </w:rPr>
              <w:t>4</w:t>
            </w:r>
          </w:p>
        </w:tc>
        <w:tc>
          <w:tcPr>
            <w:tcW w:w="5520" w:type="dxa"/>
            <w:vAlign w:val="bottom"/>
            <w:tcBorders>
              <w:right w:val="single" w:sz="8" w:color="auto"/>
            </w:tcBorders>
          </w:tcPr>
          <w:p>
            <w:pPr>
              <w:ind w:left="40"/>
              <w:spacing w:after="0"/>
              <w:rPr>
                <w:sz w:val="20"/>
                <w:szCs w:val="20"/>
                <w:color w:val="auto"/>
              </w:rPr>
            </w:pPr>
            <w:r>
              <w:rPr>
                <w:rFonts w:ascii="Arial" w:cs="Arial" w:eastAsia="Arial" w:hAnsi="Arial"/>
                <w:sz w:val="16"/>
                <w:szCs w:val="16"/>
                <w:color w:val="auto"/>
              </w:rPr>
              <w:t>Ratify the selection of Deloitte &amp; Touche LLP as our independent registered</w:t>
            </w:r>
          </w:p>
        </w:tc>
        <w:tc>
          <w:tcPr>
            <w:tcW w:w="3240" w:type="dxa"/>
            <w:vAlign w:val="bottom"/>
            <w:vMerge w:val="restart"/>
            <w:shd w:val="clear" w:color="auto" w:fill="828282"/>
          </w:tcPr>
          <w:p>
            <w:pPr>
              <w:jc w:val="center"/>
              <w:spacing w:after="0"/>
              <w:rPr>
                <w:sz w:val="20"/>
                <w:szCs w:val="20"/>
                <w:color w:val="auto"/>
              </w:rPr>
            </w:pPr>
            <w:r>
              <w:rPr>
                <w:rFonts w:ascii="Arial" w:cs="Arial" w:eastAsia="Arial" w:hAnsi="Arial"/>
                <w:sz w:val="16"/>
                <w:szCs w:val="16"/>
                <w:color w:val="FFFFFF"/>
              </w:rPr>
              <w:t>FOR</w:t>
            </w:r>
          </w:p>
        </w:tc>
        <w:tc>
          <w:tcPr>
            <w:tcW w:w="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0"/>
        </w:trPr>
        <w:tc>
          <w:tcPr>
            <w:tcW w:w="1660" w:type="dxa"/>
            <w:vAlign w:val="bottom"/>
            <w:vMerge w:val="continue"/>
          </w:tcPr>
          <w:p>
            <w:pPr>
              <w:spacing w:after="0"/>
              <w:rPr>
                <w:sz w:val="8"/>
                <w:szCs w:val="8"/>
                <w:color w:val="auto"/>
              </w:rPr>
            </w:pPr>
          </w:p>
        </w:tc>
        <w:tc>
          <w:tcPr>
            <w:tcW w:w="5520" w:type="dxa"/>
            <w:vAlign w:val="bottom"/>
            <w:tcBorders>
              <w:right w:val="single" w:sz="8" w:color="auto"/>
            </w:tcBorders>
            <w:vMerge w:val="restart"/>
          </w:tcPr>
          <w:p>
            <w:pPr>
              <w:ind w:left="40"/>
              <w:spacing w:after="0"/>
              <w:rPr>
                <w:sz w:val="20"/>
                <w:szCs w:val="20"/>
                <w:color w:val="auto"/>
              </w:rPr>
            </w:pPr>
            <w:r>
              <w:rPr>
                <w:rFonts w:ascii="Arial" w:cs="Arial" w:eastAsia="Arial" w:hAnsi="Arial"/>
                <w:sz w:val="16"/>
                <w:szCs w:val="16"/>
                <w:color w:val="auto"/>
              </w:rPr>
              <w:t>public accountant for fiscal 2019; and</w:t>
            </w:r>
          </w:p>
        </w:tc>
        <w:tc>
          <w:tcPr>
            <w:tcW w:w="3240" w:type="dxa"/>
            <w:vAlign w:val="bottom"/>
            <w:vMerge w:val="continue"/>
            <w:shd w:val="clear" w:color="auto" w:fill="828282"/>
          </w:tcPr>
          <w:p>
            <w:pPr>
              <w:spacing w:after="0"/>
              <w:rPr>
                <w:sz w:val="8"/>
                <w:szCs w:val="8"/>
                <w:color w:val="auto"/>
              </w:rPr>
            </w:pPr>
          </w:p>
        </w:tc>
        <w:tc>
          <w:tcPr>
            <w:tcW w:w="7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8"/>
        </w:trPr>
        <w:tc>
          <w:tcPr>
            <w:tcW w:w="1660" w:type="dxa"/>
            <w:vAlign w:val="bottom"/>
          </w:tcPr>
          <w:p>
            <w:pPr>
              <w:spacing w:after="0"/>
              <w:rPr>
                <w:sz w:val="9"/>
                <w:szCs w:val="9"/>
                <w:color w:val="auto"/>
              </w:rPr>
            </w:pPr>
          </w:p>
        </w:tc>
        <w:tc>
          <w:tcPr>
            <w:tcW w:w="5520" w:type="dxa"/>
            <w:vAlign w:val="bottom"/>
            <w:tcBorders>
              <w:bottom w:val="single" w:sz="8" w:color="auto"/>
              <w:right w:val="single" w:sz="8" w:color="auto"/>
            </w:tcBorders>
            <w:vMerge w:val="continue"/>
          </w:tcPr>
          <w:p>
            <w:pPr>
              <w:spacing w:after="0"/>
              <w:rPr>
                <w:sz w:val="9"/>
                <w:szCs w:val="9"/>
                <w:color w:val="auto"/>
              </w:rPr>
            </w:pPr>
          </w:p>
        </w:tc>
        <w:tc>
          <w:tcPr>
            <w:tcW w:w="3240" w:type="dxa"/>
            <w:vAlign w:val="bottom"/>
            <w:tcBorders>
              <w:bottom w:val="single" w:sz="8" w:color="auto"/>
            </w:tcBorders>
            <w:shd w:val="clear" w:color="auto" w:fill="828282"/>
          </w:tcPr>
          <w:p>
            <w:pPr>
              <w:spacing w:after="0"/>
              <w:rPr>
                <w:sz w:val="9"/>
                <w:szCs w:val="9"/>
                <w:color w:val="auto"/>
              </w:rPr>
            </w:pPr>
          </w:p>
        </w:tc>
        <w:tc>
          <w:tcPr>
            <w:tcW w:w="7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05"/>
        </w:trPr>
        <w:tc>
          <w:tcPr>
            <w:tcW w:w="1660" w:type="dxa"/>
            <w:vAlign w:val="bottom"/>
          </w:tcPr>
          <w:p>
            <w:pPr>
              <w:spacing w:after="0"/>
              <w:rPr>
                <w:sz w:val="24"/>
                <w:szCs w:val="24"/>
                <w:color w:val="auto"/>
              </w:rPr>
            </w:pPr>
          </w:p>
        </w:tc>
        <w:tc>
          <w:tcPr>
            <w:tcW w:w="5520" w:type="dxa"/>
            <w:vAlign w:val="bottom"/>
            <w:tcBorders>
              <w:right w:val="single" w:sz="8" w:color="auto"/>
            </w:tcBorders>
          </w:tcPr>
          <w:p>
            <w:pPr>
              <w:ind w:left="40"/>
              <w:spacing w:after="0"/>
              <w:rPr>
                <w:sz w:val="20"/>
                <w:szCs w:val="20"/>
                <w:color w:val="auto"/>
              </w:rPr>
            </w:pPr>
            <w:r>
              <w:rPr>
                <w:rFonts w:ascii="Arial" w:cs="Arial" w:eastAsia="Arial" w:hAnsi="Arial"/>
                <w:sz w:val="16"/>
                <w:szCs w:val="16"/>
                <w:color w:val="auto"/>
              </w:rPr>
              <w:t>Act on any other matters that may properly come before the meeting.</w:t>
            </w:r>
          </w:p>
        </w:tc>
        <w:tc>
          <w:tcPr>
            <w:tcW w:w="3240" w:type="dxa"/>
            <w:vAlign w:val="bottom"/>
            <w:shd w:val="clear" w:color="auto" w:fill="828282"/>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4"/>
        </w:trPr>
        <w:tc>
          <w:tcPr>
            <w:tcW w:w="1660" w:type="dxa"/>
            <w:vAlign w:val="bottom"/>
          </w:tcPr>
          <w:p>
            <w:pPr>
              <w:spacing w:after="0"/>
              <w:rPr>
                <w:sz w:val="9"/>
                <w:szCs w:val="9"/>
                <w:color w:val="auto"/>
              </w:rPr>
            </w:pPr>
          </w:p>
        </w:tc>
        <w:tc>
          <w:tcPr>
            <w:tcW w:w="5520" w:type="dxa"/>
            <w:vAlign w:val="bottom"/>
            <w:tcBorders>
              <w:bottom w:val="single" w:sz="8" w:color="auto"/>
              <w:right w:val="single" w:sz="8" w:color="auto"/>
            </w:tcBorders>
          </w:tcPr>
          <w:p>
            <w:pPr>
              <w:spacing w:after="0"/>
              <w:rPr>
                <w:sz w:val="9"/>
                <w:szCs w:val="9"/>
                <w:color w:val="auto"/>
              </w:rPr>
            </w:pPr>
          </w:p>
        </w:tc>
        <w:tc>
          <w:tcPr>
            <w:tcW w:w="3240" w:type="dxa"/>
            <w:vAlign w:val="bottom"/>
            <w:tcBorders>
              <w:bottom w:val="single" w:sz="8" w:color="auto"/>
            </w:tcBorders>
            <w:shd w:val="clear" w:color="auto" w:fill="828282"/>
          </w:tcPr>
          <w:p>
            <w:pPr>
              <w:spacing w:after="0"/>
              <w:rPr>
                <w:sz w:val="9"/>
                <w:szCs w:val="9"/>
                <w:color w:val="auto"/>
              </w:rPr>
            </w:pPr>
          </w:p>
        </w:tc>
        <w:tc>
          <w:tcPr>
            <w:tcW w:w="78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Arial" w:cs="Arial" w:eastAsia="Arial" w:hAnsi="Arial"/>
          <w:sz w:val="16"/>
          <w:szCs w:val="16"/>
          <w:color w:val="auto"/>
        </w:rPr>
        <w:t>Only shareholders of record at the close of business on October 16, 2018 may vote at the Annual Meeting or any adjournment thereof.</w:t>
      </w:r>
    </w:p>
    <w:p>
      <w:pPr>
        <w:spacing w:after="0" w:line="302" w:lineRule="exact"/>
        <w:rPr>
          <w:sz w:val="20"/>
          <w:szCs w:val="20"/>
          <w:color w:val="auto"/>
        </w:rPr>
      </w:pPr>
    </w:p>
    <w:p>
      <w:pPr>
        <w:ind w:left="6320"/>
        <w:spacing w:after="0"/>
        <w:rPr>
          <w:sz w:val="20"/>
          <w:szCs w:val="20"/>
          <w:color w:val="auto"/>
        </w:rPr>
      </w:pPr>
      <w:r>
        <w:rPr>
          <w:rFonts w:ascii="Arial" w:cs="Arial" w:eastAsia="Arial" w:hAnsi="Arial"/>
          <w:sz w:val="16"/>
          <w:szCs w:val="16"/>
          <w:color w:val="auto"/>
        </w:rPr>
        <w:t>By Order of the Board of Directors</w:t>
      </w:r>
    </w:p>
    <w:p>
      <w:pPr>
        <w:spacing w:after="0" w:line="354" w:lineRule="exact"/>
        <w:rPr>
          <w:sz w:val="20"/>
          <w:szCs w:val="20"/>
          <w:color w:val="auto"/>
        </w:rPr>
      </w:pPr>
    </w:p>
    <w:p>
      <w:pPr>
        <w:ind w:left="6320"/>
        <w:spacing w:after="0"/>
        <w:rPr>
          <w:sz w:val="20"/>
          <w:szCs w:val="20"/>
          <w:color w:val="auto"/>
        </w:rPr>
      </w:pPr>
      <w:r>
        <w:rPr>
          <w:rFonts w:ascii="Arial" w:cs="Arial" w:eastAsia="Arial" w:hAnsi="Arial"/>
          <w:sz w:val="16"/>
          <w:szCs w:val="16"/>
          <w:i w:val="1"/>
          <w:iCs w:val="1"/>
          <w:color w:val="auto"/>
        </w:rPr>
        <w:t>/s/ Stacy L. Bogart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4001135</wp:posOffset>
            </wp:positionH>
            <wp:positionV relativeFrom="paragraph">
              <wp:posOffset>29210</wp:posOffset>
            </wp:positionV>
            <wp:extent cx="246126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2461260" cy="8890"/>
                    </a:xfrm>
                    <a:prstGeom prst="rect">
                      <a:avLst/>
                    </a:prstGeom>
                    <a:noFill/>
                  </pic:spPr>
                </pic:pic>
              </a:graphicData>
            </a:graphic>
          </wp:anchor>
        </w:drawing>
      </w:r>
    </w:p>
    <w:p>
      <w:pPr>
        <w:spacing w:after="0" w:line="82" w:lineRule="exact"/>
        <w:rPr>
          <w:sz w:val="20"/>
          <w:szCs w:val="20"/>
          <w:color w:val="auto"/>
        </w:rPr>
      </w:pPr>
    </w:p>
    <w:p>
      <w:pPr>
        <w:ind w:left="6320"/>
        <w:spacing w:after="0"/>
        <w:rPr>
          <w:sz w:val="20"/>
          <w:szCs w:val="20"/>
          <w:color w:val="auto"/>
        </w:rPr>
      </w:pPr>
      <w:r>
        <w:rPr>
          <w:rFonts w:ascii="Arial" w:cs="Arial" w:eastAsia="Arial" w:hAnsi="Arial"/>
          <w:sz w:val="16"/>
          <w:szCs w:val="16"/>
          <w:color w:val="auto"/>
        </w:rPr>
        <w:t>Stacy L. Bogart</w:t>
      </w:r>
    </w:p>
    <w:p>
      <w:pPr>
        <w:spacing w:after="0" w:line="86" w:lineRule="exact"/>
        <w:rPr>
          <w:sz w:val="20"/>
          <w:szCs w:val="20"/>
          <w:color w:val="auto"/>
        </w:rPr>
      </w:pPr>
    </w:p>
    <w:p>
      <w:pPr>
        <w:ind w:left="6320"/>
        <w:spacing w:after="0"/>
        <w:rPr>
          <w:sz w:val="20"/>
          <w:szCs w:val="20"/>
          <w:color w:val="auto"/>
        </w:rPr>
      </w:pPr>
      <w:r>
        <w:rPr>
          <w:rFonts w:ascii="Arial" w:cs="Arial" w:eastAsia="Arial" w:hAnsi="Arial"/>
          <w:sz w:val="16"/>
          <w:szCs w:val="16"/>
          <w:color w:val="auto"/>
        </w:rPr>
        <w:t>Vice President - General Counsel</w:t>
      </w:r>
    </w:p>
    <w:p>
      <w:pPr>
        <w:spacing w:after="0" w:line="86" w:lineRule="exact"/>
        <w:rPr>
          <w:sz w:val="20"/>
          <w:szCs w:val="20"/>
          <w:color w:val="auto"/>
        </w:rPr>
      </w:pPr>
    </w:p>
    <w:p>
      <w:pPr>
        <w:ind w:left="40"/>
        <w:spacing w:after="0"/>
        <w:tabs>
          <w:tab w:leader="none" w:pos="6300" w:val="left"/>
        </w:tabs>
        <w:rPr>
          <w:sz w:val="20"/>
          <w:szCs w:val="20"/>
          <w:color w:val="auto"/>
        </w:rPr>
      </w:pPr>
      <w:r>
        <w:rPr>
          <w:rFonts w:ascii="Arial" w:cs="Arial" w:eastAsia="Arial" w:hAnsi="Arial"/>
          <w:sz w:val="16"/>
          <w:szCs w:val="16"/>
          <w:color w:val="auto"/>
        </w:rPr>
        <w:t>Eden Prairie, MN</w:t>
      </w:r>
      <w:r>
        <w:rPr>
          <w:sz w:val="20"/>
          <w:szCs w:val="20"/>
          <w:color w:val="auto"/>
        </w:rPr>
        <w:tab/>
      </w:r>
      <w:r>
        <w:rPr>
          <w:rFonts w:ascii="Arial" w:cs="Arial" w:eastAsia="Arial" w:hAnsi="Arial"/>
          <w:sz w:val="16"/>
          <w:szCs w:val="16"/>
          <w:color w:val="auto"/>
        </w:rPr>
        <w:t>and Secretary</w:t>
      </w:r>
    </w:p>
    <w:p>
      <w:pPr>
        <w:spacing w:after="0" w:line="86" w:lineRule="exact"/>
        <w:rPr>
          <w:sz w:val="20"/>
          <w:szCs w:val="20"/>
          <w:color w:val="auto"/>
        </w:rPr>
      </w:pPr>
    </w:p>
    <w:p>
      <w:pPr>
        <w:ind w:left="40"/>
        <w:spacing w:after="0"/>
        <w:rPr>
          <w:sz w:val="20"/>
          <w:szCs w:val="20"/>
          <w:color w:val="auto"/>
        </w:rPr>
      </w:pPr>
      <w:r>
        <w:rPr>
          <w:rFonts w:ascii="Arial" w:cs="Arial" w:eastAsia="Arial" w:hAnsi="Arial"/>
          <w:sz w:val="16"/>
          <w:szCs w:val="16"/>
          <w:color w:val="auto"/>
        </w:rPr>
        <w:t>October 31, 2018</w:t>
      </w:r>
    </w:p>
    <w:p>
      <w:pPr>
        <w:spacing w:after="0" w:line="243" w:lineRule="exact"/>
        <w:rPr>
          <w:sz w:val="20"/>
          <w:szCs w:val="20"/>
          <w:color w:val="auto"/>
        </w:rPr>
      </w:pPr>
    </w:p>
    <w:p>
      <w:pPr>
        <w:jc w:val="center"/>
        <w:spacing w:after="0"/>
        <w:rPr>
          <w:sz w:val="20"/>
          <w:szCs w:val="20"/>
          <w:color w:val="auto"/>
        </w:rPr>
      </w:pPr>
      <w:r>
        <w:rPr>
          <w:rFonts w:ascii="Arial" w:cs="Arial" w:eastAsia="Arial" w:hAnsi="Arial"/>
          <w:sz w:val="20"/>
          <w:szCs w:val="20"/>
          <w:color w:val="828282"/>
        </w:rPr>
        <w:t>Your Vote Is Important</w:t>
      </w:r>
    </w:p>
    <w:p>
      <w:pPr>
        <w:spacing w:after="0" w:line="216" w:lineRule="exact"/>
        <w:rPr>
          <w:sz w:val="20"/>
          <w:szCs w:val="20"/>
          <w:color w:val="auto"/>
        </w:rPr>
      </w:pPr>
    </w:p>
    <w:p>
      <w:pPr>
        <w:jc w:val="both"/>
        <w:spacing w:after="0" w:line="243" w:lineRule="auto"/>
        <w:rPr>
          <w:sz w:val="20"/>
          <w:szCs w:val="20"/>
          <w:color w:val="auto"/>
        </w:rPr>
      </w:pPr>
      <w:r>
        <w:rPr>
          <w:rFonts w:ascii="Arial" w:cs="Arial" w:eastAsia="Arial" w:hAnsi="Arial"/>
          <w:sz w:val="20"/>
          <w:szCs w:val="20"/>
          <w:color w:val="828282"/>
        </w:rPr>
        <w:t>Whether or not you expect to attend the meeting, please vote via the Internet or telephone or request a paper proxy card to complete, sign and return by mail so that your shares may be voted. A prompt response is helpful and your cooperation is appreciated.</w:t>
      </w:r>
    </w:p>
    <w:p>
      <w:pPr>
        <w:sectPr>
          <w:pgSz w:w="11900" w:h="16838" w:orient="portrait"/>
          <w:cols w:equalWidth="0" w:num="1">
            <w:col w:w="11420"/>
          </w:cols>
          <w:pgMar w:left="240" w:top="1362" w:right="239" w:bottom="1440" w:gutter="0" w:footer="0" w:header="0"/>
        </w:sectPr>
      </w:pPr>
    </w:p>
    <w:bookmarkStart w:id="3" w:name="page4"/>
    <w:bookmarkEnd w:id="3"/>
    <w:p>
      <w:pPr>
        <w:spacing w:after="0"/>
        <w:rPr>
          <w:rFonts w:ascii="Arial" w:cs="Arial" w:eastAsia="Arial" w:hAnsi="Arial"/>
          <w:sz w:val="15"/>
          <w:szCs w:val="15"/>
          <w:u w:val="single" w:color="auto"/>
          <w:color w:val="0000EE"/>
        </w:rPr>
      </w:pPr>
      <w:r>
        <w:rPr>
          <w:rFonts w:ascii="Arial" w:cs="Arial" w:eastAsia="Arial" w:hAnsi="Arial"/>
          <w:sz w:val="15"/>
          <w:szCs w:val="15"/>
          <w:u w:val="single" w:color="auto"/>
          <w:color w:val="0000EE"/>
        </w:rPr>
        <w:drawing>
          <wp:anchor simplePos="0" relativeHeight="251657728" behindDoc="1" locked="0" layoutInCell="0" allowOverlap="1">
            <wp:simplePos x="0" y="0"/>
            <wp:positionH relativeFrom="page">
              <wp:posOffset>5946140</wp:posOffset>
            </wp:positionH>
            <wp:positionV relativeFrom="page">
              <wp:posOffset>191770</wp:posOffset>
            </wp:positionV>
            <wp:extent cx="1440815" cy="20574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clrChange>
                        <a:clrFrom>
                          <a:srgbClr val="FFFFFF"/>
                        </a:clrFrom>
                        <a:clrTo>
                          <a:srgbClr val="FFFFFF">
                            <a:alpha val="0"/>
                          </a:srgbClr>
                        </a:clrTo>
                      </a:clrChange>
                      <a:extLst>
                        <a:ext uri="{28A0092B-C50C-407E-A947-70E740481C1C}"/>
                      </a:extLst>
                    </a:blip>
                    <a:srcRect/>
                    <a:stretch>
                      <a:fillRect/>
                    </a:stretch>
                  </pic:blipFill>
                  <pic:spPr bwMode="auto">
                    <a:xfrm>
                      <a:off x="0" y="0"/>
                      <a:ext cx="1440815" cy="205740"/>
                    </a:xfrm>
                    <a:prstGeom prst="rect">
                      <a:avLst/>
                    </a:prstGeom>
                    <a:noFill/>
                  </pic:spPr>
                </pic:pic>
              </a:graphicData>
            </a:graphic>
          </wp:anchor>
        </w:drawing>
      </w:r>
      <w:hyperlink w:anchor="page4">
        <w:r>
          <w:rPr>
            <w:rFonts w:ascii="Arial" w:cs="Arial" w:eastAsia="Arial" w:hAnsi="Arial"/>
            <w:sz w:val="15"/>
            <w:szCs w:val="15"/>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112395</wp:posOffset>
            </wp:positionV>
            <wp:extent cx="724662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60"/>
          </w:cols>
          <w:pgMar w:left="280" w:top="303" w:right="2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center"/>
        <w:ind w:right="20"/>
        <w:spacing w:after="0"/>
        <w:rPr>
          <w:sz w:val="20"/>
          <w:szCs w:val="20"/>
          <w:color w:val="auto"/>
        </w:rPr>
      </w:pPr>
      <w:r>
        <w:rPr>
          <w:rFonts w:ascii="Arial" w:cs="Arial" w:eastAsia="Arial" w:hAnsi="Arial"/>
          <w:sz w:val="29"/>
          <w:szCs w:val="29"/>
          <w:color w:val="BF2115"/>
        </w:rPr>
        <w:t>Table of Contents</w:t>
      </w:r>
    </w:p>
    <w:p>
      <w:pPr>
        <w:spacing w:after="0" w:line="40" w:lineRule="exact"/>
        <w:rPr>
          <w:sz w:val="20"/>
          <w:szCs w:val="20"/>
          <w:color w:val="auto"/>
        </w:rPr>
      </w:pPr>
    </w:p>
    <w:tbl>
      <w:tblPr>
        <w:tblLayout w:type="fixed"/>
        <w:tblInd w:w="20" w:type="dxa"/>
        <w:tblCellMar>
          <w:top w:w="0" w:type="dxa"/>
          <w:left w:w="0" w:type="dxa"/>
          <w:bottom w:w="0" w:type="dxa"/>
          <w:right w:w="0" w:type="dxa"/>
        </w:tblCellMar>
      </w:tblPr>
      <w:tr>
        <w:trPr>
          <w:trHeight w:val="184"/>
        </w:trPr>
        <w:tc>
          <w:tcPr>
            <w:tcW w:w="1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3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20" w:type="dxa"/>
            <w:vAlign w:val="bottom"/>
            <w:gridSpan w:val="4"/>
          </w:tcPr>
          <w:p>
            <w:pPr>
              <w:spacing w:after="0"/>
              <w:rPr>
                <w:sz w:val="20"/>
                <w:szCs w:val="20"/>
                <w:color w:val="auto"/>
              </w:rPr>
            </w:pPr>
            <w:r>
              <w:rPr>
                <w:rFonts w:ascii="Arial" w:cs="Arial" w:eastAsia="Arial" w:hAnsi="Arial"/>
                <w:sz w:val="16"/>
                <w:szCs w:val="16"/>
                <w:color w:val="auto"/>
              </w:rPr>
              <w:t>Page</w:t>
            </w:r>
          </w:p>
        </w:tc>
        <w:tc>
          <w:tcPr>
            <w:tcW w:w="0" w:type="dxa"/>
            <w:vAlign w:val="bottom"/>
          </w:tcPr>
          <w:p>
            <w:pPr>
              <w:spacing w:after="0"/>
              <w:rPr>
                <w:sz w:val="1"/>
                <w:szCs w:val="1"/>
                <w:color w:val="auto"/>
              </w:rPr>
            </w:pPr>
          </w:p>
        </w:tc>
      </w:tr>
      <w:tr>
        <w:trPr>
          <w:trHeight w:val="196"/>
        </w:trPr>
        <w:tc>
          <w:tcPr>
            <w:tcW w:w="10660" w:type="dxa"/>
            <w:vAlign w:val="bottom"/>
            <w:gridSpan w:val="23"/>
            <w:vMerge w:val="restart"/>
          </w:tcPr>
          <w:p>
            <w:pPr>
              <w:spacing w:after="0"/>
              <w:rPr>
                <w:rFonts w:ascii="Arial" w:cs="Arial" w:eastAsia="Arial" w:hAnsi="Arial"/>
                <w:sz w:val="16"/>
                <w:szCs w:val="16"/>
                <w:b w:val="1"/>
                <w:bCs w:val="1"/>
                <w:color w:val="828282"/>
              </w:rPr>
            </w:pPr>
            <w:hyperlink w:anchor="page5">
              <w:r>
                <w:rPr>
                  <w:rFonts w:ascii="Arial" w:cs="Arial" w:eastAsia="Arial" w:hAnsi="Arial"/>
                  <w:sz w:val="16"/>
                  <w:szCs w:val="16"/>
                  <w:b w:val="1"/>
                  <w:bCs w:val="1"/>
                  <w:color w:val="828282"/>
                </w:rPr>
                <w:t>FORWARD-LOOKING INFORMATION</w:t>
              </w:r>
            </w:hyperlink>
          </w:p>
        </w:tc>
        <w:tc>
          <w:tcPr>
            <w:tcW w:w="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Borders>
              <w:top w:val="single" w:sz="8" w:color="auto"/>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10660" w:type="dxa"/>
            <w:vAlign w:val="bottom"/>
            <w:gridSpan w:val="23"/>
            <w:vMerge w:val="continue"/>
          </w:tcPr>
          <w:p>
            <w:pPr>
              <w:spacing w:after="0"/>
              <w:rPr>
                <w:sz w:val="16"/>
                <w:szCs w:val="16"/>
                <w:color w:val="auto"/>
              </w:rPr>
            </w:pPr>
          </w:p>
        </w:tc>
        <w:tc>
          <w:tcPr>
            <w:tcW w:w="460" w:type="dxa"/>
            <w:vAlign w:val="bottom"/>
            <w:tcBorders>
              <w:right w:val="single" w:sz="8" w:color="BF2115"/>
            </w:tcBorders>
            <w:gridSpan w:val="4"/>
            <w:shd w:val="clear" w:color="auto" w:fill="BF2115"/>
          </w:tcPr>
          <w:p>
            <w:pPr>
              <w:jc w:val="center"/>
              <w:ind w:left="139"/>
              <w:spacing w:after="0"/>
              <w:rPr>
                <w:rFonts w:ascii="Arial" w:cs="Arial" w:eastAsia="Arial" w:hAnsi="Arial"/>
                <w:sz w:val="16"/>
                <w:szCs w:val="16"/>
                <w:color w:val="ACACAC"/>
                <w:w w:val="89"/>
              </w:rPr>
            </w:pPr>
            <w:hyperlink w:anchor="page5">
              <w:r>
                <w:rPr>
                  <w:rFonts w:ascii="Arial" w:cs="Arial" w:eastAsia="Arial" w:hAnsi="Arial"/>
                  <w:sz w:val="16"/>
                  <w:szCs w:val="16"/>
                  <w:color w:val="ACACAC"/>
                  <w:w w:val="89"/>
                </w:rPr>
                <w:t>1</w:t>
              </w:r>
            </w:hyperlink>
          </w:p>
        </w:tc>
        <w:tc>
          <w:tcPr>
            <w:tcW w:w="180" w:type="dxa"/>
            <w:vAlign w:val="bottom"/>
            <w:shd w:val="clear" w:color="auto" w:fill="BF2115"/>
          </w:tcPr>
          <w:p>
            <w:pPr>
              <w:spacing w:after="0"/>
              <w:rPr>
                <w:sz w:val="16"/>
                <w:szCs w:val="16"/>
                <w:color w:val="auto"/>
              </w:rPr>
            </w:pPr>
          </w:p>
        </w:tc>
        <w:tc>
          <w:tcPr>
            <w:tcW w:w="40" w:type="dxa"/>
            <w:vAlign w:val="bottom"/>
            <w:shd w:val="clear" w:color="auto" w:fill="BF2115"/>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180" w:type="dxa"/>
            <w:vAlign w:val="bottom"/>
            <w:shd w:val="clear" w:color="auto" w:fill="828282"/>
          </w:tcPr>
          <w:p>
            <w:pPr>
              <w:spacing w:after="0" w:line="20" w:lineRule="exact"/>
              <w:rPr>
                <w:sz w:val="1"/>
                <w:szCs w:val="1"/>
                <w:color w:val="auto"/>
              </w:rPr>
            </w:pPr>
          </w:p>
        </w:tc>
        <w:tc>
          <w:tcPr>
            <w:tcW w:w="20" w:type="dxa"/>
            <w:vAlign w:val="bottom"/>
            <w:shd w:val="clear" w:color="auto" w:fill="828282"/>
          </w:tcPr>
          <w:p>
            <w:pPr>
              <w:spacing w:after="0" w:line="20" w:lineRule="exact"/>
              <w:rPr>
                <w:sz w:val="1"/>
                <w:szCs w:val="1"/>
                <w:color w:val="auto"/>
              </w:rPr>
            </w:pPr>
          </w:p>
        </w:tc>
        <w:tc>
          <w:tcPr>
            <w:tcW w:w="600" w:type="dxa"/>
            <w:vAlign w:val="bottom"/>
            <w:shd w:val="clear" w:color="auto" w:fill="828282"/>
          </w:tcPr>
          <w:p>
            <w:pPr>
              <w:spacing w:after="0" w:line="20" w:lineRule="exact"/>
              <w:rPr>
                <w:sz w:val="1"/>
                <w:szCs w:val="1"/>
                <w:color w:val="auto"/>
              </w:rPr>
            </w:pPr>
          </w:p>
        </w:tc>
        <w:tc>
          <w:tcPr>
            <w:tcW w:w="560" w:type="dxa"/>
            <w:vAlign w:val="bottom"/>
            <w:shd w:val="clear" w:color="auto" w:fill="828282"/>
          </w:tcPr>
          <w:p>
            <w:pPr>
              <w:spacing w:after="0" w:line="20" w:lineRule="exact"/>
              <w:rPr>
                <w:sz w:val="1"/>
                <w:szCs w:val="1"/>
                <w:color w:val="auto"/>
              </w:rPr>
            </w:pPr>
          </w:p>
        </w:tc>
        <w:tc>
          <w:tcPr>
            <w:tcW w:w="20" w:type="dxa"/>
            <w:vAlign w:val="bottom"/>
            <w:shd w:val="clear" w:color="auto" w:fill="828282"/>
          </w:tcPr>
          <w:p>
            <w:pPr>
              <w:spacing w:after="0" w:line="20" w:lineRule="exact"/>
              <w:rPr>
                <w:sz w:val="1"/>
                <w:szCs w:val="1"/>
                <w:color w:val="auto"/>
              </w:rPr>
            </w:pPr>
          </w:p>
        </w:tc>
        <w:tc>
          <w:tcPr>
            <w:tcW w:w="200" w:type="dxa"/>
            <w:vAlign w:val="bottom"/>
            <w:shd w:val="clear" w:color="auto" w:fill="828282"/>
          </w:tcPr>
          <w:p>
            <w:pPr>
              <w:spacing w:after="0" w:line="20" w:lineRule="exact"/>
              <w:rPr>
                <w:sz w:val="1"/>
                <w:szCs w:val="1"/>
                <w:color w:val="auto"/>
              </w:rPr>
            </w:pPr>
          </w:p>
        </w:tc>
        <w:tc>
          <w:tcPr>
            <w:tcW w:w="640" w:type="dxa"/>
            <w:vAlign w:val="bottom"/>
            <w:tcBorders>
              <w:right w:val="single" w:sz="8" w:color="828282"/>
            </w:tcBorders>
            <w:shd w:val="clear" w:color="auto" w:fill="828282"/>
          </w:tcPr>
          <w:p>
            <w:pPr>
              <w:spacing w:after="0" w:line="20" w:lineRule="exact"/>
              <w:rPr>
                <w:sz w:val="1"/>
                <w:szCs w:val="1"/>
                <w:color w:val="auto"/>
              </w:rPr>
            </w:pPr>
          </w:p>
        </w:tc>
        <w:tc>
          <w:tcPr>
            <w:tcW w:w="60" w:type="dxa"/>
            <w:vAlign w:val="bottom"/>
            <w:tcBorders>
              <w:left w:val="single" w:sz="8" w:color="828282"/>
            </w:tcBorders>
            <w:shd w:val="clear" w:color="auto" w:fill="828282"/>
          </w:tcPr>
          <w:p>
            <w:pPr>
              <w:spacing w:after="0" w:line="20" w:lineRule="exact"/>
              <w:rPr>
                <w:sz w:val="1"/>
                <w:szCs w:val="1"/>
                <w:color w:val="auto"/>
              </w:rPr>
            </w:pPr>
          </w:p>
        </w:tc>
        <w:tc>
          <w:tcPr>
            <w:tcW w:w="380" w:type="dxa"/>
            <w:vAlign w:val="bottom"/>
            <w:shd w:val="clear" w:color="auto" w:fill="828282"/>
          </w:tcPr>
          <w:p>
            <w:pPr>
              <w:spacing w:after="0" w:line="20" w:lineRule="exact"/>
              <w:rPr>
                <w:sz w:val="1"/>
                <w:szCs w:val="1"/>
                <w:color w:val="auto"/>
              </w:rPr>
            </w:pPr>
          </w:p>
        </w:tc>
        <w:tc>
          <w:tcPr>
            <w:tcW w:w="160" w:type="dxa"/>
            <w:vAlign w:val="bottom"/>
            <w:shd w:val="clear" w:color="auto" w:fill="82828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3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Borders>
              <w:right w:val="single" w:sz="8" w:color="BF2115"/>
            </w:tcBorders>
            <w:shd w:val="clear" w:color="auto" w:fill="BF2115"/>
          </w:tcPr>
          <w:p>
            <w:pPr>
              <w:spacing w:after="0" w:line="20" w:lineRule="exact"/>
              <w:rPr>
                <w:sz w:val="1"/>
                <w:szCs w:val="1"/>
                <w:color w:val="auto"/>
              </w:rPr>
            </w:pPr>
          </w:p>
        </w:tc>
        <w:tc>
          <w:tcPr>
            <w:tcW w:w="60" w:type="dxa"/>
            <w:vAlign w:val="bottom"/>
            <w:gridSpan w:val="2"/>
            <w:shd w:val="clear" w:color="auto" w:fill="BF2115"/>
          </w:tcPr>
          <w:p>
            <w:pPr>
              <w:spacing w:after="0" w:line="20" w:lineRule="exact"/>
              <w:rPr>
                <w:sz w:val="1"/>
                <w:szCs w:val="1"/>
                <w:color w:val="auto"/>
              </w:rPr>
            </w:pPr>
          </w:p>
        </w:tc>
        <w:tc>
          <w:tcPr>
            <w:tcW w:w="160" w:type="dxa"/>
            <w:vAlign w:val="bottom"/>
            <w:tcBorders>
              <w:right w:val="single" w:sz="8" w:color="BF2115"/>
            </w:tcBorders>
            <w:shd w:val="clear" w:color="auto" w:fill="ACACAC"/>
          </w:tcPr>
          <w:p>
            <w:pPr>
              <w:spacing w:after="0" w:line="20" w:lineRule="exact"/>
              <w:rPr>
                <w:sz w:val="1"/>
                <w:szCs w:val="1"/>
                <w:color w:val="auto"/>
              </w:rPr>
            </w:pPr>
          </w:p>
        </w:tc>
        <w:tc>
          <w:tcPr>
            <w:tcW w:w="180" w:type="dxa"/>
            <w:vAlign w:val="bottom"/>
            <w:shd w:val="clear" w:color="auto" w:fill="BF2115"/>
          </w:tcPr>
          <w:p>
            <w:pPr>
              <w:spacing w:after="0" w:line="20" w:lineRule="exact"/>
              <w:rPr>
                <w:sz w:val="1"/>
                <w:szCs w:val="1"/>
                <w:color w:val="auto"/>
              </w:rPr>
            </w:pPr>
          </w:p>
        </w:tc>
        <w:tc>
          <w:tcPr>
            <w:tcW w:w="40" w:type="dxa"/>
            <w:vAlign w:val="bottom"/>
            <w:shd w:val="clear" w:color="auto" w:fill="BF2115"/>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820" w:type="dxa"/>
            <w:vAlign w:val="bottom"/>
            <w:gridSpan w:val="10"/>
          </w:tcPr>
          <w:p>
            <w:pPr>
              <w:spacing w:after="0"/>
              <w:rPr>
                <w:rFonts w:ascii="Arial" w:cs="Arial" w:eastAsia="Arial" w:hAnsi="Arial"/>
                <w:sz w:val="16"/>
                <w:szCs w:val="16"/>
                <w:b w:val="1"/>
                <w:bCs w:val="1"/>
                <w:color w:val="828282"/>
              </w:rPr>
            </w:pPr>
            <w:hyperlink w:anchor="page5">
              <w:r>
                <w:rPr>
                  <w:rFonts w:ascii="Arial" w:cs="Arial" w:eastAsia="Arial" w:hAnsi="Arial"/>
                  <w:sz w:val="16"/>
                  <w:szCs w:val="16"/>
                  <w:b w:val="1"/>
                  <w:bCs w:val="1"/>
                  <w:color w:val="828282"/>
                </w:rPr>
                <w:t>PROXY STATEMENT</w:t>
              </w:r>
            </w:hyperlink>
          </w:p>
        </w:tc>
        <w:tc>
          <w:tcPr>
            <w:tcW w:w="7840" w:type="dxa"/>
            <w:vAlign w:val="bottom"/>
            <w:gridSpan w:val="13"/>
          </w:tcPr>
          <w:p>
            <w:pPr>
              <w:spacing w:after="0"/>
              <w:rPr>
                <w:sz w:val="19"/>
                <w:szCs w:val="19"/>
                <w:color w:val="auto"/>
              </w:rPr>
            </w:pPr>
          </w:p>
        </w:tc>
        <w:tc>
          <w:tcPr>
            <w:tcW w:w="460" w:type="dxa"/>
            <w:vAlign w:val="bottom"/>
            <w:tcBorders>
              <w:right w:val="single" w:sz="8" w:color="BF2115"/>
            </w:tcBorders>
            <w:gridSpan w:val="4"/>
            <w:shd w:val="clear" w:color="auto" w:fill="BF2115"/>
          </w:tcPr>
          <w:p>
            <w:pPr>
              <w:jc w:val="center"/>
              <w:ind w:left="139"/>
              <w:spacing w:after="0"/>
              <w:rPr>
                <w:rFonts w:ascii="Arial" w:cs="Arial" w:eastAsia="Arial" w:hAnsi="Arial"/>
                <w:sz w:val="16"/>
                <w:szCs w:val="16"/>
                <w:color w:val="ACACAC"/>
                <w:w w:val="89"/>
              </w:rPr>
            </w:pPr>
            <w:hyperlink w:anchor="page5">
              <w:r>
                <w:rPr>
                  <w:rFonts w:ascii="Arial" w:cs="Arial" w:eastAsia="Arial" w:hAnsi="Arial"/>
                  <w:sz w:val="16"/>
                  <w:szCs w:val="16"/>
                  <w:color w:val="ACACAC"/>
                  <w:w w:val="89"/>
                </w:rPr>
                <w:t>1</w:t>
              </w:r>
            </w:hyperlink>
          </w:p>
        </w:tc>
        <w:tc>
          <w:tcPr>
            <w:tcW w:w="180" w:type="dxa"/>
            <w:vAlign w:val="bottom"/>
            <w:shd w:val="clear" w:color="auto" w:fill="BF2115"/>
          </w:tcPr>
          <w:p>
            <w:pPr>
              <w:spacing w:after="0"/>
              <w:rPr>
                <w:sz w:val="19"/>
                <w:szCs w:val="19"/>
                <w:color w:val="auto"/>
              </w:rPr>
            </w:pPr>
          </w:p>
        </w:tc>
        <w:tc>
          <w:tcPr>
            <w:tcW w:w="40" w:type="dxa"/>
            <w:vAlign w:val="bottom"/>
            <w:shd w:val="clear" w:color="auto" w:fill="BF2115"/>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80" w:type="dxa"/>
            <w:vAlign w:val="bottom"/>
            <w:shd w:val="clear" w:color="auto" w:fill="828282"/>
          </w:tcPr>
          <w:p>
            <w:pPr>
              <w:spacing w:after="0" w:line="20" w:lineRule="exact"/>
              <w:rPr>
                <w:sz w:val="1"/>
                <w:szCs w:val="1"/>
                <w:color w:val="auto"/>
              </w:rPr>
            </w:pPr>
          </w:p>
        </w:tc>
        <w:tc>
          <w:tcPr>
            <w:tcW w:w="20" w:type="dxa"/>
            <w:vAlign w:val="bottom"/>
            <w:shd w:val="clear" w:color="auto" w:fill="828282"/>
          </w:tcPr>
          <w:p>
            <w:pPr>
              <w:spacing w:after="0" w:line="20" w:lineRule="exact"/>
              <w:rPr>
                <w:sz w:val="1"/>
                <w:szCs w:val="1"/>
                <w:color w:val="auto"/>
              </w:rPr>
            </w:pPr>
          </w:p>
        </w:tc>
        <w:tc>
          <w:tcPr>
            <w:tcW w:w="600" w:type="dxa"/>
            <w:vAlign w:val="bottom"/>
            <w:shd w:val="clear" w:color="auto" w:fill="828282"/>
          </w:tcPr>
          <w:p>
            <w:pPr>
              <w:spacing w:after="0" w:line="20" w:lineRule="exact"/>
              <w:rPr>
                <w:sz w:val="1"/>
                <w:szCs w:val="1"/>
                <w:color w:val="auto"/>
              </w:rPr>
            </w:pPr>
          </w:p>
        </w:tc>
        <w:tc>
          <w:tcPr>
            <w:tcW w:w="560" w:type="dxa"/>
            <w:vAlign w:val="bottom"/>
            <w:shd w:val="clear" w:color="auto" w:fill="828282"/>
          </w:tcPr>
          <w:p>
            <w:pPr>
              <w:spacing w:after="0" w:line="20" w:lineRule="exact"/>
              <w:rPr>
                <w:sz w:val="1"/>
                <w:szCs w:val="1"/>
                <w:color w:val="auto"/>
              </w:rPr>
            </w:pPr>
          </w:p>
        </w:tc>
        <w:tc>
          <w:tcPr>
            <w:tcW w:w="20" w:type="dxa"/>
            <w:vAlign w:val="bottom"/>
            <w:shd w:val="clear" w:color="auto" w:fill="828282"/>
          </w:tcPr>
          <w:p>
            <w:pPr>
              <w:spacing w:after="0" w:line="20" w:lineRule="exact"/>
              <w:rPr>
                <w:sz w:val="1"/>
                <w:szCs w:val="1"/>
                <w:color w:val="auto"/>
              </w:rPr>
            </w:pPr>
          </w:p>
        </w:tc>
        <w:tc>
          <w:tcPr>
            <w:tcW w:w="200" w:type="dxa"/>
            <w:vAlign w:val="bottom"/>
            <w:shd w:val="clear" w:color="auto" w:fill="828282"/>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3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Borders>
              <w:right w:val="single" w:sz="8" w:color="BF2115"/>
            </w:tcBorders>
            <w:shd w:val="clear" w:color="auto" w:fill="BF2115"/>
          </w:tcPr>
          <w:p>
            <w:pPr>
              <w:spacing w:after="0" w:line="20" w:lineRule="exact"/>
              <w:rPr>
                <w:sz w:val="1"/>
                <w:szCs w:val="1"/>
                <w:color w:val="auto"/>
              </w:rPr>
            </w:pPr>
          </w:p>
        </w:tc>
        <w:tc>
          <w:tcPr>
            <w:tcW w:w="60" w:type="dxa"/>
            <w:vAlign w:val="bottom"/>
            <w:gridSpan w:val="2"/>
            <w:shd w:val="clear" w:color="auto" w:fill="BF2115"/>
          </w:tcPr>
          <w:p>
            <w:pPr>
              <w:spacing w:after="0" w:line="20" w:lineRule="exact"/>
              <w:rPr>
                <w:sz w:val="1"/>
                <w:szCs w:val="1"/>
                <w:color w:val="auto"/>
              </w:rPr>
            </w:pPr>
          </w:p>
        </w:tc>
        <w:tc>
          <w:tcPr>
            <w:tcW w:w="160" w:type="dxa"/>
            <w:vAlign w:val="bottom"/>
            <w:tcBorders>
              <w:right w:val="single" w:sz="8" w:color="BF2115"/>
            </w:tcBorders>
            <w:shd w:val="clear" w:color="auto" w:fill="ACACAC"/>
          </w:tcPr>
          <w:p>
            <w:pPr>
              <w:spacing w:after="0" w:line="20" w:lineRule="exact"/>
              <w:rPr>
                <w:sz w:val="1"/>
                <w:szCs w:val="1"/>
                <w:color w:val="auto"/>
              </w:rPr>
            </w:pPr>
          </w:p>
        </w:tc>
        <w:tc>
          <w:tcPr>
            <w:tcW w:w="180" w:type="dxa"/>
            <w:vAlign w:val="bottom"/>
            <w:shd w:val="clear" w:color="auto" w:fill="BF2115"/>
          </w:tcPr>
          <w:p>
            <w:pPr>
              <w:spacing w:after="0" w:line="20" w:lineRule="exact"/>
              <w:rPr>
                <w:sz w:val="1"/>
                <w:szCs w:val="1"/>
                <w:color w:val="auto"/>
              </w:rPr>
            </w:pPr>
          </w:p>
        </w:tc>
        <w:tc>
          <w:tcPr>
            <w:tcW w:w="40" w:type="dxa"/>
            <w:vAlign w:val="bottom"/>
            <w:shd w:val="clear" w:color="auto" w:fill="BF2115"/>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10660" w:type="dxa"/>
            <w:vAlign w:val="bottom"/>
            <w:gridSpan w:val="23"/>
          </w:tcPr>
          <w:p>
            <w:pPr>
              <w:spacing w:after="0"/>
              <w:rPr>
                <w:rFonts w:ascii="Arial" w:cs="Arial" w:eastAsia="Arial" w:hAnsi="Arial"/>
                <w:sz w:val="16"/>
                <w:szCs w:val="16"/>
                <w:b w:val="1"/>
                <w:bCs w:val="1"/>
                <w:color w:val="828282"/>
              </w:rPr>
            </w:pPr>
            <w:hyperlink w:anchor="page6">
              <w:r>
                <w:rPr>
                  <w:rFonts w:ascii="Arial" w:cs="Arial" w:eastAsia="Arial" w:hAnsi="Arial"/>
                  <w:sz w:val="16"/>
                  <w:szCs w:val="16"/>
                  <w:b w:val="1"/>
                  <w:bCs w:val="1"/>
                  <w:color w:val="828282"/>
                </w:rPr>
                <w:t>VOTING SECURITIES AND PRINCIPAL HOLDERS THEREOF</w:t>
              </w:r>
            </w:hyperlink>
          </w:p>
        </w:tc>
        <w:tc>
          <w:tcPr>
            <w:tcW w:w="460" w:type="dxa"/>
            <w:vAlign w:val="bottom"/>
            <w:tcBorders>
              <w:right w:val="single" w:sz="8" w:color="BF2115"/>
            </w:tcBorders>
            <w:gridSpan w:val="4"/>
            <w:shd w:val="clear" w:color="auto" w:fill="BF2115"/>
          </w:tcPr>
          <w:p>
            <w:pPr>
              <w:jc w:val="center"/>
              <w:ind w:left="139"/>
              <w:spacing w:after="0"/>
              <w:rPr>
                <w:rFonts w:ascii="Arial" w:cs="Arial" w:eastAsia="Arial" w:hAnsi="Arial"/>
                <w:sz w:val="16"/>
                <w:szCs w:val="16"/>
                <w:color w:val="ACACAC"/>
                <w:w w:val="89"/>
              </w:rPr>
            </w:pPr>
            <w:hyperlink w:anchor="page6">
              <w:r>
                <w:rPr>
                  <w:rFonts w:ascii="Arial" w:cs="Arial" w:eastAsia="Arial" w:hAnsi="Arial"/>
                  <w:sz w:val="16"/>
                  <w:szCs w:val="16"/>
                  <w:color w:val="ACACAC"/>
                  <w:w w:val="89"/>
                </w:rPr>
                <w:t>2</w:t>
              </w:r>
            </w:hyperlink>
          </w:p>
        </w:tc>
        <w:tc>
          <w:tcPr>
            <w:tcW w:w="180" w:type="dxa"/>
            <w:vAlign w:val="bottom"/>
            <w:shd w:val="clear" w:color="auto" w:fill="BF2115"/>
          </w:tcPr>
          <w:p>
            <w:pPr>
              <w:spacing w:after="0"/>
              <w:rPr>
                <w:sz w:val="19"/>
                <w:szCs w:val="19"/>
                <w:color w:val="auto"/>
              </w:rPr>
            </w:pPr>
          </w:p>
        </w:tc>
        <w:tc>
          <w:tcPr>
            <w:tcW w:w="40" w:type="dxa"/>
            <w:vAlign w:val="bottom"/>
            <w:shd w:val="clear" w:color="auto" w:fill="BF2115"/>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80" w:type="dxa"/>
            <w:vAlign w:val="bottom"/>
            <w:shd w:val="clear" w:color="auto" w:fill="828282"/>
          </w:tcPr>
          <w:p>
            <w:pPr>
              <w:spacing w:after="0" w:line="20" w:lineRule="exact"/>
              <w:rPr>
                <w:sz w:val="1"/>
                <w:szCs w:val="1"/>
                <w:color w:val="auto"/>
              </w:rPr>
            </w:pPr>
          </w:p>
        </w:tc>
        <w:tc>
          <w:tcPr>
            <w:tcW w:w="20" w:type="dxa"/>
            <w:vAlign w:val="bottom"/>
            <w:shd w:val="clear" w:color="auto" w:fill="828282"/>
          </w:tcPr>
          <w:p>
            <w:pPr>
              <w:spacing w:after="0" w:line="20" w:lineRule="exact"/>
              <w:rPr>
                <w:sz w:val="1"/>
                <w:szCs w:val="1"/>
                <w:color w:val="auto"/>
              </w:rPr>
            </w:pPr>
          </w:p>
        </w:tc>
        <w:tc>
          <w:tcPr>
            <w:tcW w:w="600" w:type="dxa"/>
            <w:vAlign w:val="bottom"/>
            <w:shd w:val="clear" w:color="auto" w:fill="828282"/>
          </w:tcPr>
          <w:p>
            <w:pPr>
              <w:spacing w:after="0" w:line="20" w:lineRule="exact"/>
              <w:rPr>
                <w:sz w:val="1"/>
                <w:szCs w:val="1"/>
                <w:color w:val="auto"/>
              </w:rPr>
            </w:pPr>
          </w:p>
        </w:tc>
        <w:tc>
          <w:tcPr>
            <w:tcW w:w="560" w:type="dxa"/>
            <w:vAlign w:val="bottom"/>
            <w:shd w:val="clear" w:color="auto" w:fill="828282"/>
          </w:tcPr>
          <w:p>
            <w:pPr>
              <w:spacing w:after="0" w:line="20" w:lineRule="exact"/>
              <w:rPr>
                <w:sz w:val="1"/>
                <w:szCs w:val="1"/>
                <w:color w:val="auto"/>
              </w:rPr>
            </w:pPr>
          </w:p>
        </w:tc>
        <w:tc>
          <w:tcPr>
            <w:tcW w:w="20" w:type="dxa"/>
            <w:vAlign w:val="bottom"/>
            <w:shd w:val="clear" w:color="auto" w:fill="828282"/>
          </w:tcPr>
          <w:p>
            <w:pPr>
              <w:spacing w:after="0" w:line="20" w:lineRule="exact"/>
              <w:rPr>
                <w:sz w:val="1"/>
                <w:szCs w:val="1"/>
                <w:color w:val="auto"/>
              </w:rPr>
            </w:pPr>
          </w:p>
        </w:tc>
        <w:tc>
          <w:tcPr>
            <w:tcW w:w="840" w:type="dxa"/>
            <w:vAlign w:val="bottom"/>
            <w:tcBorders>
              <w:right w:val="single" w:sz="8" w:color="828282"/>
            </w:tcBorders>
            <w:gridSpan w:val="2"/>
            <w:shd w:val="clear" w:color="auto" w:fill="828282"/>
          </w:tcPr>
          <w:p>
            <w:pPr>
              <w:spacing w:after="0" w:line="20" w:lineRule="exact"/>
              <w:rPr>
                <w:sz w:val="1"/>
                <w:szCs w:val="1"/>
                <w:color w:val="auto"/>
              </w:rPr>
            </w:pPr>
          </w:p>
        </w:tc>
        <w:tc>
          <w:tcPr>
            <w:tcW w:w="60" w:type="dxa"/>
            <w:vAlign w:val="bottom"/>
            <w:tcBorders>
              <w:left w:val="single" w:sz="8" w:color="828282"/>
            </w:tcBorders>
            <w:shd w:val="clear" w:color="auto" w:fill="828282"/>
          </w:tcPr>
          <w:p>
            <w:pPr>
              <w:spacing w:after="0" w:line="20" w:lineRule="exact"/>
              <w:rPr>
                <w:sz w:val="1"/>
                <w:szCs w:val="1"/>
                <w:color w:val="auto"/>
              </w:rPr>
            </w:pPr>
          </w:p>
        </w:tc>
        <w:tc>
          <w:tcPr>
            <w:tcW w:w="380" w:type="dxa"/>
            <w:vAlign w:val="bottom"/>
            <w:shd w:val="clear" w:color="auto" w:fill="828282"/>
          </w:tcPr>
          <w:p>
            <w:pPr>
              <w:spacing w:after="0" w:line="20" w:lineRule="exact"/>
              <w:rPr>
                <w:sz w:val="1"/>
                <w:szCs w:val="1"/>
                <w:color w:val="auto"/>
              </w:rPr>
            </w:pPr>
          </w:p>
        </w:tc>
        <w:tc>
          <w:tcPr>
            <w:tcW w:w="220" w:type="dxa"/>
            <w:vAlign w:val="bottom"/>
            <w:gridSpan w:val="2"/>
            <w:shd w:val="clear" w:color="auto" w:fill="828282"/>
          </w:tcPr>
          <w:p>
            <w:pPr>
              <w:spacing w:after="0" w:line="20" w:lineRule="exact"/>
              <w:rPr>
                <w:sz w:val="1"/>
                <w:szCs w:val="1"/>
                <w:color w:val="auto"/>
              </w:rPr>
            </w:pPr>
          </w:p>
        </w:tc>
        <w:tc>
          <w:tcPr>
            <w:tcW w:w="180" w:type="dxa"/>
            <w:vAlign w:val="bottom"/>
            <w:shd w:val="clear" w:color="auto" w:fill="828282"/>
          </w:tcPr>
          <w:p>
            <w:pPr>
              <w:spacing w:after="0" w:line="20" w:lineRule="exact"/>
              <w:rPr>
                <w:sz w:val="1"/>
                <w:szCs w:val="1"/>
                <w:color w:val="auto"/>
              </w:rPr>
            </w:pPr>
          </w:p>
        </w:tc>
        <w:tc>
          <w:tcPr>
            <w:tcW w:w="220" w:type="dxa"/>
            <w:vAlign w:val="bottom"/>
            <w:shd w:val="clear" w:color="auto" w:fill="828282"/>
          </w:tcPr>
          <w:p>
            <w:pPr>
              <w:spacing w:after="0" w:line="20" w:lineRule="exact"/>
              <w:rPr>
                <w:sz w:val="1"/>
                <w:szCs w:val="1"/>
                <w:color w:val="auto"/>
              </w:rPr>
            </w:pPr>
          </w:p>
        </w:tc>
        <w:tc>
          <w:tcPr>
            <w:tcW w:w="420" w:type="dxa"/>
            <w:vAlign w:val="bottom"/>
            <w:shd w:val="clear" w:color="auto" w:fill="828282"/>
          </w:tcPr>
          <w:p>
            <w:pPr>
              <w:spacing w:after="0" w:line="20" w:lineRule="exact"/>
              <w:rPr>
                <w:sz w:val="1"/>
                <w:szCs w:val="1"/>
                <w:color w:val="auto"/>
              </w:rPr>
            </w:pPr>
          </w:p>
        </w:tc>
        <w:tc>
          <w:tcPr>
            <w:tcW w:w="120" w:type="dxa"/>
            <w:vAlign w:val="bottom"/>
            <w:shd w:val="clear" w:color="auto" w:fill="828282"/>
          </w:tcPr>
          <w:p>
            <w:pPr>
              <w:spacing w:after="0" w:line="20" w:lineRule="exact"/>
              <w:rPr>
                <w:sz w:val="1"/>
                <w:szCs w:val="1"/>
                <w:color w:val="auto"/>
              </w:rPr>
            </w:pPr>
          </w:p>
        </w:tc>
        <w:tc>
          <w:tcPr>
            <w:tcW w:w="20" w:type="dxa"/>
            <w:vAlign w:val="bottom"/>
            <w:shd w:val="clear" w:color="auto" w:fill="828282"/>
          </w:tcPr>
          <w:p>
            <w:pPr>
              <w:spacing w:after="0" w:line="20" w:lineRule="exact"/>
              <w:rPr>
                <w:sz w:val="1"/>
                <w:szCs w:val="1"/>
                <w:color w:val="auto"/>
              </w:rPr>
            </w:pPr>
          </w:p>
        </w:tc>
        <w:tc>
          <w:tcPr>
            <w:tcW w:w="760" w:type="dxa"/>
            <w:vAlign w:val="bottom"/>
            <w:shd w:val="clear" w:color="auto" w:fill="82828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3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Borders>
              <w:right w:val="single" w:sz="8" w:color="BF2115"/>
            </w:tcBorders>
            <w:shd w:val="clear" w:color="auto" w:fill="BF2115"/>
          </w:tcPr>
          <w:p>
            <w:pPr>
              <w:spacing w:after="0" w:line="20" w:lineRule="exact"/>
              <w:rPr>
                <w:sz w:val="1"/>
                <w:szCs w:val="1"/>
                <w:color w:val="auto"/>
              </w:rPr>
            </w:pPr>
          </w:p>
        </w:tc>
        <w:tc>
          <w:tcPr>
            <w:tcW w:w="60" w:type="dxa"/>
            <w:vAlign w:val="bottom"/>
            <w:gridSpan w:val="2"/>
            <w:shd w:val="clear" w:color="auto" w:fill="BF2115"/>
          </w:tcPr>
          <w:p>
            <w:pPr>
              <w:spacing w:after="0" w:line="20" w:lineRule="exact"/>
              <w:rPr>
                <w:sz w:val="1"/>
                <w:szCs w:val="1"/>
                <w:color w:val="auto"/>
              </w:rPr>
            </w:pPr>
          </w:p>
        </w:tc>
        <w:tc>
          <w:tcPr>
            <w:tcW w:w="160" w:type="dxa"/>
            <w:vAlign w:val="bottom"/>
            <w:tcBorders>
              <w:right w:val="single" w:sz="8" w:color="BF2115"/>
            </w:tcBorders>
            <w:shd w:val="clear" w:color="auto" w:fill="ACACAC"/>
          </w:tcPr>
          <w:p>
            <w:pPr>
              <w:spacing w:after="0" w:line="20" w:lineRule="exact"/>
              <w:rPr>
                <w:sz w:val="1"/>
                <w:szCs w:val="1"/>
                <w:color w:val="auto"/>
              </w:rPr>
            </w:pPr>
          </w:p>
        </w:tc>
        <w:tc>
          <w:tcPr>
            <w:tcW w:w="180" w:type="dxa"/>
            <w:vAlign w:val="bottom"/>
            <w:shd w:val="clear" w:color="auto" w:fill="BF2115"/>
          </w:tcPr>
          <w:p>
            <w:pPr>
              <w:spacing w:after="0" w:line="20" w:lineRule="exact"/>
              <w:rPr>
                <w:sz w:val="1"/>
                <w:szCs w:val="1"/>
                <w:color w:val="auto"/>
              </w:rPr>
            </w:pPr>
          </w:p>
        </w:tc>
        <w:tc>
          <w:tcPr>
            <w:tcW w:w="40" w:type="dxa"/>
            <w:vAlign w:val="bottom"/>
            <w:shd w:val="clear" w:color="auto" w:fill="BF2115"/>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5360" w:type="dxa"/>
            <w:vAlign w:val="bottom"/>
            <w:gridSpan w:val="19"/>
          </w:tcPr>
          <w:p>
            <w:pPr>
              <w:spacing w:after="0"/>
              <w:rPr>
                <w:rFonts w:ascii="Arial" w:cs="Arial" w:eastAsia="Arial" w:hAnsi="Arial"/>
                <w:sz w:val="16"/>
                <w:szCs w:val="16"/>
                <w:b w:val="1"/>
                <w:bCs w:val="1"/>
                <w:color w:val="828282"/>
              </w:rPr>
            </w:pPr>
            <w:hyperlink w:anchor="page7">
              <w:r>
                <w:rPr>
                  <w:rFonts w:ascii="Arial" w:cs="Arial" w:eastAsia="Arial" w:hAnsi="Arial"/>
                  <w:sz w:val="16"/>
                  <w:szCs w:val="16"/>
                  <w:b w:val="1"/>
                  <w:bCs w:val="1"/>
                  <w:color w:val="828282"/>
                </w:rPr>
                <w:t>SECTION 16(a) BENEFICIAL OWNERSHIP REPORTING COMPLIANCE</w:t>
              </w:r>
            </w:hyperlink>
          </w:p>
        </w:tc>
        <w:tc>
          <w:tcPr>
            <w:tcW w:w="5300" w:type="dxa"/>
            <w:vAlign w:val="bottom"/>
            <w:gridSpan w:val="4"/>
          </w:tcPr>
          <w:p>
            <w:pPr>
              <w:spacing w:after="0"/>
              <w:rPr>
                <w:sz w:val="19"/>
                <w:szCs w:val="19"/>
                <w:color w:val="auto"/>
              </w:rPr>
            </w:pPr>
          </w:p>
        </w:tc>
        <w:tc>
          <w:tcPr>
            <w:tcW w:w="460" w:type="dxa"/>
            <w:vAlign w:val="bottom"/>
            <w:tcBorders>
              <w:right w:val="single" w:sz="8" w:color="BF2115"/>
            </w:tcBorders>
            <w:gridSpan w:val="4"/>
            <w:shd w:val="clear" w:color="auto" w:fill="BF2115"/>
          </w:tcPr>
          <w:p>
            <w:pPr>
              <w:jc w:val="center"/>
              <w:ind w:left="139"/>
              <w:spacing w:after="0"/>
              <w:rPr>
                <w:rFonts w:ascii="Arial" w:cs="Arial" w:eastAsia="Arial" w:hAnsi="Arial"/>
                <w:sz w:val="16"/>
                <w:szCs w:val="16"/>
                <w:color w:val="ACACAC"/>
                <w:w w:val="89"/>
              </w:rPr>
            </w:pPr>
            <w:hyperlink w:anchor="page7">
              <w:r>
                <w:rPr>
                  <w:rFonts w:ascii="Arial" w:cs="Arial" w:eastAsia="Arial" w:hAnsi="Arial"/>
                  <w:sz w:val="16"/>
                  <w:szCs w:val="16"/>
                  <w:color w:val="ACACAC"/>
                  <w:w w:val="89"/>
                </w:rPr>
                <w:t>3</w:t>
              </w:r>
            </w:hyperlink>
          </w:p>
        </w:tc>
        <w:tc>
          <w:tcPr>
            <w:tcW w:w="180" w:type="dxa"/>
            <w:vAlign w:val="bottom"/>
            <w:shd w:val="clear" w:color="auto" w:fill="BF2115"/>
          </w:tcPr>
          <w:p>
            <w:pPr>
              <w:spacing w:after="0"/>
              <w:rPr>
                <w:sz w:val="19"/>
                <w:szCs w:val="19"/>
                <w:color w:val="auto"/>
              </w:rPr>
            </w:pPr>
          </w:p>
        </w:tc>
        <w:tc>
          <w:tcPr>
            <w:tcW w:w="40" w:type="dxa"/>
            <w:vAlign w:val="bottom"/>
            <w:shd w:val="clear" w:color="auto" w:fill="BF2115"/>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80" w:type="dxa"/>
            <w:vAlign w:val="bottom"/>
            <w:shd w:val="clear" w:color="auto" w:fill="828282"/>
          </w:tcPr>
          <w:p>
            <w:pPr>
              <w:spacing w:after="0" w:line="20" w:lineRule="exact"/>
              <w:rPr>
                <w:sz w:val="1"/>
                <w:szCs w:val="1"/>
                <w:color w:val="auto"/>
              </w:rPr>
            </w:pPr>
          </w:p>
        </w:tc>
        <w:tc>
          <w:tcPr>
            <w:tcW w:w="20" w:type="dxa"/>
            <w:vAlign w:val="bottom"/>
            <w:shd w:val="clear" w:color="auto" w:fill="828282"/>
          </w:tcPr>
          <w:p>
            <w:pPr>
              <w:spacing w:after="0" w:line="20" w:lineRule="exact"/>
              <w:rPr>
                <w:sz w:val="1"/>
                <w:szCs w:val="1"/>
                <w:color w:val="auto"/>
              </w:rPr>
            </w:pPr>
          </w:p>
        </w:tc>
        <w:tc>
          <w:tcPr>
            <w:tcW w:w="600" w:type="dxa"/>
            <w:vAlign w:val="bottom"/>
            <w:shd w:val="clear" w:color="auto" w:fill="828282"/>
          </w:tcPr>
          <w:p>
            <w:pPr>
              <w:spacing w:after="0" w:line="20" w:lineRule="exact"/>
              <w:rPr>
                <w:sz w:val="1"/>
                <w:szCs w:val="1"/>
                <w:color w:val="auto"/>
              </w:rPr>
            </w:pPr>
          </w:p>
        </w:tc>
        <w:tc>
          <w:tcPr>
            <w:tcW w:w="560" w:type="dxa"/>
            <w:vAlign w:val="bottom"/>
            <w:shd w:val="clear" w:color="auto" w:fill="828282"/>
          </w:tcPr>
          <w:p>
            <w:pPr>
              <w:spacing w:after="0" w:line="20" w:lineRule="exact"/>
              <w:rPr>
                <w:sz w:val="1"/>
                <w:szCs w:val="1"/>
                <w:color w:val="auto"/>
              </w:rPr>
            </w:pPr>
          </w:p>
        </w:tc>
        <w:tc>
          <w:tcPr>
            <w:tcW w:w="20" w:type="dxa"/>
            <w:vAlign w:val="bottom"/>
            <w:shd w:val="clear" w:color="auto" w:fill="828282"/>
          </w:tcPr>
          <w:p>
            <w:pPr>
              <w:spacing w:after="0" w:line="20" w:lineRule="exact"/>
              <w:rPr>
                <w:sz w:val="1"/>
                <w:szCs w:val="1"/>
                <w:color w:val="auto"/>
              </w:rPr>
            </w:pPr>
          </w:p>
        </w:tc>
        <w:tc>
          <w:tcPr>
            <w:tcW w:w="840" w:type="dxa"/>
            <w:vAlign w:val="bottom"/>
            <w:tcBorders>
              <w:right w:val="single" w:sz="8" w:color="828282"/>
            </w:tcBorders>
            <w:gridSpan w:val="2"/>
            <w:shd w:val="clear" w:color="auto" w:fill="828282"/>
          </w:tcPr>
          <w:p>
            <w:pPr>
              <w:spacing w:after="0" w:line="20" w:lineRule="exact"/>
              <w:rPr>
                <w:sz w:val="1"/>
                <w:szCs w:val="1"/>
                <w:color w:val="auto"/>
              </w:rPr>
            </w:pPr>
          </w:p>
        </w:tc>
        <w:tc>
          <w:tcPr>
            <w:tcW w:w="60" w:type="dxa"/>
            <w:vAlign w:val="bottom"/>
            <w:tcBorders>
              <w:left w:val="single" w:sz="8" w:color="828282"/>
            </w:tcBorders>
            <w:shd w:val="clear" w:color="auto" w:fill="828282"/>
          </w:tcPr>
          <w:p>
            <w:pPr>
              <w:spacing w:after="0" w:line="20" w:lineRule="exact"/>
              <w:rPr>
                <w:sz w:val="1"/>
                <w:szCs w:val="1"/>
                <w:color w:val="auto"/>
              </w:rPr>
            </w:pPr>
          </w:p>
        </w:tc>
        <w:tc>
          <w:tcPr>
            <w:tcW w:w="380" w:type="dxa"/>
            <w:vAlign w:val="bottom"/>
            <w:shd w:val="clear" w:color="auto" w:fill="828282"/>
          </w:tcPr>
          <w:p>
            <w:pPr>
              <w:spacing w:after="0" w:line="20" w:lineRule="exact"/>
              <w:rPr>
                <w:sz w:val="1"/>
                <w:szCs w:val="1"/>
                <w:color w:val="auto"/>
              </w:rPr>
            </w:pPr>
          </w:p>
        </w:tc>
        <w:tc>
          <w:tcPr>
            <w:tcW w:w="220" w:type="dxa"/>
            <w:vAlign w:val="bottom"/>
            <w:gridSpan w:val="2"/>
            <w:shd w:val="clear" w:color="auto" w:fill="828282"/>
          </w:tcPr>
          <w:p>
            <w:pPr>
              <w:spacing w:after="0" w:line="20" w:lineRule="exact"/>
              <w:rPr>
                <w:sz w:val="1"/>
                <w:szCs w:val="1"/>
                <w:color w:val="auto"/>
              </w:rPr>
            </w:pPr>
          </w:p>
        </w:tc>
        <w:tc>
          <w:tcPr>
            <w:tcW w:w="180" w:type="dxa"/>
            <w:vAlign w:val="bottom"/>
            <w:shd w:val="clear" w:color="auto" w:fill="828282"/>
          </w:tcPr>
          <w:p>
            <w:pPr>
              <w:spacing w:after="0" w:line="20" w:lineRule="exact"/>
              <w:rPr>
                <w:sz w:val="1"/>
                <w:szCs w:val="1"/>
                <w:color w:val="auto"/>
              </w:rPr>
            </w:pPr>
          </w:p>
        </w:tc>
        <w:tc>
          <w:tcPr>
            <w:tcW w:w="220" w:type="dxa"/>
            <w:vAlign w:val="bottom"/>
            <w:shd w:val="clear" w:color="auto" w:fill="828282"/>
          </w:tcPr>
          <w:p>
            <w:pPr>
              <w:spacing w:after="0" w:line="20" w:lineRule="exact"/>
              <w:rPr>
                <w:sz w:val="1"/>
                <w:szCs w:val="1"/>
                <w:color w:val="auto"/>
              </w:rPr>
            </w:pPr>
          </w:p>
        </w:tc>
        <w:tc>
          <w:tcPr>
            <w:tcW w:w="420" w:type="dxa"/>
            <w:vAlign w:val="bottom"/>
            <w:shd w:val="clear" w:color="auto" w:fill="828282"/>
          </w:tcPr>
          <w:p>
            <w:pPr>
              <w:spacing w:after="0" w:line="20" w:lineRule="exact"/>
              <w:rPr>
                <w:sz w:val="1"/>
                <w:szCs w:val="1"/>
                <w:color w:val="auto"/>
              </w:rPr>
            </w:pPr>
          </w:p>
        </w:tc>
        <w:tc>
          <w:tcPr>
            <w:tcW w:w="120" w:type="dxa"/>
            <w:vAlign w:val="bottom"/>
            <w:shd w:val="clear" w:color="auto" w:fill="828282"/>
          </w:tcPr>
          <w:p>
            <w:pPr>
              <w:spacing w:after="0" w:line="20" w:lineRule="exact"/>
              <w:rPr>
                <w:sz w:val="1"/>
                <w:szCs w:val="1"/>
                <w:color w:val="auto"/>
              </w:rPr>
            </w:pPr>
          </w:p>
        </w:tc>
        <w:tc>
          <w:tcPr>
            <w:tcW w:w="20" w:type="dxa"/>
            <w:vAlign w:val="bottom"/>
            <w:shd w:val="clear" w:color="auto" w:fill="828282"/>
          </w:tcPr>
          <w:p>
            <w:pPr>
              <w:spacing w:after="0" w:line="20" w:lineRule="exact"/>
              <w:rPr>
                <w:sz w:val="1"/>
                <w:szCs w:val="1"/>
                <w:color w:val="auto"/>
              </w:rPr>
            </w:pPr>
          </w:p>
        </w:tc>
        <w:tc>
          <w:tcPr>
            <w:tcW w:w="860" w:type="dxa"/>
            <w:vAlign w:val="bottom"/>
            <w:gridSpan w:val="2"/>
            <w:shd w:val="clear" w:color="auto" w:fill="828282"/>
          </w:tcPr>
          <w:p>
            <w:pPr>
              <w:spacing w:after="0" w:line="20" w:lineRule="exact"/>
              <w:rPr>
                <w:sz w:val="1"/>
                <w:szCs w:val="1"/>
                <w:color w:val="auto"/>
              </w:rPr>
            </w:pPr>
          </w:p>
        </w:tc>
        <w:tc>
          <w:tcPr>
            <w:tcW w:w="660" w:type="dxa"/>
            <w:vAlign w:val="bottom"/>
            <w:shd w:val="clear" w:color="auto" w:fill="828282"/>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3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Borders>
              <w:right w:val="single" w:sz="8" w:color="BF2115"/>
            </w:tcBorders>
            <w:shd w:val="clear" w:color="auto" w:fill="BF2115"/>
          </w:tcPr>
          <w:p>
            <w:pPr>
              <w:spacing w:after="0" w:line="20" w:lineRule="exact"/>
              <w:rPr>
                <w:sz w:val="1"/>
                <w:szCs w:val="1"/>
                <w:color w:val="auto"/>
              </w:rPr>
            </w:pPr>
          </w:p>
        </w:tc>
        <w:tc>
          <w:tcPr>
            <w:tcW w:w="60" w:type="dxa"/>
            <w:vAlign w:val="bottom"/>
            <w:gridSpan w:val="2"/>
            <w:shd w:val="clear" w:color="auto" w:fill="BF2115"/>
          </w:tcPr>
          <w:p>
            <w:pPr>
              <w:spacing w:after="0" w:line="20" w:lineRule="exact"/>
              <w:rPr>
                <w:sz w:val="1"/>
                <w:szCs w:val="1"/>
                <w:color w:val="auto"/>
              </w:rPr>
            </w:pPr>
          </w:p>
        </w:tc>
        <w:tc>
          <w:tcPr>
            <w:tcW w:w="160" w:type="dxa"/>
            <w:vAlign w:val="bottom"/>
            <w:tcBorders>
              <w:right w:val="single" w:sz="8" w:color="BF2115"/>
            </w:tcBorders>
            <w:shd w:val="clear" w:color="auto" w:fill="ACACAC"/>
          </w:tcPr>
          <w:p>
            <w:pPr>
              <w:spacing w:after="0" w:line="20" w:lineRule="exact"/>
              <w:rPr>
                <w:sz w:val="1"/>
                <w:szCs w:val="1"/>
                <w:color w:val="auto"/>
              </w:rPr>
            </w:pPr>
          </w:p>
        </w:tc>
        <w:tc>
          <w:tcPr>
            <w:tcW w:w="180" w:type="dxa"/>
            <w:vAlign w:val="bottom"/>
            <w:shd w:val="clear" w:color="auto" w:fill="BF2115"/>
          </w:tcPr>
          <w:p>
            <w:pPr>
              <w:spacing w:after="0" w:line="20" w:lineRule="exact"/>
              <w:rPr>
                <w:sz w:val="1"/>
                <w:szCs w:val="1"/>
                <w:color w:val="auto"/>
              </w:rPr>
            </w:pPr>
          </w:p>
        </w:tc>
        <w:tc>
          <w:tcPr>
            <w:tcW w:w="40" w:type="dxa"/>
            <w:vAlign w:val="bottom"/>
            <w:shd w:val="clear" w:color="auto" w:fill="BF2115"/>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220" w:type="dxa"/>
            <w:vAlign w:val="bottom"/>
            <w:gridSpan w:val="7"/>
          </w:tcPr>
          <w:p>
            <w:pPr>
              <w:spacing w:after="0"/>
              <w:rPr>
                <w:rFonts w:ascii="Arial" w:cs="Arial" w:eastAsia="Arial" w:hAnsi="Arial"/>
                <w:sz w:val="16"/>
                <w:szCs w:val="16"/>
                <w:b w:val="1"/>
                <w:bCs w:val="1"/>
                <w:color w:val="828282"/>
                <w:w w:val="98"/>
              </w:rPr>
            </w:pPr>
            <w:hyperlink w:anchor="page8">
              <w:r>
                <w:rPr>
                  <w:rFonts w:ascii="Arial" w:cs="Arial" w:eastAsia="Arial" w:hAnsi="Arial"/>
                  <w:sz w:val="16"/>
                  <w:szCs w:val="16"/>
                  <w:b w:val="1"/>
                  <w:bCs w:val="1"/>
                  <w:color w:val="828282"/>
                  <w:w w:val="98"/>
                </w:rPr>
                <w:t>CORPORATE GOVERNANCE</w:t>
              </w:r>
            </w:hyperlink>
          </w:p>
        </w:tc>
        <w:tc>
          <w:tcPr>
            <w:tcW w:w="3140" w:type="dxa"/>
            <w:vAlign w:val="bottom"/>
            <w:gridSpan w:val="12"/>
          </w:tcPr>
          <w:p>
            <w:pPr>
              <w:spacing w:after="0"/>
              <w:rPr>
                <w:sz w:val="19"/>
                <w:szCs w:val="19"/>
                <w:color w:val="auto"/>
              </w:rPr>
            </w:pPr>
          </w:p>
        </w:tc>
        <w:tc>
          <w:tcPr>
            <w:tcW w:w="5300" w:type="dxa"/>
            <w:vAlign w:val="bottom"/>
            <w:gridSpan w:val="4"/>
          </w:tcPr>
          <w:p>
            <w:pPr>
              <w:spacing w:after="0"/>
              <w:rPr>
                <w:sz w:val="19"/>
                <w:szCs w:val="19"/>
                <w:color w:val="auto"/>
              </w:rPr>
            </w:pPr>
          </w:p>
        </w:tc>
        <w:tc>
          <w:tcPr>
            <w:tcW w:w="460" w:type="dxa"/>
            <w:vAlign w:val="bottom"/>
            <w:tcBorders>
              <w:right w:val="single" w:sz="8" w:color="BF2115"/>
            </w:tcBorders>
            <w:gridSpan w:val="4"/>
            <w:shd w:val="clear" w:color="auto" w:fill="BF2115"/>
          </w:tcPr>
          <w:p>
            <w:pPr>
              <w:jc w:val="center"/>
              <w:ind w:left="139"/>
              <w:spacing w:after="0"/>
              <w:rPr>
                <w:rFonts w:ascii="Arial" w:cs="Arial" w:eastAsia="Arial" w:hAnsi="Arial"/>
                <w:sz w:val="16"/>
                <w:szCs w:val="16"/>
                <w:color w:val="ACACAC"/>
                <w:w w:val="89"/>
              </w:rPr>
            </w:pPr>
            <w:hyperlink w:anchor="page8">
              <w:r>
                <w:rPr>
                  <w:rFonts w:ascii="Arial" w:cs="Arial" w:eastAsia="Arial" w:hAnsi="Arial"/>
                  <w:sz w:val="16"/>
                  <w:szCs w:val="16"/>
                  <w:color w:val="ACACAC"/>
                  <w:w w:val="89"/>
                </w:rPr>
                <w:t>4</w:t>
              </w:r>
            </w:hyperlink>
          </w:p>
        </w:tc>
        <w:tc>
          <w:tcPr>
            <w:tcW w:w="180" w:type="dxa"/>
            <w:vAlign w:val="bottom"/>
            <w:shd w:val="clear" w:color="auto" w:fill="BF2115"/>
          </w:tcPr>
          <w:p>
            <w:pPr>
              <w:spacing w:after="0"/>
              <w:rPr>
                <w:sz w:val="19"/>
                <w:szCs w:val="19"/>
                <w:color w:val="auto"/>
              </w:rPr>
            </w:pPr>
          </w:p>
        </w:tc>
        <w:tc>
          <w:tcPr>
            <w:tcW w:w="40" w:type="dxa"/>
            <w:vAlign w:val="bottom"/>
            <w:shd w:val="clear" w:color="auto" w:fill="BF2115"/>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80" w:type="dxa"/>
            <w:vAlign w:val="bottom"/>
            <w:shd w:val="clear" w:color="auto" w:fill="828282"/>
          </w:tcPr>
          <w:p>
            <w:pPr>
              <w:spacing w:after="0" w:line="20" w:lineRule="exact"/>
              <w:rPr>
                <w:sz w:val="1"/>
                <w:szCs w:val="1"/>
                <w:color w:val="auto"/>
              </w:rPr>
            </w:pPr>
          </w:p>
        </w:tc>
        <w:tc>
          <w:tcPr>
            <w:tcW w:w="20" w:type="dxa"/>
            <w:vAlign w:val="bottom"/>
            <w:shd w:val="clear" w:color="auto" w:fill="828282"/>
          </w:tcPr>
          <w:p>
            <w:pPr>
              <w:spacing w:after="0" w:line="20" w:lineRule="exact"/>
              <w:rPr>
                <w:sz w:val="1"/>
                <w:szCs w:val="1"/>
                <w:color w:val="auto"/>
              </w:rPr>
            </w:pPr>
          </w:p>
        </w:tc>
        <w:tc>
          <w:tcPr>
            <w:tcW w:w="600" w:type="dxa"/>
            <w:vAlign w:val="bottom"/>
            <w:shd w:val="clear" w:color="auto" w:fill="828282"/>
          </w:tcPr>
          <w:p>
            <w:pPr>
              <w:spacing w:after="0" w:line="20" w:lineRule="exact"/>
              <w:rPr>
                <w:sz w:val="1"/>
                <w:szCs w:val="1"/>
                <w:color w:val="auto"/>
              </w:rPr>
            </w:pPr>
          </w:p>
        </w:tc>
        <w:tc>
          <w:tcPr>
            <w:tcW w:w="560" w:type="dxa"/>
            <w:vAlign w:val="bottom"/>
            <w:shd w:val="clear" w:color="auto" w:fill="828282"/>
          </w:tcPr>
          <w:p>
            <w:pPr>
              <w:spacing w:after="0" w:line="20" w:lineRule="exact"/>
              <w:rPr>
                <w:sz w:val="1"/>
                <w:szCs w:val="1"/>
                <w:color w:val="auto"/>
              </w:rPr>
            </w:pPr>
          </w:p>
        </w:tc>
        <w:tc>
          <w:tcPr>
            <w:tcW w:w="20" w:type="dxa"/>
            <w:vAlign w:val="bottom"/>
            <w:shd w:val="clear" w:color="auto" w:fill="828282"/>
          </w:tcPr>
          <w:p>
            <w:pPr>
              <w:spacing w:after="0" w:line="20" w:lineRule="exact"/>
              <w:rPr>
                <w:sz w:val="1"/>
                <w:szCs w:val="1"/>
                <w:color w:val="auto"/>
              </w:rPr>
            </w:pPr>
          </w:p>
        </w:tc>
        <w:tc>
          <w:tcPr>
            <w:tcW w:w="840" w:type="dxa"/>
            <w:vAlign w:val="bottom"/>
            <w:tcBorders>
              <w:right w:val="single" w:sz="8" w:color="828282"/>
            </w:tcBorders>
            <w:gridSpan w:val="2"/>
            <w:shd w:val="clear" w:color="auto" w:fill="828282"/>
          </w:tcPr>
          <w:p>
            <w:pPr>
              <w:spacing w:after="0" w:line="20" w:lineRule="exact"/>
              <w:rPr>
                <w:sz w:val="1"/>
                <w:szCs w:val="1"/>
                <w:color w:val="auto"/>
              </w:rPr>
            </w:pPr>
          </w:p>
        </w:tc>
        <w:tc>
          <w:tcPr>
            <w:tcW w:w="60" w:type="dxa"/>
            <w:vAlign w:val="bottom"/>
            <w:tcBorders>
              <w:left w:val="single" w:sz="8" w:color="828282"/>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60" w:type="dxa"/>
            <w:vAlign w:val="bottom"/>
            <w:gridSpan w:val="2"/>
          </w:tcPr>
          <w:p>
            <w:pPr>
              <w:spacing w:after="0" w:line="20" w:lineRule="exact"/>
              <w:rPr>
                <w:sz w:val="1"/>
                <w:szCs w:val="1"/>
                <w:color w:val="auto"/>
              </w:rPr>
            </w:pPr>
          </w:p>
        </w:tc>
        <w:tc>
          <w:tcPr>
            <w:tcW w:w="126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3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Borders>
              <w:right w:val="single" w:sz="8" w:color="BF2115"/>
            </w:tcBorders>
            <w:shd w:val="clear" w:color="auto" w:fill="BF2115"/>
          </w:tcPr>
          <w:p>
            <w:pPr>
              <w:spacing w:after="0" w:line="20" w:lineRule="exact"/>
              <w:rPr>
                <w:sz w:val="1"/>
                <w:szCs w:val="1"/>
                <w:color w:val="auto"/>
              </w:rPr>
            </w:pPr>
          </w:p>
        </w:tc>
        <w:tc>
          <w:tcPr>
            <w:tcW w:w="60" w:type="dxa"/>
            <w:vAlign w:val="bottom"/>
            <w:gridSpan w:val="2"/>
            <w:shd w:val="clear" w:color="auto" w:fill="BF2115"/>
          </w:tcPr>
          <w:p>
            <w:pPr>
              <w:spacing w:after="0" w:line="20" w:lineRule="exact"/>
              <w:rPr>
                <w:sz w:val="1"/>
                <w:szCs w:val="1"/>
                <w:color w:val="auto"/>
              </w:rPr>
            </w:pPr>
          </w:p>
        </w:tc>
        <w:tc>
          <w:tcPr>
            <w:tcW w:w="160" w:type="dxa"/>
            <w:vAlign w:val="bottom"/>
            <w:tcBorders>
              <w:right w:val="single" w:sz="8" w:color="BF2115"/>
            </w:tcBorders>
            <w:shd w:val="clear" w:color="auto" w:fill="ACACAC"/>
          </w:tcPr>
          <w:p>
            <w:pPr>
              <w:spacing w:after="0" w:line="20" w:lineRule="exact"/>
              <w:rPr>
                <w:sz w:val="1"/>
                <w:szCs w:val="1"/>
                <w:color w:val="auto"/>
              </w:rPr>
            </w:pPr>
          </w:p>
        </w:tc>
        <w:tc>
          <w:tcPr>
            <w:tcW w:w="180" w:type="dxa"/>
            <w:vAlign w:val="bottom"/>
            <w:shd w:val="clear" w:color="auto" w:fill="BF2115"/>
          </w:tcPr>
          <w:p>
            <w:pPr>
              <w:spacing w:after="0" w:line="20" w:lineRule="exact"/>
              <w:rPr>
                <w:sz w:val="1"/>
                <w:szCs w:val="1"/>
                <w:color w:val="auto"/>
              </w:rPr>
            </w:pPr>
          </w:p>
        </w:tc>
        <w:tc>
          <w:tcPr>
            <w:tcW w:w="40" w:type="dxa"/>
            <w:vAlign w:val="bottom"/>
            <w:shd w:val="clear" w:color="auto" w:fill="BF2115"/>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220" w:type="dxa"/>
            <w:vAlign w:val="bottom"/>
            <w:gridSpan w:val="7"/>
          </w:tcPr>
          <w:p>
            <w:pPr>
              <w:spacing w:after="0"/>
              <w:rPr>
                <w:rFonts w:ascii="Arial" w:cs="Arial" w:eastAsia="Arial" w:hAnsi="Arial"/>
                <w:sz w:val="16"/>
                <w:szCs w:val="16"/>
                <w:b w:val="1"/>
                <w:bCs w:val="1"/>
                <w:color w:val="828282"/>
                <w:w w:val="99"/>
              </w:rPr>
            </w:pPr>
            <w:hyperlink w:anchor="page13">
              <w:r>
                <w:rPr>
                  <w:rFonts w:ascii="Arial" w:cs="Arial" w:eastAsia="Arial" w:hAnsi="Arial"/>
                  <w:sz w:val="16"/>
                  <w:szCs w:val="16"/>
                  <w:b w:val="1"/>
                  <w:bCs w:val="1"/>
                  <w:color w:val="828282"/>
                  <w:w w:val="99"/>
                </w:rPr>
                <w:t>DIRECTOR COMPENSATION</w:t>
              </w:r>
            </w:hyperlink>
          </w:p>
        </w:tc>
        <w:tc>
          <w:tcPr>
            <w:tcW w:w="8440" w:type="dxa"/>
            <w:vAlign w:val="bottom"/>
            <w:gridSpan w:val="16"/>
          </w:tcPr>
          <w:p>
            <w:pPr>
              <w:spacing w:after="0"/>
              <w:rPr>
                <w:sz w:val="19"/>
                <w:szCs w:val="19"/>
                <w:color w:val="auto"/>
              </w:rPr>
            </w:pPr>
          </w:p>
        </w:tc>
        <w:tc>
          <w:tcPr>
            <w:tcW w:w="460" w:type="dxa"/>
            <w:vAlign w:val="bottom"/>
            <w:tcBorders>
              <w:right w:val="single" w:sz="8" w:color="BF2115"/>
            </w:tcBorders>
            <w:gridSpan w:val="4"/>
            <w:shd w:val="clear" w:color="auto" w:fill="BF2115"/>
          </w:tcPr>
          <w:p>
            <w:pPr>
              <w:jc w:val="center"/>
              <w:ind w:left="139"/>
              <w:spacing w:after="0"/>
              <w:rPr>
                <w:rFonts w:ascii="Arial" w:cs="Arial" w:eastAsia="Arial" w:hAnsi="Arial"/>
                <w:sz w:val="16"/>
                <w:szCs w:val="16"/>
                <w:color w:val="ACACAC"/>
                <w:w w:val="89"/>
              </w:rPr>
            </w:pPr>
            <w:hyperlink w:anchor="page13">
              <w:r>
                <w:rPr>
                  <w:rFonts w:ascii="Arial" w:cs="Arial" w:eastAsia="Arial" w:hAnsi="Arial"/>
                  <w:sz w:val="16"/>
                  <w:szCs w:val="16"/>
                  <w:color w:val="ACACAC"/>
                  <w:w w:val="89"/>
                </w:rPr>
                <w:t>9</w:t>
              </w:r>
            </w:hyperlink>
          </w:p>
        </w:tc>
        <w:tc>
          <w:tcPr>
            <w:tcW w:w="180" w:type="dxa"/>
            <w:vAlign w:val="bottom"/>
            <w:shd w:val="clear" w:color="auto" w:fill="BF2115"/>
          </w:tcPr>
          <w:p>
            <w:pPr>
              <w:spacing w:after="0"/>
              <w:rPr>
                <w:sz w:val="19"/>
                <w:szCs w:val="19"/>
                <w:color w:val="auto"/>
              </w:rPr>
            </w:pPr>
          </w:p>
        </w:tc>
        <w:tc>
          <w:tcPr>
            <w:tcW w:w="40" w:type="dxa"/>
            <w:vAlign w:val="bottom"/>
            <w:shd w:val="clear" w:color="auto" w:fill="BF2115"/>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80" w:type="dxa"/>
            <w:vAlign w:val="bottom"/>
            <w:shd w:val="clear" w:color="auto" w:fill="828282"/>
          </w:tcPr>
          <w:p>
            <w:pPr>
              <w:spacing w:after="0" w:line="20" w:lineRule="exact"/>
              <w:rPr>
                <w:sz w:val="1"/>
                <w:szCs w:val="1"/>
                <w:color w:val="auto"/>
              </w:rPr>
            </w:pPr>
          </w:p>
        </w:tc>
        <w:tc>
          <w:tcPr>
            <w:tcW w:w="20" w:type="dxa"/>
            <w:vAlign w:val="bottom"/>
            <w:shd w:val="clear" w:color="auto" w:fill="828282"/>
          </w:tcPr>
          <w:p>
            <w:pPr>
              <w:spacing w:after="0" w:line="20" w:lineRule="exact"/>
              <w:rPr>
                <w:sz w:val="1"/>
                <w:szCs w:val="1"/>
                <w:color w:val="auto"/>
              </w:rPr>
            </w:pPr>
          </w:p>
        </w:tc>
        <w:tc>
          <w:tcPr>
            <w:tcW w:w="600" w:type="dxa"/>
            <w:vAlign w:val="bottom"/>
            <w:shd w:val="clear" w:color="auto" w:fill="828282"/>
          </w:tcPr>
          <w:p>
            <w:pPr>
              <w:spacing w:after="0" w:line="20" w:lineRule="exact"/>
              <w:rPr>
                <w:sz w:val="1"/>
                <w:szCs w:val="1"/>
                <w:color w:val="auto"/>
              </w:rPr>
            </w:pPr>
          </w:p>
        </w:tc>
        <w:tc>
          <w:tcPr>
            <w:tcW w:w="560" w:type="dxa"/>
            <w:vAlign w:val="bottom"/>
            <w:shd w:val="clear" w:color="auto" w:fill="828282"/>
          </w:tcPr>
          <w:p>
            <w:pPr>
              <w:spacing w:after="0" w:line="20" w:lineRule="exact"/>
              <w:rPr>
                <w:sz w:val="1"/>
                <w:szCs w:val="1"/>
                <w:color w:val="auto"/>
              </w:rPr>
            </w:pPr>
          </w:p>
        </w:tc>
        <w:tc>
          <w:tcPr>
            <w:tcW w:w="20" w:type="dxa"/>
            <w:vAlign w:val="bottom"/>
            <w:shd w:val="clear" w:color="auto" w:fill="828282"/>
          </w:tcPr>
          <w:p>
            <w:pPr>
              <w:spacing w:after="0" w:line="20" w:lineRule="exact"/>
              <w:rPr>
                <w:sz w:val="1"/>
                <w:szCs w:val="1"/>
                <w:color w:val="auto"/>
              </w:rPr>
            </w:pPr>
          </w:p>
        </w:tc>
        <w:tc>
          <w:tcPr>
            <w:tcW w:w="840" w:type="dxa"/>
            <w:vAlign w:val="bottom"/>
            <w:tcBorders>
              <w:right w:val="single" w:sz="8" w:color="828282"/>
            </w:tcBorders>
            <w:gridSpan w:val="2"/>
            <w:shd w:val="clear" w:color="auto" w:fill="82828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60" w:type="dxa"/>
            <w:vAlign w:val="bottom"/>
            <w:gridSpan w:val="2"/>
          </w:tcPr>
          <w:p>
            <w:pPr>
              <w:spacing w:after="0" w:line="20" w:lineRule="exact"/>
              <w:rPr>
                <w:sz w:val="1"/>
                <w:szCs w:val="1"/>
                <w:color w:val="auto"/>
              </w:rPr>
            </w:pPr>
          </w:p>
        </w:tc>
        <w:tc>
          <w:tcPr>
            <w:tcW w:w="126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3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Borders>
              <w:right w:val="single" w:sz="8" w:color="BF2115"/>
            </w:tcBorders>
            <w:shd w:val="clear" w:color="auto" w:fill="BF2115"/>
          </w:tcPr>
          <w:p>
            <w:pPr>
              <w:spacing w:after="0" w:line="20" w:lineRule="exact"/>
              <w:rPr>
                <w:sz w:val="1"/>
                <w:szCs w:val="1"/>
                <w:color w:val="auto"/>
              </w:rPr>
            </w:pPr>
          </w:p>
        </w:tc>
        <w:tc>
          <w:tcPr>
            <w:tcW w:w="60" w:type="dxa"/>
            <w:vAlign w:val="bottom"/>
            <w:gridSpan w:val="2"/>
            <w:shd w:val="clear" w:color="auto" w:fill="BF2115"/>
          </w:tcPr>
          <w:p>
            <w:pPr>
              <w:spacing w:after="0" w:line="20" w:lineRule="exact"/>
              <w:rPr>
                <w:sz w:val="1"/>
                <w:szCs w:val="1"/>
                <w:color w:val="auto"/>
              </w:rPr>
            </w:pPr>
          </w:p>
        </w:tc>
        <w:tc>
          <w:tcPr>
            <w:tcW w:w="160" w:type="dxa"/>
            <w:vAlign w:val="bottom"/>
            <w:tcBorders>
              <w:right w:val="single" w:sz="8" w:color="BF2115"/>
            </w:tcBorders>
            <w:shd w:val="clear" w:color="auto" w:fill="ACACAC"/>
          </w:tcPr>
          <w:p>
            <w:pPr>
              <w:spacing w:after="0" w:line="20" w:lineRule="exact"/>
              <w:rPr>
                <w:sz w:val="1"/>
                <w:szCs w:val="1"/>
                <w:color w:val="auto"/>
              </w:rPr>
            </w:pPr>
          </w:p>
        </w:tc>
        <w:tc>
          <w:tcPr>
            <w:tcW w:w="180" w:type="dxa"/>
            <w:vAlign w:val="bottom"/>
            <w:shd w:val="clear" w:color="auto" w:fill="BF2115"/>
          </w:tcPr>
          <w:p>
            <w:pPr>
              <w:spacing w:after="0" w:line="20" w:lineRule="exact"/>
              <w:rPr>
                <w:sz w:val="1"/>
                <w:szCs w:val="1"/>
                <w:color w:val="auto"/>
              </w:rPr>
            </w:pPr>
          </w:p>
        </w:tc>
        <w:tc>
          <w:tcPr>
            <w:tcW w:w="40" w:type="dxa"/>
            <w:vAlign w:val="bottom"/>
            <w:shd w:val="clear" w:color="auto" w:fill="BF2115"/>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660" w:type="dxa"/>
            <w:vAlign w:val="bottom"/>
            <w:tcBorders>
              <w:bottom w:val="single" w:sz="8" w:color="828282"/>
            </w:tcBorders>
            <w:gridSpan w:val="9"/>
          </w:tcPr>
          <w:p>
            <w:pPr>
              <w:spacing w:after="0"/>
              <w:rPr>
                <w:rFonts w:ascii="Arial" w:cs="Arial" w:eastAsia="Arial" w:hAnsi="Arial"/>
                <w:sz w:val="16"/>
                <w:szCs w:val="16"/>
                <w:b w:val="1"/>
                <w:bCs w:val="1"/>
                <w:color w:val="828282"/>
              </w:rPr>
            </w:pPr>
            <w:hyperlink w:anchor="page15">
              <w:r>
                <w:rPr>
                  <w:rFonts w:ascii="Arial" w:cs="Arial" w:eastAsia="Arial" w:hAnsi="Arial"/>
                  <w:sz w:val="16"/>
                  <w:szCs w:val="16"/>
                  <w:b w:val="1"/>
                  <w:bCs w:val="1"/>
                  <w:color w:val="828282"/>
                </w:rPr>
                <w:t>ITEM 1 ELECTION OF DIRECTORS</w:t>
              </w:r>
            </w:hyperlink>
          </w:p>
        </w:tc>
        <w:tc>
          <w:tcPr>
            <w:tcW w:w="8000" w:type="dxa"/>
            <w:vAlign w:val="bottom"/>
            <w:gridSpan w:val="14"/>
          </w:tcPr>
          <w:p>
            <w:pPr>
              <w:spacing w:after="0"/>
              <w:rPr>
                <w:sz w:val="19"/>
                <w:szCs w:val="19"/>
                <w:color w:val="auto"/>
              </w:rPr>
            </w:pPr>
          </w:p>
        </w:tc>
        <w:tc>
          <w:tcPr>
            <w:tcW w:w="240" w:type="dxa"/>
            <w:vAlign w:val="bottom"/>
            <w:tcBorders>
              <w:bottom w:val="single" w:sz="8" w:color="BF2115"/>
              <w:right w:val="single" w:sz="8" w:color="BF2115"/>
            </w:tcBorders>
            <w:shd w:val="clear" w:color="auto" w:fill="BF2115"/>
          </w:tcPr>
          <w:p>
            <w:pPr>
              <w:spacing w:after="0"/>
              <w:rPr>
                <w:sz w:val="19"/>
                <w:szCs w:val="19"/>
                <w:color w:val="auto"/>
              </w:rPr>
            </w:pPr>
          </w:p>
        </w:tc>
        <w:tc>
          <w:tcPr>
            <w:tcW w:w="220" w:type="dxa"/>
            <w:vAlign w:val="bottom"/>
            <w:tcBorders>
              <w:bottom w:val="single" w:sz="8" w:color="ACACAC"/>
              <w:right w:val="single" w:sz="8" w:color="BF2115"/>
            </w:tcBorders>
            <w:gridSpan w:val="3"/>
            <w:shd w:val="clear" w:color="auto" w:fill="BF2115"/>
          </w:tcPr>
          <w:p>
            <w:pPr>
              <w:jc w:val="center"/>
              <w:ind w:right="40"/>
              <w:spacing w:after="0"/>
              <w:rPr>
                <w:rFonts w:ascii="Arial" w:cs="Arial" w:eastAsia="Arial" w:hAnsi="Arial"/>
                <w:sz w:val="16"/>
                <w:szCs w:val="16"/>
                <w:color w:val="ACACAC"/>
              </w:rPr>
            </w:pPr>
            <w:hyperlink w:anchor="page15">
              <w:r>
                <w:rPr>
                  <w:rFonts w:ascii="Arial" w:cs="Arial" w:eastAsia="Arial" w:hAnsi="Arial"/>
                  <w:sz w:val="16"/>
                  <w:szCs w:val="16"/>
                  <w:color w:val="ACACAC"/>
                </w:rPr>
                <w:t>11</w:t>
              </w:r>
            </w:hyperlink>
          </w:p>
        </w:tc>
        <w:tc>
          <w:tcPr>
            <w:tcW w:w="180" w:type="dxa"/>
            <w:vAlign w:val="bottom"/>
            <w:tcBorders>
              <w:bottom w:val="single" w:sz="8" w:color="BF2115"/>
            </w:tcBorders>
            <w:shd w:val="clear" w:color="auto" w:fill="BF2115"/>
          </w:tcPr>
          <w:p>
            <w:pPr>
              <w:spacing w:after="0"/>
              <w:rPr>
                <w:sz w:val="19"/>
                <w:szCs w:val="19"/>
                <w:color w:val="auto"/>
              </w:rPr>
            </w:pPr>
          </w:p>
        </w:tc>
        <w:tc>
          <w:tcPr>
            <w:tcW w:w="40" w:type="dxa"/>
            <w:vAlign w:val="bottom"/>
            <w:tcBorders>
              <w:bottom w:val="single" w:sz="8" w:color="BF2115"/>
            </w:tcBorders>
            <w:shd w:val="clear" w:color="auto" w:fill="BF2115"/>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280" w:type="dxa"/>
            <w:vAlign w:val="bottom"/>
            <w:tcBorders>
              <w:bottom w:val="single" w:sz="8" w:color="828282"/>
            </w:tcBorders>
            <w:gridSpan w:val="8"/>
          </w:tcPr>
          <w:p>
            <w:pPr>
              <w:spacing w:after="0"/>
              <w:rPr>
                <w:rFonts w:ascii="Arial" w:cs="Arial" w:eastAsia="Arial" w:hAnsi="Arial"/>
                <w:sz w:val="16"/>
                <w:szCs w:val="16"/>
                <w:b w:val="1"/>
                <w:bCs w:val="1"/>
                <w:color w:val="828282"/>
              </w:rPr>
            </w:pPr>
            <w:hyperlink w:anchor="page20">
              <w:r>
                <w:rPr>
                  <w:rFonts w:ascii="Arial" w:cs="Arial" w:eastAsia="Arial" w:hAnsi="Arial"/>
                  <w:sz w:val="16"/>
                  <w:szCs w:val="16"/>
                  <w:b w:val="1"/>
                  <w:bCs w:val="1"/>
                  <w:color w:val="828282"/>
                </w:rPr>
                <w:t>EXECUTIVE COMPENSATION</w:t>
              </w:r>
            </w:hyperlink>
          </w:p>
        </w:tc>
        <w:tc>
          <w:tcPr>
            <w:tcW w:w="8380" w:type="dxa"/>
            <w:vAlign w:val="bottom"/>
            <w:gridSpan w:val="15"/>
          </w:tcPr>
          <w:p>
            <w:pPr>
              <w:spacing w:after="0"/>
              <w:rPr>
                <w:sz w:val="19"/>
                <w:szCs w:val="19"/>
                <w:color w:val="auto"/>
              </w:rPr>
            </w:pPr>
          </w:p>
        </w:tc>
        <w:tc>
          <w:tcPr>
            <w:tcW w:w="240" w:type="dxa"/>
            <w:vAlign w:val="bottom"/>
            <w:tcBorders>
              <w:bottom w:val="single" w:sz="8" w:color="BF2115"/>
              <w:right w:val="single" w:sz="8" w:color="BF2115"/>
            </w:tcBorders>
            <w:shd w:val="clear" w:color="auto" w:fill="BF2115"/>
          </w:tcPr>
          <w:p>
            <w:pPr>
              <w:spacing w:after="0"/>
              <w:rPr>
                <w:sz w:val="19"/>
                <w:szCs w:val="19"/>
                <w:color w:val="auto"/>
              </w:rPr>
            </w:pPr>
          </w:p>
        </w:tc>
        <w:tc>
          <w:tcPr>
            <w:tcW w:w="220" w:type="dxa"/>
            <w:vAlign w:val="bottom"/>
            <w:tcBorders>
              <w:bottom w:val="single" w:sz="8" w:color="ACACAC"/>
              <w:right w:val="single" w:sz="8" w:color="BF2115"/>
            </w:tcBorders>
            <w:gridSpan w:val="3"/>
            <w:shd w:val="clear" w:color="auto" w:fill="BF2115"/>
          </w:tcPr>
          <w:p>
            <w:pPr>
              <w:jc w:val="center"/>
              <w:ind w:right="40"/>
              <w:spacing w:after="0"/>
              <w:rPr>
                <w:rFonts w:ascii="Arial" w:cs="Arial" w:eastAsia="Arial" w:hAnsi="Arial"/>
                <w:sz w:val="16"/>
                <w:szCs w:val="16"/>
                <w:color w:val="ACACAC"/>
              </w:rPr>
            </w:pPr>
            <w:hyperlink w:anchor="page20">
              <w:r>
                <w:rPr>
                  <w:rFonts w:ascii="Arial" w:cs="Arial" w:eastAsia="Arial" w:hAnsi="Arial"/>
                  <w:sz w:val="16"/>
                  <w:szCs w:val="16"/>
                  <w:color w:val="ACACAC"/>
                </w:rPr>
                <w:t>16</w:t>
              </w:r>
            </w:hyperlink>
          </w:p>
        </w:tc>
        <w:tc>
          <w:tcPr>
            <w:tcW w:w="180" w:type="dxa"/>
            <w:vAlign w:val="bottom"/>
            <w:tcBorders>
              <w:bottom w:val="single" w:sz="8" w:color="BF2115"/>
            </w:tcBorders>
            <w:shd w:val="clear" w:color="auto" w:fill="BF2115"/>
          </w:tcPr>
          <w:p>
            <w:pPr>
              <w:spacing w:after="0"/>
              <w:rPr>
                <w:sz w:val="19"/>
                <w:szCs w:val="19"/>
                <w:color w:val="auto"/>
              </w:rPr>
            </w:pPr>
          </w:p>
        </w:tc>
        <w:tc>
          <w:tcPr>
            <w:tcW w:w="40" w:type="dxa"/>
            <w:vAlign w:val="bottom"/>
            <w:tcBorders>
              <w:bottom w:val="single" w:sz="8" w:color="BF2115"/>
            </w:tcBorders>
            <w:shd w:val="clear" w:color="auto" w:fill="BF2115"/>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80" w:type="dxa"/>
            <w:vAlign w:val="bottom"/>
            <w:tcBorders>
              <w:bottom w:val="single" w:sz="8" w:color="828282"/>
            </w:tcBorders>
            <w:gridSpan w:val="11"/>
          </w:tcPr>
          <w:p>
            <w:pPr>
              <w:spacing w:after="0"/>
              <w:rPr>
                <w:rFonts w:ascii="Arial" w:cs="Arial" w:eastAsia="Arial" w:hAnsi="Arial"/>
                <w:sz w:val="16"/>
                <w:szCs w:val="16"/>
                <w:b w:val="1"/>
                <w:bCs w:val="1"/>
                <w:color w:val="828282"/>
              </w:rPr>
            </w:pPr>
            <w:hyperlink w:anchor="page20">
              <w:r>
                <w:rPr>
                  <w:rFonts w:ascii="Arial" w:cs="Arial" w:eastAsia="Arial" w:hAnsi="Arial"/>
                  <w:sz w:val="16"/>
                  <w:szCs w:val="16"/>
                  <w:b w:val="1"/>
                  <w:bCs w:val="1"/>
                  <w:color w:val="828282"/>
                </w:rPr>
                <w:t>Compensation Discussion and Analysis</w:t>
              </w:r>
            </w:hyperlink>
          </w:p>
        </w:tc>
        <w:tc>
          <w:tcPr>
            <w:tcW w:w="7380" w:type="dxa"/>
            <w:vAlign w:val="bottom"/>
            <w:gridSpan w:val="10"/>
          </w:tcPr>
          <w:p>
            <w:pPr>
              <w:spacing w:after="0"/>
              <w:rPr>
                <w:sz w:val="19"/>
                <w:szCs w:val="19"/>
                <w:color w:val="auto"/>
              </w:rPr>
            </w:pPr>
          </w:p>
        </w:tc>
        <w:tc>
          <w:tcPr>
            <w:tcW w:w="240" w:type="dxa"/>
            <w:vAlign w:val="bottom"/>
            <w:tcBorders>
              <w:bottom w:val="single" w:sz="8" w:color="BF2115"/>
              <w:right w:val="single" w:sz="8" w:color="BF2115"/>
            </w:tcBorders>
            <w:shd w:val="clear" w:color="auto" w:fill="BF2115"/>
          </w:tcPr>
          <w:p>
            <w:pPr>
              <w:spacing w:after="0"/>
              <w:rPr>
                <w:sz w:val="19"/>
                <w:szCs w:val="19"/>
                <w:color w:val="auto"/>
              </w:rPr>
            </w:pPr>
          </w:p>
        </w:tc>
        <w:tc>
          <w:tcPr>
            <w:tcW w:w="220" w:type="dxa"/>
            <w:vAlign w:val="bottom"/>
            <w:tcBorders>
              <w:bottom w:val="single" w:sz="8" w:color="ACACAC"/>
              <w:right w:val="single" w:sz="8" w:color="BF2115"/>
            </w:tcBorders>
            <w:gridSpan w:val="3"/>
            <w:shd w:val="clear" w:color="auto" w:fill="BF2115"/>
          </w:tcPr>
          <w:p>
            <w:pPr>
              <w:jc w:val="center"/>
              <w:ind w:right="40"/>
              <w:spacing w:after="0"/>
              <w:rPr>
                <w:rFonts w:ascii="Arial" w:cs="Arial" w:eastAsia="Arial" w:hAnsi="Arial"/>
                <w:sz w:val="16"/>
                <w:szCs w:val="16"/>
                <w:color w:val="ACACAC"/>
              </w:rPr>
            </w:pPr>
            <w:hyperlink w:anchor="page20">
              <w:r>
                <w:rPr>
                  <w:rFonts w:ascii="Arial" w:cs="Arial" w:eastAsia="Arial" w:hAnsi="Arial"/>
                  <w:sz w:val="16"/>
                  <w:szCs w:val="16"/>
                  <w:color w:val="ACACAC"/>
                </w:rPr>
                <w:t>16</w:t>
              </w:r>
            </w:hyperlink>
          </w:p>
        </w:tc>
        <w:tc>
          <w:tcPr>
            <w:tcW w:w="180" w:type="dxa"/>
            <w:vAlign w:val="bottom"/>
            <w:tcBorders>
              <w:bottom w:val="single" w:sz="8" w:color="BF2115"/>
            </w:tcBorders>
            <w:shd w:val="clear" w:color="auto" w:fill="BF2115"/>
          </w:tcPr>
          <w:p>
            <w:pPr>
              <w:spacing w:after="0"/>
              <w:rPr>
                <w:sz w:val="19"/>
                <w:szCs w:val="19"/>
                <w:color w:val="auto"/>
              </w:rPr>
            </w:pPr>
          </w:p>
        </w:tc>
        <w:tc>
          <w:tcPr>
            <w:tcW w:w="40" w:type="dxa"/>
            <w:vAlign w:val="bottom"/>
            <w:tcBorders>
              <w:bottom w:val="single" w:sz="8" w:color="BF2115"/>
            </w:tcBorders>
            <w:shd w:val="clear" w:color="auto" w:fill="BF2115"/>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460" w:type="dxa"/>
            <w:vAlign w:val="bottom"/>
            <w:gridSpan w:val="21"/>
          </w:tcPr>
          <w:p>
            <w:pPr>
              <w:spacing w:after="0"/>
              <w:rPr>
                <w:rFonts w:ascii="Arial" w:cs="Arial" w:eastAsia="Arial" w:hAnsi="Arial"/>
                <w:sz w:val="16"/>
                <w:szCs w:val="16"/>
                <w:b w:val="1"/>
                <w:bCs w:val="1"/>
                <w:color w:val="828282"/>
              </w:rPr>
            </w:pPr>
            <w:hyperlink w:anchor="page32">
              <w:r>
                <w:rPr>
                  <w:rFonts w:ascii="Arial" w:cs="Arial" w:eastAsia="Arial" w:hAnsi="Arial"/>
                  <w:sz w:val="16"/>
                  <w:szCs w:val="16"/>
                  <w:b w:val="1"/>
                  <w:bCs w:val="1"/>
                  <w:color w:val="828282"/>
                </w:rPr>
                <w:t>Human Resources Committee Report</w:t>
              </w:r>
            </w:hyperlink>
          </w:p>
        </w:tc>
        <w:tc>
          <w:tcPr>
            <w:tcW w:w="460" w:type="dxa"/>
            <w:vAlign w:val="bottom"/>
            <w:tcBorders>
              <w:right w:val="single" w:sz="8" w:color="BF2115"/>
            </w:tcBorders>
            <w:gridSpan w:val="4"/>
            <w:shd w:val="clear" w:color="auto" w:fill="BF2115"/>
          </w:tcPr>
          <w:p>
            <w:pPr>
              <w:jc w:val="center"/>
              <w:ind w:left="119"/>
              <w:spacing w:after="0"/>
              <w:rPr>
                <w:rFonts w:ascii="Arial" w:cs="Arial" w:eastAsia="Arial" w:hAnsi="Arial"/>
                <w:sz w:val="16"/>
                <w:szCs w:val="16"/>
                <w:color w:val="ACACAC"/>
              </w:rPr>
            </w:pPr>
            <w:hyperlink w:anchor="page32">
              <w:r>
                <w:rPr>
                  <w:rFonts w:ascii="Arial" w:cs="Arial" w:eastAsia="Arial" w:hAnsi="Arial"/>
                  <w:sz w:val="16"/>
                  <w:szCs w:val="16"/>
                  <w:color w:val="ACACAC"/>
                </w:rPr>
                <w:t>28</w:t>
              </w:r>
            </w:hyperlink>
          </w:p>
        </w:tc>
        <w:tc>
          <w:tcPr>
            <w:tcW w:w="180" w:type="dxa"/>
            <w:vAlign w:val="bottom"/>
            <w:shd w:val="clear" w:color="auto" w:fill="BF2115"/>
          </w:tcPr>
          <w:p>
            <w:pPr>
              <w:spacing w:after="0"/>
              <w:rPr>
                <w:sz w:val="19"/>
                <w:szCs w:val="19"/>
                <w:color w:val="auto"/>
              </w:rPr>
            </w:pPr>
          </w:p>
        </w:tc>
        <w:tc>
          <w:tcPr>
            <w:tcW w:w="40" w:type="dxa"/>
            <w:vAlign w:val="bottom"/>
            <w:shd w:val="clear" w:color="auto" w:fill="BF2115"/>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shd w:val="clear" w:color="auto" w:fill="828282"/>
          </w:tcPr>
          <w:p>
            <w:pPr>
              <w:spacing w:after="0" w:line="20" w:lineRule="exact"/>
              <w:rPr>
                <w:sz w:val="1"/>
                <w:szCs w:val="1"/>
                <w:color w:val="auto"/>
              </w:rPr>
            </w:pPr>
          </w:p>
        </w:tc>
        <w:tc>
          <w:tcPr>
            <w:tcW w:w="560" w:type="dxa"/>
            <w:vAlign w:val="bottom"/>
            <w:shd w:val="clear" w:color="auto" w:fill="828282"/>
          </w:tcPr>
          <w:p>
            <w:pPr>
              <w:spacing w:after="0" w:line="20" w:lineRule="exact"/>
              <w:rPr>
                <w:sz w:val="1"/>
                <w:szCs w:val="1"/>
                <w:color w:val="auto"/>
              </w:rPr>
            </w:pPr>
          </w:p>
        </w:tc>
        <w:tc>
          <w:tcPr>
            <w:tcW w:w="20" w:type="dxa"/>
            <w:vAlign w:val="bottom"/>
            <w:shd w:val="clear" w:color="auto" w:fill="828282"/>
          </w:tcPr>
          <w:p>
            <w:pPr>
              <w:spacing w:after="0" w:line="20" w:lineRule="exact"/>
              <w:rPr>
                <w:sz w:val="1"/>
                <w:szCs w:val="1"/>
                <w:color w:val="auto"/>
              </w:rPr>
            </w:pPr>
          </w:p>
        </w:tc>
        <w:tc>
          <w:tcPr>
            <w:tcW w:w="840" w:type="dxa"/>
            <w:vAlign w:val="bottom"/>
            <w:tcBorders>
              <w:right w:val="single" w:sz="8" w:color="828282"/>
            </w:tcBorders>
            <w:gridSpan w:val="2"/>
            <w:shd w:val="clear" w:color="auto" w:fill="828282"/>
          </w:tcPr>
          <w:p>
            <w:pPr>
              <w:spacing w:after="0" w:line="20" w:lineRule="exact"/>
              <w:rPr>
                <w:sz w:val="1"/>
                <w:szCs w:val="1"/>
                <w:color w:val="auto"/>
              </w:rPr>
            </w:pPr>
          </w:p>
        </w:tc>
        <w:tc>
          <w:tcPr>
            <w:tcW w:w="660" w:type="dxa"/>
            <w:vAlign w:val="bottom"/>
            <w:tcBorders>
              <w:left w:val="single" w:sz="8" w:color="828282"/>
            </w:tcBorders>
            <w:gridSpan w:val="4"/>
            <w:shd w:val="clear" w:color="auto" w:fill="828282"/>
          </w:tcPr>
          <w:p>
            <w:pPr>
              <w:spacing w:after="0" w:line="20" w:lineRule="exact"/>
              <w:rPr>
                <w:sz w:val="1"/>
                <w:szCs w:val="1"/>
                <w:color w:val="auto"/>
              </w:rPr>
            </w:pPr>
          </w:p>
        </w:tc>
        <w:tc>
          <w:tcPr>
            <w:tcW w:w="180" w:type="dxa"/>
            <w:vAlign w:val="bottom"/>
            <w:shd w:val="clear" w:color="auto" w:fill="828282"/>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60" w:type="dxa"/>
            <w:vAlign w:val="bottom"/>
            <w:gridSpan w:val="2"/>
          </w:tcPr>
          <w:p>
            <w:pPr>
              <w:spacing w:after="0" w:line="20" w:lineRule="exact"/>
              <w:rPr>
                <w:sz w:val="1"/>
                <w:szCs w:val="1"/>
                <w:color w:val="auto"/>
              </w:rPr>
            </w:pPr>
          </w:p>
        </w:tc>
        <w:tc>
          <w:tcPr>
            <w:tcW w:w="126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3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Borders>
              <w:right w:val="single" w:sz="8" w:color="BF2115"/>
            </w:tcBorders>
            <w:shd w:val="clear" w:color="auto" w:fill="BF2115"/>
          </w:tcPr>
          <w:p>
            <w:pPr>
              <w:spacing w:after="0" w:line="20" w:lineRule="exact"/>
              <w:rPr>
                <w:sz w:val="1"/>
                <w:szCs w:val="1"/>
                <w:color w:val="auto"/>
              </w:rPr>
            </w:pPr>
          </w:p>
        </w:tc>
        <w:tc>
          <w:tcPr>
            <w:tcW w:w="220" w:type="dxa"/>
            <w:vAlign w:val="bottom"/>
            <w:tcBorders>
              <w:right w:val="single" w:sz="8" w:color="BF2115"/>
            </w:tcBorders>
            <w:gridSpan w:val="3"/>
            <w:shd w:val="clear" w:color="auto" w:fill="ACACAC"/>
          </w:tcPr>
          <w:p>
            <w:pPr>
              <w:spacing w:after="0" w:line="20" w:lineRule="exact"/>
              <w:rPr>
                <w:sz w:val="1"/>
                <w:szCs w:val="1"/>
                <w:color w:val="auto"/>
              </w:rPr>
            </w:pPr>
          </w:p>
        </w:tc>
        <w:tc>
          <w:tcPr>
            <w:tcW w:w="180" w:type="dxa"/>
            <w:vAlign w:val="bottom"/>
            <w:shd w:val="clear" w:color="auto" w:fill="BF2115"/>
          </w:tcPr>
          <w:p>
            <w:pPr>
              <w:spacing w:after="0" w:line="20" w:lineRule="exact"/>
              <w:rPr>
                <w:sz w:val="1"/>
                <w:szCs w:val="1"/>
                <w:color w:val="auto"/>
              </w:rPr>
            </w:pPr>
          </w:p>
        </w:tc>
        <w:tc>
          <w:tcPr>
            <w:tcW w:w="40" w:type="dxa"/>
            <w:vAlign w:val="bottom"/>
            <w:shd w:val="clear" w:color="auto" w:fill="BF2115"/>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620" w:type="dxa"/>
            <w:vAlign w:val="bottom"/>
            <w:tcBorders>
              <w:bottom w:val="single" w:sz="8" w:color="828282"/>
            </w:tcBorders>
            <w:gridSpan w:val="13"/>
          </w:tcPr>
          <w:p>
            <w:pPr>
              <w:spacing w:after="0"/>
              <w:rPr>
                <w:rFonts w:ascii="Arial" w:cs="Arial" w:eastAsia="Arial" w:hAnsi="Arial"/>
                <w:sz w:val="16"/>
                <w:szCs w:val="16"/>
                <w:b w:val="1"/>
                <w:bCs w:val="1"/>
                <w:color w:val="828282"/>
              </w:rPr>
            </w:pPr>
            <w:hyperlink w:anchor="page32">
              <w:r>
                <w:rPr>
                  <w:rFonts w:ascii="Arial" w:cs="Arial" w:eastAsia="Arial" w:hAnsi="Arial"/>
                  <w:sz w:val="16"/>
                  <w:szCs w:val="16"/>
                  <w:b w:val="1"/>
                  <w:bCs w:val="1"/>
                  <w:color w:val="828282"/>
                </w:rPr>
                <w:t>Compensation Tables and Narrative Disclosure</w:t>
              </w:r>
            </w:hyperlink>
          </w:p>
        </w:tc>
        <w:tc>
          <w:tcPr>
            <w:tcW w:w="6840" w:type="dxa"/>
            <w:vAlign w:val="bottom"/>
            <w:gridSpan w:val="8"/>
          </w:tcPr>
          <w:p>
            <w:pPr>
              <w:spacing w:after="0"/>
              <w:rPr>
                <w:sz w:val="19"/>
                <w:szCs w:val="19"/>
                <w:color w:val="auto"/>
              </w:rPr>
            </w:pPr>
          </w:p>
        </w:tc>
        <w:tc>
          <w:tcPr>
            <w:tcW w:w="240" w:type="dxa"/>
            <w:vAlign w:val="bottom"/>
            <w:tcBorders>
              <w:bottom w:val="single" w:sz="8" w:color="BF2115"/>
              <w:right w:val="single" w:sz="8" w:color="BF2115"/>
            </w:tcBorders>
            <w:shd w:val="clear" w:color="auto" w:fill="BF2115"/>
          </w:tcPr>
          <w:p>
            <w:pPr>
              <w:spacing w:after="0"/>
              <w:rPr>
                <w:sz w:val="19"/>
                <w:szCs w:val="19"/>
                <w:color w:val="auto"/>
              </w:rPr>
            </w:pPr>
          </w:p>
        </w:tc>
        <w:tc>
          <w:tcPr>
            <w:tcW w:w="220" w:type="dxa"/>
            <w:vAlign w:val="bottom"/>
            <w:tcBorders>
              <w:bottom w:val="single" w:sz="8" w:color="ACACAC"/>
              <w:right w:val="single" w:sz="8" w:color="BF2115"/>
            </w:tcBorders>
            <w:gridSpan w:val="3"/>
            <w:shd w:val="clear" w:color="auto" w:fill="BF2115"/>
          </w:tcPr>
          <w:p>
            <w:pPr>
              <w:jc w:val="center"/>
              <w:ind w:right="40"/>
              <w:spacing w:after="0"/>
              <w:rPr>
                <w:rFonts w:ascii="Arial" w:cs="Arial" w:eastAsia="Arial" w:hAnsi="Arial"/>
                <w:sz w:val="16"/>
                <w:szCs w:val="16"/>
                <w:color w:val="ACACAC"/>
              </w:rPr>
            </w:pPr>
            <w:hyperlink w:anchor="page32">
              <w:r>
                <w:rPr>
                  <w:rFonts w:ascii="Arial" w:cs="Arial" w:eastAsia="Arial" w:hAnsi="Arial"/>
                  <w:sz w:val="16"/>
                  <w:szCs w:val="16"/>
                  <w:color w:val="ACACAC"/>
                </w:rPr>
                <w:t>28</w:t>
              </w:r>
            </w:hyperlink>
          </w:p>
        </w:tc>
        <w:tc>
          <w:tcPr>
            <w:tcW w:w="180" w:type="dxa"/>
            <w:vAlign w:val="bottom"/>
            <w:tcBorders>
              <w:bottom w:val="single" w:sz="8" w:color="BF2115"/>
            </w:tcBorders>
            <w:shd w:val="clear" w:color="auto" w:fill="BF2115"/>
          </w:tcPr>
          <w:p>
            <w:pPr>
              <w:spacing w:after="0"/>
              <w:rPr>
                <w:sz w:val="19"/>
                <w:szCs w:val="19"/>
                <w:color w:val="auto"/>
              </w:rPr>
            </w:pPr>
          </w:p>
        </w:tc>
        <w:tc>
          <w:tcPr>
            <w:tcW w:w="40" w:type="dxa"/>
            <w:vAlign w:val="bottom"/>
            <w:tcBorders>
              <w:bottom w:val="single" w:sz="8" w:color="BF2115"/>
            </w:tcBorders>
            <w:shd w:val="clear" w:color="auto" w:fill="BF2115"/>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80" w:type="dxa"/>
            <w:vAlign w:val="bottom"/>
          </w:tcPr>
          <w:p>
            <w:pPr>
              <w:spacing w:after="0"/>
              <w:rPr>
                <w:sz w:val="19"/>
                <w:szCs w:val="19"/>
                <w:color w:val="auto"/>
              </w:rPr>
            </w:pPr>
          </w:p>
        </w:tc>
        <w:tc>
          <w:tcPr>
            <w:tcW w:w="2040" w:type="dxa"/>
            <w:vAlign w:val="bottom"/>
            <w:tcBorders>
              <w:bottom w:val="single" w:sz="8" w:color="828282"/>
            </w:tcBorders>
            <w:gridSpan w:val="6"/>
          </w:tcPr>
          <w:p>
            <w:pPr>
              <w:spacing w:after="0"/>
              <w:rPr>
                <w:rFonts w:ascii="Arial" w:cs="Arial" w:eastAsia="Arial" w:hAnsi="Arial"/>
                <w:sz w:val="16"/>
                <w:szCs w:val="16"/>
                <w:b w:val="1"/>
                <w:bCs w:val="1"/>
                <w:color w:val="828282"/>
              </w:rPr>
            </w:pPr>
            <w:hyperlink w:anchor="page39">
              <w:r>
                <w:rPr>
                  <w:rFonts w:ascii="Arial" w:cs="Arial" w:eastAsia="Arial" w:hAnsi="Arial"/>
                  <w:sz w:val="16"/>
                  <w:szCs w:val="16"/>
                  <w:b w:val="1"/>
                  <w:bCs w:val="1"/>
                  <w:color w:val="828282"/>
                </w:rPr>
                <w:t>CEO Pay Ratio Disclosure</w:t>
              </w:r>
            </w:hyperlink>
          </w:p>
        </w:tc>
        <w:tc>
          <w:tcPr>
            <w:tcW w:w="8440" w:type="dxa"/>
            <w:vAlign w:val="bottom"/>
            <w:gridSpan w:val="16"/>
          </w:tcPr>
          <w:p>
            <w:pPr>
              <w:spacing w:after="0"/>
              <w:rPr>
                <w:sz w:val="19"/>
                <w:szCs w:val="19"/>
                <w:color w:val="auto"/>
              </w:rPr>
            </w:pPr>
          </w:p>
        </w:tc>
        <w:tc>
          <w:tcPr>
            <w:tcW w:w="240" w:type="dxa"/>
            <w:vAlign w:val="bottom"/>
            <w:tcBorders>
              <w:bottom w:val="single" w:sz="8" w:color="BF2115"/>
              <w:right w:val="single" w:sz="8" w:color="BF2115"/>
            </w:tcBorders>
            <w:shd w:val="clear" w:color="auto" w:fill="BF2115"/>
          </w:tcPr>
          <w:p>
            <w:pPr>
              <w:spacing w:after="0"/>
              <w:rPr>
                <w:sz w:val="19"/>
                <w:szCs w:val="19"/>
                <w:color w:val="auto"/>
              </w:rPr>
            </w:pPr>
          </w:p>
        </w:tc>
        <w:tc>
          <w:tcPr>
            <w:tcW w:w="220" w:type="dxa"/>
            <w:vAlign w:val="bottom"/>
            <w:tcBorders>
              <w:bottom w:val="single" w:sz="8" w:color="ACACAC"/>
              <w:right w:val="single" w:sz="8" w:color="BF2115"/>
            </w:tcBorders>
            <w:gridSpan w:val="3"/>
            <w:shd w:val="clear" w:color="auto" w:fill="BF2115"/>
          </w:tcPr>
          <w:p>
            <w:pPr>
              <w:jc w:val="center"/>
              <w:ind w:right="40"/>
              <w:spacing w:after="0"/>
              <w:rPr>
                <w:rFonts w:ascii="Arial" w:cs="Arial" w:eastAsia="Arial" w:hAnsi="Arial"/>
                <w:sz w:val="16"/>
                <w:szCs w:val="16"/>
                <w:color w:val="ACACAC"/>
              </w:rPr>
            </w:pPr>
            <w:hyperlink w:anchor="page39">
              <w:r>
                <w:rPr>
                  <w:rFonts w:ascii="Arial" w:cs="Arial" w:eastAsia="Arial" w:hAnsi="Arial"/>
                  <w:sz w:val="16"/>
                  <w:szCs w:val="16"/>
                  <w:color w:val="ACACAC"/>
                </w:rPr>
                <w:t>35</w:t>
              </w:r>
            </w:hyperlink>
          </w:p>
        </w:tc>
        <w:tc>
          <w:tcPr>
            <w:tcW w:w="180" w:type="dxa"/>
            <w:vAlign w:val="bottom"/>
            <w:tcBorders>
              <w:bottom w:val="single" w:sz="8" w:color="BF2115"/>
            </w:tcBorders>
            <w:shd w:val="clear" w:color="auto" w:fill="BF2115"/>
          </w:tcPr>
          <w:p>
            <w:pPr>
              <w:spacing w:after="0"/>
              <w:rPr>
                <w:sz w:val="19"/>
                <w:szCs w:val="19"/>
                <w:color w:val="auto"/>
              </w:rPr>
            </w:pPr>
          </w:p>
        </w:tc>
        <w:tc>
          <w:tcPr>
            <w:tcW w:w="40" w:type="dxa"/>
            <w:vAlign w:val="bottom"/>
            <w:tcBorders>
              <w:bottom w:val="single" w:sz="8" w:color="BF2115"/>
            </w:tcBorders>
            <w:shd w:val="clear" w:color="auto" w:fill="BF2115"/>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0660" w:type="dxa"/>
            <w:vAlign w:val="bottom"/>
            <w:gridSpan w:val="23"/>
          </w:tcPr>
          <w:p>
            <w:pPr>
              <w:spacing w:after="0"/>
              <w:rPr>
                <w:rFonts w:ascii="Arial" w:cs="Arial" w:eastAsia="Arial" w:hAnsi="Arial"/>
                <w:sz w:val="16"/>
                <w:szCs w:val="16"/>
                <w:b w:val="1"/>
                <w:bCs w:val="1"/>
                <w:color w:val="828282"/>
              </w:rPr>
            </w:pPr>
            <w:hyperlink w:anchor="page40">
              <w:r>
                <w:rPr>
                  <w:rFonts w:ascii="Arial" w:cs="Arial" w:eastAsia="Arial" w:hAnsi="Arial"/>
                  <w:sz w:val="16"/>
                  <w:szCs w:val="16"/>
                  <w:b w:val="1"/>
                  <w:bCs w:val="1"/>
                  <w:color w:val="828282"/>
                </w:rPr>
                <w:t>ITEM 2 APPROVAL OF EXECUTIVE COMPENSATION (THE "SAY ON PAY" VOTE)</w:t>
              </w:r>
            </w:hyperlink>
          </w:p>
        </w:tc>
        <w:tc>
          <w:tcPr>
            <w:tcW w:w="460" w:type="dxa"/>
            <w:vAlign w:val="bottom"/>
            <w:tcBorders>
              <w:right w:val="single" w:sz="8" w:color="BF2115"/>
            </w:tcBorders>
            <w:gridSpan w:val="4"/>
            <w:shd w:val="clear" w:color="auto" w:fill="BF2115"/>
          </w:tcPr>
          <w:p>
            <w:pPr>
              <w:jc w:val="center"/>
              <w:ind w:left="119"/>
              <w:spacing w:after="0"/>
              <w:rPr>
                <w:rFonts w:ascii="Arial" w:cs="Arial" w:eastAsia="Arial" w:hAnsi="Arial"/>
                <w:sz w:val="16"/>
                <w:szCs w:val="16"/>
                <w:color w:val="ACACAC"/>
              </w:rPr>
            </w:pPr>
            <w:hyperlink w:anchor="page40">
              <w:r>
                <w:rPr>
                  <w:rFonts w:ascii="Arial" w:cs="Arial" w:eastAsia="Arial" w:hAnsi="Arial"/>
                  <w:sz w:val="16"/>
                  <w:szCs w:val="16"/>
                  <w:color w:val="ACACAC"/>
                </w:rPr>
                <w:t>36</w:t>
              </w:r>
            </w:hyperlink>
          </w:p>
        </w:tc>
        <w:tc>
          <w:tcPr>
            <w:tcW w:w="180" w:type="dxa"/>
            <w:vAlign w:val="bottom"/>
            <w:shd w:val="clear" w:color="auto" w:fill="BF2115"/>
          </w:tcPr>
          <w:p>
            <w:pPr>
              <w:spacing w:after="0"/>
              <w:rPr>
                <w:sz w:val="19"/>
                <w:szCs w:val="19"/>
                <w:color w:val="auto"/>
              </w:rPr>
            </w:pPr>
          </w:p>
        </w:tc>
        <w:tc>
          <w:tcPr>
            <w:tcW w:w="40" w:type="dxa"/>
            <w:vAlign w:val="bottom"/>
            <w:shd w:val="clear" w:color="auto" w:fill="BF2115"/>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160" w:type="dxa"/>
            <w:vAlign w:val="bottom"/>
            <w:tcBorders>
              <w:top w:val="single" w:sz="8" w:color="828282"/>
            </w:tcBorders>
            <w:gridSpan w:val="21"/>
          </w:tcPr>
          <w:p>
            <w:pPr>
              <w:spacing w:after="0"/>
              <w:rPr>
                <w:rFonts w:ascii="Arial" w:cs="Arial" w:eastAsia="Arial" w:hAnsi="Arial"/>
                <w:sz w:val="16"/>
                <w:szCs w:val="16"/>
                <w:b w:val="1"/>
                <w:bCs w:val="1"/>
                <w:color w:val="828282"/>
              </w:rPr>
            </w:pPr>
            <w:hyperlink w:anchor="page40">
              <w:r>
                <w:rPr>
                  <w:rFonts w:ascii="Arial" w:cs="Arial" w:eastAsia="Arial" w:hAnsi="Arial"/>
                  <w:sz w:val="16"/>
                  <w:szCs w:val="16"/>
                  <w:b w:val="1"/>
                  <w:bCs w:val="1"/>
                  <w:color w:val="828282"/>
                </w:rPr>
                <w:t>ITEM 3 APPROVAL OF THE 2019 OMNIBUS INCENTIVE PLAN</w:t>
              </w:r>
            </w:hyperlink>
          </w:p>
        </w:tc>
        <w:tc>
          <w:tcPr>
            <w:tcW w:w="4500" w:type="dxa"/>
            <w:vAlign w:val="bottom"/>
            <w:gridSpan w:val="2"/>
          </w:tcPr>
          <w:p>
            <w:pPr>
              <w:spacing w:after="0"/>
              <w:rPr>
                <w:sz w:val="19"/>
                <w:szCs w:val="19"/>
                <w:color w:val="auto"/>
              </w:rPr>
            </w:pPr>
          </w:p>
        </w:tc>
        <w:tc>
          <w:tcPr>
            <w:tcW w:w="240" w:type="dxa"/>
            <w:vAlign w:val="bottom"/>
            <w:tcBorders>
              <w:top w:val="single" w:sz="8" w:color="BF2115"/>
              <w:right w:val="single" w:sz="8" w:color="BF2115"/>
            </w:tcBorders>
            <w:shd w:val="clear" w:color="auto" w:fill="BF2115"/>
          </w:tcPr>
          <w:p>
            <w:pPr>
              <w:spacing w:after="0"/>
              <w:rPr>
                <w:sz w:val="19"/>
                <w:szCs w:val="19"/>
                <w:color w:val="auto"/>
              </w:rPr>
            </w:pPr>
          </w:p>
        </w:tc>
        <w:tc>
          <w:tcPr>
            <w:tcW w:w="220" w:type="dxa"/>
            <w:vAlign w:val="bottom"/>
            <w:tcBorders>
              <w:top w:val="single" w:sz="8" w:color="ACACAC"/>
              <w:right w:val="single" w:sz="8" w:color="BF2115"/>
            </w:tcBorders>
            <w:gridSpan w:val="3"/>
            <w:shd w:val="clear" w:color="auto" w:fill="BF2115"/>
          </w:tcPr>
          <w:p>
            <w:pPr>
              <w:jc w:val="center"/>
              <w:ind w:right="40"/>
              <w:spacing w:after="0"/>
              <w:rPr>
                <w:rFonts w:ascii="Arial" w:cs="Arial" w:eastAsia="Arial" w:hAnsi="Arial"/>
                <w:sz w:val="16"/>
                <w:szCs w:val="16"/>
                <w:color w:val="ACACAC"/>
              </w:rPr>
            </w:pPr>
            <w:hyperlink w:anchor="page40">
              <w:r>
                <w:rPr>
                  <w:rFonts w:ascii="Arial" w:cs="Arial" w:eastAsia="Arial" w:hAnsi="Arial"/>
                  <w:sz w:val="16"/>
                  <w:szCs w:val="16"/>
                  <w:color w:val="ACACAC"/>
                </w:rPr>
                <w:t>36</w:t>
              </w:r>
            </w:hyperlink>
          </w:p>
        </w:tc>
        <w:tc>
          <w:tcPr>
            <w:tcW w:w="180" w:type="dxa"/>
            <w:vAlign w:val="bottom"/>
            <w:tcBorders>
              <w:top w:val="single" w:sz="8" w:color="BF2115"/>
            </w:tcBorders>
            <w:shd w:val="clear" w:color="auto" w:fill="BF2115"/>
          </w:tcPr>
          <w:p>
            <w:pPr>
              <w:spacing w:after="0"/>
              <w:rPr>
                <w:sz w:val="19"/>
                <w:szCs w:val="19"/>
                <w:color w:val="auto"/>
              </w:rPr>
            </w:pPr>
          </w:p>
        </w:tc>
        <w:tc>
          <w:tcPr>
            <w:tcW w:w="40" w:type="dxa"/>
            <w:vAlign w:val="bottom"/>
            <w:tcBorders>
              <w:top w:val="single" w:sz="8" w:color="BF2115"/>
            </w:tcBorders>
            <w:shd w:val="clear" w:color="auto" w:fill="BF2115"/>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880" w:type="dxa"/>
            <w:vAlign w:val="bottom"/>
            <w:tcBorders>
              <w:top w:val="single" w:sz="8" w:color="828282"/>
              <w:bottom w:val="single" w:sz="8" w:color="828282"/>
            </w:tcBorders>
            <w:gridSpan w:val="11"/>
          </w:tcPr>
          <w:p>
            <w:pPr>
              <w:spacing w:after="0"/>
              <w:rPr>
                <w:rFonts w:ascii="Arial" w:cs="Arial" w:eastAsia="Arial" w:hAnsi="Arial"/>
                <w:sz w:val="16"/>
                <w:szCs w:val="16"/>
                <w:b w:val="1"/>
                <w:bCs w:val="1"/>
                <w:color w:val="828282"/>
              </w:rPr>
            </w:pPr>
            <w:hyperlink w:anchor="page49">
              <w:r>
                <w:rPr>
                  <w:rFonts w:ascii="Arial" w:cs="Arial" w:eastAsia="Arial" w:hAnsi="Arial"/>
                  <w:sz w:val="16"/>
                  <w:szCs w:val="16"/>
                  <w:b w:val="1"/>
                  <w:bCs w:val="1"/>
                  <w:color w:val="828282"/>
                </w:rPr>
                <w:t>REPORT OF THE AUDIT COMMITTEE</w:t>
              </w:r>
            </w:hyperlink>
          </w:p>
        </w:tc>
        <w:tc>
          <w:tcPr>
            <w:tcW w:w="1820" w:type="dxa"/>
            <w:vAlign w:val="bottom"/>
            <w:tcBorders>
              <w:top w:val="single" w:sz="8" w:color="828282"/>
            </w:tcBorders>
            <w:gridSpan w:val="7"/>
          </w:tcPr>
          <w:p>
            <w:pPr>
              <w:spacing w:after="0"/>
              <w:rPr>
                <w:sz w:val="19"/>
                <w:szCs w:val="19"/>
                <w:color w:val="auto"/>
              </w:rPr>
            </w:pPr>
          </w:p>
        </w:tc>
        <w:tc>
          <w:tcPr>
            <w:tcW w:w="5960" w:type="dxa"/>
            <w:vAlign w:val="bottom"/>
            <w:gridSpan w:val="5"/>
          </w:tcPr>
          <w:p>
            <w:pPr>
              <w:spacing w:after="0"/>
              <w:rPr>
                <w:sz w:val="19"/>
                <w:szCs w:val="19"/>
                <w:color w:val="auto"/>
              </w:rPr>
            </w:pPr>
          </w:p>
        </w:tc>
        <w:tc>
          <w:tcPr>
            <w:tcW w:w="240" w:type="dxa"/>
            <w:vAlign w:val="bottom"/>
            <w:tcBorders>
              <w:top w:val="single" w:sz="8" w:color="BF2115"/>
              <w:bottom w:val="single" w:sz="8" w:color="BF2115"/>
              <w:right w:val="single" w:sz="8" w:color="BF2115"/>
            </w:tcBorders>
            <w:shd w:val="clear" w:color="auto" w:fill="BF2115"/>
          </w:tcPr>
          <w:p>
            <w:pPr>
              <w:spacing w:after="0"/>
              <w:rPr>
                <w:sz w:val="19"/>
                <w:szCs w:val="19"/>
                <w:color w:val="auto"/>
              </w:rPr>
            </w:pPr>
          </w:p>
        </w:tc>
        <w:tc>
          <w:tcPr>
            <w:tcW w:w="220" w:type="dxa"/>
            <w:vAlign w:val="bottom"/>
            <w:tcBorders>
              <w:top w:val="single" w:sz="8" w:color="ACACAC"/>
              <w:bottom w:val="single" w:sz="8" w:color="ACACAC"/>
              <w:right w:val="single" w:sz="8" w:color="BF2115"/>
            </w:tcBorders>
            <w:gridSpan w:val="3"/>
            <w:shd w:val="clear" w:color="auto" w:fill="BF2115"/>
          </w:tcPr>
          <w:p>
            <w:pPr>
              <w:jc w:val="center"/>
              <w:ind w:right="40"/>
              <w:spacing w:after="0"/>
              <w:rPr>
                <w:rFonts w:ascii="Arial" w:cs="Arial" w:eastAsia="Arial" w:hAnsi="Arial"/>
                <w:sz w:val="16"/>
                <w:szCs w:val="16"/>
                <w:color w:val="ACACAC"/>
              </w:rPr>
            </w:pPr>
            <w:hyperlink w:anchor="page49">
              <w:r>
                <w:rPr>
                  <w:rFonts w:ascii="Arial" w:cs="Arial" w:eastAsia="Arial" w:hAnsi="Arial"/>
                  <w:sz w:val="16"/>
                  <w:szCs w:val="16"/>
                  <w:color w:val="ACACAC"/>
                </w:rPr>
                <w:t>45</w:t>
              </w:r>
            </w:hyperlink>
          </w:p>
        </w:tc>
        <w:tc>
          <w:tcPr>
            <w:tcW w:w="180" w:type="dxa"/>
            <w:vAlign w:val="bottom"/>
            <w:tcBorders>
              <w:top w:val="single" w:sz="8" w:color="BF2115"/>
              <w:bottom w:val="single" w:sz="8" w:color="BF2115"/>
            </w:tcBorders>
            <w:shd w:val="clear" w:color="auto" w:fill="BF2115"/>
          </w:tcPr>
          <w:p>
            <w:pPr>
              <w:spacing w:after="0"/>
              <w:rPr>
                <w:sz w:val="19"/>
                <w:szCs w:val="19"/>
                <w:color w:val="auto"/>
              </w:rPr>
            </w:pPr>
          </w:p>
        </w:tc>
        <w:tc>
          <w:tcPr>
            <w:tcW w:w="40" w:type="dxa"/>
            <w:vAlign w:val="bottom"/>
            <w:tcBorders>
              <w:top w:val="single" w:sz="8" w:color="BF2115"/>
              <w:bottom w:val="single" w:sz="8" w:color="BF2115"/>
            </w:tcBorders>
            <w:shd w:val="clear" w:color="auto" w:fill="BF2115"/>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960" w:type="dxa"/>
            <w:vAlign w:val="bottom"/>
            <w:tcBorders>
              <w:bottom w:val="single" w:sz="8" w:color="828282"/>
            </w:tcBorders>
            <w:gridSpan w:val="20"/>
          </w:tcPr>
          <w:p>
            <w:pPr>
              <w:spacing w:after="0"/>
              <w:rPr>
                <w:rFonts w:ascii="Arial" w:cs="Arial" w:eastAsia="Arial" w:hAnsi="Arial"/>
                <w:sz w:val="16"/>
                <w:szCs w:val="16"/>
                <w:b w:val="1"/>
                <w:bCs w:val="1"/>
                <w:color w:val="828282"/>
              </w:rPr>
            </w:pPr>
            <w:hyperlink w:anchor="page50">
              <w:r>
                <w:rPr>
                  <w:rFonts w:ascii="Arial" w:cs="Arial" w:eastAsia="Arial" w:hAnsi="Arial"/>
                  <w:sz w:val="16"/>
                  <w:szCs w:val="16"/>
                  <w:b w:val="1"/>
                  <w:bCs w:val="1"/>
                  <w:color w:val="828282"/>
                </w:rPr>
                <w:t>INDEPENDENT REGISTERED PUBLIC ACCOUNTANT'S FEES AND SERVICES</w:t>
              </w:r>
            </w:hyperlink>
          </w:p>
        </w:tc>
        <w:tc>
          <w:tcPr>
            <w:tcW w:w="4700" w:type="dxa"/>
            <w:vAlign w:val="bottom"/>
            <w:gridSpan w:val="3"/>
          </w:tcPr>
          <w:p>
            <w:pPr>
              <w:spacing w:after="0"/>
              <w:rPr>
                <w:sz w:val="19"/>
                <w:szCs w:val="19"/>
                <w:color w:val="auto"/>
              </w:rPr>
            </w:pPr>
          </w:p>
        </w:tc>
        <w:tc>
          <w:tcPr>
            <w:tcW w:w="240" w:type="dxa"/>
            <w:vAlign w:val="bottom"/>
            <w:tcBorders>
              <w:bottom w:val="single" w:sz="8" w:color="BF2115"/>
              <w:right w:val="single" w:sz="8" w:color="BF2115"/>
            </w:tcBorders>
            <w:shd w:val="clear" w:color="auto" w:fill="BF2115"/>
          </w:tcPr>
          <w:p>
            <w:pPr>
              <w:spacing w:after="0"/>
              <w:rPr>
                <w:sz w:val="19"/>
                <w:szCs w:val="19"/>
                <w:color w:val="auto"/>
              </w:rPr>
            </w:pPr>
          </w:p>
        </w:tc>
        <w:tc>
          <w:tcPr>
            <w:tcW w:w="220" w:type="dxa"/>
            <w:vAlign w:val="bottom"/>
            <w:tcBorders>
              <w:bottom w:val="single" w:sz="8" w:color="ACACAC"/>
              <w:right w:val="single" w:sz="8" w:color="BF2115"/>
            </w:tcBorders>
            <w:gridSpan w:val="3"/>
            <w:shd w:val="clear" w:color="auto" w:fill="BF2115"/>
          </w:tcPr>
          <w:p>
            <w:pPr>
              <w:jc w:val="center"/>
              <w:ind w:right="40"/>
              <w:spacing w:after="0"/>
              <w:rPr>
                <w:rFonts w:ascii="Arial" w:cs="Arial" w:eastAsia="Arial" w:hAnsi="Arial"/>
                <w:sz w:val="16"/>
                <w:szCs w:val="16"/>
                <w:color w:val="ACACAC"/>
              </w:rPr>
            </w:pPr>
            <w:hyperlink w:anchor="page50">
              <w:r>
                <w:rPr>
                  <w:rFonts w:ascii="Arial" w:cs="Arial" w:eastAsia="Arial" w:hAnsi="Arial"/>
                  <w:sz w:val="16"/>
                  <w:szCs w:val="16"/>
                  <w:color w:val="ACACAC"/>
                </w:rPr>
                <w:t>46</w:t>
              </w:r>
            </w:hyperlink>
          </w:p>
        </w:tc>
        <w:tc>
          <w:tcPr>
            <w:tcW w:w="180" w:type="dxa"/>
            <w:vAlign w:val="bottom"/>
            <w:tcBorders>
              <w:bottom w:val="single" w:sz="8" w:color="BF2115"/>
            </w:tcBorders>
            <w:shd w:val="clear" w:color="auto" w:fill="BF2115"/>
          </w:tcPr>
          <w:p>
            <w:pPr>
              <w:spacing w:after="0"/>
              <w:rPr>
                <w:sz w:val="19"/>
                <w:szCs w:val="19"/>
                <w:color w:val="auto"/>
              </w:rPr>
            </w:pPr>
          </w:p>
        </w:tc>
        <w:tc>
          <w:tcPr>
            <w:tcW w:w="40" w:type="dxa"/>
            <w:vAlign w:val="bottom"/>
            <w:tcBorders>
              <w:bottom w:val="single" w:sz="8" w:color="BF2115"/>
            </w:tcBorders>
            <w:shd w:val="clear" w:color="auto" w:fill="BF2115"/>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0660" w:type="dxa"/>
            <w:vAlign w:val="bottom"/>
            <w:gridSpan w:val="23"/>
          </w:tcPr>
          <w:p>
            <w:pPr>
              <w:spacing w:after="0"/>
              <w:rPr>
                <w:rFonts w:ascii="Arial" w:cs="Arial" w:eastAsia="Arial" w:hAnsi="Arial"/>
                <w:sz w:val="16"/>
                <w:szCs w:val="16"/>
                <w:b w:val="1"/>
                <w:bCs w:val="1"/>
                <w:color w:val="828282"/>
              </w:rPr>
            </w:pPr>
            <w:hyperlink w:anchor="page50">
              <w:r>
                <w:rPr>
                  <w:rFonts w:ascii="Arial" w:cs="Arial" w:eastAsia="Arial" w:hAnsi="Arial"/>
                  <w:sz w:val="16"/>
                  <w:szCs w:val="16"/>
                  <w:b w:val="1"/>
                  <w:bCs w:val="1"/>
                  <w:color w:val="828282"/>
                </w:rPr>
                <w:t>ITEM 4 RATIFICATION OF THE APPOINTMENT OF INDEPENDENT REGISTERED PUBLIC ACCOUNTANT FOR THE FISCAL YEAR ENDING</w:t>
              </w:r>
            </w:hyperlink>
          </w:p>
        </w:tc>
        <w:tc>
          <w:tcPr>
            <w:tcW w:w="240" w:type="dxa"/>
            <w:vAlign w:val="bottom"/>
            <w:tcBorders>
              <w:right w:val="single" w:sz="8" w:color="BF2115"/>
            </w:tcBorders>
            <w:shd w:val="clear" w:color="auto" w:fill="BF2115"/>
          </w:tcPr>
          <w:p>
            <w:pPr>
              <w:spacing w:after="0"/>
              <w:rPr>
                <w:sz w:val="19"/>
                <w:szCs w:val="19"/>
                <w:color w:val="auto"/>
              </w:rPr>
            </w:pPr>
          </w:p>
        </w:tc>
        <w:tc>
          <w:tcPr>
            <w:tcW w:w="20" w:type="dxa"/>
            <w:vAlign w:val="bottom"/>
            <w:shd w:val="clear" w:color="auto" w:fill="BF2115"/>
          </w:tcPr>
          <w:p>
            <w:pPr>
              <w:spacing w:after="0"/>
              <w:rPr>
                <w:sz w:val="19"/>
                <w:szCs w:val="19"/>
                <w:color w:val="auto"/>
              </w:rPr>
            </w:pPr>
          </w:p>
        </w:tc>
        <w:tc>
          <w:tcPr>
            <w:tcW w:w="40" w:type="dxa"/>
            <w:vAlign w:val="bottom"/>
            <w:shd w:val="clear" w:color="auto" w:fill="BF2115"/>
          </w:tcPr>
          <w:p>
            <w:pPr>
              <w:spacing w:after="0"/>
              <w:rPr>
                <w:sz w:val="19"/>
                <w:szCs w:val="19"/>
                <w:color w:val="auto"/>
              </w:rPr>
            </w:pPr>
          </w:p>
        </w:tc>
        <w:tc>
          <w:tcPr>
            <w:tcW w:w="160" w:type="dxa"/>
            <w:vAlign w:val="bottom"/>
            <w:tcBorders>
              <w:right w:val="single" w:sz="8" w:color="BF2115"/>
            </w:tcBorders>
            <w:shd w:val="clear" w:color="auto" w:fill="BF2115"/>
          </w:tcPr>
          <w:p>
            <w:pPr>
              <w:spacing w:after="0"/>
              <w:rPr>
                <w:sz w:val="19"/>
                <w:szCs w:val="19"/>
                <w:color w:val="auto"/>
              </w:rPr>
            </w:pPr>
          </w:p>
        </w:tc>
        <w:tc>
          <w:tcPr>
            <w:tcW w:w="180" w:type="dxa"/>
            <w:vAlign w:val="bottom"/>
            <w:shd w:val="clear" w:color="auto" w:fill="BF2115"/>
          </w:tcPr>
          <w:p>
            <w:pPr>
              <w:spacing w:after="0"/>
              <w:rPr>
                <w:sz w:val="19"/>
                <w:szCs w:val="19"/>
                <w:color w:val="auto"/>
              </w:rPr>
            </w:pPr>
          </w:p>
        </w:tc>
        <w:tc>
          <w:tcPr>
            <w:tcW w:w="40" w:type="dxa"/>
            <w:vAlign w:val="bottom"/>
            <w:shd w:val="clear" w:color="auto" w:fill="BF2115"/>
          </w:tcPr>
          <w:p>
            <w:pPr>
              <w:spacing w:after="0"/>
              <w:rPr>
                <w:sz w:val="19"/>
                <w:szCs w:val="19"/>
                <w:color w:val="auto"/>
              </w:rPr>
            </w:pPr>
          </w:p>
        </w:tc>
        <w:tc>
          <w:tcPr>
            <w:tcW w:w="0" w:type="dxa"/>
            <w:vAlign w:val="bottom"/>
          </w:tcPr>
          <w:p>
            <w:pPr>
              <w:spacing w:after="0"/>
              <w:rPr>
                <w:sz w:val="1"/>
                <w:szCs w:val="1"/>
                <w:color w:val="auto"/>
              </w:rPr>
            </w:pPr>
          </w:p>
        </w:tc>
      </w:tr>
      <w:tr>
        <w:trPr>
          <w:trHeight w:val="169"/>
        </w:trPr>
        <w:tc>
          <w:tcPr>
            <w:tcW w:w="10500" w:type="dxa"/>
            <w:vAlign w:val="bottom"/>
            <w:tcBorders>
              <w:top w:val="single" w:sz="8" w:color="828282"/>
            </w:tcBorders>
            <w:gridSpan w:val="22"/>
          </w:tcPr>
          <w:p>
            <w:pPr>
              <w:spacing w:after="0" w:line="169" w:lineRule="exact"/>
              <w:rPr>
                <w:rFonts w:ascii="Arial" w:cs="Arial" w:eastAsia="Arial" w:hAnsi="Arial"/>
                <w:sz w:val="16"/>
                <w:szCs w:val="16"/>
                <w:b w:val="1"/>
                <w:bCs w:val="1"/>
                <w:color w:val="828282"/>
              </w:rPr>
            </w:pPr>
            <w:hyperlink w:anchor="page50">
              <w:r>
                <w:rPr>
                  <w:rFonts w:ascii="Arial" w:cs="Arial" w:eastAsia="Arial" w:hAnsi="Arial"/>
                  <w:sz w:val="16"/>
                  <w:szCs w:val="16"/>
                  <w:b w:val="1"/>
                  <w:bCs w:val="1"/>
                  <w:color w:val="828282"/>
                </w:rPr>
                <w:t>AUGUST 31, 2019</w:t>
              </w:r>
            </w:hyperlink>
          </w:p>
        </w:tc>
        <w:tc>
          <w:tcPr>
            <w:tcW w:w="160" w:type="dxa"/>
            <w:vAlign w:val="bottom"/>
          </w:tcPr>
          <w:p>
            <w:pPr>
              <w:spacing w:after="0"/>
              <w:rPr>
                <w:sz w:val="14"/>
                <w:szCs w:val="14"/>
                <w:color w:val="auto"/>
              </w:rPr>
            </w:pPr>
          </w:p>
        </w:tc>
        <w:tc>
          <w:tcPr>
            <w:tcW w:w="460" w:type="dxa"/>
            <w:vAlign w:val="bottom"/>
            <w:tcBorders>
              <w:top w:val="single" w:sz="8" w:color="BF2115"/>
              <w:right w:val="single" w:sz="8" w:color="BF2115"/>
            </w:tcBorders>
            <w:gridSpan w:val="4"/>
            <w:shd w:val="clear" w:color="auto" w:fill="BF2115"/>
          </w:tcPr>
          <w:p>
            <w:pPr>
              <w:jc w:val="center"/>
              <w:ind w:left="119"/>
              <w:spacing w:after="0" w:line="169" w:lineRule="exact"/>
              <w:rPr>
                <w:rFonts w:ascii="Arial" w:cs="Arial" w:eastAsia="Arial" w:hAnsi="Arial"/>
                <w:sz w:val="16"/>
                <w:szCs w:val="16"/>
                <w:color w:val="ACACAC"/>
              </w:rPr>
            </w:pPr>
            <w:hyperlink w:anchor="page50">
              <w:r>
                <w:rPr>
                  <w:rFonts w:ascii="Arial" w:cs="Arial" w:eastAsia="Arial" w:hAnsi="Arial"/>
                  <w:sz w:val="16"/>
                  <w:szCs w:val="16"/>
                  <w:color w:val="ACACAC"/>
                </w:rPr>
                <w:t>46</w:t>
              </w:r>
            </w:hyperlink>
          </w:p>
        </w:tc>
        <w:tc>
          <w:tcPr>
            <w:tcW w:w="180" w:type="dxa"/>
            <w:vAlign w:val="bottom"/>
            <w:tcBorders>
              <w:top w:val="single" w:sz="8" w:color="BF2115"/>
            </w:tcBorders>
            <w:shd w:val="clear" w:color="auto" w:fill="BF2115"/>
          </w:tcPr>
          <w:p>
            <w:pPr>
              <w:spacing w:after="0"/>
              <w:rPr>
                <w:sz w:val="14"/>
                <w:szCs w:val="14"/>
                <w:color w:val="auto"/>
              </w:rPr>
            </w:pPr>
          </w:p>
        </w:tc>
        <w:tc>
          <w:tcPr>
            <w:tcW w:w="40" w:type="dxa"/>
            <w:vAlign w:val="bottom"/>
            <w:tcBorders>
              <w:top w:val="single" w:sz="8" w:color="BF2115"/>
            </w:tcBorders>
            <w:shd w:val="clear" w:color="auto" w:fill="BF2115"/>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800" w:type="dxa"/>
            <w:vAlign w:val="bottom"/>
            <w:gridSpan w:val="3"/>
            <w:shd w:val="clear" w:color="auto" w:fill="828282"/>
          </w:tcPr>
          <w:p>
            <w:pPr>
              <w:spacing w:after="0" w:line="20" w:lineRule="exact"/>
              <w:rPr>
                <w:sz w:val="1"/>
                <w:szCs w:val="1"/>
                <w:color w:val="auto"/>
              </w:rPr>
            </w:pPr>
          </w:p>
        </w:tc>
        <w:tc>
          <w:tcPr>
            <w:tcW w:w="560" w:type="dxa"/>
            <w:vAlign w:val="bottom"/>
            <w:shd w:val="clear" w:color="auto" w:fill="82828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320" w:type="dxa"/>
            <w:vAlign w:val="bottom"/>
            <w:gridSpan w:val="9"/>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6820" w:type="dxa"/>
            <w:vAlign w:val="bottom"/>
            <w:gridSpan w:val="7"/>
          </w:tcPr>
          <w:p>
            <w:pPr>
              <w:spacing w:after="0" w:line="20" w:lineRule="exact"/>
              <w:rPr>
                <w:sz w:val="1"/>
                <w:szCs w:val="1"/>
                <w:color w:val="auto"/>
              </w:rPr>
            </w:pPr>
          </w:p>
        </w:tc>
        <w:tc>
          <w:tcPr>
            <w:tcW w:w="240" w:type="dxa"/>
            <w:vAlign w:val="bottom"/>
            <w:tcBorders>
              <w:right w:val="single" w:sz="8" w:color="BF2115"/>
            </w:tcBorders>
            <w:shd w:val="clear" w:color="auto" w:fill="BF2115"/>
          </w:tcPr>
          <w:p>
            <w:pPr>
              <w:spacing w:after="0" w:line="20" w:lineRule="exact"/>
              <w:rPr>
                <w:sz w:val="1"/>
                <w:szCs w:val="1"/>
                <w:color w:val="auto"/>
              </w:rPr>
            </w:pPr>
          </w:p>
        </w:tc>
        <w:tc>
          <w:tcPr>
            <w:tcW w:w="220" w:type="dxa"/>
            <w:vAlign w:val="bottom"/>
            <w:tcBorders>
              <w:right w:val="single" w:sz="8" w:color="BF2115"/>
            </w:tcBorders>
            <w:gridSpan w:val="3"/>
            <w:shd w:val="clear" w:color="auto" w:fill="ACACAC"/>
          </w:tcPr>
          <w:p>
            <w:pPr>
              <w:spacing w:after="0" w:line="20" w:lineRule="exact"/>
              <w:rPr>
                <w:sz w:val="1"/>
                <w:szCs w:val="1"/>
                <w:color w:val="auto"/>
              </w:rPr>
            </w:pPr>
          </w:p>
        </w:tc>
        <w:tc>
          <w:tcPr>
            <w:tcW w:w="180" w:type="dxa"/>
            <w:vAlign w:val="bottom"/>
            <w:shd w:val="clear" w:color="auto" w:fill="BF2115"/>
          </w:tcPr>
          <w:p>
            <w:pPr>
              <w:spacing w:after="0" w:line="20" w:lineRule="exact"/>
              <w:rPr>
                <w:sz w:val="1"/>
                <w:szCs w:val="1"/>
                <w:color w:val="auto"/>
              </w:rPr>
            </w:pPr>
          </w:p>
        </w:tc>
        <w:tc>
          <w:tcPr>
            <w:tcW w:w="40" w:type="dxa"/>
            <w:vAlign w:val="bottom"/>
            <w:shd w:val="clear" w:color="auto" w:fill="BF2115"/>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10660" w:type="dxa"/>
            <w:vAlign w:val="bottom"/>
            <w:gridSpan w:val="23"/>
          </w:tcPr>
          <w:p>
            <w:pPr>
              <w:spacing w:after="0"/>
              <w:rPr>
                <w:rFonts w:ascii="Arial" w:cs="Arial" w:eastAsia="Arial" w:hAnsi="Arial"/>
                <w:sz w:val="16"/>
                <w:szCs w:val="16"/>
                <w:b w:val="1"/>
                <w:bCs w:val="1"/>
                <w:color w:val="828282"/>
              </w:rPr>
            </w:pPr>
            <w:hyperlink w:anchor="page51">
              <w:r>
                <w:rPr>
                  <w:rFonts w:ascii="Arial" w:cs="Arial" w:eastAsia="Arial" w:hAnsi="Arial"/>
                  <w:sz w:val="16"/>
                  <w:szCs w:val="16"/>
                  <w:b w:val="1"/>
                  <w:bCs w:val="1"/>
                  <w:color w:val="828282"/>
                </w:rPr>
                <w:t>OTHER MATTERS</w:t>
              </w:r>
            </w:hyperlink>
          </w:p>
        </w:tc>
        <w:tc>
          <w:tcPr>
            <w:tcW w:w="460" w:type="dxa"/>
            <w:vAlign w:val="bottom"/>
            <w:tcBorders>
              <w:right w:val="single" w:sz="8" w:color="BF2115"/>
            </w:tcBorders>
            <w:gridSpan w:val="4"/>
            <w:shd w:val="clear" w:color="auto" w:fill="BF2115"/>
          </w:tcPr>
          <w:p>
            <w:pPr>
              <w:jc w:val="center"/>
              <w:ind w:left="119"/>
              <w:spacing w:after="0"/>
              <w:rPr>
                <w:rFonts w:ascii="Arial" w:cs="Arial" w:eastAsia="Arial" w:hAnsi="Arial"/>
                <w:sz w:val="16"/>
                <w:szCs w:val="16"/>
                <w:color w:val="ACACAC"/>
              </w:rPr>
            </w:pPr>
            <w:hyperlink w:anchor="page51">
              <w:r>
                <w:rPr>
                  <w:rFonts w:ascii="Arial" w:cs="Arial" w:eastAsia="Arial" w:hAnsi="Arial"/>
                  <w:sz w:val="16"/>
                  <w:szCs w:val="16"/>
                  <w:color w:val="ACACAC"/>
                </w:rPr>
                <w:t>47</w:t>
              </w:r>
            </w:hyperlink>
          </w:p>
        </w:tc>
        <w:tc>
          <w:tcPr>
            <w:tcW w:w="180" w:type="dxa"/>
            <w:vAlign w:val="bottom"/>
            <w:shd w:val="clear" w:color="auto" w:fill="BF2115"/>
          </w:tcPr>
          <w:p>
            <w:pPr>
              <w:spacing w:after="0"/>
              <w:rPr>
                <w:sz w:val="19"/>
                <w:szCs w:val="19"/>
                <w:color w:val="auto"/>
              </w:rPr>
            </w:pPr>
          </w:p>
        </w:tc>
        <w:tc>
          <w:tcPr>
            <w:tcW w:w="40" w:type="dxa"/>
            <w:vAlign w:val="bottom"/>
            <w:shd w:val="clear" w:color="auto" w:fill="BF2115"/>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00" w:type="dxa"/>
            <w:vAlign w:val="bottom"/>
            <w:gridSpan w:val="3"/>
            <w:shd w:val="clear" w:color="auto" w:fill="828282"/>
          </w:tcPr>
          <w:p>
            <w:pPr>
              <w:spacing w:after="0" w:line="20" w:lineRule="exact"/>
              <w:rPr>
                <w:sz w:val="1"/>
                <w:szCs w:val="1"/>
                <w:color w:val="auto"/>
              </w:rPr>
            </w:pPr>
          </w:p>
        </w:tc>
        <w:tc>
          <w:tcPr>
            <w:tcW w:w="580" w:type="dxa"/>
            <w:vAlign w:val="bottom"/>
            <w:gridSpan w:val="2"/>
            <w:shd w:val="clear" w:color="auto" w:fill="828282"/>
          </w:tcPr>
          <w:p>
            <w:pPr>
              <w:spacing w:after="0" w:line="20" w:lineRule="exact"/>
              <w:rPr>
                <w:sz w:val="1"/>
                <w:szCs w:val="1"/>
                <w:color w:val="auto"/>
              </w:rPr>
            </w:pPr>
          </w:p>
        </w:tc>
        <w:tc>
          <w:tcPr>
            <w:tcW w:w="2320" w:type="dxa"/>
            <w:vAlign w:val="bottom"/>
            <w:gridSpan w:val="9"/>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6820" w:type="dxa"/>
            <w:vAlign w:val="bottom"/>
            <w:gridSpan w:val="7"/>
          </w:tcPr>
          <w:p>
            <w:pPr>
              <w:spacing w:after="0" w:line="20" w:lineRule="exact"/>
              <w:rPr>
                <w:sz w:val="1"/>
                <w:szCs w:val="1"/>
                <w:color w:val="auto"/>
              </w:rPr>
            </w:pPr>
          </w:p>
        </w:tc>
        <w:tc>
          <w:tcPr>
            <w:tcW w:w="240" w:type="dxa"/>
            <w:vAlign w:val="bottom"/>
            <w:tcBorders>
              <w:right w:val="single" w:sz="8" w:color="BF2115"/>
            </w:tcBorders>
            <w:shd w:val="clear" w:color="auto" w:fill="BF2115"/>
          </w:tcPr>
          <w:p>
            <w:pPr>
              <w:spacing w:after="0" w:line="20" w:lineRule="exact"/>
              <w:rPr>
                <w:sz w:val="1"/>
                <w:szCs w:val="1"/>
                <w:color w:val="auto"/>
              </w:rPr>
            </w:pPr>
          </w:p>
        </w:tc>
        <w:tc>
          <w:tcPr>
            <w:tcW w:w="220" w:type="dxa"/>
            <w:vAlign w:val="bottom"/>
            <w:tcBorders>
              <w:right w:val="single" w:sz="8" w:color="BF2115"/>
            </w:tcBorders>
            <w:gridSpan w:val="3"/>
            <w:shd w:val="clear" w:color="auto" w:fill="ACACAC"/>
          </w:tcPr>
          <w:p>
            <w:pPr>
              <w:spacing w:after="0" w:line="20" w:lineRule="exact"/>
              <w:rPr>
                <w:sz w:val="1"/>
                <w:szCs w:val="1"/>
                <w:color w:val="auto"/>
              </w:rPr>
            </w:pPr>
          </w:p>
        </w:tc>
        <w:tc>
          <w:tcPr>
            <w:tcW w:w="180" w:type="dxa"/>
            <w:vAlign w:val="bottom"/>
            <w:shd w:val="clear" w:color="auto" w:fill="BF2115"/>
          </w:tcPr>
          <w:p>
            <w:pPr>
              <w:spacing w:after="0" w:line="20" w:lineRule="exact"/>
              <w:rPr>
                <w:sz w:val="1"/>
                <w:szCs w:val="1"/>
                <w:color w:val="auto"/>
              </w:rPr>
            </w:pPr>
          </w:p>
        </w:tc>
        <w:tc>
          <w:tcPr>
            <w:tcW w:w="40" w:type="dxa"/>
            <w:vAlign w:val="bottom"/>
            <w:shd w:val="clear" w:color="auto" w:fill="BF2115"/>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10660" w:type="dxa"/>
            <w:vAlign w:val="bottom"/>
            <w:gridSpan w:val="23"/>
          </w:tcPr>
          <w:p>
            <w:pPr>
              <w:spacing w:after="0"/>
              <w:rPr>
                <w:rFonts w:ascii="Arial" w:cs="Arial" w:eastAsia="Arial" w:hAnsi="Arial"/>
                <w:sz w:val="16"/>
                <w:szCs w:val="16"/>
                <w:b w:val="1"/>
                <w:bCs w:val="1"/>
                <w:color w:val="828282"/>
              </w:rPr>
            </w:pPr>
            <w:hyperlink w:anchor="page51">
              <w:r>
                <w:rPr>
                  <w:rFonts w:ascii="Arial" w:cs="Arial" w:eastAsia="Arial" w:hAnsi="Arial"/>
                  <w:sz w:val="16"/>
                  <w:szCs w:val="16"/>
                  <w:b w:val="1"/>
                  <w:bCs w:val="1"/>
                  <w:color w:val="828282"/>
                </w:rPr>
                <w:t>FISCAL YEAR 2019 SHAREHOLDER PROPOSALS</w:t>
              </w:r>
            </w:hyperlink>
          </w:p>
        </w:tc>
        <w:tc>
          <w:tcPr>
            <w:tcW w:w="460" w:type="dxa"/>
            <w:vAlign w:val="bottom"/>
            <w:tcBorders>
              <w:right w:val="single" w:sz="8" w:color="BF2115"/>
            </w:tcBorders>
            <w:gridSpan w:val="4"/>
            <w:shd w:val="clear" w:color="auto" w:fill="BF2115"/>
          </w:tcPr>
          <w:p>
            <w:pPr>
              <w:jc w:val="center"/>
              <w:ind w:left="119"/>
              <w:spacing w:after="0"/>
              <w:rPr>
                <w:rFonts w:ascii="Arial" w:cs="Arial" w:eastAsia="Arial" w:hAnsi="Arial"/>
                <w:sz w:val="16"/>
                <w:szCs w:val="16"/>
                <w:color w:val="ACACAC"/>
              </w:rPr>
            </w:pPr>
            <w:hyperlink w:anchor="page51">
              <w:r>
                <w:rPr>
                  <w:rFonts w:ascii="Arial" w:cs="Arial" w:eastAsia="Arial" w:hAnsi="Arial"/>
                  <w:sz w:val="16"/>
                  <w:szCs w:val="16"/>
                  <w:color w:val="ACACAC"/>
                </w:rPr>
                <w:t>47</w:t>
              </w:r>
            </w:hyperlink>
          </w:p>
        </w:tc>
        <w:tc>
          <w:tcPr>
            <w:tcW w:w="180" w:type="dxa"/>
            <w:vAlign w:val="bottom"/>
            <w:shd w:val="clear" w:color="auto" w:fill="BF2115"/>
          </w:tcPr>
          <w:p>
            <w:pPr>
              <w:spacing w:after="0"/>
              <w:rPr>
                <w:sz w:val="19"/>
                <w:szCs w:val="19"/>
                <w:color w:val="auto"/>
              </w:rPr>
            </w:pPr>
          </w:p>
        </w:tc>
        <w:tc>
          <w:tcPr>
            <w:tcW w:w="40" w:type="dxa"/>
            <w:vAlign w:val="bottom"/>
            <w:shd w:val="clear" w:color="auto" w:fill="BF2115"/>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800" w:type="dxa"/>
            <w:vAlign w:val="bottom"/>
            <w:tcBorders>
              <w:top w:val="single" w:sz="8" w:color="828282"/>
              <w:bottom w:val="single" w:sz="8" w:color="828282"/>
            </w:tcBorders>
            <w:gridSpan w:val="3"/>
          </w:tcPr>
          <w:p>
            <w:pPr>
              <w:spacing w:after="0"/>
              <w:rPr>
                <w:rFonts w:ascii="Arial" w:cs="Arial" w:eastAsia="Arial" w:hAnsi="Arial"/>
                <w:sz w:val="16"/>
                <w:szCs w:val="16"/>
                <w:b w:val="1"/>
                <w:bCs w:val="1"/>
                <w:color w:val="828282"/>
                <w:w w:val="99"/>
              </w:rPr>
            </w:pPr>
            <w:hyperlink w:anchor="page51">
              <w:r>
                <w:rPr>
                  <w:rFonts w:ascii="Arial" w:cs="Arial" w:eastAsia="Arial" w:hAnsi="Arial"/>
                  <w:sz w:val="16"/>
                  <w:szCs w:val="16"/>
                  <w:b w:val="1"/>
                  <w:bCs w:val="1"/>
                  <w:color w:val="828282"/>
                  <w:w w:val="99"/>
                </w:rPr>
                <w:t>GENERAL</w:t>
              </w:r>
            </w:hyperlink>
          </w:p>
        </w:tc>
        <w:tc>
          <w:tcPr>
            <w:tcW w:w="3040" w:type="dxa"/>
            <w:vAlign w:val="bottom"/>
            <w:tcBorders>
              <w:top w:val="single" w:sz="8" w:color="828282"/>
            </w:tcBorders>
            <w:gridSpan w:val="13"/>
          </w:tcPr>
          <w:p>
            <w:pPr>
              <w:spacing w:after="0"/>
              <w:rPr>
                <w:sz w:val="19"/>
                <w:szCs w:val="19"/>
                <w:color w:val="auto"/>
              </w:rPr>
            </w:pPr>
          </w:p>
        </w:tc>
        <w:tc>
          <w:tcPr>
            <w:tcW w:w="6820" w:type="dxa"/>
            <w:vAlign w:val="bottom"/>
            <w:gridSpan w:val="7"/>
          </w:tcPr>
          <w:p>
            <w:pPr>
              <w:spacing w:after="0"/>
              <w:rPr>
                <w:sz w:val="19"/>
                <w:szCs w:val="19"/>
                <w:color w:val="auto"/>
              </w:rPr>
            </w:pPr>
          </w:p>
        </w:tc>
        <w:tc>
          <w:tcPr>
            <w:tcW w:w="240" w:type="dxa"/>
            <w:vAlign w:val="bottom"/>
            <w:tcBorders>
              <w:top w:val="single" w:sz="8" w:color="BF2115"/>
              <w:bottom w:val="single" w:sz="8" w:color="BF2115"/>
              <w:right w:val="single" w:sz="8" w:color="BF2115"/>
            </w:tcBorders>
            <w:shd w:val="clear" w:color="auto" w:fill="BF2115"/>
          </w:tcPr>
          <w:p>
            <w:pPr>
              <w:spacing w:after="0"/>
              <w:rPr>
                <w:sz w:val="19"/>
                <w:szCs w:val="19"/>
                <w:color w:val="auto"/>
              </w:rPr>
            </w:pPr>
          </w:p>
        </w:tc>
        <w:tc>
          <w:tcPr>
            <w:tcW w:w="220" w:type="dxa"/>
            <w:vAlign w:val="bottom"/>
            <w:tcBorders>
              <w:top w:val="single" w:sz="8" w:color="ACACAC"/>
              <w:bottom w:val="single" w:sz="8" w:color="ACACAC"/>
              <w:right w:val="single" w:sz="8" w:color="BF2115"/>
            </w:tcBorders>
            <w:gridSpan w:val="3"/>
            <w:shd w:val="clear" w:color="auto" w:fill="BF2115"/>
          </w:tcPr>
          <w:p>
            <w:pPr>
              <w:jc w:val="center"/>
              <w:ind w:right="40"/>
              <w:spacing w:after="0"/>
              <w:rPr>
                <w:rFonts w:ascii="Arial" w:cs="Arial" w:eastAsia="Arial" w:hAnsi="Arial"/>
                <w:sz w:val="16"/>
                <w:szCs w:val="16"/>
                <w:color w:val="ACACAC"/>
              </w:rPr>
            </w:pPr>
            <w:hyperlink w:anchor="page51">
              <w:r>
                <w:rPr>
                  <w:rFonts w:ascii="Arial" w:cs="Arial" w:eastAsia="Arial" w:hAnsi="Arial"/>
                  <w:sz w:val="16"/>
                  <w:szCs w:val="16"/>
                  <w:color w:val="ACACAC"/>
                </w:rPr>
                <w:t>47</w:t>
              </w:r>
            </w:hyperlink>
          </w:p>
        </w:tc>
        <w:tc>
          <w:tcPr>
            <w:tcW w:w="180" w:type="dxa"/>
            <w:vAlign w:val="bottom"/>
            <w:tcBorders>
              <w:top w:val="single" w:sz="8" w:color="BF2115"/>
              <w:bottom w:val="single" w:sz="8" w:color="BF2115"/>
            </w:tcBorders>
            <w:shd w:val="clear" w:color="auto" w:fill="BF2115"/>
          </w:tcPr>
          <w:p>
            <w:pPr>
              <w:spacing w:after="0"/>
              <w:rPr>
                <w:sz w:val="19"/>
                <w:szCs w:val="19"/>
                <w:color w:val="auto"/>
              </w:rPr>
            </w:pPr>
          </w:p>
        </w:tc>
        <w:tc>
          <w:tcPr>
            <w:tcW w:w="40" w:type="dxa"/>
            <w:vAlign w:val="bottom"/>
            <w:tcBorders>
              <w:top w:val="single" w:sz="8" w:color="BF2115"/>
              <w:bottom w:val="single" w:sz="8" w:color="BF2115"/>
            </w:tcBorders>
            <w:shd w:val="clear" w:color="auto" w:fill="BF2115"/>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0660" w:type="dxa"/>
            <w:vAlign w:val="bottom"/>
            <w:gridSpan w:val="23"/>
          </w:tcPr>
          <w:p>
            <w:pPr>
              <w:spacing w:after="0"/>
              <w:rPr>
                <w:rFonts w:ascii="Arial" w:cs="Arial" w:eastAsia="Arial" w:hAnsi="Arial"/>
                <w:sz w:val="16"/>
                <w:szCs w:val="16"/>
                <w:b w:val="1"/>
                <w:bCs w:val="1"/>
                <w:color w:val="828282"/>
              </w:rPr>
            </w:pPr>
            <w:hyperlink w:anchor="page52">
              <w:r>
                <w:rPr>
                  <w:rFonts w:ascii="Arial" w:cs="Arial" w:eastAsia="Arial" w:hAnsi="Arial"/>
                  <w:sz w:val="16"/>
                  <w:szCs w:val="16"/>
                  <w:b w:val="1"/>
                  <w:bCs w:val="1"/>
                  <w:color w:val="828282"/>
                </w:rPr>
                <w:t>APPENDIX A - 2019 OMNIBUS INCENTIVE PLAN</w:t>
              </w:r>
            </w:hyperlink>
          </w:p>
        </w:tc>
        <w:tc>
          <w:tcPr>
            <w:tcW w:w="240" w:type="dxa"/>
            <w:vAlign w:val="bottom"/>
            <w:tcBorders>
              <w:right w:val="single" w:sz="8" w:color="BF2115"/>
            </w:tcBorders>
            <w:shd w:val="clear" w:color="auto" w:fill="BF2115"/>
          </w:tcPr>
          <w:p>
            <w:pPr>
              <w:spacing w:after="0"/>
              <w:rPr>
                <w:sz w:val="19"/>
                <w:szCs w:val="19"/>
                <w:color w:val="auto"/>
              </w:rPr>
            </w:pPr>
          </w:p>
        </w:tc>
        <w:tc>
          <w:tcPr>
            <w:tcW w:w="440" w:type="dxa"/>
            <w:vAlign w:val="bottom"/>
            <w:gridSpan w:val="5"/>
            <w:shd w:val="clear" w:color="auto" w:fill="BF2115"/>
          </w:tcPr>
          <w:p>
            <w:pPr>
              <w:spacing w:after="0"/>
              <w:rPr>
                <w:rFonts w:ascii="Arial" w:cs="Arial" w:eastAsia="Arial" w:hAnsi="Arial"/>
                <w:sz w:val="16"/>
                <w:szCs w:val="16"/>
                <w:color w:val="ACACAC"/>
              </w:rPr>
            </w:pPr>
            <w:hyperlink w:anchor="page52">
              <w:r>
                <w:rPr>
                  <w:rFonts w:ascii="Arial" w:cs="Arial" w:eastAsia="Arial" w:hAnsi="Arial"/>
                  <w:sz w:val="16"/>
                  <w:szCs w:val="16"/>
                  <w:color w:val="ACACAC"/>
                </w:rPr>
                <w:t>A-1</w:t>
              </w:r>
            </w:hyperlink>
          </w:p>
        </w:tc>
        <w:tc>
          <w:tcPr>
            <w:tcW w:w="0" w:type="dxa"/>
            <w:vAlign w:val="bottom"/>
          </w:tcPr>
          <w:p>
            <w:pPr>
              <w:spacing w:after="0"/>
              <w:rPr>
                <w:sz w:val="1"/>
                <w:szCs w:val="1"/>
                <w:color w:val="auto"/>
              </w:rPr>
            </w:pPr>
          </w:p>
        </w:tc>
      </w:tr>
      <w:tr>
        <w:trPr>
          <w:trHeight w:val="34"/>
        </w:trPr>
        <w:tc>
          <w:tcPr>
            <w:tcW w:w="180" w:type="dxa"/>
            <w:vAlign w:val="bottom"/>
            <w:tcBorders>
              <w:top w:val="single" w:sz="8" w:color="828282"/>
            </w:tcBorders>
          </w:tcPr>
          <w:p>
            <w:pPr>
              <w:spacing w:after="0"/>
              <w:rPr>
                <w:sz w:val="2"/>
                <w:szCs w:val="2"/>
                <w:color w:val="auto"/>
              </w:rPr>
            </w:pPr>
          </w:p>
        </w:tc>
        <w:tc>
          <w:tcPr>
            <w:tcW w:w="20" w:type="dxa"/>
            <w:vAlign w:val="bottom"/>
            <w:tcBorders>
              <w:top w:val="single" w:sz="8" w:color="828282"/>
            </w:tcBorders>
          </w:tcPr>
          <w:p>
            <w:pPr>
              <w:spacing w:after="0"/>
              <w:rPr>
                <w:sz w:val="2"/>
                <w:szCs w:val="2"/>
                <w:color w:val="auto"/>
              </w:rPr>
            </w:pPr>
          </w:p>
        </w:tc>
        <w:tc>
          <w:tcPr>
            <w:tcW w:w="600" w:type="dxa"/>
            <w:vAlign w:val="bottom"/>
            <w:tcBorders>
              <w:top w:val="single" w:sz="8" w:color="828282"/>
            </w:tcBorders>
          </w:tcPr>
          <w:p>
            <w:pPr>
              <w:spacing w:after="0"/>
              <w:rPr>
                <w:sz w:val="2"/>
                <w:szCs w:val="2"/>
                <w:color w:val="auto"/>
              </w:rPr>
            </w:pPr>
          </w:p>
        </w:tc>
        <w:tc>
          <w:tcPr>
            <w:tcW w:w="560" w:type="dxa"/>
            <w:vAlign w:val="bottom"/>
            <w:tcBorders>
              <w:top w:val="single" w:sz="8" w:color="828282"/>
            </w:tcBorders>
          </w:tcPr>
          <w:p>
            <w:pPr>
              <w:spacing w:after="0"/>
              <w:rPr>
                <w:sz w:val="2"/>
                <w:szCs w:val="2"/>
                <w:color w:val="auto"/>
              </w:rPr>
            </w:pPr>
          </w:p>
        </w:tc>
        <w:tc>
          <w:tcPr>
            <w:tcW w:w="20" w:type="dxa"/>
            <w:vAlign w:val="bottom"/>
            <w:tcBorders>
              <w:top w:val="single" w:sz="8" w:color="828282"/>
            </w:tcBorders>
          </w:tcPr>
          <w:p>
            <w:pPr>
              <w:spacing w:after="0"/>
              <w:rPr>
                <w:sz w:val="2"/>
                <w:szCs w:val="2"/>
                <w:color w:val="auto"/>
              </w:rPr>
            </w:pPr>
          </w:p>
        </w:tc>
        <w:tc>
          <w:tcPr>
            <w:tcW w:w="200" w:type="dxa"/>
            <w:vAlign w:val="bottom"/>
            <w:tcBorders>
              <w:top w:val="single" w:sz="8" w:color="828282"/>
            </w:tcBorders>
          </w:tcPr>
          <w:p>
            <w:pPr>
              <w:spacing w:after="0"/>
              <w:rPr>
                <w:sz w:val="2"/>
                <w:szCs w:val="2"/>
                <w:color w:val="auto"/>
              </w:rPr>
            </w:pPr>
          </w:p>
        </w:tc>
        <w:tc>
          <w:tcPr>
            <w:tcW w:w="640" w:type="dxa"/>
            <w:vAlign w:val="bottom"/>
            <w:tcBorders>
              <w:top w:val="single" w:sz="8" w:color="828282"/>
            </w:tcBorders>
          </w:tcPr>
          <w:p>
            <w:pPr>
              <w:spacing w:after="0"/>
              <w:rPr>
                <w:sz w:val="2"/>
                <w:szCs w:val="2"/>
                <w:color w:val="auto"/>
              </w:rPr>
            </w:pPr>
          </w:p>
        </w:tc>
        <w:tc>
          <w:tcPr>
            <w:tcW w:w="60" w:type="dxa"/>
            <w:vAlign w:val="bottom"/>
            <w:tcBorders>
              <w:top w:val="single" w:sz="8" w:color="828282"/>
            </w:tcBorders>
          </w:tcPr>
          <w:p>
            <w:pPr>
              <w:spacing w:after="0"/>
              <w:rPr>
                <w:sz w:val="2"/>
                <w:szCs w:val="2"/>
                <w:color w:val="auto"/>
              </w:rPr>
            </w:pPr>
          </w:p>
        </w:tc>
        <w:tc>
          <w:tcPr>
            <w:tcW w:w="380" w:type="dxa"/>
            <w:vAlign w:val="bottom"/>
            <w:tcBorders>
              <w:top w:val="single" w:sz="8" w:color="828282"/>
            </w:tcBorders>
          </w:tcPr>
          <w:p>
            <w:pPr>
              <w:spacing w:after="0"/>
              <w:rPr>
                <w:sz w:val="2"/>
                <w:szCs w:val="2"/>
                <w:color w:val="auto"/>
              </w:rPr>
            </w:pPr>
          </w:p>
        </w:tc>
        <w:tc>
          <w:tcPr>
            <w:tcW w:w="160" w:type="dxa"/>
            <w:vAlign w:val="bottom"/>
            <w:tcBorders>
              <w:top w:val="single" w:sz="8" w:color="828282"/>
            </w:tcBorders>
          </w:tcPr>
          <w:p>
            <w:pPr>
              <w:spacing w:after="0"/>
              <w:rPr>
                <w:sz w:val="2"/>
                <w:szCs w:val="2"/>
                <w:color w:val="auto"/>
              </w:rPr>
            </w:pPr>
          </w:p>
        </w:tc>
        <w:tc>
          <w:tcPr>
            <w:tcW w:w="60" w:type="dxa"/>
            <w:vAlign w:val="bottom"/>
            <w:tcBorders>
              <w:top w:val="single" w:sz="8" w:color="828282"/>
            </w:tcBorders>
          </w:tcPr>
          <w:p>
            <w:pPr>
              <w:spacing w:after="0"/>
              <w:rPr>
                <w:sz w:val="2"/>
                <w:szCs w:val="2"/>
                <w:color w:val="auto"/>
              </w:rPr>
            </w:pPr>
          </w:p>
        </w:tc>
        <w:tc>
          <w:tcPr>
            <w:tcW w:w="180" w:type="dxa"/>
            <w:vAlign w:val="bottom"/>
            <w:tcBorders>
              <w:top w:val="single" w:sz="8" w:color="828282"/>
            </w:tcBorders>
          </w:tcPr>
          <w:p>
            <w:pPr>
              <w:spacing w:after="0"/>
              <w:rPr>
                <w:sz w:val="2"/>
                <w:szCs w:val="2"/>
                <w:color w:val="auto"/>
              </w:rPr>
            </w:pPr>
          </w:p>
        </w:tc>
        <w:tc>
          <w:tcPr>
            <w:tcW w:w="220" w:type="dxa"/>
            <w:vAlign w:val="bottom"/>
            <w:tcBorders>
              <w:top w:val="single" w:sz="8" w:color="828282"/>
            </w:tcBorders>
          </w:tcPr>
          <w:p>
            <w:pPr>
              <w:spacing w:after="0"/>
              <w:rPr>
                <w:sz w:val="2"/>
                <w:szCs w:val="2"/>
                <w:color w:val="auto"/>
              </w:rPr>
            </w:pPr>
          </w:p>
        </w:tc>
        <w:tc>
          <w:tcPr>
            <w:tcW w:w="420" w:type="dxa"/>
            <w:vAlign w:val="bottom"/>
            <w:tcBorders>
              <w:top w:val="single" w:sz="8" w:color="828282"/>
            </w:tcBorders>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tcPr>
          <w:p>
            <w:pPr>
              <w:spacing w:after="0"/>
              <w:rPr>
                <w:sz w:val="2"/>
                <w:szCs w:val="2"/>
                <w:color w:val="auto"/>
              </w:rPr>
            </w:pPr>
          </w:p>
        </w:tc>
        <w:tc>
          <w:tcPr>
            <w:tcW w:w="600" w:type="dxa"/>
            <w:vAlign w:val="bottom"/>
          </w:tcPr>
          <w:p>
            <w:pPr>
              <w:spacing w:after="0"/>
              <w:rPr>
                <w:sz w:val="2"/>
                <w:szCs w:val="2"/>
                <w:color w:val="auto"/>
              </w:rPr>
            </w:pPr>
          </w:p>
        </w:tc>
        <w:tc>
          <w:tcPr>
            <w:tcW w:w="200" w:type="dxa"/>
            <w:vAlign w:val="bottom"/>
          </w:tcPr>
          <w:p>
            <w:pPr>
              <w:spacing w:after="0"/>
              <w:rPr>
                <w:sz w:val="2"/>
                <w:szCs w:val="2"/>
                <w:color w:val="auto"/>
              </w:rPr>
            </w:pPr>
          </w:p>
        </w:tc>
        <w:tc>
          <w:tcPr>
            <w:tcW w:w="4340" w:type="dxa"/>
            <w:vAlign w:val="bottom"/>
          </w:tcPr>
          <w:p>
            <w:pPr>
              <w:spacing w:after="0"/>
              <w:rPr>
                <w:sz w:val="2"/>
                <w:szCs w:val="2"/>
                <w:color w:val="auto"/>
              </w:rPr>
            </w:pPr>
          </w:p>
        </w:tc>
        <w:tc>
          <w:tcPr>
            <w:tcW w:w="160" w:type="dxa"/>
            <w:vAlign w:val="bottom"/>
          </w:tcPr>
          <w:p>
            <w:pPr>
              <w:spacing w:after="0"/>
              <w:rPr>
                <w:sz w:val="2"/>
                <w:szCs w:val="2"/>
                <w:color w:val="auto"/>
              </w:rPr>
            </w:pPr>
          </w:p>
        </w:tc>
        <w:tc>
          <w:tcPr>
            <w:tcW w:w="240" w:type="dxa"/>
            <w:vAlign w:val="bottom"/>
            <w:tcBorders>
              <w:top w:val="single" w:sz="8" w:color="BF2115"/>
              <w:right w:val="single" w:sz="8" w:color="BF2115"/>
            </w:tcBorders>
            <w:shd w:val="clear" w:color="auto" w:fill="BF2115"/>
          </w:tcPr>
          <w:p>
            <w:pPr>
              <w:spacing w:after="0"/>
              <w:rPr>
                <w:sz w:val="2"/>
                <w:szCs w:val="2"/>
                <w:color w:val="auto"/>
              </w:rPr>
            </w:pPr>
          </w:p>
        </w:tc>
        <w:tc>
          <w:tcPr>
            <w:tcW w:w="20" w:type="dxa"/>
            <w:vAlign w:val="bottom"/>
            <w:tcBorders>
              <w:top w:val="single" w:sz="8" w:color="ACACAC"/>
            </w:tcBorders>
            <w:shd w:val="clear" w:color="auto" w:fill="BF2115"/>
          </w:tcPr>
          <w:p>
            <w:pPr>
              <w:spacing w:after="0"/>
              <w:rPr>
                <w:sz w:val="2"/>
                <w:szCs w:val="2"/>
                <w:color w:val="auto"/>
              </w:rPr>
            </w:pPr>
          </w:p>
        </w:tc>
        <w:tc>
          <w:tcPr>
            <w:tcW w:w="40" w:type="dxa"/>
            <w:vAlign w:val="bottom"/>
            <w:tcBorders>
              <w:top w:val="single" w:sz="8" w:color="ACACAC"/>
            </w:tcBorders>
            <w:shd w:val="clear" w:color="auto" w:fill="BF2115"/>
          </w:tcPr>
          <w:p>
            <w:pPr>
              <w:spacing w:after="0"/>
              <w:rPr>
                <w:sz w:val="2"/>
                <w:szCs w:val="2"/>
                <w:color w:val="auto"/>
              </w:rPr>
            </w:pPr>
          </w:p>
        </w:tc>
        <w:tc>
          <w:tcPr>
            <w:tcW w:w="160" w:type="dxa"/>
            <w:vAlign w:val="bottom"/>
            <w:tcBorders>
              <w:top w:val="single" w:sz="8" w:color="ACACAC"/>
              <w:right w:val="single" w:sz="8" w:color="BF2115"/>
            </w:tcBorders>
            <w:shd w:val="clear" w:color="auto" w:fill="BF2115"/>
          </w:tcPr>
          <w:p>
            <w:pPr>
              <w:spacing w:after="0"/>
              <w:rPr>
                <w:sz w:val="2"/>
                <w:szCs w:val="2"/>
                <w:color w:val="auto"/>
              </w:rPr>
            </w:pPr>
          </w:p>
        </w:tc>
        <w:tc>
          <w:tcPr>
            <w:tcW w:w="180" w:type="dxa"/>
            <w:vAlign w:val="bottom"/>
            <w:tcBorders>
              <w:top w:val="single" w:sz="8" w:color="BF2115"/>
            </w:tcBorders>
            <w:shd w:val="clear" w:color="auto" w:fill="BF2115"/>
          </w:tcPr>
          <w:p>
            <w:pPr>
              <w:spacing w:after="0"/>
              <w:rPr>
                <w:sz w:val="2"/>
                <w:szCs w:val="2"/>
                <w:color w:val="auto"/>
              </w:rPr>
            </w:pPr>
          </w:p>
        </w:tc>
        <w:tc>
          <w:tcPr>
            <w:tcW w:w="40" w:type="dxa"/>
            <w:vAlign w:val="bottom"/>
            <w:tcBorders>
              <w:top w:val="single" w:sz="8" w:color="BF2115"/>
            </w:tcBorders>
            <w:shd w:val="clear" w:color="auto" w:fill="BF2115"/>
          </w:tcPr>
          <w:p>
            <w:pPr>
              <w:spacing w:after="0"/>
              <w:rPr>
                <w:sz w:val="2"/>
                <w:szCs w:val="2"/>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1360"/>
          </w:cols>
          <w:pgMar w:left="280" w:top="303" w:right="259" w:bottom="1440" w:gutter="0" w:footer="0" w:header="0"/>
          <w:type w:val="continuous"/>
        </w:sectPr>
      </w:pPr>
    </w:p>
    <w:bookmarkStart w:id="4" w:name="page5"/>
    <w:bookmarkEnd w:id="4"/>
    <w:p>
      <w:pPr>
        <w:ind w:left="40"/>
        <w:spacing w:after="0"/>
        <w:rPr>
          <w:rFonts w:ascii="Arial" w:cs="Arial" w:eastAsia="Arial" w:hAnsi="Arial"/>
          <w:sz w:val="16"/>
          <w:szCs w:val="16"/>
          <w:u w:val="single" w:color="auto"/>
          <w:color w:val="0000EE"/>
        </w:rPr>
      </w:pPr>
      <w:r>
        <w:rPr>
          <w:rFonts w:ascii="Arial" w:cs="Arial" w:eastAsia="Arial" w:hAnsi="Arial"/>
          <w:sz w:val="16"/>
          <w:szCs w:val="16"/>
          <w:u w:val="single" w:color="auto"/>
          <w:color w:val="0000EE"/>
        </w:rPr>
        <w:drawing>
          <wp:anchor simplePos="0" relativeHeight="251657728" behindDoc="1" locked="0" layoutInCell="0" allowOverlap="1">
            <wp:simplePos x="0" y="0"/>
            <wp:positionH relativeFrom="page">
              <wp:posOffset>5946140</wp:posOffset>
            </wp:positionH>
            <wp:positionV relativeFrom="page">
              <wp:posOffset>191770</wp:posOffset>
            </wp:positionV>
            <wp:extent cx="1440815" cy="20574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clrChange>
                        <a:clrFrom>
                          <a:srgbClr val="FFFFFF"/>
                        </a:clrFrom>
                        <a:clrTo>
                          <a:srgbClr val="FFFFFF">
                            <a:alpha val="0"/>
                          </a:srgbClr>
                        </a:clrTo>
                      </a:clrChange>
                      <a:extLst>
                        <a:ext uri="{28A0092B-C50C-407E-A947-70E740481C1C}"/>
                      </a:extLst>
                    </a:blip>
                    <a:srcRect/>
                    <a:stretch>
                      <a:fillRect/>
                    </a:stretch>
                  </pic:blipFill>
                  <pic:spPr bwMode="auto">
                    <a:xfrm>
                      <a:off x="0" y="0"/>
                      <a:ext cx="1440815" cy="205740"/>
                    </a:xfrm>
                    <a:prstGeom prst="rect">
                      <a:avLst/>
                    </a:prstGeom>
                    <a:noFill/>
                  </pic:spPr>
                </pic:pic>
              </a:graphicData>
            </a:graphic>
          </wp:anchor>
        </w:drawing>
      </w:r>
      <w:hyperlink w:anchor="page4">
        <w:r>
          <w:rPr>
            <w:rFonts w:ascii="Arial" w:cs="Arial" w:eastAsia="Arial" w:hAnsi="Arial"/>
            <w:sz w:val="16"/>
            <w:szCs w:val="16"/>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104775</wp:posOffset>
            </wp:positionV>
            <wp:extent cx="724662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25"/>
          <w:szCs w:val="25"/>
          <w:color w:val="828282"/>
        </w:rPr>
        <w:t>Winnebago Industries, Inc.</w:t>
      </w:r>
    </w:p>
    <w:p>
      <w:pPr>
        <w:spacing w:after="0" w:line="10" w:lineRule="exact"/>
        <w:rPr>
          <w:sz w:val="20"/>
          <w:szCs w:val="20"/>
          <w:color w:val="auto"/>
        </w:rPr>
      </w:pPr>
    </w:p>
    <w:p>
      <w:pPr>
        <w:jc w:val="center"/>
        <w:spacing w:after="0"/>
        <w:rPr>
          <w:sz w:val="20"/>
          <w:szCs w:val="20"/>
          <w:color w:val="auto"/>
        </w:rPr>
      </w:pPr>
      <w:r>
        <w:rPr>
          <w:rFonts w:ascii="Arial" w:cs="Arial" w:eastAsia="Arial" w:hAnsi="Arial"/>
          <w:sz w:val="16"/>
          <w:szCs w:val="16"/>
          <w:color w:val="828282"/>
        </w:rPr>
        <w:t>605 West Crystal Lake Road - Forest City, Iowa 50436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246380</wp:posOffset>
            </wp:positionV>
            <wp:extent cx="3575685"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3575685" cy="42545"/>
                    </a:xfrm>
                    <a:prstGeom prst="rect">
                      <a:avLst/>
                    </a:prstGeom>
                    <a:noFill/>
                  </pic:spPr>
                </pic:pic>
              </a:graphicData>
            </a:graphic>
          </wp:anchor>
        </w:drawing>
      </w:r>
    </w:p>
    <w:p>
      <w:pPr>
        <w:sectPr>
          <w:pgSz w:w="11900" w:h="16838" w:orient="portrait"/>
          <w:cols w:equalWidth="0" w:num="1">
            <w:col w:w="11420"/>
          </w:cols>
          <w:pgMar w:left="240" w:top="303"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Arial" w:cs="Arial" w:eastAsia="Arial" w:hAnsi="Arial"/>
          <w:sz w:val="29"/>
          <w:szCs w:val="29"/>
          <w:b w:val="1"/>
          <w:bCs w:val="1"/>
          <w:color w:val="BF2115"/>
        </w:rPr>
        <w:t>Forward-looking Information</w:t>
      </w:r>
    </w:p>
    <w:p>
      <w:pPr>
        <w:spacing w:after="0" w:line="200" w:lineRule="exact"/>
        <w:rPr>
          <w:sz w:val="20"/>
          <w:szCs w:val="20"/>
          <w:color w:val="auto"/>
        </w:rPr>
      </w:pPr>
    </w:p>
    <w:p>
      <w:pPr>
        <w:spacing w:after="0" w:line="278" w:lineRule="exact"/>
        <w:rPr>
          <w:sz w:val="20"/>
          <w:szCs w:val="20"/>
          <w:color w:val="auto"/>
        </w:rPr>
      </w:pPr>
    </w:p>
    <w:p>
      <w:pPr>
        <w:ind w:right="80"/>
        <w:spacing w:after="0" w:line="248" w:lineRule="auto"/>
        <w:rPr>
          <w:sz w:val="20"/>
          <w:szCs w:val="20"/>
          <w:color w:val="auto"/>
        </w:rPr>
      </w:pPr>
      <w:r>
        <w:rPr>
          <w:rFonts w:ascii="Arial" w:cs="Arial" w:eastAsia="Arial" w:hAnsi="Arial"/>
          <w:sz w:val="16"/>
          <w:szCs w:val="16"/>
          <w:color w:val="auto"/>
        </w:rPr>
        <w:t>Statements in this Proxy Statement not based on historical facts are considered “forward-looking” and, accordingly, involve risks and uncertainties that could cause actual results to differ materially from those discussed. Although such forward-looking statements have been made in good faith and are based on reasonable assumptions, there is no assurance that the expected results will be achieved. These statements include (without limitation) statements as to future expectations, beliefs, plans, strategies, objectives, events, conditions and financial performance.</w:t>
      </w:r>
    </w:p>
    <w:p>
      <w:pPr>
        <w:spacing w:after="0" w:line="154" w:lineRule="exact"/>
        <w:rPr>
          <w:sz w:val="20"/>
          <w:szCs w:val="20"/>
          <w:color w:val="auto"/>
        </w:rPr>
      </w:pPr>
    </w:p>
    <w:p>
      <w:pPr>
        <w:spacing w:after="0" w:line="248" w:lineRule="auto"/>
        <w:rPr>
          <w:sz w:val="20"/>
          <w:szCs w:val="20"/>
          <w:color w:val="auto"/>
        </w:rPr>
      </w:pPr>
      <w:r>
        <w:rPr>
          <w:rFonts w:ascii="Arial" w:cs="Arial" w:eastAsia="Arial" w:hAnsi="Arial"/>
          <w:sz w:val="16"/>
          <w:szCs w:val="16"/>
          <w:color w:val="auto"/>
        </w:rPr>
        <w:t>These statements are intended to constitute “forward-looking” statements in connection with the “safe harbor” provisions of the Private Securities Litigation Reform Act of 1995. Winnebago Industries, Inc., an Iowa corporation (the “Company,” “Winnebago Industries,” “we,” “us” and “our”), is providing this cautionary statement to disclose that there are important factors that could cause actual results to differ materially from those anticipated. Reference is made to our Annual Report on Form 10-K for the fiscal year ended August 25, 2018 (the “2018 Form 10-K”) filed with the Securities and Exchange Commission (the “SEC”) for a list of such factors.</w:t>
      </w:r>
    </w:p>
    <w:p>
      <w:pPr>
        <w:spacing w:after="0" w:line="20" w:lineRule="exact"/>
        <w:rPr>
          <w:sz w:val="20"/>
          <w:szCs w:val="20"/>
          <w:color w:val="auto"/>
        </w:rPr>
      </w:pPr>
      <w:r>
        <w:rPr>
          <w:sz w:val="20"/>
          <w:szCs w:val="20"/>
          <w:color w:val="auto"/>
        </w:rPr>
        <w:br w:type="column"/>
      </w:r>
    </w:p>
    <w:p>
      <w:pPr>
        <w:spacing w:after="0" w:line="390" w:lineRule="exact"/>
        <w:rPr>
          <w:sz w:val="20"/>
          <w:szCs w:val="20"/>
          <w:color w:val="auto"/>
        </w:rPr>
      </w:pPr>
    </w:p>
    <w:p>
      <w:pPr>
        <w:spacing w:after="0" w:line="260" w:lineRule="auto"/>
        <w:rPr>
          <w:sz w:val="20"/>
          <w:szCs w:val="20"/>
          <w:color w:val="auto"/>
        </w:rPr>
      </w:pPr>
      <w:r>
        <w:rPr>
          <w:rFonts w:ascii="Arial" w:cs="Arial" w:eastAsia="Arial" w:hAnsi="Arial"/>
          <w:sz w:val="16"/>
          <w:szCs w:val="16"/>
          <w:color w:val="auto"/>
        </w:rPr>
        <w:t>It is anticipated that the Notice of Internet Availability of Proxy Materials will be mailed to shareholders on or about October 31, 2018.</w:t>
      </w:r>
    </w:p>
    <w:p>
      <w:pPr>
        <w:spacing w:after="0" w:line="88" w:lineRule="exact"/>
        <w:rPr>
          <w:sz w:val="20"/>
          <w:szCs w:val="20"/>
          <w:color w:val="auto"/>
        </w:rPr>
      </w:pPr>
    </w:p>
    <w:p>
      <w:pPr>
        <w:spacing w:after="0" w:line="248" w:lineRule="auto"/>
        <w:rPr>
          <w:sz w:val="20"/>
          <w:szCs w:val="20"/>
          <w:color w:val="auto"/>
        </w:rPr>
      </w:pPr>
      <w:r>
        <w:rPr>
          <w:rFonts w:ascii="Arial" w:cs="Arial" w:eastAsia="Arial" w:hAnsi="Arial"/>
          <w:sz w:val="16"/>
          <w:szCs w:val="16"/>
          <w:color w:val="auto"/>
        </w:rPr>
        <w:t>Only holders of record of our common stock, par value $0.50 per share ("Common Stock"), at the close of business on October 16, 2018 (the "Record Date") will be entitled to receive notice of and to vote at the Annual Meeting. On the Record Date, we had outstanding 31,887,265 shares of Common Stock that were eligible to vote. Each share of Common Stock entitles the holder to one vote on each matter to be voted upon at the meeting. A majority of the outstanding shares of Common Stock represented in person or by proxy will constitute a quorum for the Annual Meeting.</w:t>
      </w:r>
    </w:p>
    <w:p>
      <w:pPr>
        <w:spacing w:after="0" w:line="100" w:lineRule="exact"/>
        <w:rPr>
          <w:sz w:val="20"/>
          <w:szCs w:val="20"/>
          <w:color w:val="auto"/>
        </w:rPr>
      </w:pPr>
    </w:p>
    <w:p>
      <w:pPr>
        <w:ind w:right="460"/>
        <w:spacing w:after="0" w:line="260" w:lineRule="auto"/>
        <w:rPr>
          <w:sz w:val="20"/>
          <w:szCs w:val="20"/>
          <w:color w:val="auto"/>
        </w:rPr>
      </w:pPr>
      <w:r>
        <w:rPr>
          <w:rFonts w:ascii="Arial" w:cs="Arial" w:eastAsia="Arial" w:hAnsi="Arial"/>
          <w:sz w:val="16"/>
          <w:szCs w:val="16"/>
          <w:color w:val="auto"/>
        </w:rPr>
        <w:t>If you submit a proxy or attend the Meeting, your Common Stock will be counted for the purpose of determining whether there is a quorum.</w:t>
      </w:r>
    </w:p>
    <w:p>
      <w:pPr>
        <w:spacing w:after="0" w:line="88" w:lineRule="exact"/>
        <w:rPr>
          <w:sz w:val="20"/>
          <w:szCs w:val="20"/>
          <w:color w:val="auto"/>
        </w:rPr>
      </w:pPr>
    </w:p>
    <w:p>
      <w:pPr>
        <w:ind w:right="100"/>
        <w:spacing w:after="0" w:line="250" w:lineRule="auto"/>
        <w:rPr>
          <w:sz w:val="20"/>
          <w:szCs w:val="20"/>
          <w:color w:val="auto"/>
        </w:rPr>
      </w:pPr>
      <w:r>
        <w:rPr>
          <w:rFonts w:ascii="Arial" w:cs="Arial" w:eastAsia="Arial" w:hAnsi="Arial"/>
          <w:sz w:val="16"/>
          <w:szCs w:val="16"/>
          <w:color w:val="auto"/>
        </w:rPr>
        <w:t>If you submit your proxy without voting instructions, your shares will be voted in favor of each director and each other item considered for shareholder approval. If you hold shares through a broker, follow the voting instructions provided by your broker. Shares held in your name as the shareholder of record may be voted electronically during the Annual Meeting.</w:t>
      </w:r>
    </w:p>
    <w:p>
      <w:pPr>
        <w:spacing w:after="0" w:line="95" w:lineRule="exact"/>
        <w:rPr>
          <w:sz w:val="20"/>
          <w:szCs w:val="20"/>
          <w:color w:val="auto"/>
        </w:rPr>
      </w:pPr>
    </w:p>
    <w:p>
      <w:pPr>
        <w:ind w:right="80"/>
        <w:spacing w:after="0" w:line="253" w:lineRule="auto"/>
        <w:rPr>
          <w:sz w:val="20"/>
          <w:szCs w:val="20"/>
          <w:color w:val="auto"/>
        </w:rPr>
      </w:pPr>
      <w:r>
        <w:rPr>
          <w:rFonts w:ascii="Arial" w:cs="Arial" w:eastAsia="Arial" w:hAnsi="Arial"/>
          <w:sz w:val="16"/>
          <w:szCs w:val="16"/>
          <w:color w:val="auto"/>
        </w:rPr>
        <w:t>The table below summarizes the vote required to approve each proposal, the vote required for each proposal and other important information regarding voting on each proposal: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2800985</wp:posOffset>
            </wp:positionH>
            <wp:positionV relativeFrom="paragraph">
              <wp:posOffset>144145</wp:posOffset>
            </wp:positionV>
            <wp:extent cx="8890" cy="3003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8890" cy="300355"/>
                    </a:xfrm>
                    <a:prstGeom prst="rect">
                      <a:avLst/>
                    </a:prstGeom>
                    <a:noFill/>
                  </pic:spPr>
                </pic:pic>
              </a:graphicData>
            </a:graphic>
          </wp:anchor>
        </w:drawing>
        <w:drawing>
          <wp:anchor simplePos="0" relativeHeight="251657728" behindDoc="1" locked="0" layoutInCell="0" allowOverlap="1">
            <wp:simplePos x="0" y="0"/>
            <wp:positionH relativeFrom="column">
              <wp:posOffset>2158365</wp:posOffset>
            </wp:positionH>
            <wp:positionV relativeFrom="paragraph">
              <wp:posOffset>144145</wp:posOffset>
            </wp:positionV>
            <wp:extent cx="8890" cy="3003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8890" cy="300355"/>
                    </a:xfrm>
                    <a:prstGeom prst="rect">
                      <a:avLst/>
                    </a:prstGeom>
                    <a:noFill/>
                  </pic:spPr>
                </pic:pic>
              </a:graphicData>
            </a:graphic>
          </wp:anchor>
        </w:drawing>
        <w:drawing>
          <wp:anchor simplePos="0" relativeHeight="251657728" behindDoc="1" locked="0" layoutInCell="0" allowOverlap="1">
            <wp:simplePos x="0" y="0"/>
            <wp:positionH relativeFrom="column">
              <wp:posOffset>1480820</wp:posOffset>
            </wp:positionH>
            <wp:positionV relativeFrom="paragraph">
              <wp:posOffset>144145</wp:posOffset>
            </wp:positionV>
            <wp:extent cx="8890" cy="3003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8890" cy="300355"/>
                    </a:xfrm>
                    <a:prstGeom prst="rect">
                      <a:avLst/>
                    </a:prstGeom>
                    <a:noFill/>
                  </pic:spPr>
                </pic:pic>
              </a:graphicData>
            </a:graphic>
          </wp:anchor>
        </w:drawing>
        <w:drawing>
          <wp:anchor simplePos="0" relativeHeight="251657728" behindDoc="1" locked="0" layoutInCell="0" allowOverlap="1">
            <wp:simplePos x="0" y="0"/>
            <wp:positionH relativeFrom="column">
              <wp:posOffset>803275</wp:posOffset>
            </wp:positionH>
            <wp:positionV relativeFrom="paragraph">
              <wp:posOffset>144145</wp:posOffset>
            </wp:positionV>
            <wp:extent cx="8890" cy="3003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8890" cy="300355"/>
                    </a:xfrm>
                    <a:prstGeom prst="rect">
                      <a:avLst/>
                    </a:prstGeom>
                    <a:noFill/>
                  </pic:spPr>
                </pic:pic>
              </a:graphicData>
            </a:graphic>
          </wp:anchor>
        </w:drawing>
      </w:r>
    </w:p>
    <w:p>
      <w:pPr>
        <w:spacing w:after="0" w:line="226" w:lineRule="exact"/>
        <w:rPr>
          <w:sz w:val="20"/>
          <w:szCs w:val="20"/>
          <w:color w:val="auto"/>
        </w:rPr>
      </w:pPr>
    </w:p>
    <w:p>
      <w:pPr>
        <w:sectPr>
          <w:pgSz w:w="11900" w:h="16838" w:orient="portrait"/>
          <w:cols w:equalWidth="0" w:num="2">
            <w:col w:w="5600" w:space="220"/>
            <w:col w:w="5600"/>
          </w:cols>
          <w:pgMar w:left="240" w:top="303" w:right="239" w:bottom="1440" w:gutter="0" w:footer="0" w:header="0"/>
          <w:type w:val="continuous"/>
        </w:sectPr>
      </w:pPr>
    </w:p>
    <w:p>
      <w:pPr>
        <w:spacing w:after="0" w:line="200" w:lineRule="exact"/>
        <w:rPr>
          <w:sz w:val="20"/>
          <w:szCs w:val="20"/>
          <w:color w:val="auto"/>
        </w:rPr>
      </w:pPr>
    </w:p>
    <w:p>
      <w:pPr>
        <w:spacing w:after="0" w:line="233" w:lineRule="exact"/>
        <w:rPr>
          <w:sz w:val="20"/>
          <w:szCs w:val="20"/>
          <w:color w:val="auto"/>
        </w:rPr>
      </w:pPr>
    </w:p>
    <w:p>
      <w:pPr>
        <w:spacing w:after="0"/>
        <w:rPr>
          <w:sz w:val="20"/>
          <w:szCs w:val="20"/>
          <w:color w:val="auto"/>
        </w:rPr>
      </w:pPr>
      <w:r>
        <w:rPr>
          <w:rFonts w:ascii="Arial" w:cs="Arial" w:eastAsia="Arial" w:hAnsi="Arial"/>
          <w:sz w:val="29"/>
          <w:szCs w:val="29"/>
          <w:b w:val="1"/>
          <w:bCs w:val="1"/>
          <w:color w:val="BF2115"/>
        </w:rPr>
        <w:t>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-352425</wp:posOffset>
            </wp:positionV>
            <wp:extent cx="3575685"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3575685" cy="42545"/>
                    </a:xfrm>
                    <a:prstGeom prst="rect">
                      <a:avLst/>
                    </a:prstGeom>
                    <a:noFill/>
                  </pic:spPr>
                </pic:pic>
              </a:graphicData>
            </a:graphic>
          </wp:anchor>
        </w:drawing>
      </w:r>
    </w:p>
    <w:p>
      <w:pPr>
        <w:spacing w:after="0" w:line="200" w:lineRule="exact"/>
        <w:rPr>
          <w:sz w:val="20"/>
          <w:szCs w:val="20"/>
          <w:color w:val="auto"/>
        </w:rPr>
      </w:pPr>
    </w:p>
    <w:p>
      <w:pPr>
        <w:spacing w:after="0" w:line="204" w:lineRule="exact"/>
        <w:rPr>
          <w:sz w:val="20"/>
          <w:szCs w:val="20"/>
          <w:color w:val="auto"/>
        </w:rPr>
      </w:pPr>
    </w:p>
    <w:p>
      <w:pPr>
        <w:spacing w:after="0" w:line="250" w:lineRule="auto"/>
        <w:rPr>
          <w:sz w:val="20"/>
          <w:szCs w:val="20"/>
          <w:color w:val="auto"/>
        </w:rPr>
      </w:pPr>
      <w:r>
        <w:rPr>
          <w:rFonts w:ascii="Arial" w:cs="Arial" w:eastAsia="Arial" w:hAnsi="Arial"/>
          <w:sz w:val="16"/>
          <w:szCs w:val="16"/>
          <w:color w:val="auto"/>
        </w:rPr>
        <w:t>This Proxy Statement is furnished in connection with the solicitation by our Board of Directors of proxies to be used at the Annual Meeting of Shareholders to be held virtually on December 11, 2018, at 4:00 p.m., Central Standard Time, and at any and all adjournments thereof (the “Annual Meeting” or the “Meeting”).</w:t>
      </w:r>
    </w:p>
    <w:p>
      <w:pPr>
        <w:spacing w:after="0" w:line="95" w:lineRule="exact"/>
        <w:rPr>
          <w:sz w:val="20"/>
          <w:szCs w:val="20"/>
          <w:color w:val="auto"/>
        </w:rPr>
      </w:pPr>
    </w:p>
    <w:p>
      <w:pPr>
        <w:ind w:right="140"/>
        <w:spacing w:after="0" w:line="248" w:lineRule="auto"/>
        <w:rPr>
          <w:sz w:val="20"/>
          <w:szCs w:val="20"/>
          <w:color w:val="auto"/>
        </w:rPr>
      </w:pPr>
      <w:r>
        <w:rPr>
          <w:rFonts w:ascii="Arial" w:cs="Arial" w:eastAsia="Arial" w:hAnsi="Arial"/>
          <w:sz w:val="16"/>
          <w:szCs w:val="16"/>
          <w:color w:val="auto"/>
        </w:rPr>
        <w:t>In accordance with rules and regulations adopted by the SEC, instead of mailing a printed copy of our proxy materials to each shareholder of record, we are now furnishing proxy materials to our shareholders on the Internet. If you received a Notice of Internet Availability of Proxy Materials by mail, you will not receive a printed copy of the proxy materials, unless you specifically request a printed copy. Instead, the Notice of Internet Availability of Proxy Materials will instruct you as to how you may access and review all of the important information contained in the proxy materials.</w:t>
      </w:r>
    </w:p>
    <w:p>
      <w:pPr>
        <w:spacing w:after="0" w:line="100" w:lineRule="exact"/>
        <w:rPr>
          <w:sz w:val="20"/>
          <w:szCs w:val="20"/>
          <w:color w:val="auto"/>
        </w:rPr>
      </w:pPr>
    </w:p>
    <w:p>
      <w:pPr>
        <w:ind w:right="180"/>
        <w:spacing w:after="0" w:line="249" w:lineRule="auto"/>
        <w:rPr>
          <w:sz w:val="20"/>
          <w:szCs w:val="20"/>
          <w:color w:val="auto"/>
        </w:rPr>
      </w:pPr>
      <w:r>
        <w:rPr>
          <w:rFonts w:ascii="Arial" w:cs="Arial" w:eastAsia="Arial" w:hAnsi="Arial"/>
          <w:sz w:val="16"/>
          <w:szCs w:val="16"/>
          <w:color w:val="auto"/>
        </w:rPr>
        <w:t>The Notice of Internet Availability of Proxy Materials also instructs you as to how you may submit your proxy on the Internet. If you received a Notice of Internet Availability of Proxy Materials by mail and would like to receive a printed copy of our proxy materials, you should follow the instructions for requesting such materials included in the Notice of Internet Availability of Proxy Materials.</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310" w:type="dxa"/>
        <w:tblCellMar>
          <w:top w:w="0" w:type="dxa"/>
          <w:left w:w="0" w:type="dxa"/>
          <w:bottom w:w="0" w:type="dxa"/>
          <w:right w:w="0" w:type="dxa"/>
        </w:tblCellMar>
      </w:tblPr>
      <w:tr>
        <w:trPr>
          <w:trHeight w:val="156"/>
        </w:trPr>
        <w:tc>
          <w:tcPr>
            <w:tcW w:w="1140" w:type="dxa"/>
            <w:vAlign w:val="bottom"/>
            <w:tcBorders>
              <w:left w:val="single" w:sz="8" w:color="BF2115"/>
              <w:right w:val="single" w:sz="8" w:color="BF2115"/>
            </w:tcBorders>
            <w:shd w:val="clear" w:color="auto" w:fill="BF2115"/>
          </w:tcPr>
          <w:p>
            <w:pPr>
              <w:spacing w:after="0"/>
              <w:rPr>
                <w:sz w:val="13"/>
                <w:szCs w:val="13"/>
                <w:color w:val="auto"/>
              </w:rPr>
            </w:pPr>
          </w:p>
        </w:tc>
        <w:tc>
          <w:tcPr>
            <w:tcW w:w="1080" w:type="dxa"/>
            <w:vAlign w:val="bottom"/>
            <w:tcBorders>
              <w:right w:val="single" w:sz="8" w:color="BF2115"/>
            </w:tcBorders>
            <w:shd w:val="clear" w:color="auto" w:fill="BF2115"/>
          </w:tcPr>
          <w:p>
            <w:pPr>
              <w:spacing w:after="0"/>
              <w:rPr>
                <w:sz w:val="13"/>
                <w:szCs w:val="13"/>
                <w:color w:val="auto"/>
              </w:rPr>
            </w:pPr>
          </w:p>
        </w:tc>
        <w:tc>
          <w:tcPr>
            <w:tcW w:w="1060" w:type="dxa"/>
            <w:vAlign w:val="bottom"/>
            <w:tcBorders>
              <w:right w:val="single" w:sz="8" w:color="BF2115"/>
            </w:tcBorders>
            <w:shd w:val="clear" w:color="auto" w:fill="BF2115"/>
          </w:tcPr>
          <w:p>
            <w:pPr>
              <w:spacing w:after="0"/>
              <w:rPr>
                <w:sz w:val="13"/>
                <w:szCs w:val="13"/>
                <w:color w:val="auto"/>
              </w:rPr>
            </w:pPr>
          </w:p>
        </w:tc>
        <w:tc>
          <w:tcPr>
            <w:tcW w:w="1020" w:type="dxa"/>
            <w:vAlign w:val="bottom"/>
            <w:tcBorders>
              <w:right w:val="single" w:sz="8" w:color="BF2115"/>
            </w:tcBorders>
            <w:shd w:val="clear" w:color="auto" w:fill="BF2115"/>
          </w:tcPr>
          <w:p>
            <w:pPr>
              <w:jc w:val="center"/>
              <w:spacing w:after="0"/>
              <w:rPr>
                <w:sz w:val="20"/>
                <w:szCs w:val="20"/>
                <w:color w:val="auto"/>
              </w:rPr>
            </w:pPr>
            <w:r>
              <w:rPr>
                <w:rFonts w:ascii="Arial" w:cs="Arial" w:eastAsia="Arial" w:hAnsi="Arial"/>
                <w:sz w:val="13"/>
                <w:szCs w:val="13"/>
                <w:color w:val="FFFFFF"/>
                <w:w w:val="97"/>
              </w:rPr>
              <w:t>Board</w:t>
            </w:r>
          </w:p>
        </w:tc>
        <w:tc>
          <w:tcPr>
            <w:tcW w:w="1020" w:type="dxa"/>
            <w:vAlign w:val="bottom"/>
            <w:shd w:val="clear" w:color="auto" w:fill="BF2115"/>
          </w:tcPr>
          <w:p>
            <w:pPr>
              <w:jc w:val="center"/>
              <w:spacing w:after="0"/>
              <w:rPr>
                <w:sz w:val="20"/>
                <w:szCs w:val="20"/>
                <w:color w:val="auto"/>
              </w:rPr>
            </w:pPr>
            <w:r>
              <w:rPr>
                <w:rFonts w:ascii="Arial" w:cs="Arial" w:eastAsia="Arial" w:hAnsi="Arial"/>
                <w:sz w:val="13"/>
                <w:szCs w:val="13"/>
                <w:color w:val="FFFFFF"/>
                <w:w w:val="99"/>
              </w:rPr>
              <w:t>Broker</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1140" w:type="dxa"/>
            <w:vAlign w:val="bottom"/>
            <w:tcBorders>
              <w:left w:val="single" w:sz="8" w:color="BF2115"/>
              <w:right w:val="single" w:sz="8" w:color="BF2115"/>
            </w:tcBorders>
            <w:shd w:val="clear" w:color="auto" w:fill="BF2115"/>
          </w:tcPr>
          <w:p>
            <w:pPr>
              <w:spacing w:after="0"/>
              <w:rPr>
                <w:sz w:val="11"/>
                <w:szCs w:val="11"/>
                <w:color w:val="auto"/>
              </w:rPr>
            </w:pPr>
          </w:p>
        </w:tc>
        <w:tc>
          <w:tcPr>
            <w:tcW w:w="1080" w:type="dxa"/>
            <w:vAlign w:val="bottom"/>
            <w:tcBorders>
              <w:right w:val="single" w:sz="8" w:color="BF2115"/>
            </w:tcBorders>
            <w:shd w:val="clear" w:color="auto" w:fill="BF2115"/>
          </w:tcPr>
          <w:p>
            <w:pPr>
              <w:jc w:val="center"/>
              <w:spacing w:after="0" w:line="135" w:lineRule="exact"/>
              <w:rPr>
                <w:sz w:val="20"/>
                <w:szCs w:val="20"/>
                <w:color w:val="auto"/>
              </w:rPr>
            </w:pPr>
            <w:r>
              <w:rPr>
                <w:rFonts w:ascii="Arial" w:cs="Arial" w:eastAsia="Arial" w:hAnsi="Arial"/>
                <w:sz w:val="13"/>
                <w:szCs w:val="13"/>
                <w:color w:val="FFFFFF"/>
                <w:w w:val="96"/>
              </w:rPr>
              <w:t>Vote Required</w:t>
            </w:r>
          </w:p>
        </w:tc>
        <w:tc>
          <w:tcPr>
            <w:tcW w:w="1060" w:type="dxa"/>
            <w:vAlign w:val="bottom"/>
            <w:tcBorders>
              <w:right w:val="single" w:sz="8" w:color="BF2115"/>
            </w:tcBorders>
            <w:shd w:val="clear" w:color="auto" w:fill="BF2115"/>
          </w:tcPr>
          <w:p>
            <w:pPr>
              <w:jc w:val="center"/>
              <w:spacing w:after="0" w:line="135" w:lineRule="exact"/>
              <w:rPr>
                <w:sz w:val="20"/>
                <w:szCs w:val="20"/>
                <w:color w:val="auto"/>
              </w:rPr>
            </w:pPr>
            <w:r>
              <w:rPr>
                <w:rFonts w:ascii="Arial" w:cs="Arial" w:eastAsia="Arial" w:hAnsi="Arial"/>
                <w:sz w:val="13"/>
                <w:szCs w:val="13"/>
                <w:color w:val="FFFFFF"/>
                <w:w w:val="98"/>
              </w:rPr>
              <w:t>Voting Options</w:t>
            </w:r>
            <w:r>
              <w:rPr>
                <w:rFonts w:ascii="Arial" w:cs="Arial" w:eastAsia="Arial" w:hAnsi="Arial"/>
                <w:sz w:val="8"/>
                <w:szCs w:val="8"/>
                <w:color w:val="FFFFFF"/>
                <w:w w:val="98"/>
              </w:rPr>
              <w:t>(1)</w:t>
            </w:r>
          </w:p>
        </w:tc>
        <w:tc>
          <w:tcPr>
            <w:tcW w:w="1020" w:type="dxa"/>
            <w:vAlign w:val="bottom"/>
            <w:tcBorders>
              <w:right w:val="single" w:sz="8" w:color="BF2115"/>
            </w:tcBorders>
            <w:shd w:val="clear" w:color="auto" w:fill="BF2115"/>
          </w:tcPr>
          <w:p>
            <w:pPr>
              <w:jc w:val="center"/>
              <w:spacing w:after="0" w:line="135" w:lineRule="exact"/>
              <w:rPr>
                <w:sz w:val="20"/>
                <w:szCs w:val="20"/>
                <w:color w:val="auto"/>
              </w:rPr>
            </w:pPr>
            <w:r>
              <w:rPr>
                <w:rFonts w:ascii="Arial" w:cs="Arial" w:eastAsia="Arial" w:hAnsi="Arial"/>
                <w:sz w:val="13"/>
                <w:szCs w:val="13"/>
                <w:color w:val="FFFFFF"/>
                <w:w w:val="94"/>
              </w:rPr>
              <w:t>Recommend-</w:t>
            </w:r>
          </w:p>
        </w:tc>
        <w:tc>
          <w:tcPr>
            <w:tcW w:w="1020" w:type="dxa"/>
            <w:vAlign w:val="bottom"/>
            <w:shd w:val="clear" w:color="auto" w:fill="BF2115"/>
          </w:tcPr>
          <w:p>
            <w:pPr>
              <w:jc w:val="center"/>
              <w:spacing w:after="0" w:line="135" w:lineRule="exact"/>
              <w:rPr>
                <w:sz w:val="20"/>
                <w:szCs w:val="20"/>
                <w:color w:val="auto"/>
              </w:rPr>
            </w:pPr>
            <w:r>
              <w:rPr>
                <w:rFonts w:ascii="Arial" w:cs="Arial" w:eastAsia="Arial" w:hAnsi="Arial"/>
                <w:sz w:val="13"/>
                <w:szCs w:val="13"/>
                <w:color w:val="FFFFFF"/>
                <w:w w:val="97"/>
              </w:rPr>
              <w:t>Discretionary</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2"/>
        </w:trPr>
        <w:tc>
          <w:tcPr>
            <w:tcW w:w="1140" w:type="dxa"/>
            <w:vAlign w:val="bottom"/>
            <w:tcBorders>
              <w:left w:val="single" w:sz="8" w:color="BF2115"/>
              <w:bottom w:val="single" w:sz="8" w:color="828282"/>
              <w:right w:val="single" w:sz="8" w:color="BF2115"/>
            </w:tcBorders>
            <w:shd w:val="clear" w:color="auto" w:fill="BF2115"/>
          </w:tcPr>
          <w:p>
            <w:pPr>
              <w:spacing w:after="0"/>
              <w:rPr>
                <w:sz w:val="14"/>
                <w:szCs w:val="14"/>
                <w:color w:val="auto"/>
              </w:rPr>
            </w:pPr>
          </w:p>
        </w:tc>
        <w:tc>
          <w:tcPr>
            <w:tcW w:w="1080" w:type="dxa"/>
            <w:vAlign w:val="bottom"/>
            <w:tcBorders>
              <w:bottom w:val="single" w:sz="8" w:color="828282"/>
              <w:right w:val="single" w:sz="8" w:color="BF2115"/>
            </w:tcBorders>
            <w:shd w:val="clear" w:color="auto" w:fill="BF2115"/>
          </w:tcPr>
          <w:p>
            <w:pPr>
              <w:spacing w:after="0"/>
              <w:rPr>
                <w:sz w:val="14"/>
                <w:szCs w:val="14"/>
                <w:color w:val="auto"/>
              </w:rPr>
            </w:pPr>
          </w:p>
        </w:tc>
        <w:tc>
          <w:tcPr>
            <w:tcW w:w="1060" w:type="dxa"/>
            <w:vAlign w:val="bottom"/>
            <w:tcBorders>
              <w:bottom w:val="single" w:sz="8" w:color="828282"/>
              <w:right w:val="single" w:sz="8" w:color="BF2115"/>
            </w:tcBorders>
            <w:shd w:val="clear" w:color="auto" w:fill="BF2115"/>
          </w:tcPr>
          <w:p>
            <w:pPr>
              <w:spacing w:after="0"/>
              <w:rPr>
                <w:sz w:val="14"/>
                <w:szCs w:val="14"/>
                <w:color w:val="auto"/>
              </w:rPr>
            </w:pPr>
          </w:p>
        </w:tc>
        <w:tc>
          <w:tcPr>
            <w:tcW w:w="1020" w:type="dxa"/>
            <w:vAlign w:val="bottom"/>
            <w:tcBorders>
              <w:bottom w:val="single" w:sz="8" w:color="828282"/>
              <w:right w:val="single" w:sz="8" w:color="BF2115"/>
            </w:tcBorders>
            <w:shd w:val="clear" w:color="auto" w:fill="BF2115"/>
          </w:tcPr>
          <w:p>
            <w:pPr>
              <w:jc w:val="center"/>
              <w:spacing w:after="0"/>
              <w:rPr>
                <w:sz w:val="20"/>
                <w:szCs w:val="20"/>
                <w:color w:val="auto"/>
              </w:rPr>
            </w:pPr>
            <w:r>
              <w:rPr>
                <w:rFonts w:ascii="Arial" w:cs="Arial" w:eastAsia="Arial" w:hAnsi="Arial"/>
                <w:sz w:val="13"/>
                <w:szCs w:val="13"/>
                <w:color w:val="FFFFFF"/>
                <w:w w:val="99"/>
              </w:rPr>
              <w:t>ation</w:t>
            </w:r>
            <w:r>
              <w:rPr>
                <w:rFonts w:ascii="Arial" w:cs="Arial" w:eastAsia="Arial" w:hAnsi="Arial"/>
                <w:sz w:val="8"/>
                <w:szCs w:val="8"/>
                <w:color w:val="FFFFFF"/>
                <w:w w:val="99"/>
              </w:rPr>
              <w:t>(2)</w:t>
            </w:r>
          </w:p>
        </w:tc>
        <w:tc>
          <w:tcPr>
            <w:tcW w:w="1020" w:type="dxa"/>
            <w:vAlign w:val="bottom"/>
            <w:tcBorders>
              <w:bottom w:val="single" w:sz="8" w:color="828282"/>
            </w:tcBorders>
            <w:shd w:val="clear" w:color="auto" w:fill="BF2115"/>
          </w:tcPr>
          <w:p>
            <w:pPr>
              <w:jc w:val="center"/>
              <w:spacing w:after="0"/>
              <w:rPr>
                <w:sz w:val="20"/>
                <w:szCs w:val="20"/>
                <w:color w:val="auto"/>
              </w:rPr>
            </w:pPr>
            <w:r>
              <w:rPr>
                <w:rFonts w:ascii="Arial" w:cs="Arial" w:eastAsia="Arial" w:hAnsi="Arial"/>
                <w:sz w:val="13"/>
                <w:szCs w:val="13"/>
                <w:color w:val="FFFFFF"/>
                <w:w w:val="98"/>
              </w:rPr>
              <w:t>Voting Allowed</w:t>
            </w:r>
            <w:r>
              <w:rPr>
                <w:rFonts w:ascii="Arial" w:cs="Arial" w:eastAsia="Arial" w:hAnsi="Arial"/>
                <w:sz w:val="8"/>
                <w:szCs w:val="8"/>
                <w:color w:val="FFFFFF"/>
                <w:w w:val="98"/>
              </w:rPr>
              <w:t>(3)</w:t>
            </w:r>
          </w:p>
        </w:tc>
        <w:tc>
          <w:tcPr>
            <w:tcW w:w="20" w:type="dxa"/>
            <w:vAlign w:val="bottom"/>
            <w:tcBorders>
              <w:bottom w:val="single" w:sz="8" w:color="828282"/>
            </w:tcBorders>
          </w:tcPr>
          <w:p>
            <w:pPr>
              <w:spacing w:after="0"/>
              <w:rPr>
                <w:sz w:val="14"/>
                <w:szCs w:val="14"/>
                <w:color w:val="auto"/>
              </w:rPr>
            </w:pPr>
          </w:p>
        </w:tc>
        <w:tc>
          <w:tcPr>
            <w:tcW w:w="0" w:type="dxa"/>
            <w:vAlign w:val="bottom"/>
          </w:tcPr>
          <w:p>
            <w:pPr>
              <w:spacing w:after="0"/>
              <w:rPr>
                <w:sz w:val="1"/>
                <w:szCs w:val="1"/>
                <w:color w:val="auto"/>
              </w:rPr>
            </w:pPr>
          </w:p>
        </w:tc>
      </w:tr>
      <w:tr>
        <w:trPr>
          <w:trHeight w:val="145"/>
        </w:trPr>
        <w:tc>
          <w:tcPr>
            <w:tcW w:w="1140" w:type="dxa"/>
            <w:vAlign w:val="bottom"/>
            <w:tcBorders>
              <w:left w:val="single" w:sz="8" w:color="828282"/>
              <w:right w:val="single" w:sz="8" w:color="828282"/>
            </w:tcBorders>
          </w:tcPr>
          <w:p>
            <w:pPr>
              <w:ind w:left="40"/>
              <w:spacing w:after="0"/>
              <w:rPr>
                <w:sz w:val="20"/>
                <w:szCs w:val="20"/>
                <w:color w:val="auto"/>
              </w:rPr>
            </w:pPr>
            <w:r>
              <w:rPr>
                <w:rFonts w:ascii="Arial" w:cs="Arial" w:eastAsia="Arial" w:hAnsi="Arial"/>
                <w:sz w:val="11"/>
                <w:szCs w:val="11"/>
                <w:b w:val="1"/>
                <w:bCs w:val="1"/>
                <w:color w:val="auto"/>
              </w:rPr>
              <w:t>Item 1</w:t>
            </w:r>
            <w:r>
              <w:rPr>
                <w:rFonts w:ascii="Arial" w:cs="Arial" w:eastAsia="Arial" w:hAnsi="Arial"/>
                <w:sz w:val="11"/>
                <w:szCs w:val="11"/>
                <w:color w:val="auto"/>
              </w:rPr>
              <w:t>: Elect three</w:t>
            </w:r>
          </w:p>
        </w:tc>
        <w:tc>
          <w:tcPr>
            <w:tcW w:w="1080" w:type="dxa"/>
            <w:vAlign w:val="bottom"/>
            <w:tcBorders>
              <w:right w:val="single" w:sz="8" w:color="828282"/>
            </w:tcBorders>
          </w:tcPr>
          <w:p>
            <w:pPr>
              <w:spacing w:after="0"/>
              <w:rPr>
                <w:sz w:val="12"/>
                <w:szCs w:val="12"/>
                <w:color w:val="auto"/>
              </w:rPr>
            </w:pPr>
          </w:p>
        </w:tc>
        <w:tc>
          <w:tcPr>
            <w:tcW w:w="1060" w:type="dxa"/>
            <w:vAlign w:val="bottom"/>
            <w:tcBorders>
              <w:right w:val="single" w:sz="8" w:color="828282"/>
            </w:tcBorders>
          </w:tcPr>
          <w:p>
            <w:pPr>
              <w:spacing w:after="0"/>
              <w:rPr>
                <w:sz w:val="12"/>
                <w:szCs w:val="12"/>
                <w:color w:val="auto"/>
              </w:rPr>
            </w:pPr>
          </w:p>
        </w:tc>
        <w:tc>
          <w:tcPr>
            <w:tcW w:w="1020" w:type="dxa"/>
            <w:vAlign w:val="bottom"/>
            <w:tcBorders>
              <w:right w:val="single" w:sz="8" w:color="828282"/>
            </w:tcBorders>
          </w:tcPr>
          <w:p>
            <w:pPr>
              <w:spacing w:after="0"/>
              <w:rPr>
                <w:sz w:val="12"/>
                <w:szCs w:val="12"/>
                <w:color w:val="auto"/>
              </w:rPr>
            </w:pPr>
          </w:p>
        </w:tc>
        <w:tc>
          <w:tcPr>
            <w:tcW w:w="1020" w:type="dxa"/>
            <w:vAlign w:val="bottom"/>
          </w:tcPr>
          <w:p>
            <w:pPr>
              <w:spacing w:after="0"/>
              <w:rPr>
                <w:sz w:val="12"/>
                <w:szCs w:val="12"/>
                <w:color w:val="auto"/>
              </w:rPr>
            </w:pPr>
          </w:p>
        </w:tc>
        <w:tc>
          <w:tcPr>
            <w:tcW w:w="20" w:type="dxa"/>
            <w:vAlign w:val="bottom"/>
            <w:shd w:val="clear" w:color="auto" w:fill="828282"/>
          </w:tcPr>
          <w:p>
            <w:pPr>
              <w:spacing w:after="0"/>
              <w:rPr>
                <w:sz w:val="12"/>
                <w:szCs w:val="12"/>
                <w:color w:val="auto"/>
              </w:rPr>
            </w:pPr>
          </w:p>
        </w:tc>
        <w:tc>
          <w:tcPr>
            <w:tcW w:w="0" w:type="dxa"/>
            <w:vAlign w:val="bottom"/>
          </w:tcPr>
          <w:p>
            <w:pPr>
              <w:spacing w:after="0"/>
              <w:rPr>
                <w:sz w:val="1"/>
                <w:szCs w:val="1"/>
                <w:color w:val="auto"/>
              </w:rPr>
            </w:pPr>
          </w:p>
        </w:tc>
      </w:tr>
      <w:tr>
        <w:trPr>
          <w:trHeight w:val="122"/>
        </w:trPr>
        <w:tc>
          <w:tcPr>
            <w:tcW w:w="1140" w:type="dxa"/>
            <w:vAlign w:val="bottom"/>
            <w:tcBorders>
              <w:left w:val="single" w:sz="8" w:color="828282"/>
              <w:right w:val="single" w:sz="8" w:color="828282"/>
            </w:tcBorders>
          </w:tcPr>
          <w:p>
            <w:pPr>
              <w:ind w:left="40"/>
              <w:spacing w:after="0" w:line="122" w:lineRule="exact"/>
              <w:rPr>
                <w:sz w:val="20"/>
                <w:szCs w:val="20"/>
                <w:color w:val="auto"/>
              </w:rPr>
            </w:pPr>
            <w:r>
              <w:rPr>
                <w:rFonts w:ascii="Arial" w:cs="Arial" w:eastAsia="Arial" w:hAnsi="Arial"/>
                <w:sz w:val="11"/>
                <w:szCs w:val="11"/>
                <w:color w:val="auto"/>
              </w:rPr>
              <w:t>Class I directors to</w:t>
            </w:r>
          </w:p>
        </w:tc>
        <w:tc>
          <w:tcPr>
            <w:tcW w:w="1080" w:type="dxa"/>
            <w:vAlign w:val="bottom"/>
            <w:tcBorders>
              <w:right w:val="single" w:sz="8" w:color="828282"/>
            </w:tcBorders>
          </w:tcPr>
          <w:p>
            <w:pPr>
              <w:jc w:val="center"/>
              <w:spacing w:after="0" w:line="122" w:lineRule="exact"/>
              <w:rPr>
                <w:sz w:val="20"/>
                <w:szCs w:val="20"/>
                <w:color w:val="auto"/>
              </w:rPr>
            </w:pPr>
            <w:r>
              <w:rPr>
                <w:rFonts w:ascii="Arial" w:cs="Arial" w:eastAsia="Arial" w:hAnsi="Arial"/>
                <w:sz w:val="11"/>
                <w:szCs w:val="11"/>
                <w:color w:val="auto"/>
                <w:w w:val="98"/>
              </w:rPr>
              <w:t>Plurality of the votes</w:t>
            </w:r>
          </w:p>
        </w:tc>
        <w:tc>
          <w:tcPr>
            <w:tcW w:w="1060" w:type="dxa"/>
            <w:vAlign w:val="bottom"/>
            <w:tcBorders>
              <w:right w:val="single" w:sz="8" w:color="828282"/>
            </w:tcBorders>
          </w:tcPr>
          <w:p>
            <w:pPr>
              <w:jc w:val="center"/>
              <w:spacing w:after="0" w:line="122" w:lineRule="exact"/>
              <w:rPr>
                <w:sz w:val="20"/>
                <w:szCs w:val="20"/>
                <w:color w:val="auto"/>
              </w:rPr>
            </w:pPr>
            <w:r>
              <w:rPr>
                <w:rFonts w:ascii="Arial" w:cs="Arial" w:eastAsia="Arial" w:hAnsi="Arial"/>
                <w:sz w:val="11"/>
                <w:szCs w:val="11"/>
                <w:color w:val="auto"/>
                <w:w w:val="94"/>
              </w:rPr>
              <w:t>FOR</w:t>
            </w:r>
          </w:p>
        </w:tc>
        <w:tc>
          <w:tcPr>
            <w:tcW w:w="1020" w:type="dxa"/>
            <w:vAlign w:val="bottom"/>
            <w:tcBorders>
              <w:right w:val="single" w:sz="8" w:color="828282"/>
            </w:tcBorders>
            <w:vMerge w:val="restart"/>
          </w:tcPr>
          <w:p>
            <w:pPr>
              <w:jc w:val="center"/>
              <w:spacing w:after="0"/>
              <w:rPr>
                <w:sz w:val="20"/>
                <w:szCs w:val="20"/>
                <w:color w:val="auto"/>
              </w:rPr>
            </w:pPr>
            <w:r>
              <w:rPr>
                <w:rFonts w:ascii="Arial" w:cs="Arial" w:eastAsia="Arial" w:hAnsi="Arial"/>
                <w:sz w:val="11"/>
                <w:szCs w:val="11"/>
                <w:color w:val="auto"/>
                <w:w w:val="94"/>
              </w:rPr>
              <w:t>FOR</w:t>
            </w:r>
          </w:p>
        </w:tc>
        <w:tc>
          <w:tcPr>
            <w:tcW w:w="1020" w:type="dxa"/>
            <w:vAlign w:val="bottom"/>
            <w:vMerge w:val="restart"/>
          </w:tcPr>
          <w:p>
            <w:pPr>
              <w:jc w:val="center"/>
              <w:spacing w:after="0"/>
              <w:rPr>
                <w:sz w:val="20"/>
                <w:szCs w:val="20"/>
                <w:color w:val="auto"/>
              </w:rPr>
            </w:pPr>
            <w:r>
              <w:rPr>
                <w:rFonts w:ascii="Arial" w:cs="Arial" w:eastAsia="Arial" w:hAnsi="Arial"/>
                <w:sz w:val="11"/>
                <w:szCs w:val="11"/>
                <w:color w:val="auto"/>
                <w:w w:val="99"/>
              </w:rPr>
              <w:t>No</w:t>
            </w:r>
          </w:p>
        </w:tc>
        <w:tc>
          <w:tcPr>
            <w:tcW w:w="20" w:type="dxa"/>
            <w:vAlign w:val="bottom"/>
            <w:shd w:val="clear" w:color="auto" w:fill="828282"/>
          </w:tcPr>
          <w:p>
            <w:pPr>
              <w:spacing w:after="0"/>
              <w:rPr>
                <w:sz w:val="10"/>
                <w:szCs w:val="10"/>
                <w:color w:val="auto"/>
              </w:rPr>
            </w:pPr>
          </w:p>
        </w:tc>
        <w:tc>
          <w:tcPr>
            <w:tcW w:w="0" w:type="dxa"/>
            <w:vAlign w:val="bottom"/>
          </w:tcPr>
          <w:p>
            <w:pPr>
              <w:spacing w:after="0"/>
              <w:rPr>
                <w:sz w:val="1"/>
                <w:szCs w:val="1"/>
                <w:color w:val="auto"/>
              </w:rPr>
            </w:pPr>
          </w:p>
        </w:tc>
      </w:tr>
      <w:tr>
        <w:trPr>
          <w:trHeight w:val="62"/>
        </w:trPr>
        <w:tc>
          <w:tcPr>
            <w:tcW w:w="1140" w:type="dxa"/>
            <w:vAlign w:val="bottom"/>
            <w:tcBorders>
              <w:left w:val="single" w:sz="8" w:color="828282"/>
              <w:right w:val="single" w:sz="8" w:color="828282"/>
            </w:tcBorders>
            <w:vMerge w:val="restart"/>
          </w:tcPr>
          <w:p>
            <w:pPr>
              <w:ind w:left="40"/>
              <w:spacing w:after="0" w:line="122" w:lineRule="exact"/>
              <w:rPr>
                <w:sz w:val="20"/>
                <w:szCs w:val="20"/>
                <w:color w:val="auto"/>
              </w:rPr>
            </w:pPr>
            <w:r>
              <w:rPr>
                <w:rFonts w:ascii="Arial" w:cs="Arial" w:eastAsia="Arial" w:hAnsi="Arial"/>
                <w:sz w:val="11"/>
                <w:szCs w:val="11"/>
                <w:color w:val="auto"/>
                <w:w w:val="99"/>
              </w:rPr>
              <w:t>hold office for a three-</w:t>
            </w:r>
          </w:p>
        </w:tc>
        <w:tc>
          <w:tcPr>
            <w:tcW w:w="1080" w:type="dxa"/>
            <w:vAlign w:val="bottom"/>
            <w:tcBorders>
              <w:right w:val="single" w:sz="8" w:color="828282"/>
            </w:tcBorders>
            <w:vMerge w:val="restart"/>
          </w:tcPr>
          <w:p>
            <w:pPr>
              <w:jc w:val="center"/>
              <w:spacing w:after="0" w:line="122" w:lineRule="exact"/>
              <w:rPr>
                <w:sz w:val="20"/>
                <w:szCs w:val="20"/>
                <w:color w:val="auto"/>
              </w:rPr>
            </w:pPr>
            <w:r>
              <w:rPr>
                <w:rFonts w:ascii="Arial" w:cs="Arial" w:eastAsia="Arial" w:hAnsi="Arial"/>
                <w:sz w:val="11"/>
                <w:szCs w:val="11"/>
                <w:color w:val="auto"/>
                <w:w w:val="97"/>
              </w:rPr>
              <w:t>cast</w:t>
            </w:r>
            <w:r>
              <w:rPr>
                <w:rFonts w:ascii="Arial" w:cs="Arial" w:eastAsia="Arial" w:hAnsi="Arial"/>
                <w:sz w:val="7"/>
                <w:szCs w:val="7"/>
                <w:color w:val="auto"/>
                <w:w w:val="97"/>
              </w:rPr>
              <w:t>(4)</w:t>
            </w:r>
          </w:p>
        </w:tc>
        <w:tc>
          <w:tcPr>
            <w:tcW w:w="1060" w:type="dxa"/>
            <w:vAlign w:val="bottom"/>
            <w:tcBorders>
              <w:right w:val="single" w:sz="8" w:color="828282"/>
            </w:tcBorders>
            <w:vMerge w:val="restart"/>
          </w:tcPr>
          <w:p>
            <w:pPr>
              <w:jc w:val="center"/>
              <w:spacing w:after="0" w:line="122" w:lineRule="exact"/>
              <w:rPr>
                <w:sz w:val="20"/>
                <w:szCs w:val="20"/>
                <w:color w:val="auto"/>
              </w:rPr>
            </w:pPr>
            <w:r>
              <w:rPr>
                <w:rFonts w:ascii="Arial" w:cs="Arial" w:eastAsia="Arial" w:hAnsi="Arial"/>
                <w:sz w:val="11"/>
                <w:szCs w:val="11"/>
                <w:color w:val="auto"/>
                <w:w w:val="98"/>
              </w:rPr>
              <w:t>WITHHOLD</w:t>
            </w:r>
          </w:p>
        </w:tc>
        <w:tc>
          <w:tcPr>
            <w:tcW w:w="1020" w:type="dxa"/>
            <w:vAlign w:val="bottom"/>
            <w:tcBorders>
              <w:right w:val="single" w:sz="8" w:color="828282"/>
            </w:tcBorders>
            <w:vMerge w:val="continue"/>
          </w:tcPr>
          <w:p>
            <w:pPr>
              <w:spacing w:after="0"/>
              <w:rPr>
                <w:sz w:val="5"/>
                <w:szCs w:val="5"/>
                <w:color w:val="auto"/>
              </w:rPr>
            </w:pPr>
          </w:p>
        </w:tc>
        <w:tc>
          <w:tcPr>
            <w:tcW w:w="1020" w:type="dxa"/>
            <w:vAlign w:val="bottom"/>
            <w:vMerge w:val="continue"/>
          </w:tcPr>
          <w:p>
            <w:pPr>
              <w:spacing w:after="0"/>
              <w:rPr>
                <w:sz w:val="5"/>
                <w:szCs w:val="5"/>
                <w:color w:val="auto"/>
              </w:rPr>
            </w:pPr>
          </w:p>
        </w:tc>
        <w:tc>
          <w:tcPr>
            <w:tcW w:w="20" w:type="dxa"/>
            <w:vAlign w:val="bottom"/>
            <w:shd w:val="clear" w:color="auto" w:fill="828282"/>
          </w:tcPr>
          <w:p>
            <w:pPr>
              <w:spacing w:after="0"/>
              <w:rPr>
                <w:sz w:val="5"/>
                <w:szCs w:val="5"/>
                <w:color w:val="auto"/>
              </w:rPr>
            </w:pPr>
          </w:p>
        </w:tc>
        <w:tc>
          <w:tcPr>
            <w:tcW w:w="0" w:type="dxa"/>
            <w:vAlign w:val="bottom"/>
          </w:tcPr>
          <w:p>
            <w:pPr>
              <w:spacing w:after="0"/>
              <w:rPr>
                <w:sz w:val="1"/>
                <w:szCs w:val="1"/>
                <w:color w:val="auto"/>
              </w:rPr>
            </w:pPr>
          </w:p>
        </w:tc>
      </w:tr>
      <w:tr>
        <w:trPr>
          <w:trHeight w:val="59"/>
        </w:trPr>
        <w:tc>
          <w:tcPr>
            <w:tcW w:w="1140" w:type="dxa"/>
            <w:vAlign w:val="bottom"/>
            <w:tcBorders>
              <w:left w:val="single" w:sz="8" w:color="828282"/>
              <w:right w:val="single" w:sz="8" w:color="828282"/>
            </w:tcBorders>
            <w:vMerge w:val="continue"/>
          </w:tcPr>
          <w:p>
            <w:pPr>
              <w:spacing w:after="0"/>
              <w:rPr>
                <w:sz w:val="5"/>
                <w:szCs w:val="5"/>
                <w:color w:val="auto"/>
              </w:rPr>
            </w:pPr>
          </w:p>
        </w:tc>
        <w:tc>
          <w:tcPr>
            <w:tcW w:w="1080" w:type="dxa"/>
            <w:vAlign w:val="bottom"/>
            <w:tcBorders>
              <w:right w:val="single" w:sz="8" w:color="828282"/>
            </w:tcBorders>
            <w:vMerge w:val="continue"/>
          </w:tcPr>
          <w:p>
            <w:pPr>
              <w:spacing w:after="0"/>
              <w:rPr>
                <w:sz w:val="5"/>
                <w:szCs w:val="5"/>
                <w:color w:val="auto"/>
              </w:rPr>
            </w:pPr>
          </w:p>
        </w:tc>
        <w:tc>
          <w:tcPr>
            <w:tcW w:w="1060" w:type="dxa"/>
            <w:vAlign w:val="bottom"/>
            <w:tcBorders>
              <w:right w:val="single" w:sz="8" w:color="828282"/>
            </w:tcBorders>
            <w:vMerge w:val="continue"/>
          </w:tcPr>
          <w:p>
            <w:pPr>
              <w:spacing w:after="0"/>
              <w:rPr>
                <w:sz w:val="5"/>
                <w:szCs w:val="5"/>
                <w:color w:val="auto"/>
              </w:rPr>
            </w:pPr>
          </w:p>
        </w:tc>
        <w:tc>
          <w:tcPr>
            <w:tcW w:w="1020" w:type="dxa"/>
            <w:vAlign w:val="bottom"/>
            <w:tcBorders>
              <w:right w:val="single" w:sz="8" w:color="828282"/>
            </w:tcBorders>
          </w:tcPr>
          <w:p>
            <w:pPr>
              <w:spacing w:after="0"/>
              <w:rPr>
                <w:sz w:val="5"/>
                <w:szCs w:val="5"/>
                <w:color w:val="auto"/>
              </w:rPr>
            </w:pPr>
          </w:p>
        </w:tc>
        <w:tc>
          <w:tcPr>
            <w:tcW w:w="1020" w:type="dxa"/>
            <w:vAlign w:val="bottom"/>
          </w:tcPr>
          <w:p>
            <w:pPr>
              <w:spacing w:after="0"/>
              <w:rPr>
                <w:sz w:val="5"/>
                <w:szCs w:val="5"/>
                <w:color w:val="auto"/>
              </w:rPr>
            </w:pPr>
          </w:p>
        </w:tc>
        <w:tc>
          <w:tcPr>
            <w:tcW w:w="20" w:type="dxa"/>
            <w:vAlign w:val="bottom"/>
            <w:shd w:val="clear" w:color="auto" w:fill="828282"/>
          </w:tcPr>
          <w:p>
            <w:pPr>
              <w:spacing w:after="0"/>
              <w:rPr>
                <w:sz w:val="5"/>
                <w:szCs w:val="5"/>
                <w:color w:val="auto"/>
              </w:rPr>
            </w:pPr>
          </w:p>
        </w:tc>
        <w:tc>
          <w:tcPr>
            <w:tcW w:w="0" w:type="dxa"/>
            <w:vAlign w:val="bottom"/>
          </w:tcPr>
          <w:p>
            <w:pPr>
              <w:spacing w:after="0"/>
              <w:rPr>
                <w:sz w:val="1"/>
                <w:szCs w:val="1"/>
                <w:color w:val="auto"/>
              </w:rPr>
            </w:pPr>
          </w:p>
        </w:tc>
      </w:tr>
      <w:tr>
        <w:trPr>
          <w:trHeight w:val="130"/>
        </w:trPr>
        <w:tc>
          <w:tcPr>
            <w:tcW w:w="1140" w:type="dxa"/>
            <w:vAlign w:val="bottom"/>
            <w:tcBorders>
              <w:left w:val="single" w:sz="8" w:color="828282"/>
              <w:right w:val="single" w:sz="8" w:color="828282"/>
            </w:tcBorders>
          </w:tcPr>
          <w:p>
            <w:pPr>
              <w:ind w:left="40"/>
              <w:spacing w:after="0"/>
              <w:rPr>
                <w:sz w:val="20"/>
                <w:szCs w:val="20"/>
                <w:color w:val="auto"/>
              </w:rPr>
            </w:pPr>
            <w:r>
              <w:rPr>
                <w:rFonts w:ascii="Arial" w:cs="Arial" w:eastAsia="Arial" w:hAnsi="Arial"/>
                <w:sz w:val="11"/>
                <w:szCs w:val="11"/>
                <w:color w:val="auto"/>
              </w:rPr>
              <w:t>year term</w:t>
            </w:r>
          </w:p>
        </w:tc>
        <w:tc>
          <w:tcPr>
            <w:tcW w:w="1080" w:type="dxa"/>
            <w:vAlign w:val="bottom"/>
            <w:tcBorders>
              <w:right w:val="single" w:sz="8" w:color="828282"/>
            </w:tcBorders>
          </w:tcPr>
          <w:p>
            <w:pPr>
              <w:spacing w:after="0"/>
              <w:rPr>
                <w:sz w:val="11"/>
                <w:szCs w:val="11"/>
                <w:color w:val="auto"/>
              </w:rPr>
            </w:pPr>
          </w:p>
        </w:tc>
        <w:tc>
          <w:tcPr>
            <w:tcW w:w="1060" w:type="dxa"/>
            <w:vAlign w:val="bottom"/>
            <w:tcBorders>
              <w:right w:val="single" w:sz="8" w:color="828282"/>
            </w:tcBorders>
          </w:tcPr>
          <w:p>
            <w:pPr>
              <w:spacing w:after="0"/>
              <w:rPr>
                <w:sz w:val="11"/>
                <w:szCs w:val="11"/>
                <w:color w:val="auto"/>
              </w:rPr>
            </w:pPr>
          </w:p>
        </w:tc>
        <w:tc>
          <w:tcPr>
            <w:tcW w:w="1020" w:type="dxa"/>
            <w:vAlign w:val="bottom"/>
            <w:tcBorders>
              <w:right w:val="single" w:sz="8" w:color="828282"/>
            </w:tcBorders>
          </w:tcPr>
          <w:p>
            <w:pPr>
              <w:spacing w:after="0"/>
              <w:rPr>
                <w:sz w:val="11"/>
                <w:szCs w:val="11"/>
                <w:color w:val="auto"/>
              </w:rPr>
            </w:pPr>
          </w:p>
        </w:tc>
        <w:tc>
          <w:tcPr>
            <w:tcW w:w="1020" w:type="dxa"/>
            <w:vAlign w:val="bottom"/>
          </w:tcPr>
          <w:p>
            <w:pPr>
              <w:spacing w:after="0"/>
              <w:rPr>
                <w:sz w:val="11"/>
                <w:szCs w:val="11"/>
                <w:color w:val="auto"/>
              </w:rPr>
            </w:pPr>
          </w:p>
        </w:tc>
        <w:tc>
          <w:tcPr>
            <w:tcW w:w="20" w:type="dxa"/>
            <w:vAlign w:val="bottom"/>
            <w:shd w:val="clear" w:color="auto" w:fill="828282"/>
          </w:tcPr>
          <w:p>
            <w:pPr>
              <w:spacing w:after="0"/>
              <w:rPr>
                <w:sz w:val="11"/>
                <w:szCs w:val="11"/>
                <w:color w:val="auto"/>
              </w:rPr>
            </w:pPr>
          </w:p>
        </w:tc>
        <w:tc>
          <w:tcPr>
            <w:tcW w:w="0" w:type="dxa"/>
            <w:vAlign w:val="bottom"/>
          </w:tcPr>
          <w:p>
            <w:pPr>
              <w:spacing w:after="0"/>
              <w:rPr>
                <w:sz w:val="1"/>
                <w:szCs w:val="1"/>
                <w:color w:val="auto"/>
              </w:rPr>
            </w:pPr>
          </w:p>
        </w:tc>
      </w:tr>
      <w:tr>
        <w:trPr>
          <w:trHeight w:val="22"/>
        </w:trPr>
        <w:tc>
          <w:tcPr>
            <w:tcW w:w="1140" w:type="dxa"/>
            <w:vAlign w:val="bottom"/>
            <w:tcBorders>
              <w:left w:val="single" w:sz="8" w:color="828282"/>
              <w:bottom w:val="single" w:sz="8" w:color="828282"/>
              <w:right w:val="single" w:sz="8" w:color="828282"/>
            </w:tcBorders>
          </w:tcPr>
          <w:p>
            <w:pPr>
              <w:spacing w:after="0" w:line="20" w:lineRule="exact"/>
              <w:rPr>
                <w:sz w:val="1"/>
                <w:szCs w:val="1"/>
                <w:color w:val="auto"/>
              </w:rPr>
            </w:pPr>
          </w:p>
        </w:tc>
        <w:tc>
          <w:tcPr>
            <w:tcW w:w="1080" w:type="dxa"/>
            <w:vAlign w:val="bottom"/>
            <w:tcBorders>
              <w:bottom w:val="single" w:sz="8" w:color="828282"/>
              <w:right w:val="single" w:sz="8" w:color="828282"/>
            </w:tcBorders>
          </w:tcPr>
          <w:p>
            <w:pPr>
              <w:spacing w:after="0" w:line="20" w:lineRule="exact"/>
              <w:rPr>
                <w:sz w:val="1"/>
                <w:szCs w:val="1"/>
                <w:color w:val="auto"/>
              </w:rPr>
            </w:pPr>
          </w:p>
        </w:tc>
        <w:tc>
          <w:tcPr>
            <w:tcW w:w="1060" w:type="dxa"/>
            <w:vAlign w:val="bottom"/>
            <w:tcBorders>
              <w:bottom w:val="single" w:sz="8" w:color="828282"/>
              <w:right w:val="single" w:sz="8" w:color="828282"/>
            </w:tcBorders>
          </w:tcPr>
          <w:p>
            <w:pPr>
              <w:spacing w:after="0" w:line="20" w:lineRule="exact"/>
              <w:rPr>
                <w:sz w:val="1"/>
                <w:szCs w:val="1"/>
                <w:color w:val="auto"/>
              </w:rPr>
            </w:pPr>
          </w:p>
        </w:tc>
        <w:tc>
          <w:tcPr>
            <w:tcW w:w="1020" w:type="dxa"/>
            <w:vAlign w:val="bottom"/>
            <w:tcBorders>
              <w:bottom w:val="single" w:sz="8" w:color="828282"/>
              <w:right w:val="single" w:sz="8" w:color="828282"/>
            </w:tcBorders>
          </w:tcPr>
          <w:p>
            <w:pPr>
              <w:spacing w:after="0" w:line="20" w:lineRule="exact"/>
              <w:rPr>
                <w:sz w:val="1"/>
                <w:szCs w:val="1"/>
                <w:color w:val="auto"/>
              </w:rPr>
            </w:pPr>
          </w:p>
        </w:tc>
        <w:tc>
          <w:tcPr>
            <w:tcW w:w="1020" w:type="dxa"/>
            <w:vAlign w:val="bottom"/>
            <w:tcBorders>
              <w:bottom w:val="single" w:sz="8" w:color="828282"/>
            </w:tcBorders>
          </w:tcPr>
          <w:p>
            <w:pPr>
              <w:spacing w:after="0" w:line="20" w:lineRule="exact"/>
              <w:rPr>
                <w:sz w:val="1"/>
                <w:szCs w:val="1"/>
                <w:color w:val="auto"/>
              </w:rPr>
            </w:pPr>
          </w:p>
        </w:tc>
        <w:tc>
          <w:tcPr>
            <w:tcW w:w="20" w:type="dxa"/>
            <w:vAlign w:val="bottom"/>
            <w:tcBorders>
              <w:bottom w:val="single" w:sz="8" w:color="828282"/>
            </w:tcBorders>
            <w:shd w:val="clear" w:color="auto" w:fill="828282"/>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39"/>
        </w:trPr>
        <w:tc>
          <w:tcPr>
            <w:tcW w:w="1140" w:type="dxa"/>
            <w:vAlign w:val="bottom"/>
            <w:tcBorders>
              <w:left w:val="single" w:sz="8" w:color="828282"/>
              <w:right w:val="single" w:sz="8" w:color="828282"/>
            </w:tcBorders>
          </w:tcPr>
          <w:p>
            <w:pPr>
              <w:ind w:left="40"/>
              <w:spacing w:after="0"/>
              <w:rPr>
                <w:sz w:val="20"/>
                <w:szCs w:val="20"/>
                <w:color w:val="auto"/>
              </w:rPr>
            </w:pPr>
            <w:r>
              <w:rPr>
                <w:rFonts w:ascii="Arial" w:cs="Arial" w:eastAsia="Arial" w:hAnsi="Arial"/>
                <w:sz w:val="11"/>
                <w:szCs w:val="11"/>
                <w:b w:val="1"/>
                <w:bCs w:val="1"/>
                <w:color w:val="auto"/>
              </w:rPr>
              <w:t>Item 2</w:t>
            </w:r>
            <w:r>
              <w:rPr>
                <w:rFonts w:ascii="Arial" w:cs="Arial" w:eastAsia="Arial" w:hAnsi="Arial"/>
                <w:sz w:val="11"/>
                <w:szCs w:val="11"/>
                <w:color w:val="auto"/>
              </w:rPr>
              <w:t>: Advisory</w:t>
            </w:r>
          </w:p>
        </w:tc>
        <w:tc>
          <w:tcPr>
            <w:tcW w:w="1080" w:type="dxa"/>
            <w:vAlign w:val="bottom"/>
            <w:tcBorders>
              <w:right w:val="single" w:sz="8" w:color="828282"/>
            </w:tcBorders>
          </w:tcPr>
          <w:p>
            <w:pPr>
              <w:spacing w:after="0"/>
              <w:rPr>
                <w:sz w:val="12"/>
                <w:szCs w:val="12"/>
                <w:color w:val="auto"/>
              </w:rPr>
            </w:pPr>
          </w:p>
        </w:tc>
        <w:tc>
          <w:tcPr>
            <w:tcW w:w="1060" w:type="dxa"/>
            <w:vAlign w:val="bottom"/>
            <w:tcBorders>
              <w:right w:val="single" w:sz="8" w:color="828282"/>
            </w:tcBorders>
            <w:vMerge w:val="restart"/>
          </w:tcPr>
          <w:p>
            <w:pPr>
              <w:jc w:val="center"/>
              <w:spacing w:after="0"/>
              <w:rPr>
                <w:sz w:val="20"/>
                <w:szCs w:val="20"/>
                <w:color w:val="auto"/>
              </w:rPr>
            </w:pPr>
            <w:r>
              <w:rPr>
                <w:rFonts w:ascii="Arial" w:cs="Arial" w:eastAsia="Arial" w:hAnsi="Arial"/>
                <w:sz w:val="11"/>
                <w:szCs w:val="11"/>
                <w:color w:val="auto"/>
                <w:w w:val="94"/>
              </w:rPr>
              <w:t>FOR</w:t>
            </w:r>
          </w:p>
        </w:tc>
        <w:tc>
          <w:tcPr>
            <w:tcW w:w="1020" w:type="dxa"/>
            <w:vAlign w:val="bottom"/>
            <w:tcBorders>
              <w:right w:val="single" w:sz="8" w:color="828282"/>
            </w:tcBorders>
          </w:tcPr>
          <w:p>
            <w:pPr>
              <w:spacing w:after="0"/>
              <w:rPr>
                <w:sz w:val="12"/>
                <w:szCs w:val="12"/>
                <w:color w:val="auto"/>
              </w:rPr>
            </w:pPr>
          </w:p>
        </w:tc>
        <w:tc>
          <w:tcPr>
            <w:tcW w:w="1020" w:type="dxa"/>
            <w:vAlign w:val="bottom"/>
          </w:tcPr>
          <w:p>
            <w:pPr>
              <w:spacing w:after="0"/>
              <w:rPr>
                <w:sz w:val="12"/>
                <w:szCs w:val="12"/>
                <w:color w:val="auto"/>
              </w:rPr>
            </w:pPr>
          </w:p>
        </w:tc>
        <w:tc>
          <w:tcPr>
            <w:tcW w:w="20" w:type="dxa"/>
            <w:vAlign w:val="bottom"/>
            <w:shd w:val="clear" w:color="auto" w:fill="828282"/>
          </w:tcPr>
          <w:p>
            <w:pPr>
              <w:spacing w:after="0"/>
              <w:rPr>
                <w:sz w:val="12"/>
                <w:szCs w:val="12"/>
                <w:color w:val="auto"/>
              </w:rPr>
            </w:pPr>
          </w:p>
        </w:tc>
        <w:tc>
          <w:tcPr>
            <w:tcW w:w="0" w:type="dxa"/>
            <w:vAlign w:val="bottom"/>
          </w:tcPr>
          <w:p>
            <w:pPr>
              <w:spacing w:after="0"/>
              <w:rPr>
                <w:sz w:val="1"/>
                <w:szCs w:val="1"/>
                <w:color w:val="auto"/>
              </w:rPr>
            </w:pPr>
          </w:p>
        </w:tc>
      </w:tr>
      <w:tr>
        <w:trPr>
          <w:trHeight w:val="54"/>
        </w:trPr>
        <w:tc>
          <w:tcPr>
            <w:tcW w:w="1140" w:type="dxa"/>
            <w:vAlign w:val="bottom"/>
            <w:tcBorders>
              <w:left w:val="single" w:sz="8" w:color="828282"/>
              <w:right w:val="single" w:sz="8" w:color="828282"/>
            </w:tcBorders>
            <w:vMerge w:val="restart"/>
          </w:tcPr>
          <w:p>
            <w:pPr>
              <w:ind w:left="40"/>
              <w:spacing w:after="0" w:line="122" w:lineRule="exact"/>
              <w:rPr>
                <w:sz w:val="20"/>
                <w:szCs w:val="20"/>
                <w:color w:val="auto"/>
              </w:rPr>
            </w:pPr>
            <w:r>
              <w:rPr>
                <w:rFonts w:ascii="Arial" w:cs="Arial" w:eastAsia="Arial" w:hAnsi="Arial"/>
                <w:sz w:val="11"/>
                <w:szCs w:val="11"/>
                <w:color w:val="auto"/>
              </w:rPr>
              <w:t>approval of executive</w:t>
            </w:r>
          </w:p>
        </w:tc>
        <w:tc>
          <w:tcPr>
            <w:tcW w:w="1080" w:type="dxa"/>
            <w:vAlign w:val="bottom"/>
            <w:tcBorders>
              <w:right w:val="single" w:sz="8" w:color="828282"/>
            </w:tcBorders>
            <w:vMerge w:val="restart"/>
          </w:tcPr>
          <w:p>
            <w:pPr>
              <w:jc w:val="center"/>
              <w:spacing w:after="0" w:line="122" w:lineRule="exact"/>
              <w:rPr>
                <w:sz w:val="20"/>
                <w:szCs w:val="20"/>
                <w:color w:val="auto"/>
              </w:rPr>
            </w:pPr>
            <w:r>
              <w:rPr>
                <w:rFonts w:ascii="Arial" w:cs="Arial" w:eastAsia="Arial" w:hAnsi="Arial"/>
                <w:sz w:val="11"/>
                <w:szCs w:val="11"/>
                <w:color w:val="auto"/>
                <w:w w:val="97"/>
              </w:rPr>
              <w:t>Majority of the votes</w:t>
            </w:r>
          </w:p>
        </w:tc>
        <w:tc>
          <w:tcPr>
            <w:tcW w:w="1060" w:type="dxa"/>
            <w:vAlign w:val="bottom"/>
            <w:tcBorders>
              <w:right w:val="single" w:sz="8" w:color="828282"/>
            </w:tcBorders>
            <w:vMerge w:val="continue"/>
          </w:tcPr>
          <w:p>
            <w:pPr>
              <w:spacing w:after="0"/>
              <w:rPr>
                <w:sz w:val="4"/>
                <w:szCs w:val="4"/>
                <w:color w:val="auto"/>
              </w:rPr>
            </w:pPr>
          </w:p>
        </w:tc>
        <w:tc>
          <w:tcPr>
            <w:tcW w:w="1020" w:type="dxa"/>
            <w:vAlign w:val="bottom"/>
            <w:tcBorders>
              <w:right w:val="single" w:sz="8" w:color="828282"/>
            </w:tcBorders>
          </w:tcPr>
          <w:p>
            <w:pPr>
              <w:spacing w:after="0"/>
              <w:rPr>
                <w:sz w:val="4"/>
                <w:szCs w:val="4"/>
                <w:color w:val="auto"/>
              </w:rPr>
            </w:pPr>
          </w:p>
        </w:tc>
        <w:tc>
          <w:tcPr>
            <w:tcW w:w="1020" w:type="dxa"/>
            <w:vAlign w:val="bottom"/>
          </w:tcPr>
          <w:p>
            <w:pPr>
              <w:spacing w:after="0"/>
              <w:rPr>
                <w:sz w:val="4"/>
                <w:szCs w:val="4"/>
                <w:color w:val="auto"/>
              </w:rPr>
            </w:pPr>
          </w:p>
        </w:tc>
        <w:tc>
          <w:tcPr>
            <w:tcW w:w="20" w:type="dxa"/>
            <w:vAlign w:val="bottom"/>
            <w:shd w:val="clear" w:color="auto" w:fill="828282"/>
          </w:tcPr>
          <w:p>
            <w:pPr>
              <w:spacing w:after="0"/>
              <w:rPr>
                <w:sz w:val="4"/>
                <w:szCs w:val="4"/>
                <w:color w:val="auto"/>
              </w:rPr>
            </w:pPr>
          </w:p>
        </w:tc>
        <w:tc>
          <w:tcPr>
            <w:tcW w:w="0" w:type="dxa"/>
            <w:vAlign w:val="bottom"/>
          </w:tcPr>
          <w:p>
            <w:pPr>
              <w:spacing w:after="0"/>
              <w:rPr>
                <w:sz w:val="1"/>
                <w:szCs w:val="1"/>
                <w:color w:val="auto"/>
              </w:rPr>
            </w:pPr>
          </w:p>
        </w:tc>
      </w:tr>
      <w:tr>
        <w:trPr>
          <w:trHeight w:val="68"/>
        </w:trPr>
        <w:tc>
          <w:tcPr>
            <w:tcW w:w="1140" w:type="dxa"/>
            <w:vAlign w:val="bottom"/>
            <w:tcBorders>
              <w:left w:val="single" w:sz="8" w:color="828282"/>
              <w:right w:val="single" w:sz="8" w:color="828282"/>
            </w:tcBorders>
            <w:vMerge w:val="continue"/>
          </w:tcPr>
          <w:p>
            <w:pPr>
              <w:spacing w:after="0"/>
              <w:rPr>
                <w:sz w:val="5"/>
                <w:szCs w:val="5"/>
                <w:color w:val="auto"/>
              </w:rPr>
            </w:pPr>
          </w:p>
        </w:tc>
        <w:tc>
          <w:tcPr>
            <w:tcW w:w="1080" w:type="dxa"/>
            <w:vAlign w:val="bottom"/>
            <w:tcBorders>
              <w:right w:val="single" w:sz="8" w:color="828282"/>
            </w:tcBorders>
            <w:vMerge w:val="continue"/>
          </w:tcPr>
          <w:p>
            <w:pPr>
              <w:spacing w:after="0"/>
              <w:rPr>
                <w:sz w:val="5"/>
                <w:szCs w:val="5"/>
                <w:color w:val="auto"/>
              </w:rPr>
            </w:pPr>
          </w:p>
        </w:tc>
        <w:tc>
          <w:tcPr>
            <w:tcW w:w="1060" w:type="dxa"/>
            <w:vAlign w:val="bottom"/>
            <w:tcBorders>
              <w:right w:val="single" w:sz="8" w:color="828282"/>
            </w:tcBorders>
            <w:vMerge w:val="restart"/>
          </w:tcPr>
          <w:p>
            <w:pPr>
              <w:jc w:val="center"/>
              <w:spacing w:after="0" w:line="122" w:lineRule="exact"/>
              <w:rPr>
                <w:sz w:val="20"/>
                <w:szCs w:val="20"/>
                <w:color w:val="auto"/>
              </w:rPr>
            </w:pPr>
            <w:r>
              <w:rPr>
                <w:rFonts w:ascii="Arial" w:cs="Arial" w:eastAsia="Arial" w:hAnsi="Arial"/>
                <w:sz w:val="11"/>
                <w:szCs w:val="11"/>
                <w:color w:val="auto"/>
                <w:w w:val="95"/>
              </w:rPr>
              <w:t>AGAINST</w:t>
            </w:r>
          </w:p>
        </w:tc>
        <w:tc>
          <w:tcPr>
            <w:tcW w:w="1020" w:type="dxa"/>
            <w:vAlign w:val="bottom"/>
            <w:tcBorders>
              <w:right w:val="single" w:sz="8" w:color="828282"/>
            </w:tcBorders>
            <w:vMerge w:val="restart"/>
          </w:tcPr>
          <w:p>
            <w:pPr>
              <w:jc w:val="center"/>
              <w:spacing w:after="0" w:line="122" w:lineRule="exact"/>
              <w:rPr>
                <w:sz w:val="20"/>
                <w:szCs w:val="20"/>
                <w:color w:val="auto"/>
              </w:rPr>
            </w:pPr>
            <w:r>
              <w:rPr>
                <w:rFonts w:ascii="Arial" w:cs="Arial" w:eastAsia="Arial" w:hAnsi="Arial"/>
                <w:sz w:val="11"/>
                <w:szCs w:val="11"/>
                <w:color w:val="auto"/>
                <w:w w:val="94"/>
              </w:rPr>
              <w:t>FOR</w:t>
            </w:r>
          </w:p>
        </w:tc>
        <w:tc>
          <w:tcPr>
            <w:tcW w:w="1020" w:type="dxa"/>
            <w:vAlign w:val="bottom"/>
            <w:vMerge w:val="restart"/>
          </w:tcPr>
          <w:p>
            <w:pPr>
              <w:jc w:val="center"/>
              <w:spacing w:after="0" w:line="122" w:lineRule="exact"/>
              <w:rPr>
                <w:sz w:val="20"/>
                <w:szCs w:val="20"/>
                <w:color w:val="auto"/>
              </w:rPr>
            </w:pPr>
            <w:r>
              <w:rPr>
                <w:rFonts w:ascii="Arial" w:cs="Arial" w:eastAsia="Arial" w:hAnsi="Arial"/>
                <w:sz w:val="11"/>
                <w:szCs w:val="11"/>
                <w:color w:val="auto"/>
                <w:w w:val="99"/>
              </w:rPr>
              <w:t>No</w:t>
            </w:r>
          </w:p>
        </w:tc>
        <w:tc>
          <w:tcPr>
            <w:tcW w:w="20" w:type="dxa"/>
            <w:vAlign w:val="bottom"/>
            <w:shd w:val="clear" w:color="auto" w:fill="828282"/>
          </w:tcPr>
          <w:p>
            <w:pPr>
              <w:spacing w:after="0"/>
              <w:rPr>
                <w:sz w:val="5"/>
                <w:szCs w:val="5"/>
                <w:color w:val="auto"/>
              </w:rPr>
            </w:pPr>
          </w:p>
        </w:tc>
        <w:tc>
          <w:tcPr>
            <w:tcW w:w="0" w:type="dxa"/>
            <w:vAlign w:val="bottom"/>
          </w:tcPr>
          <w:p>
            <w:pPr>
              <w:spacing w:after="0"/>
              <w:rPr>
                <w:sz w:val="1"/>
                <w:szCs w:val="1"/>
                <w:color w:val="auto"/>
              </w:rPr>
            </w:pPr>
          </w:p>
        </w:tc>
      </w:tr>
      <w:tr>
        <w:trPr>
          <w:trHeight w:val="54"/>
        </w:trPr>
        <w:tc>
          <w:tcPr>
            <w:tcW w:w="1140" w:type="dxa"/>
            <w:vAlign w:val="bottom"/>
            <w:tcBorders>
              <w:left w:val="single" w:sz="8" w:color="828282"/>
              <w:right w:val="single" w:sz="8" w:color="828282"/>
            </w:tcBorders>
            <w:vMerge w:val="restart"/>
          </w:tcPr>
          <w:p>
            <w:pPr>
              <w:ind w:left="40"/>
              <w:spacing w:after="0" w:line="122" w:lineRule="exact"/>
              <w:rPr>
                <w:sz w:val="20"/>
                <w:szCs w:val="20"/>
                <w:color w:val="auto"/>
              </w:rPr>
            </w:pPr>
            <w:r>
              <w:rPr>
                <w:rFonts w:ascii="Arial" w:cs="Arial" w:eastAsia="Arial" w:hAnsi="Arial"/>
                <w:sz w:val="11"/>
                <w:szCs w:val="11"/>
                <w:color w:val="auto"/>
              </w:rPr>
              <w:t>compensation (the</w:t>
            </w:r>
          </w:p>
        </w:tc>
        <w:tc>
          <w:tcPr>
            <w:tcW w:w="1080" w:type="dxa"/>
            <w:vAlign w:val="bottom"/>
            <w:tcBorders>
              <w:right w:val="single" w:sz="8" w:color="828282"/>
            </w:tcBorders>
            <w:vMerge w:val="restart"/>
          </w:tcPr>
          <w:p>
            <w:pPr>
              <w:jc w:val="center"/>
              <w:spacing w:after="0" w:line="122" w:lineRule="exact"/>
              <w:rPr>
                <w:sz w:val="20"/>
                <w:szCs w:val="20"/>
                <w:color w:val="auto"/>
              </w:rPr>
            </w:pPr>
            <w:r>
              <w:rPr>
                <w:rFonts w:ascii="Arial" w:cs="Arial" w:eastAsia="Arial" w:hAnsi="Arial"/>
                <w:sz w:val="11"/>
                <w:szCs w:val="11"/>
                <w:color w:val="auto"/>
                <w:w w:val="97"/>
              </w:rPr>
              <w:t>cast</w:t>
            </w:r>
            <w:r>
              <w:rPr>
                <w:rFonts w:ascii="Arial" w:cs="Arial" w:eastAsia="Arial" w:hAnsi="Arial"/>
                <w:sz w:val="7"/>
                <w:szCs w:val="7"/>
                <w:color w:val="auto"/>
                <w:w w:val="97"/>
              </w:rPr>
              <w:t>(5)</w:t>
            </w:r>
          </w:p>
        </w:tc>
        <w:tc>
          <w:tcPr>
            <w:tcW w:w="1060" w:type="dxa"/>
            <w:vAlign w:val="bottom"/>
            <w:tcBorders>
              <w:right w:val="single" w:sz="8" w:color="828282"/>
            </w:tcBorders>
            <w:vMerge w:val="continue"/>
          </w:tcPr>
          <w:p>
            <w:pPr>
              <w:spacing w:after="0"/>
              <w:rPr>
                <w:sz w:val="4"/>
                <w:szCs w:val="4"/>
                <w:color w:val="auto"/>
              </w:rPr>
            </w:pPr>
          </w:p>
        </w:tc>
        <w:tc>
          <w:tcPr>
            <w:tcW w:w="1020" w:type="dxa"/>
            <w:vAlign w:val="bottom"/>
            <w:tcBorders>
              <w:right w:val="single" w:sz="8" w:color="828282"/>
            </w:tcBorders>
            <w:vMerge w:val="continue"/>
          </w:tcPr>
          <w:p>
            <w:pPr>
              <w:spacing w:after="0"/>
              <w:rPr>
                <w:sz w:val="4"/>
                <w:szCs w:val="4"/>
                <w:color w:val="auto"/>
              </w:rPr>
            </w:pPr>
          </w:p>
        </w:tc>
        <w:tc>
          <w:tcPr>
            <w:tcW w:w="1020" w:type="dxa"/>
            <w:vAlign w:val="bottom"/>
            <w:vMerge w:val="continue"/>
          </w:tcPr>
          <w:p>
            <w:pPr>
              <w:spacing w:after="0"/>
              <w:rPr>
                <w:sz w:val="4"/>
                <w:szCs w:val="4"/>
                <w:color w:val="auto"/>
              </w:rPr>
            </w:pPr>
          </w:p>
        </w:tc>
        <w:tc>
          <w:tcPr>
            <w:tcW w:w="20" w:type="dxa"/>
            <w:vAlign w:val="bottom"/>
            <w:shd w:val="clear" w:color="auto" w:fill="828282"/>
          </w:tcPr>
          <w:p>
            <w:pPr>
              <w:spacing w:after="0"/>
              <w:rPr>
                <w:sz w:val="4"/>
                <w:szCs w:val="4"/>
                <w:color w:val="auto"/>
              </w:rPr>
            </w:pPr>
          </w:p>
        </w:tc>
        <w:tc>
          <w:tcPr>
            <w:tcW w:w="0" w:type="dxa"/>
            <w:vAlign w:val="bottom"/>
          </w:tcPr>
          <w:p>
            <w:pPr>
              <w:spacing w:after="0"/>
              <w:rPr>
                <w:sz w:val="1"/>
                <w:szCs w:val="1"/>
                <w:color w:val="auto"/>
              </w:rPr>
            </w:pPr>
          </w:p>
        </w:tc>
      </w:tr>
      <w:tr>
        <w:trPr>
          <w:trHeight w:val="68"/>
        </w:trPr>
        <w:tc>
          <w:tcPr>
            <w:tcW w:w="1140" w:type="dxa"/>
            <w:vAlign w:val="bottom"/>
            <w:tcBorders>
              <w:left w:val="single" w:sz="8" w:color="828282"/>
              <w:right w:val="single" w:sz="8" w:color="828282"/>
            </w:tcBorders>
            <w:vMerge w:val="continue"/>
          </w:tcPr>
          <w:p>
            <w:pPr>
              <w:spacing w:after="0"/>
              <w:rPr>
                <w:sz w:val="5"/>
                <w:szCs w:val="5"/>
                <w:color w:val="auto"/>
              </w:rPr>
            </w:pPr>
          </w:p>
        </w:tc>
        <w:tc>
          <w:tcPr>
            <w:tcW w:w="1080" w:type="dxa"/>
            <w:vAlign w:val="bottom"/>
            <w:tcBorders>
              <w:right w:val="single" w:sz="8" w:color="828282"/>
            </w:tcBorders>
            <w:vMerge w:val="continue"/>
          </w:tcPr>
          <w:p>
            <w:pPr>
              <w:spacing w:after="0"/>
              <w:rPr>
                <w:sz w:val="5"/>
                <w:szCs w:val="5"/>
                <w:color w:val="auto"/>
              </w:rPr>
            </w:pPr>
          </w:p>
        </w:tc>
        <w:tc>
          <w:tcPr>
            <w:tcW w:w="1060" w:type="dxa"/>
            <w:vAlign w:val="bottom"/>
            <w:tcBorders>
              <w:right w:val="single" w:sz="8" w:color="828282"/>
            </w:tcBorders>
            <w:vMerge w:val="restart"/>
          </w:tcPr>
          <w:p>
            <w:pPr>
              <w:jc w:val="center"/>
              <w:spacing w:after="0"/>
              <w:rPr>
                <w:sz w:val="20"/>
                <w:szCs w:val="20"/>
                <w:color w:val="auto"/>
              </w:rPr>
            </w:pPr>
            <w:r>
              <w:rPr>
                <w:rFonts w:ascii="Arial" w:cs="Arial" w:eastAsia="Arial" w:hAnsi="Arial"/>
                <w:sz w:val="11"/>
                <w:szCs w:val="11"/>
                <w:color w:val="auto"/>
                <w:w w:val="97"/>
              </w:rPr>
              <w:t>ABSTAIN</w:t>
            </w:r>
          </w:p>
        </w:tc>
        <w:tc>
          <w:tcPr>
            <w:tcW w:w="1020" w:type="dxa"/>
            <w:vAlign w:val="bottom"/>
            <w:tcBorders>
              <w:right w:val="single" w:sz="8" w:color="828282"/>
            </w:tcBorders>
          </w:tcPr>
          <w:p>
            <w:pPr>
              <w:spacing w:after="0"/>
              <w:rPr>
                <w:sz w:val="5"/>
                <w:szCs w:val="5"/>
                <w:color w:val="auto"/>
              </w:rPr>
            </w:pPr>
          </w:p>
        </w:tc>
        <w:tc>
          <w:tcPr>
            <w:tcW w:w="1020" w:type="dxa"/>
            <w:vAlign w:val="bottom"/>
          </w:tcPr>
          <w:p>
            <w:pPr>
              <w:spacing w:after="0"/>
              <w:rPr>
                <w:sz w:val="5"/>
                <w:szCs w:val="5"/>
                <w:color w:val="auto"/>
              </w:rPr>
            </w:pPr>
          </w:p>
        </w:tc>
        <w:tc>
          <w:tcPr>
            <w:tcW w:w="20" w:type="dxa"/>
            <w:vAlign w:val="bottom"/>
            <w:shd w:val="clear" w:color="auto" w:fill="828282"/>
          </w:tcPr>
          <w:p>
            <w:pPr>
              <w:spacing w:after="0"/>
              <w:rPr>
                <w:sz w:val="5"/>
                <w:szCs w:val="5"/>
                <w:color w:val="auto"/>
              </w:rPr>
            </w:pPr>
          </w:p>
        </w:tc>
        <w:tc>
          <w:tcPr>
            <w:tcW w:w="0" w:type="dxa"/>
            <w:vAlign w:val="bottom"/>
          </w:tcPr>
          <w:p>
            <w:pPr>
              <w:spacing w:after="0"/>
              <w:rPr>
                <w:sz w:val="1"/>
                <w:szCs w:val="1"/>
                <w:color w:val="auto"/>
              </w:rPr>
            </w:pPr>
          </w:p>
        </w:tc>
      </w:tr>
      <w:tr>
        <w:trPr>
          <w:trHeight w:val="62"/>
        </w:trPr>
        <w:tc>
          <w:tcPr>
            <w:tcW w:w="1140" w:type="dxa"/>
            <w:vAlign w:val="bottom"/>
            <w:tcBorders>
              <w:left w:val="single" w:sz="8" w:color="828282"/>
              <w:right w:val="single" w:sz="8" w:color="828282"/>
            </w:tcBorders>
            <w:vMerge w:val="restart"/>
          </w:tcPr>
          <w:p>
            <w:pPr>
              <w:ind w:left="40"/>
              <w:spacing w:after="0"/>
              <w:rPr>
                <w:sz w:val="20"/>
                <w:szCs w:val="20"/>
                <w:color w:val="auto"/>
              </w:rPr>
            </w:pPr>
            <w:r>
              <w:rPr>
                <w:rFonts w:ascii="Arial" w:cs="Arial" w:eastAsia="Arial" w:hAnsi="Arial"/>
                <w:sz w:val="11"/>
                <w:szCs w:val="11"/>
                <w:color w:val="auto"/>
              </w:rPr>
              <w:t>"Say on Pay" vote)</w:t>
            </w:r>
          </w:p>
        </w:tc>
        <w:tc>
          <w:tcPr>
            <w:tcW w:w="1080" w:type="dxa"/>
            <w:vAlign w:val="bottom"/>
            <w:tcBorders>
              <w:right w:val="single" w:sz="8" w:color="828282"/>
            </w:tcBorders>
          </w:tcPr>
          <w:p>
            <w:pPr>
              <w:spacing w:after="0"/>
              <w:rPr>
                <w:sz w:val="5"/>
                <w:szCs w:val="5"/>
                <w:color w:val="auto"/>
              </w:rPr>
            </w:pPr>
          </w:p>
        </w:tc>
        <w:tc>
          <w:tcPr>
            <w:tcW w:w="1060" w:type="dxa"/>
            <w:vAlign w:val="bottom"/>
            <w:tcBorders>
              <w:right w:val="single" w:sz="8" w:color="828282"/>
            </w:tcBorders>
            <w:vMerge w:val="continue"/>
          </w:tcPr>
          <w:p>
            <w:pPr>
              <w:spacing w:after="0"/>
              <w:rPr>
                <w:sz w:val="5"/>
                <w:szCs w:val="5"/>
                <w:color w:val="auto"/>
              </w:rPr>
            </w:pPr>
          </w:p>
        </w:tc>
        <w:tc>
          <w:tcPr>
            <w:tcW w:w="1020" w:type="dxa"/>
            <w:vAlign w:val="bottom"/>
            <w:tcBorders>
              <w:right w:val="single" w:sz="8" w:color="828282"/>
            </w:tcBorders>
          </w:tcPr>
          <w:p>
            <w:pPr>
              <w:spacing w:after="0"/>
              <w:rPr>
                <w:sz w:val="5"/>
                <w:szCs w:val="5"/>
                <w:color w:val="auto"/>
              </w:rPr>
            </w:pPr>
          </w:p>
        </w:tc>
        <w:tc>
          <w:tcPr>
            <w:tcW w:w="1020" w:type="dxa"/>
            <w:vAlign w:val="bottom"/>
          </w:tcPr>
          <w:p>
            <w:pPr>
              <w:spacing w:after="0"/>
              <w:rPr>
                <w:sz w:val="5"/>
                <w:szCs w:val="5"/>
                <w:color w:val="auto"/>
              </w:rPr>
            </w:pPr>
          </w:p>
        </w:tc>
        <w:tc>
          <w:tcPr>
            <w:tcW w:w="20" w:type="dxa"/>
            <w:vAlign w:val="bottom"/>
            <w:shd w:val="clear" w:color="auto" w:fill="828282"/>
          </w:tcPr>
          <w:p>
            <w:pPr>
              <w:spacing w:after="0"/>
              <w:rPr>
                <w:sz w:val="5"/>
                <w:szCs w:val="5"/>
                <w:color w:val="auto"/>
              </w:rPr>
            </w:pPr>
          </w:p>
        </w:tc>
        <w:tc>
          <w:tcPr>
            <w:tcW w:w="0" w:type="dxa"/>
            <w:vAlign w:val="bottom"/>
          </w:tcPr>
          <w:p>
            <w:pPr>
              <w:spacing w:after="0"/>
              <w:rPr>
                <w:sz w:val="1"/>
                <w:szCs w:val="1"/>
                <w:color w:val="auto"/>
              </w:rPr>
            </w:pPr>
          </w:p>
        </w:tc>
      </w:tr>
      <w:tr>
        <w:trPr>
          <w:trHeight w:val="68"/>
        </w:trPr>
        <w:tc>
          <w:tcPr>
            <w:tcW w:w="1140" w:type="dxa"/>
            <w:vAlign w:val="bottom"/>
            <w:tcBorders>
              <w:left w:val="single" w:sz="8" w:color="828282"/>
              <w:right w:val="single" w:sz="8" w:color="828282"/>
            </w:tcBorders>
            <w:vMerge w:val="continue"/>
          </w:tcPr>
          <w:p>
            <w:pPr>
              <w:spacing w:after="0"/>
              <w:rPr>
                <w:sz w:val="5"/>
                <w:szCs w:val="5"/>
                <w:color w:val="auto"/>
              </w:rPr>
            </w:pPr>
          </w:p>
        </w:tc>
        <w:tc>
          <w:tcPr>
            <w:tcW w:w="1080" w:type="dxa"/>
            <w:vAlign w:val="bottom"/>
            <w:tcBorders>
              <w:right w:val="single" w:sz="8" w:color="828282"/>
            </w:tcBorders>
          </w:tcPr>
          <w:p>
            <w:pPr>
              <w:spacing w:after="0"/>
              <w:rPr>
                <w:sz w:val="5"/>
                <w:szCs w:val="5"/>
                <w:color w:val="auto"/>
              </w:rPr>
            </w:pPr>
          </w:p>
        </w:tc>
        <w:tc>
          <w:tcPr>
            <w:tcW w:w="1060" w:type="dxa"/>
            <w:vAlign w:val="bottom"/>
            <w:tcBorders>
              <w:right w:val="single" w:sz="8" w:color="828282"/>
            </w:tcBorders>
          </w:tcPr>
          <w:p>
            <w:pPr>
              <w:spacing w:after="0"/>
              <w:rPr>
                <w:sz w:val="5"/>
                <w:szCs w:val="5"/>
                <w:color w:val="auto"/>
              </w:rPr>
            </w:pPr>
          </w:p>
        </w:tc>
        <w:tc>
          <w:tcPr>
            <w:tcW w:w="1020" w:type="dxa"/>
            <w:vAlign w:val="bottom"/>
            <w:tcBorders>
              <w:right w:val="single" w:sz="8" w:color="828282"/>
            </w:tcBorders>
          </w:tcPr>
          <w:p>
            <w:pPr>
              <w:spacing w:after="0"/>
              <w:rPr>
                <w:sz w:val="5"/>
                <w:szCs w:val="5"/>
                <w:color w:val="auto"/>
              </w:rPr>
            </w:pPr>
          </w:p>
        </w:tc>
        <w:tc>
          <w:tcPr>
            <w:tcW w:w="1020" w:type="dxa"/>
            <w:vAlign w:val="bottom"/>
          </w:tcPr>
          <w:p>
            <w:pPr>
              <w:spacing w:after="0"/>
              <w:rPr>
                <w:sz w:val="5"/>
                <w:szCs w:val="5"/>
                <w:color w:val="auto"/>
              </w:rPr>
            </w:pPr>
          </w:p>
        </w:tc>
        <w:tc>
          <w:tcPr>
            <w:tcW w:w="20" w:type="dxa"/>
            <w:vAlign w:val="bottom"/>
            <w:shd w:val="clear" w:color="auto" w:fill="828282"/>
          </w:tcPr>
          <w:p>
            <w:pPr>
              <w:spacing w:after="0"/>
              <w:rPr>
                <w:sz w:val="5"/>
                <w:szCs w:val="5"/>
                <w:color w:val="auto"/>
              </w:rPr>
            </w:pPr>
          </w:p>
        </w:tc>
        <w:tc>
          <w:tcPr>
            <w:tcW w:w="0" w:type="dxa"/>
            <w:vAlign w:val="bottom"/>
          </w:tcPr>
          <w:p>
            <w:pPr>
              <w:spacing w:after="0"/>
              <w:rPr>
                <w:sz w:val="1"/>
                <w:szCs w:val="1"/>
                <w:color w:val="auto"/>
              </w:rPr>
            </w:pPr>
          </w:p>
        </w:tc>
      </w:tr>
      <w:tr>
        <w:trPr>
          <w:trHeight w:val="22"/>
        </w:trPr>
        <w:tc>
          <w:tcPr>
            <w:tcW w:w="1140" w:type="dxa"/>
            <w:vAlign w:val="bottom"/>
            <w:tcBorders>
              <w:left w:val="single" w:sz="8" w:color="828282"/>
              <w:bottom w:val="single" w:sz="8" w:color="828282"/>
              <w:right w:val="single" w:sz="8" w:color="828282"/>
            </w:tcBorders>
          </w:tcPr>
          <w:p>
            <w:pPr>
              <w:spacing w:after="0" w:line="20" w:lineRule="exact"/>
              <w:rPr>
                <w:sz w:val="1"/>
                <w:szCs w:val="1"/>
                <w:color w:val="auto"/>
              </w:rPr>
            </w:pPr>
          </w:p>
        </w:tc>
        <w:tc>
          <w:tcPr>
            <w:tcW w:w="1080" w:type="dxa"/>
            <w:vAlign w:val="bottom"/>
            <w:tcBorders>
              <w:bottom w:val="single" w:sz="8" w:color="828282"/>
              <w:right w:val="single" w:sz="8" w:color="828282"/>
            </w:tcBorders>
          </w:tcPr>
          <w:p>
            <w:pPr>
              <w:spacing w:after="0" w:line="20" w:lineRule="exact"/>
              <w:rPr>
                <w:sz w:val="1"/>
                <w:szCs w:val="1"/>
                <w:color w:val="auto"/>
              </w:rPr>
            </w:pPr>
          </w:p>
        </w:tc>
        <w:tc>
          <w:tcPr>
            <w:tcW w:w="1060" w:type="dxa"/>
            <w:vAlign w:val="bottom"/>
            <w:tcBorders>
              <w:bottom w:val="single" w:sz="8" w:color="828282"/>
              <w:right w:val="single" w:sz="8" w:color="828282"/>
            </w:tcBorders>
          </w:tcPr>
          <w:p>
            <w:pPr>
              <w:spacing w:after="0" w:line="20" w:lineRule="exact"/>
              <w:rPr>
                <w:sz w:val="1"/>
                <w:szCs w:val="1"/>
                <w:color w:val="auto"/>
              </w:rPr>
            </w:pPr>
          </w:p>
        </w:tc>
        <w:tc>
          <w:tcPr>
            <w:tcW w:w="1020" w:type="dxa"/>
            <w:vAlign w:val="bottom"/>
            <w:tcBorders>
              <w:bottom w:val="single" w:sz="8" w:color="828282"/>
              <w:right w:val="single" w:sz="8" w:color="828282"/>
            </w:tcBorders>
          </w:tcPr>
          <w:p>
            <w:pPr>
              <w:spacing w:after="0" w:line="20" w:lineRule="exact"/>
              <w:rPr>
                <w:sz w:val="1"/>
                <w:szCs w:val="1"/>
                <w:color w:val="auto"/>
              </w:rPr>
            </w:pPr>
          </w:p>
        </w:tc>
        <w:tc>
          <w:tcPr>
            <w:tcW w:w="1020" w:type="dxa"/>
            <w:vAlign w:val="bottom"/>
            <w:tcBorders>
              <w:bottom w:val="single" w:sz="8" w:color="828282"/>
            </w:tcBorders>
          </w:tcPr>
          <w:p>
            <w:pPr>
              <w:spacing w:after="0" w:line="20" w:lineRule="exact"/>
              <w:rPr>
                <w:sz w:val="1"/>
                <w:szCs w:val="1"/>
                <w:color w:val="auto"/>
              </w:rPr>
            </w:pPr>
          </w:p>
        </w:tc>
        <w:tc>
          <w:tcPr>
            <w:tcW w:w="20" w:type="dxa"/>
            <w:vAlign w:val="bottom"/>
            <w:tcBorders>
              <w:bottom w:val="single" w:sz="8" w:color="828282"/>
            </w:tcBorders>
            <w:shd w:val="clear" w:color="auto" w:fill="828282"/>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39"/>
        </w:trPr>
        <w:tc>
          <w:tcPr>
            <w:tcW w:w="1140" w:type="dxa"/>
            <w:vAlign w:val="bottom"/>
            <w:tcBorders>
              <w:left w:val="single" w:sz="8" w:color="828282"/>
              <w:right w:val="single" w:sz="8" w:color="828282"/>
            </w:tcBorders>
          </w:tcPr>
          <w:p>
            <w:pPr>
              <w:ind w:left="40"/>
              <w:spacing w:after="0"/>
              <w:rPr>
                <w:sz w:val="20"/>
                <w:szCs w:val="20"/>
                <w:color w:val="auto"/>
              </w:rPr>
            </w:pPr>
            <w:r>
              <w:rPr>
                <w:rFonts w:ascii="Arial" w:cs="Arial" w:eastAsia="Arial" w:hAnsi="Arial"/>
                <w:sz w:val="11"/>
                <w:szCs w:val="11"/>
                <w:b w:val="1"/>
                <w:bCs w:val="1"/>
                <w:color w:val="auto"/>
              </w:rPr>
              <w:t>Item 3</w:t>
            </w:r>
            <w:r>
              <w:rPr>
                <w:rFonts w:ascii="Arial" w:cs="Arial" w:eastAsia="Arial" w:hAnsi="Arial"/>
                <w:sz w:val="11"/>
                <w:szCs w:val="11"/>
                <w:color w:val="auto"/>
              </w:rPr>
              <w:t>: Approve the</w:t>
            </w:r>
          </w:p>
        </w:tc>
        <w:tc>
          <w:tcPr>
            <w:tcW w:w="1080" w:type="dxa"/>
            <w:vAlign w:val="bottom"/>
            <w:tcBorders>
              <w:right w:val="single" w:sz="8" w:color="828282"/>
            </w:tcBorders>
            <w:vMerge w:val="restart"/>
          </w:tcPr>
          <w:p>
            <w:pPr>
              <w:jc w:val="center"/>
              <w:spacing w:after="0"/>
              <w:rPr>
                <w:sz w:val="20"/>
                <w:szCs w:val="20"/>
                <w:color w:val="auto"/>
              </w:rPr>
            </w:pPr>
            <w:r>
              <w:rPr>
                <w:rFonts w:ascii="Arial" w:cs="Arial" w:eastAsia="Arial" w:hAnsi="Arial"/>
                <w:sz w:val="11"/>
                <w:szCs w:val="11"/>
                <w:color w:val="auto"/>
                <w:w w:val="97"/>
              </w:rPr>
              <w:t>Majority of the votes</w:t>
            </w:r>
          </w:p>
        </w:tc>
        <w:tc>
          <w:tcPr>
            <w:tcW w:w="1060" w:type="dxa"/>
            <w:vAlign w:val="bottom"/>
            <w:tcBorders>
              <w:right w:val="single" w:sz="8" w:color="828282"/>
            </w:tcBorders>
          </w:tcPr>
          <w:p>
            <w:pPr>
              <w:jc w:val="center"/>
              <w:spacing w:after="0"/>
              <w:rPr>
                <w:sz w:val="20"/>
                <w:szCs w:val="20"/>
                <w:color w:val="auto"/>
              </w:rPr>
            </w:pPr>
            <w:r>
              <w:rPr>
                <w:rFonts w:ascii="Arial" w:cs="Arial" w:eastAsia="Arial" w:hAnsi="Arial"/>
                <w:sz w:val="11"/>
                <w:szCs w:val="11"/>
                <w:color w:val="auto"/>
                <w:w w:val="94"/>
              </w:rPr>
              <w:t>FOR</w:t>
            </w:r>
          </w:p>
        </w:tc>
        <w:tc>
          <w:tcPr>
            <w:tcW w:w="1020" w:type="dxa"/>
            <w:vAlign w:val="bottom"/>
            <w:tcBorders>
              <w:right w:val="single" w:sz="8" w:color="828282"/>
            </w:tcBorders>
          </w:tcPr>
          <w:p>
            <w:pPr>
              <w:spacing w:after="0"/>
              <w:rPr>
                <w:sz w:val="12"/>
                <w:szCs w:val="12"/>
                <w:color w:val="auto"/>
              </w:rPr>
            </w:pPr>
          </w:p>
        </w:tc>
        <w:tc>
          <w:tcPr>
            <w:tcW w:w="1020" w:type="dxa"/>
            <w:vAlign w:val="bottom"/>
          </w:tcPr>
          <w:p>
            <w:pPr>
              <w:spacing w:after="0"/>
              <w:rPr>
                <w:sz w:val="12"/>
                <w:szCs w:val="12"/>
                <w:color w:val="auto"/>
              </w:rPr>
            </w:pPr>
          </w:p>
        </w:tc>
        <w:tc>
          <w:tcPr>
            <w:tcW w:w="20" w:type="dxa"/>
            <w:vAlign w:val="bottom"/>
            <w:shd w:val="clear" w:color="auto" w:fill="828282"/>
          </w:tcPr>
          <w:p>
            <w:pPr>
              <w:spacing w:after="0"/>
              <w:rPr>
                <w:sz w:val="12"/>
                <w:szCs w:val="12"/>
                <w:color w:val="auto"/>
              </w:rPr>
            </w:pPr>
          </w:p>
        </w:tc>
        <w:tc>
          <w:tcPr>
            <w:tcW w:w="0" w:type="dxa"/>
            <w:vAlign w:val="bottom"/>
          </w:tcPr>
          <w:p>
            <w:pPr>
              <w:spacing w:after="0"/>
              <w:rPr>
                <w:sz w:val="1"/>
                <w:szCs w:val="1"/>
                <w:color w:val="auto"/>
              </w:rPr>
            </w:pPr>
          </w:p>
        </w:tc>
      </w:tr>
      <w:tr>
        <w:trPr>
          <w:trHeight w:val="54"/>
        </w:trPr>
        <w:tc>
          <w:tcPr>
            <w:tcW w:w="1140" w:type="dxa"/>
            <w:vAlign w:val="bottom"/>
            <w:tcBorders>
              <w:left w:val="single" w:sz="8" w:color="828282"/>
              <w:right w:val="single" w:sz="8" w:color="828282"/>
            </w:tcBorders>
            <w:vMerge w:val="restart"/>
          </w:tcPr>
          <w:p>
            <w:pPr>
              <w:ind w:left="40"/>
              <w:spacing w:after="0" w:line="122" w:lineRule="exact"/>
              <w:rPr>
                <w:sz w:val="20"/>
                <w:szCs w:val="20"/>
                <w:color w:val="auto"/>
              </w:rPr>
            </w:pPr>
            <w:r>
              <w:rPr>
                <w:rFonts w:ascii="Arial" w:cs="Arial" w:eastAsia="Arial" w:hAnsi="Arial"/>
                <w:sz w:val="11"/>
                <w:szCs w:val="11"/>
                <w:color w:val="auto"/>
              </w:rPr>
              <w:t>2019 Omnibus</w:t>
            </w:r>
          </w:p>
        </w:tc>
        <w:tc>
          <w:tcPr>
            <w:tcW w:w="1080" w:type="dxa"/>
            <w:vAlign w:val="bottom"/>
            <w:tcBorders>
              <w:right w:val="single" w:sz="8" w:color="828282"/>
            </w:tcBorders>
            <w:vMerge w:val="continue"/>
          </w:tcPr>
          <w:p>
            <w:pPr>
              <w:spacing w:after="0"/>
              <w:rPr>
                <w:sz w:val="4"/>
                <w:szCs w:val="4"/>
                <w:color w:val="auto"/>
              </w:rPr>
            </w:pPr>
          </w:p>
        </w:tc>
        <w:tc>
          <w:tcPr>
            <w:tcW w:w="1060" w:type="dxa"/>
            <w:vAlign w:val="bottom"/>
            <w:tcBorders>
              <w:right w:val="single" w:sz="8" w:color="828282"/>
            </w:tcBorders>
            <w:vMerge w:val="restart"/>
          </w:tcPr>
          <w:p>
            <w:pPr>
              <w:jc w:val="center"/>
              <w:spacing w:after="0" w:line="122" w:lineRule="exact"/>
              <w:rPr>
                <w:sz w:val="20"/>
                <w:szCs w:val="20"/>
                <w:color w:val="auto"/>
              </w:rPr>
            </w:pPr>
            <w:r>
              <w:rPr>
                <w:rFonts w:ascii="Arial" w:cs="Arial" w:eastAsia="Arial" w:hAnsi="Arial"/>
                <w:sz w:val="11"/>
                <w:szCs w:val="11"/>
                <w:color w:val="auto"/>
                <w:w w:val="95"/>
              </w:rPr>
              <w:t>AGAINST</w:t>
            </w:r>
          </w:p>
        </w:tc>
        <w:tc>
          <w:tcPr>
            <w:tcW w:w="1020" w:type="dxa"/>
            <w:vAlign w:val="bottom"/>
            <w:tcBorders>
              <w:right w:val="single" w:sz="8" w:color="828282"/>
            </w:tcBorders>
            <w:vMerge w:val="restart"/>
          </w:tcPr>
          <w:p>
            <w:pPr>
              <w:jc w:val="center"/>
              <w:spacing w:after="0" w:line="122" w:lineRule="exact"/>
              <w:rPr>
                <w:sz w:val="20"/>
                <w:szCs w:val="20"/>
                <w:color w:val="auto"/>
              </w:rPr>
            </w:pPr>
            <w:r>
              <w:rPr>
                <w:rFonts w:ascii="Arial" w:cs="Arial" w:eastAsia="Arial" w:hAnsi="Arial"/>
                <w:sz w:val="11"/>
                <w:szCs w:val="11"/>
                <w:color w:val="auto"/>
                <w:w w:val="94"/>
              </w:rPr>
              <w:t>FOR</w:t>
            </w:r>
          </w:p>
        </w:tc>
        <w:tc>
          <w:tcPr>
            <w:tcW w:w="1020" w:type="dxa"/>
            <w:vAlign w:val="bottom"/>
            <w:vMerge w:val="restart"/>
          </w:tcPr>
          <w:p>
            <w:pPr>
              <w:jc w:val="center"/>
              <w:spacing w:after="0" w:line="122" w:lineRule="exact"/>
              <w:rPr>
                <w:sz w:val="20"/>
                <w:szCs w:val="20"/>
                <w:color w:val="auto"/>
              </w:rPr>
            </w:pPr>
            <w:r>
              <w:rPr>
                <w:rFonts w:ascii="Arial" w:cs="Arial" w:eastAsia="Arial" w:hAnsi="Arial"/>
                <w:sz w:val="11"/>
                <w:szCs w:val="11"/>
                <w:color w:val="auto"/>
                <w:w w:val="99"/>
              </w:rPr>
              <w:t>No</w:t>
            </w:r>
          </w:p>
        </w:tc>
        <w:tc>
          <w:tcPr>
            <w:tcW w:w="20" w:type="dxa"/>
            <w:vAlign w:val="bottom"/>
            <w:shd w:val="clear" w:color="auto" w:fill="828282"/>
          </w:tcPr>
          <w:p>
            <w:pPr>
              <w:spacing w:after="0"/>
              <w:rPr>
                <w:sz w:val="4"/>
                <w:szCs w:val="4"/>
                <w:color w:val="auto"/>
              </w:rPr>
            </w:pPr>
          </w:p>
        </w:tc>
        <w:tc>
          <w:tcPr>
            <w:tcW w:w="0" w:type="dxa"/>
            <w:vAlign w:val="bottom"/>
          </w:tcPr>
          <w:p>
            <w:pPr>
              <w:spacing w:after="0"/>
              <w:rPr>
                <w:sz w:val="1"/>
                <w:szCs w:val="1"/>
                <w:color w:val="auto"/>
              </w:rPr>
            </w:pPr>
          </w:p>
        </w:tc>
      </w:tr>
      <w:tr>
        <w:trPr>
          <w:trHeight w:val="68"/>
        </w:trPr>
        <w:tc>
          <w:tcPr>
            <w:tcW w:w="1140" w:type="dxa"/>
            <w:vAlign w:val="bottom"/>
            <w:tcBorders>
              <w:left w:val="single" w:sz="8" w:color="828282"/>
              <w:right w:val="single" w:sz="8" w:color="828282"/>
            </w:tcBorders>
            <w:vMerge w:val="continue"/>
          </w:tcPr>
          <w:p>
            <w:pPr>
              <w:spacing w:after="0"/>
              <w:rPr>
                <w:sz w:val="5"/>
                <w:szCs w:val="5"/>
                <w:color w:val="auto"/>
              </w:rPr>
            </w:pPr>
          </w:p>
        </w:tc>
        <w:tc>
          <w:tcPr>
            <w:tcW w:w="1080" w:type="dxa"/>
            <w:vAlign w:val="bottom"/>
            <w:tcBorders>
              <w:right w:val="single" w:sz="8" w:color="828282"/>
            </w:tcBorders>
            <w:vMerge w:val="restart"/>
          </w:tcPr>
          <w:p>
            <w:pPr>
              <w:jc w:val="center"/>
              <w:spacing w:after="0"/>
              <w:rPr>
                <w:sz w:val="20"/>
                <w:szCs w:val="20"/>
                <w:color w:val="auto"/>
              </w:rPr>
            </w:pPr>
            <w:r>
              <w:rPr>
                <w:rFonts w:ascii="Arial" w:cs="Arial" w:eastAsia="Arial" w:hAnsi="Arial"/>
                <w:sz w:val="11"/>
                <w:szCs w:val="11"/>
                <w:color w:val="auto"/>
                <w:w w:val="98"/>
              </w:rPr>
              <w:t>cast</w:t>
            </w:r>
          </w:p>
        </w:tc>
        <w:tc>
          <w:tcPr>
            <w:tcW w:w="1060" w:type="dxa"/>
            <w:vAlign w:val="bottom"/>
            <w:tcBorders>
              <w:right w:val="single" w:sz="8" w:color="828282"/>
            </w:tcBorders>
            <w:vMerge w:val="continue"/>
          </w:tcPr>
          <w:p>
            <w:pPr>
              <w:spacing w:after="0"/>
              <w:rPr>
                <w:sz w:val="5"/>
                <w:szCs w:val="5"/>
                <w:color w:val="auto"/>
              </w:rPr>
            </w:pPr>
          </w:p>
        </w:tc>
        <w:tc>
          <w:tcPr>
            <w:tcW w:w="1020" w:type="dxa"/>
            <w:vAlign w:val="bottom"/>
            <w:tcBorders>
              <w:right w:val="single" w:sz="8" w:color="828282"/>
            </w:tcBorders>
            <w:vMerge w:val="continue"/>
          </w:tcPr>
          <w:p>
            <w:pPr>
              <w:spacing w:after="0"/>
              <w:rPr>
                <w:sz w:val="5"/>
                <w:szCs w:val="5"/>
                <w:color w:val="auto"/>
              </w:rPr>
            </w:pPr>
          </w:p>
        </w:tc>
        <w:tc>
          <w:tcPr>
            <w:tcW w:w="1020" w:type="dxa"/>
            <w:vAlign w:val="bottom"/>
            <w:vMerge w:val="continue"/>
          </w:tcPr>
          <w:p>
            <w:pPr>
              <w:spacing w:after="0"/>
              <w:rPr>
                <w:sz w:val="5"/>
                <w:szCs w:val="5"/>
                <w:color w:val="auto"/>
              </w:rPr>
            </w:pPr>
          </w:p>
        </w:tc>
        <w:tc>
          <w:tcPr>
            <w:tcW w:w="20" w:type="dxa"/>
            <w:vAlign w:val="bottom"/>
            <w:shd w:val="clear" w:color="auto" w:fill="828282"/>
          </w:tcPr>
          <w:p>
            <w:pPr>
              <w:spacing w:after="0"/>
              <w:rPr>
                <w:sz w:val="5"/>
                <w:szCs w:val="5"/>
                <w:color w:val="auto"/>
              </w:rPr>
            </w:pPr>
          </w:p>
        </w:tc>
        <w:tc>
          <w:tcPr>
            <w:tcW w:w="0" w:type="dxa"/>
            <w:vAlign w:val="bottom"/>
          </w:tcPr>
          <w:p>
            <w:pPr>
              <w:spacing w:after="0"/>
              <w:rPr>
                <w:sz w:val="1"/>
                <w:szCs w:val="1"/>
                <w:color w:val="auto"/>
              </w:rPr>
            </w:pPr>
          </w:p>
        </w:tc>
      </w:tr>
      <w:tr>
        <w:trPr>
          <w:trHeight w:val="62"/>
        </w:trPr>
        <w:tc>
          <w:tcPr>
            <w:tcW w:w="1140" w:type="dxa"/>
            <w:vAlign w:val="bottom"/>
            <w:tcBorders>
              <w:left w:val="single" w:sz="8" w:color="828282"/>
              <w:right w:val="single" w:sz="8" w:color="828282"/>
            </w:tcBorders>
            <w:vMerge w:val="restart"/>
          </w:tcPr>
          <w:p>
            <w:pPr>
              <w:ind w:left="40"/>
              <w:spacing w:after="0"/>
              <w:rPr>
                <w:sz w:val="20"/>
                <w:szCs w:val="20"/>
                <w:color w:val="auto"/>
              </w:rPr>
            </w:pPr>
            <w:r>
              <w:rPr>
                <w:rFonts w:ascii="Arial" w:cs="Arial" w:eastAsia="Arial" w:hAnsi="Arial"/>
                <w:sz w:val="11"/>
                <w:szCs w:val="11"/>
                <w:color w:val="auto"/>
              </w:rPr>
              <w:t>Incentive Plan</w:t>
            </w:r>
          </w:p>
        </w:tc>
        <w:tc>
          <w:tcPr>
            <w:tcW w:w="1080" w:type="dxa"/>
            <w:vAlign w:val="bottom"/>
            <w:tcBorders>
              <w:right w:val="single" w:sz="8" w:color="828282"/>
            </w:tcBorders>
            <w:vMerge w:val="continue"/>
          </w:tcPr>
          <w:p>
            <w:pPr>
              <w:spacing w:after="0"/>
              <w:rPr>
                <w:sz w:val="5"/>
                <w:szCs w:val="5"/>
                <w:color w:val="auto"/>
              </w:rPr>
            </w:pPr>
          </w:p>
        </w:tc>
        <w:tc>
          <w:tcPr>
            <w:tcW w:w="1060" w:type="dxa"/>
            <w:vAlign w:val="bottom"/>
            <w:tcBorders>
              <w:right w:val="single" w:sz="8" w:color="828282"/>
            </w:tcBorders>
            <w:vMerge w:val="restart"/>
          </w:tcPr>
          <w:p>
            <w:pPr>
              <w:jc w:val="center"/>
              <w:spacing w:after="0"/>
              <w:rPr>
                <w:sz w:val="20"/>
                <w:szCs w:val="20"/>
                <w:color w:val="auto"/>
              </w:rPr>
            </w:pPr>
            <w:r>
              <w:rPr>
                <w:rFonts w:ascii="Arial" w:cs="Arial" w:eastAsia="Arial" w:hAnsi="Arial"/>
                <w:sz w:val="11"/>
                <w:szCs w:val="11"/>
                <w:color w:val="auto"/>
                <w:w w:val="97"/>
              </w:rPr>
              <w:t>ABSTAIN</w:t>
            </w:r>
          </w:p>
        </w:tc>
        <w:tc>
          <w:tcPr>
            <w:tcW w:w="1020" w:type="dxa"/>
            <w:vAlign w:val="bottom"/>
            <w:tcBorders>
              <w:right w:val="single" w:sz="8" w:color="828282"/>
            </w:tcBorders>
          </w:tcPr>
          <w:p>
            <w:pPr>
              <w:spacing w:after="0"/>
              <w:rPr>
                <w:sz w:val="5"/>
                <w:szCs w:val="5"/>
                <w:color w:val="auto"/>
              </w:rPr>
            </w:pPr>
          </w:p>
        </w:tc>
        <w:tc>
          <w:tcPr>
            <w:tcW w:w="1020" w:type="dxa"/>
            <w:vAlign w:val="bottom"/>
          </w:tcPr>
          <w:p>
            <w:pPr>
              <w:spacing w:after="0"/>
              <w:rPr>
                <w:sz w:val="5"/>
                <w:szCs w:val="5"/>
                <w:color w:val="auto"/>
              </w:rPr>
            </w:pPr>
          </w:p>
        </w:tc>
        <w:tc>
          <w:tcPr>
            <w:tcW w:w="20" w:type="dxa"/>
            <w:vAlign w:val="bottom"/>
            <w:shd w:val="clear" w:color="auto" w:fill="828282"/>
          </w:tcPr>
          <w:p>
            <w:pPr>
              <w:spacing w:after="0"/>
              <w:rPr>
                <w:sz w:val="5"/>
                <w:szCs w:val="5"/>
                <w:color w:val="auto"/>
              </w:rPr>
            </w:pPr>
          </w:p>
        </w:tc>
        <w:tc>
          <w:tcPr>
            <w:tcW w:w="0" w:type="dxa"/>
            <w:vAlign w:val="bottom"/>
          </w:tcPr>
          <w:p>
            <w:pPr>
              <w:spacing w:after="0"/>
              <w:rPr>
                <w:sz w:val="1"/>
                <w:szCs w:val="1"/>
                <w:color w:val="auto"/>
              </w:rPr>
            </w:pPr>
          </w:p>
        </w:tc>
      </w:tr>
      <w:tr>
        <w:trPr>
          <w:trHeight w:val="68"/>
        </w:trPr>
        <w:tc>
          <w:tcPr>
            <w:tcW w:w="1140" w:type="dxa"/>
            <w:vAlign w:val="bottom"/>
            <w:tcBorders>
              <w:left w:val="single" w:sz="8" w:color="828282"/>
              <w:right w:val="single" w:sz="8" w:color="828282"/>
            </w:tcBorders>
            <w:vMerge w:val="continue"/>
          </w:tcPr>
          <w:p>
            <w:pPr>
              <w:spacing w:after="0"/>
              <w:rPr>
                <w:sz w:val="5"/>
                <w:szCs w:val="5"/>
                <w:color w:val="auto"/>
              </w:rPr>
            </w:pPr>
          </w:p>
        </w:tc>
        <w:tc>
          <w:tcPr>
            <w:tcW w:w="1080" w:type="dxa"/>
            <w:vAlign w:val="bottom"/>
            <w:tcBorders>
              <w:right w:val="single" w:sz="8" w:color="828282"/>
            </w:tcBorders>
          </w:tcPr>
          <w:p>
            <w:pPr>
              <w:spacing w:after="0"/>
              <w:rPr>
                <w:sz w:val="5"/>
                <w:szCs w:val="5"/>
                <w:color w:val="auto"/>
              </w:rPr>
            </w:pPr>
          </w:p>
        </w:tc>
        <w:tc>
          <w:tcPr>
            <w:tcW w:w="1060" w:type="dxa"/>
            <w:vAlign w:val="bottom"/>
            <w:tcBorders>
              <w:right w:val="single" w:sz="8" w:color="828282"/>
            </w:tcBorders>
            <w:vMerge w:val="continue"/>
          </w:tcPr>
          <w:p>
            <w:pPr>
              <w:spacing w:after="0"/>
              <w:rPr>
                <w:sz w:val="5"/>
                <w:szCs w:val="5"/>
                <w:color w:val="auto"/>
              </w:rPr>
            </w:pPr>
          </w:p>
        </w:tc>
        <w:tc>
          <w:tcPr>
            <w:tcW w:w="1020" w:type="dxa"/>
            <w:vAlign w:val="bottom"/>
            <w:tcBorders>
              <w:right w:val="single" w:sz="8" w:color="828282"/>
            </w:tcBorders>
          </w:tcPr>
          <w:p>
            <w:pPr>
              <w:spacing w:after="0"/>
              <w:rPr>
                <w:sz w:val="5"/>
                <w:szCs w:val="5"/>
                <w:color w:val="auto"/>
              </w:rPr>
            </w:pPr>
          </w:p>
        </w:tc>
        <w:tc>
          <w:tcPr>
            <w:tcW w:w="1020" w:type="dxa"/>
            <w:vAlign w:val="bottom"/>
          </w:tcPr>
          <w:p>
            <w:pPr>
              <w:spacing w:after="0"/>
              <w:rPr>
                <w:sz w:val="5"/>
                <w:szCs w:val="5"/>
                <w:color w:val="auto"/>
              </w:rPr>
            </w:pPr>
          </w:p>
        </w:tc>
        <w:tc>
          <w:tcPr>
            <w:tcW w:w="20" w:type="dxa"/>
            <w:vAlign w:val="bottom"/>
            <w:shd w:val="clear" w:color="auto" w:fill="828282"/>
          </w:tcPr>
          <w:p>
            <w:pPr>
              <w:spacing w:after="0"/>
              <w:rPr>
                <w:sz w:val="5"/>
                <w:szCs w:val="5"/>
                <w:color w:val="auto"/>
              </w:rPr>
            </w:pPr>
          </w:p>
        </w:tc>
        <w:tc>
          <w:tcPr>
            <w:tcW w:w="0" w:type="dxa"/>
            <w:vAlign w:val="bottom"/>
          </w:tcPr>
          <w:p>
            <w:pPr>
              <w:spacing w:after="0"/>
              <w:rPr>
                <w:sz w:val="1"/>
                <w:szCs w:val="1"/>
                <w:color w:val="auto"/>
              </w:rPr>
            </w:pPr>
          </w:p>
        </w:tc>
      </w:tr>
      <w:tr>
        <w:trPr>
          <w:trHeight w:val="22"/>
        </w:trPr>
        <w:tc>
          <w:tcPr>
            <w:tcW w:w="1140" w:type="dxa"/>
            <w:vAlign w:val="bottom"/>
            <w:tcBorders>
              <w:left w:val="single" w:sz="8" w:color="828282"/>
              <w:bottom w:val="single" w:sz="8" w:color="828282"/>
              <w:right w:val="single" w:sz="8" w:color="828282"/>
            </w:tcBorders>
          </w:tcPr>
          <w:p>
            <w:pPr>
              <w:spacing w:after="0" w:line="20" w:lineRule="exact"/>
              <w:rPr>
                <w:sz w:val="1"/>
                <w:szCs w:val="1"/>
                <w:color w:val="auto"/>
              </w:rPr>
            </w:pPr>
          </w:p>
        </w:tc>
        <w:tc>
          <w:tcPr>
            <w:tcW w:w="1080" w:type="dxa"/>
            <w:vAlign w:val="bottom"/>
            <w:tcBorders>
              <w:bottom w:val="single" w:sz="8" w:color="828282"/>
              <w:right w:val="single" w:sz="8" w:color="828282"/>
            </w:tcBorders>
          </w:tcPr>
          <w:p>
            <w:pPr>
              <w:spacing w:after="0" w:line="20" w:lineRule="exact"/>
              <w:rPr>
                <w:sz w:val="1"/>
                <w:szCs w:val="1"/>
                <w:color w:val="auto"/>
              </w:rPr>
            </w:pPr>
          </w:p>
        </w:tc>
        <w:tc>
          <w:tcPr>
            <w:tcW w:w="1060" w:type="dxa"/>
            <w:vAlign w:val="bottom"/>
            <w:tcBorders>
              <w:bottom w:val="single" w:sz="8" w:color="828282"/>
              <w:right w:val="single" w:sz="8" w:color="828282"/>
            </w:tcBorders>
          </w:tcPr>
          <w:p>
            <w:pPr>
              <w:spacing w:after="0" w:line="20" w:lineRule="exact"/>
              <w:rPr>
                <w:sz w:val="1"/>
                <w:szCs w:val="1"/>
                <w:color w:val="auto"/>
              </w:rPr>
            </w:pPr>
          </w:p>
        </w:tc>
        <w:tc>
          <w:tcPr>
            <w:tcW w:w="1020" w:type="dxa"/>
            <w:vAlign w:val="bottom"/>
            <w:tcBorders>
              <w:bottom w:val="single" w:sz="8" w:color="828282"/>
              <w:right w:val="single" w:sz="8" w:color="828282"/>
            </w:tcBorders>
          </w:tcPr>
          <w:p>
            <w:pPr>
              <w:spacing w:after="0" w:line="20" w:lineRule="exact"/>
              <w:rPr>
                <w:sz w:val="1"/>
                <w:szCs w:val="1"/>
                <w:color w:val="auto"/>
              </w:rPr>
            </w:pPr>
          </w:p>
        </w:tc>
        <w:tc>
          <w:tcPr>
            <w:tcW w:w="1020" w:type="dxa"/>
            <w:vAlign w:val="bottom"/>
            <w:tcBorders>
              <w:bottom w:val="single" w:sz="8" w:color="828282"/>
            </w:tcBorders>
          </w:tcPr>
          <w:p>
            <w:pPr>
              <w:spacing w:after="0" w:line="20" w:lineRule="exact"/>
              <w:rPr>
                <w:sz w:val="1"/>
                <w:szCs w:val="1"/>
                <w:color w:val="auto"/>
              </w:rPr>
            </w:pPr>
          </w:p>
        </w:tc>
        <w:tc>
          <w:tcPr>
            <w:tcW w:w="20" w:type="dxa"/>
            <w:vAlign w:val="bottom"/>
            <w:tcBorders>
              <w:bottom w:val="single" w:sz="8" w:color="828282"/>
            </w:tcBorders>
            <w:shd w:val="clear" w:color="auto" w:fill="828282"/>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39"/>
        </w:trPr>
        <w:tc>
          <w:tcPr>
            <w:tcW w:w="1140" w:type="dxa"/>
            <w:vAlign w:val="bottom"/>
            <w:tcBorders>
              <w:left w:val="single" w:sz="8" w:color="828282"/>
              <w:right w:val="single" w:sz="8" w:color="828282"/>
            </w:tcBorders>
          </w:tcPr>
          <w:p>
            <w:pPr>
              <w:ind w:left="40"/>
              <w:spacing w:after="0"/>
              <w:rPr>
                <w:sz w:val="20"/>
                <w:szCs w:val="20"/>
                <w:color w:val="auto"/>
              </w:rPr>
            </w:pPr>
            <w:r>
              <w:rPr>
                <w:rFonts w:ascii="Arial" w:cs="Arial" w:eastAsia="Arial" w:hAnsi="Arial"/>
                <w:sz w:val="11"/>
                <w:szCs w:val="11"/>
                <w:b w:val="1"/>
                <w:bCs w:val="1"/>
                <w:color w:val="auto"/>
              </w:rPr>
              <w:t>Item 4</w:t>
            </w:r>
            <w:r>
              <w:rPr>
                <w:rFonts w:ascii="Arial" w:cs="Arial" w:eastAsia="Arial" w:hAnsi="Arial"/>
                <w:sz w:val="11"/>
                <w:szCs w:val="11"/>
                <w:color w:val="auto"/>
              </w:rPr>
              <w:t>: Ratify the</w:t>
            </w:r>
          </w:p>
        </w:tc>
        <w:tc>
          <w:tcPr>
            <w:tcW w:w="1080" w:type="dxa"/>
            <w:vAlign w:val="bottom"/>
            <w:tcBorders>
              <w:right w:val="single" w:sz="8" w:color="828282"/>
            </w:tcBorders>
          </w:tcPr>
          <w:p>
            <w:pPr>
              <w:spacing w:after="0"/>
              <w:rPr>
                <w:sz w:val="12"/>
                <w:szCs w:val="12"/>
                <w:color w:val="auto"/>
              </w:rPr>
            </w:pPr>
          </w:p>
        </w:tc>
        <w:tc>
          <w:tcPr>
            <w:tcW w:w="1060" w:type="dxa"/>
            <w:vAlign w:val="bottom"/>
            <w:tcBorders>
              <w:right w:val="single" w:sz="8" w:color="828282"/>
            </w:tcBorders>
          </w:tcPr>
          <w:p>
            <w:pPr>
              <w:spacing w:after="0"/>
              <w:rPr>
                <w:sz w:val="12"/>
                <w:szCs w:val="12"/>
                <w:color w:val="auto"/>
              </w:rPr>
            </w:pPr>
          </w:p>
        </w:tc>
        <w:tc>
          <w:tcPr>
            <w:tcW w:w="1020" w:type="dxa"/>
            <w:vAlign w:val="bottom"/>
            <w:tcBorders>
              <w:right w:val="single" w:sz="8" w:color="828282"/>
            </w:tcBorders>
          </w:tcPr>
          <w:p>
            <w:pPr>
              <w:spacing w:after="0"/>
              <w:rPr>
                <w:sz w:val="12"/>
                <w:szCs w:val="12"/>
                <w:color w:val="auto"/>
              </w:rPr>
            </w:pPr>
          </w:p>
        </w:tc>
        <w:tc>
          <w:tcPr>
            <w:tcW w:w="1020" w:type="dxa"/>
            <w:vAlign w:val="bottom"/>
          </w:tcPr>
          <w:p>
            <w:pPr>
              <w:spacing w:after="0"/>
              <w:rPr>
                <w:sz w:val="12"/>
                <w:szCs w:val="12"/>
                <w:color w:val="auto"/>
              </w:rPr>
            </w:pPr>
          </w:p>
        </w:tc>
        <w:tc>
          <w:tcPr>
            <w:tcW w:w="20" w:type="dxa"/>
            <w:vAlign w:val="bottom"/>
            <w:shd w:val="clear" w:color="auto" w:fill="828282"/>
          </w:tcPr>
          <w:p>
            <w:pPr>
              <w:spacing w:after="0"/>
              <w:rPr>
                <w:sz w:val="12"/>
                <w:szCs w:val="12"/>
                <w:color w:val="auto"/>
              </w:rPr>
            </w:pPr>
          </w:p>
        </w:tc>
        <w:tc>
          <w:tcPr>
            <w:tcW w:w="0" w:type="dxa"/>
            <w:vAlign w:val="bottom"/>
          </w:tcPr>
          <w:p>
            <w:pPr>
              <w:spacing w:after="0"/>
              <w:rPr>
                <w:sz w:val="1"/>
                <w:szCs w:val="1"/>
                <w:color w:val="auto"/>
              </w:rPr>
            </w:pPr>
          </w:p>
        </w:tc>
      </w:tr>
      <w:tr>
        <w:trPr>
          <w:trHeight w:val="122"/>
        </w:trPr>
        <w:tc>
          <w:tcPr>
            <w:tcW w:w="1140" w:type="dxa"/>
            <w:vAlign w:val="bottom"/>
            <w:tcBorders>
              <w:left w:val="single" w:sz="8" w:color="828282"/>
              <w:right w:val="single" w:sz="8" w:color="828282"/>
            </w:tcBorders>
          </w:tcPr>
          <w:p>
            <w:pPr>
              <w:ind w:left="40"/>
              <w:spacing w:after="0" w:line="122" w:lineRule="exact"/>
              <w:rPr>
                <w:sz w:val="20"/>
                <w:szCs w:val="20"/>
                <w:color w:val="auto"/>
              </w:rPr>
            </w:pPr>
            <w:r>
              <w:rPr>
                <w:rFonts w:ascii="Arial" w:cs="Arial" w:eastAsia="Arial" w:hAnsi="Arial"/>
                <w:sz w:val="11"/>
                <w:szCs w:val="11"/>
                <w:color w:val="auto"/>
              </w:rPr>
              <w:t>appointment of</w:t>
            </w:r>
          </w:p>
        </w:tc>
        <w:tc>
          <w:tcPr>
            <w:tcW w:w="1080" w:type="dxa"/>
            <w:vAlign w:val="bottom"/>
            <w:tcBorders>
              <w:right w:val="single" w:sz="8" w:color="828282"/>
            </w:tcBorders>
          </w:tcPr>
          <w:p>
            <w:pPr>
              <w:spacing w:after="0"/>
              <w:rPr>
                <w:sz w:val="10"/>
                <w:szCs w:val="10"/>
                <w:color w:val="auto"/>
              </w:rPr>
            </w:pPr>
          </w:p>
        </w:tc>
        <w:tc>
          <w:tcPr>
            <w:tcW w:w="1060" w:type="dxa"/>
            <w:vAlign w:val="bottom"/>
            <w:tcBorders>
              <w:right w:val="single" w:sz="8" w:color="828282"/>
            </w:tcBorders>
          </w:tcPr>
          <w:p>
            <w:pPr>
              <w:spacing w:after="0"/>
              <w:rPr>
                <w:sz w:val="10"/>
                <w:szCs w:val="10"/>
                <w:color w:val="auto"/>
              </w:rPr>
            </w:pPr>
          </w:p>
        </w:tc>
        <w:tc>
          <w:tcPr>
            <w:tcW w:w="1020" w:type="dxa"/>
            <w:vAlign w:val="bottom"/>
            <w:tcBorders>
              <w:right w:val="single" w:sz="8" w:color="828282"/>
            </w:tcBorders>
          </w:tcPr>
          <w:p>
            <w:pPr>
              <w:spacing w:after="0"/>
              <w:rPr>
                <w:sz w:val="10"/>
                <w:szCs w:val="10"/>
                <w:color w:val="auto"/>
              </w:rPr>
            </w:pPr>
          </w:p>
        </w:tc>
        <w:tc>
          <w:tcPr>
            <w:tcW w:w="1020" w:type="dxa"/>
            <w:vAlign w:val="bottom"/>
          </w:tcPr>
          <w:p>
            <w:pPr>
              <w:spacing w:after="0"/>
              <w:rPr>
                <w:sz w:val="10"/>
                <w:szCs w:val="10"/>
                <w:color w:val="auto"/>
              </w:rPr>
            </w:pPr>
          </w:p>
        </w:tc>
        <w:tc>
          <w:tcPr>
            <w:tcW w:w="20" w:type="dxa"/>
            <w:vAlign w:val="bottom"/>
            <w:shd w:val="clear" w:color="auto" w:fill="828282"/>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1140" w:type="dxa"/>
            <w:vAlign w:val="bottom"/>
            <w:tcBorders>
              <w:left w:val="single" w:sz="8" w:color="828282"/>
              <w:right w:val="single" w:sz="8" w:color="828282"/>
            </w:tcBorders>
          </w:tcPr>
          <w:p>
            <w:pPr>
              <w:ind w:left="40"/>
              <w:spacing w:after="0" w:line="122" w:lineRule="exact"/>
              <w:rPr>
                <w:sz w:val="20"/>
                <w:szCs w:val="20"/>
                <w:color w:val="auto"/>
              </w:rPr>
            </w:pPr>
            <w:r>
              <w:rPr>
                <w:rFonts w:ascii="Arial" w:cs="Arial" w:eastAsia="Arial" w:hAnsi="Arial"/>
                <w:sz w:val="11"/>
                <w:szCs w:val="11"/>
                <w:color w:val="auto"/>
              </w:rPr>
              <w:t>Deloitte &amp; Touche</w:t>
            </w:r>
          </w:p>
        </w:tc>
        <w:tc>
          <w:tcPr>
            <w:tcW w:w="1080" w:type="dxa"/>
            <w:vAlign w:val="bottom"/>
            <w:tcBorders>
              <w:right w:val="single" w:sz="8" w:color="828282"/>
            </w:tcBorders>
          </w:tcPr>
          <w:p>
            <w:pPr>
              <w:spacing w:after="0"/>
              <w:rPr>
                <w:sz w:val="10"/>
                <w:szCs w:val="10"/>
                <w:color w:val="auto"/>
              </w:rPr>
            </w:pPr>
          </w:p>
        </w:tc>
        <w:tc>
          <w:tcPr>
            <w:tcW w:w="1060" w:type="dxa"/>
            <w:vAlign w:val="bottom"/>
            <w:tcBorders>
              <w:right w:val="single" w:sz="8" w:color="828282"/>
            </w:tcBorders>
          </w:tcPr>
          <w:p>
            <w:pPr>
              <w:spacing w:after="0"/>
              <w:rPr>
                <w:sz w:val="10"/>
                <w:szCs w:val="10"/>
                <w:color w:val="auto"/>
              </w:rPr>
            </w:pPr>
          </w:p>
        </w:tc>
        <w:tc>
          <w:tcPr>
            <w:tcW w:w="1020" w:type="dxa"/>
            <w:vAlign w:val="bottom"/>
            <w:tcBorders>
              <w:right w:val="single" w:sz="8" w:color="828282"/>
            </w:tcBorders>
          </w:tcPr>
          <w:p>
            <w:pPr>
              <w:spacing w:after="0"/>
              <w:rPr>
                <w:sz w:val="10"/>
                <w:szCs w:val="10"/>
                <w:color w:val="auto"/>
              </w:rPr>
            </w:pPr>
          </w:p>
        </w:tc>
        <w:tc>
          <w:tcPr>
            <w:tcW w:w="1020" w:type="dxa"/>
            <w:vAlign w:val="bottom"/>
          </w:tcPr>
          <w:p>
            <w:pPr>
              <w:spacing w:after="0"/>
              <w:rPr>
                <w:sz w:val="10"/>
                <w:szCs w:val="10"/>
                <w:color w:val="auto"/>
              </w:rPr>
            </w:pPr>
          </w:p>
        </w:tc>
        <w:tc>
          <w:tcPr>
            <w:tcW w:w="20" w:type="dxa"/>
            <w:vAlign w:val="bottom"/>
            <w:shd w:val="clear" w:color="auto" w:fill="828282"/>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1140" w:type="dxa"/>
            <w:vAlign w:val="bottom"/>
            <w:tcBorders>
              <w:left w:val="single" w:sz="8" w:color="828282"/>
              <w:right w:val="single" w:sz="8" w:color="828282"/>
            </w:tcBorders>
          </w:tcPr>
          <w:p>
            <w:pPr>
              <w:ind w:left="40"/>
              <w:spacing w:after="0" w:line="122" w:lineRule="exact"/>
              <w:rPr>
                <w:sz w:val="20"/>
                <w:szCs w:val="20"/>
                <w:color w:val="auto"/>
              </w:rPr>
            </w:pPr>
            <w:r>
              <w:rPr>
                <w:rFonts w:ascii="Arial" w:cs="Arial" w:eastAsia="Arial" w:hAnsi="Arial"/>
                <w:sz w:val="11"/>
                <w:szCs w:val="11"/>
                <w:color w:val="auto"/>
              </w:rPr>
              <w:t>LLP as our</w:t>
            </w:r>
          </w:p>
        </w:tc>
        <w:tc>
          <w:tcPr>
            <w:tcW w:w="1080" w:type="dxa"/>
            <w:vAlign w:val="bottom"/>
            <w:tcBorders>
              <w:right w:val="single" w:sz="8" w:color="828282"/>
            </w:tcBorders>
            <w:vMerge w:val="restart"/>
          </w:tcPr>
          <w:p>
            <w:pPr>
              <w:jc w:val="center"/>
              <w:spacing w:after="0"/>
              <w:rPr>
                <w:sz w:val="20"/>
                <w:szCs w:val="20"/>
                <w:color w:val="auto"/>
              </w:rPr>
            </w:pPr>
            <w:r>
              <w:rPr>
                <w:rFonts w:ascii="Arial" w:cs="Arial" w:eastAsia="Arial" w:hAnsi="Arial"/>
                <w:sz w:val="11"/>
                <w:szCs w:val="11"/>
                <w:color w:val="auto"/>
                <w:w w:val="97"/>
              </w:rPr>
              <w:t>Majority of the votes</w:t>
            </w:r>
          </w:p>
        </w:tc>
        <w:tc>
          <w:tcPr>
            <w:tcW w:w="1060" w:type="dxa"/>
            <w:vAlign w:val="bottom"/>
            <w:tcBorders>
              <w:right w:val="single" w:sz="8" w:color="828282"/>
            </w:tcBorders>
          </w:tcPr>
          <w:p>
            <w:pPr>
              <w:jc w:val="center"/>
              <w:spacing w:after="0" w:line="122" w:lineRule="exact"/>
              <w:rPr>
                <w:sz w:val="20"/>
                <w:szCs w:val="20"/>
                <w:color w:val="auto"/>
              </w:rPr>
            </w:pPr>
            <w:r>
              <w:rPr>
                <w:rFonts w:ascii="Arial" w:cs="Arial" w:eastAsia="Arial" w:hAnsi="Arial"/>
                <w:sz w:val="11"/>
                <w:szCs w:val="11"/>
                <w:color w:val="auto"/>
                <w:w w:val="94"/>
              </w:rPr>
              <w:t>FOR</w:t>
            </w:r>
          </w:p>
        </w:tc>
        <w:tc>
          <w:tcPr>
            <w:tcW w:w="1020" w:type="dxa"/>
            <w:vAlign w:val="bottom"/>
            <w:tcBorders>
              <w:right w:val="single" w:sz="8" w:color="828282"/>
            </w:tcBorders>
          </w:tcPr>
          <w:p>
            <w:pPr>
              <w:spacing w:after="0"/>
              <w:rPr>
                <w:sz w:val="10"/>
                <w:szCs w:val="10"/>
                <w:color w:val="auto"/>
              </w:rPr>
            </w:pPr>
          </w:p>
        </w:tc>
        <w:tc>
          <w:tcPr>
            <w:tcW w:w="1020" w:type="dxa"/>
            <w:vAlign w:val="bottom"/>
          </w:tcPr>
          <w:p>
            <w:pPr>
              <w:spacing w:after="0"/>
              <w:rPr>
                <w:sz w:val="10"/>
                <w:szCs w:val="10"/>
                <w:color w:val="auto"/>
              </w:rPr>
            </w:pPr>
          </w:p>
        </w:tc>
        <w:tc>
          <w:tcPr>
            <w:tcW w:w="20" w:type="dxa"/>
            <w:vAlign w:val="bottom"/>
            <w:shd w:val="clear" w:color="auto" w:fill="828282"/>
          </w:tcPr>
          <w:p>
            <w:pPr>
              <w:spacing w:after="0"/>
              <w:rPr>
                <w:sz w:val="10"/>
                <w:szCs w:val="10"/>
                <w:color w:val="auto"/>
              </w:rPr>
            </w:pPr>
          </w:p>
        </w:tc>
        <w:tc>
          <w:tcPr>
            <w:tcW w:w="0" w:type="dxa"/>
            <w:vAlign w:val="bottom"/>
          </w:tcPr>
          <w:p>
            <w:pPr>
              <w:spacing w:after="0"/>
              <w:rPr>
                <w:sz w:val="1"/>
                <w:szCs w:val="1"/>
                <w:color w:val="auto"/>
              </w:rPr>
            </w:pPr>
          </w:p>
        </w:tc>
      </w:tr>
      <w:tr>
        <w:trPr>
          <w:trHeight w:val="54"/>
        </w:trPr>
        <w:tc>
          <w:tcPr>
            <w:tcW w:w="1140" w:type="dxa"/>
            <w:vAlign w:val="bottom"/>
            <w:tcBorders>
              <w:left w:val="single" w:sz="8" w:color="828282"/>
              <w:right w:val="single" w:sz="8" w:color="828282"/>
            </w:tcBorders>
            <w:vMerge w:val="restart"/>
          </w:tcPr>
          <w:p>
            <w:pPr>
              <w:ind w:left="40"/>
              <w:spacing w:after="0" w:line="122" w:lineRule="exact"/>
              <w:rPr>
                <w:sz w:val="20"/>
                <w:szCs w:val="20"/>
                <w:color w:val="auto"/>
              </w:rPr>
            </w:pPr>
            <w:r>
              <w:rPr>
                <w:rFonts w:ascii="Arial" w:cs="Arial" w:eastAsia="Arial" w:hAnsi="Arial"/>
                <w:sz w:val="11"/>
                <w:szCs w:val="11"/>
                <w:color w:val="auto"/>
              </w:rPr>
              <w:t>independent</w:t>
            </w:r>
          </w:p>
        </w:tc>
        <w:tc>
          <w:tcPr>
            <w:tcW w:w="1080" w:type="dxa"/>
            <w:vAlign w:val="bottom"/>
            <w:tcBorders>
              <w:right w:val="single" w:sz="8" w:color="828282"/>
            </w:tcBorders>
            <w:vMerge w:val="continue"/>
          </w:tcPr>
          <w:p>
            <w:pPr>
              <w:spacing w:after="0"/>
              <w:rPr>
                <w:sz w:val="4"/>
                <w:szCs w:val="4"/>
                <w:color w:val="auto"/>
              </w:rPr>
            </w:pPr>
          </w:p>
        </w:tc>
        <w:tc>
          <w:tcPr>
            <w:tcW w:w="1060" w:type="dxa"/>
            <w:vAlign w:val="bottom"/>
            <w:tcBorders>
              <w:right w:val="single" w:sz="8" w:color="828282"/>
            </w:tcBorders>
            <w:vMerge w:val="restart"/>
          </w:tcPr>
          <w:p>
            <w:pPr>
              <w:jc w:val="center"/>
              <w:spacing w:after="0" w:line="122" w:lineRule="exact"/>
              <w:rPr>
                <w:sz w:val="20"/>
                <w:szCs w:val="20"/>
                <w:color w:val="auto"/>
              </w:rPr>
            </w:pPr>
            <w:r>
              <w:rPr>
                <w:rFonts w:ascii="Arial" w:cs="Arial" w:eastAsia="Arial" w:hAnsi="Arial"/>
                <w:sz w:val="11"/>
                <w:szCs w:val="11"/>
                <w:color w:val="auto"/>
                <w:w w:val="95"/>
              </w:rPr>
              <w:t>AGAINST</w:t>
            </w:r>
          </w:p>
        </w:tc>
        <w:tc>
          <w:tcPr>
            <w:tcW w:w="1020" w:type="dxa"/>
            <w:vAlign w:val="bottom"/>
            <w:tcBorders>
              <w:right w:val="single" w:sz="8" w:color="828282"/>
            </w:tcBorders>
            <w:vMerge w:val="restart"/>
          </w:tcPr>
          <w:p>
            <w:pPr>
              <w:jc w:val="center"/>
              <w:spacing w:after="0" w:line="122" w:lineRule="exact"/>
              <w:rPr>
                <w:sz w:val="20"/>
                <w:szCs w:val="20"/>
                <w:color w:val="auto"/>
              </w:rPr>
            </w:pPr>
            <w:r>
              <w:rPr>
                <w:rFonts w:ascii="Arial" w:cs="Arial" w:eastAsia="Arial" w:hAnsi="Arial"/>
                <w:sz w:val="11"/>
                <w:szCs w:val="11"/>
                <w:color w:val="auto"/>
                <w:w w:val="94"/>
              </w:rPr>
              <w:t>FOR</w:t>
            </w:r>
          </w:p>
        </w:tc>
        <w:tc>
          <w:tcPr>
            <w:tcW w:w="1020" w:type="dxa"/>
            <w:vAlign w:val="bottom"/>
            <w:vMerge w:val="restart"/>
          </w:tcPr>
          <w:p>
            <w:pPr>
              <w:jc w:val="center"/>
              <w:spacing w:after="0" w:line="122" w:lineRule="exact"/>
              <w:rPr>
                <w:sz w:val="20"/>
                <w:szCs w:val="20"/>
                <w:color w:val="auto"/>
              </w:rPr>
            </w:pPr>
            <w:r>
              <w:rPr>
                <w:rFonts w:ascii="Arial" w:cs="Arial" w:eastAsia="Arial" w:hAnsi="Arial"/>
                <w:sz w:val="11"/>
                <w:szCs w:val="11"/>
                <w:color w:val="auto"/>
                <w:w w:val="94"/>
              </w:rPr>
              <w:t>Yes</w:t>
            </w:r>
          </w:p>
        </w:tc>
        <w:tc>
          <w:tcPr>
            <w:tcW w:w="20" w:type="dxa"/>
            <w:vAlign w:val="bottom"/>
            <w:shd w:val="clear" w:color="auto" w:fill="828282"/>
          </w:tcPr>
          <w:p>
            <w:pPr>
              <w:spacing w:after="0"/>
              <w:rPr>
                <w:sz w:val="4"/>
                <w:szCs w:val="4"/>
                <w:color w:val="auto"/>
              </w:rPr>
            </w:pPr>
          </w:p>
        </w:tc>
        <w:tc>
          <w:tcPr>
            <w:tcW w:w="0" w:type="dxa"/>
            <w:vAlign w:val="bottom"/>
          </w:tcPr>
          <w:p>
            <w:pPr>
              <w:spacing w:after="0"/>
              <w:rPr>
                <w:sz w:val="1"/>
                <w:szCs w:val="1"/>
                <w:color w:val="auto"/>
              </w:rPr>
            </w:pPr>
          </w:p>
        </w:tc>
      </w:tr>
      <w:tr>
        <w:trPr>
          <w:trHeight w:val="68"/>
        </w:trPr>
        <w:tc>
          <w:tcPr>
            <w:tcW w:w="1140" w:type="dxa"/>
            <w:vAlign w:val="bottom"/>
            <w:tcBorders>
              <w:left w:val="single" w:sz="8" w:color="828282"/>
              <w:right w:val="single" w:sz="8" w:color="828282"/>
            </w:tcBorders>
            <w:vMerge w:val="continue"/>
          </w:tcPr>
          <w:p>
            <w:pPr>
              <w:spacing w:after="0"/>
              <w:rPr>
                <w:sz w:val="5"/>
                <w:szCs w:val="5"/>
                <w:color w:val="auto"/>
              </w:rPr>
            </w:pPr>
          </w:p>
        </w:tc>
        <w:tc>
          <w:tcPr>
            <w:tcW w:w="1080" w:type="dxa"/>
            <w:vAlign w:val="bottom"/>
            <w:tcBorders>
              <w:right w:val="single" w:sz="8" w:color="828282"/>
            </w:tcBorders>
            <w:vMerge w:val="restart"/>
          </w:tcPr>
          <w:p>
            <w:pPr>
              <w:jc w:val="center"/>
              <w:spacing w:after="0"/>
              <w:rPr>
                <w:sz w:val="20"/>
                <w:szCs w:val="20"/>
                <w:color w:val="auto"/>
              </w:rPr>
            </w:pPr>
            <w:r>
              <w:rPr>
                <w:rFonts w:ascii="Arial" w:cs="Arial" w:eastAsia="Arial" w:hAnsi="Arial"/>
                <w:sz w:val="11"/>
                <w:szCs w:val="11"/>
                <w:color w:val="auto"/>
                <w:w w:val="98"/>
              </w:rPr>
              <w:t>cast</w:t>
            </w:r>
          </w:p>
        </w:tc>
        <w:tc>
          <w:tcPr>
            <w:tcW w:w="1060" w:type="dxa"/>
            <w:vAlign w:val="bottom"/>
            <w:tcBorders>
              <w:right w:val="single" w:sz="8" w:color="828282"/>
            </w:tcBorders>
            <w:vMerge w:val="continue"/>
          </w:tcPr>
          <w:p>
            <w:pPr>
              <w:spacing w:after="0"/>
              <w:rPr>
                <w:sz w:val="5"/>
                <w:szCs w:val="5"/>
                <w:color w:val="auto"/>
              </w:rPr>
            </w:pPr>
          </w:p>
        </w:tc>
        <w:tc>
          <w:tcPr>
            <w:tcW w:w="1020" w:type="dxa"/>
            <w:vAlign w:val="bottom"/>
            <w:tcBorders>
              <w:right w:val="single" w:sz="8" w:color="828282"/>
            </w:tcBorders>
            <w:vMerge w:val="continue"/>
          </w:tcPr>
          <w:p>
            <w:pPr>
              <w:spacing w:after="0"/>
              <w:rPr>
                <w:sz w:val="5"/>
                <w:szCs w:val="5"/>
                <w:color w:val="auto"/>
              </w:rPr>
            </w:pPr>
          </w:p>
        </w:tc>
        <w:tc>
          <w:tcPr>
            <w:tcW w:w="1020" w:type="dxa"/>
            <w:vAlign w:val="bottom"/>
            <w:vMerge w:val="continue"/>
          </w:tcPr>
          <w:p>
            <w:pPr>
              <w:spacing w:after="0"/>
              <w:rPr>
                <w:sz w:val="5"/>
                <w:szCs w:val="5"/>
                <w:color w:val="auto"/>
              </w:rPr>
            </w:pPr>
          </w:p>
        </w:tc>
        <w:tc>
          <w:tcPr>
            <w:tcW w:w="20" w:type="dxa"/>
            <w:vAlign w:val="bottom"/>
            <w:shd w:val="clear" w:color="auto" w:fill="828282"/>
          </w:tcPr>
          <w:p>
            <w:pPr>
              <w:spacing w:after="0"/>
              <w:rPr>
                <w:sz w:val="5"/>
                <w:szCs w:val="5"/>
                <w:color w:val="auto"/>
              </w:rPr>
            </w:pPr>
          </w:p>
        </w:tc>
        <w:tc>
          <w:tcPr>
            <w:tcW w:w="0" w:type="dxa"/>
            <w:vAlign w:val="bottom"/>
          </w:tcPr>
          <w:p>
            <w:pPr>
              <w:spacing w:after="0"/>
              <w:rPr>
                <w:sz w:val="1"/>
                <w:szCs w:val="1"/>
                <w:color w:val="auto"/>
              </w:rPr>
            </w:pPr>
          </w:p>
        </w:tc>
      </w:tr>
      <w:tr>
        <w:trPr>
          <w:trHeight w:val="62"/>
        </w:trPr>
        <w:tc>
          <w:tcPr>
            <w:tcW w:w="1140" w:type="dxa"/>
            <w:vAlign w:val="bottom"/>
            <w:tcBorders>
              <w:left w:val="single" w:sz="8" w:color="828282"/>
              <w:right w:val="single" w:sz="8" w:color="828282"/>
            </w:tcBorders>
            <w:vMerge w:val="restart"/>
          </w:tcPr>
          <w:p>
            <w:pPr>
              <w:ind w:left="40"/>
              <w:spacing w:after="0" w:line="122" w:lineRule="exact"/>
              <w:rPr>
                <w:sz w:val="20"/>
                <w:szCs w:val="20"/>
                <w:color w:val="auto"/>
              </w:rPr>
            </w:pPr>
            <w:r>
              <w:rPr>
                <w:rFonts w:ascii="Arial" w:cs="Arial" w:eastAsia="Arial" w:hAnsi="Arial"/>
                <w:sz w:val="11"/>
                <w:szCs w:val="11"/>
                <w:color w:val="auto"/>
              </w:rPr>
              <w:t>registered public</w:t>
            </w:r>
          </w:p>
        </w:tc>
        <w:tc>
          <w:tcPr>
            <w:tcW w:w="1080" w:type="dxa"/>
            <w:vAlign w:val="bottom"/>
            <w:tcBorders>
              <w:right w:val="single" w:sz="8" w:color="828282"/>
            </w:tcBorders>
            <w:vMerge w:val="continue"/>
          </w:tcPr>
          <w:p>
            <w:pPr>
              <w:spacing w:after="0"/>
              <w:rPr>
                <w:sz w:val="5"/>
                <w:szCs w:val="5"/>
                <w:color w:val="auto"/>
              </w:rPr>
            </w:pPr>
          </w:p>
        </w:tc>
        <w:tc>
          <w:tcPr>
            <w:tcW w:w="1060" w:type="dxa"/>
            <w:vAlign w:val="bottom"/>
            <w:tcBorders>
              <w:right w:val="single" w:sz="8" w:color="828282"/>
            </w:tcBorders>
            <w:vMerge w:val="restart"/>
          </w:tcPr>
          <w:p>
            <w:pPr>
              <w:jc w:val="center"/>
              <w:spacing w:after="0" w:line="122" w:lineRule="exact"/>
              <w:rPr>
                <w:sz w:val="20"/>
                <w:szCs w:val="20"/>
                <w:color w:val="auto"/>
              </w:rPr>
            </w:pPr>
            <w:r>
              <w:rPr>
                <w:rFonts w:ascii="Arial" w:cs="Arial" w:eastAsia="Arial" w:hAnsi="Arial"/>
                <w:sz w:val="11"/>
                <w:szCs w:val="11"/>
                <w:color w:val="auto"/>
                <w:w w:val="97"/>
              </w:rPr>
              <w:t>ABSTAIN</w:t>
            </w:r>
          </w:p>
        </w:tc>
        <w:tc>
          <w:tcPr>
            <w:tcW w:w="1020" w:type="dxa"/>
            <w:vAlign w:val="bottom"/>
            <w:tcBorders>
              <w:right w:val="single" w:sz="8" w:color="828282"/>
            </w:tcBorders>
          </w:tcPr>
          <w:p>
            <w:pPr>
              <w:spacing w:after="0"/>
              <w:rPr>
                <w:sz w:val="5"/>
                <w:szCs w:val="5"/>
                <w:color w:val="auto"/>
              </w:rPr>
            </w:pPr>
          </w:p>
        </w:tc>
        <w:tc>
          <w:tcPr>
            <w:tcW w:w="1020" w:type="dxa"/>
            <w:vAlign w:val="bottom"/>
          </w:tcPr>
          <w:p>
            <w:pPr>
              <w:spacing w:after="0"/>
              <w:rPr>
                <w:sz w:val="5"/>
                <w:szCs w:val="5"/>
                <w:color w:val="auto"/>
              </w:rPr>
            </w:pPr>
          </w:p>
        </w:tc>
        <w:tc>
          <w:tcPr>
            <w:tcW w:w="20" w:type="dxa"/>
            <w:vAlign w:val="bottom"/>
            <w:shd w:val="clear" w:color="auto" w:fill="828282"/>
          </w:tcPr>
          <w:p>
            <w:pPr>
              <w:spacing w:after="0"/>
              <w:rPr>
                <w:sz w:val="5"/>
                <w:szCs w:val="5"/>
                <w:color w:val="auto"/>
              </w:rPr>
            </w:pPr>
          </w:p>
        </w:tc>
        <w:tc>
          <w:tcPr>
            <w:tcW w:w="0" w:type="dxa"/>
            <w:vAlign w:val="bottom"/>
          </w:tcPr>
          <w:p>
            <w:pPr>
              <w:spacing w:after="0"/>
              <w:rPr>
                <w:sz w:val="1"/>
                <w:szCs w:val="1"/>
                <w:color w:val="auto"/>
              </w:rPr>
            </w:pPr>
          </w:p>
        </w:tc>
      </w:tr>
      <w:tr>
        <w:trPr>
          <w:trHeight w:val="59"/>
        </w:trPr>
        <w:tc>
          <w:tcPr>
            <w:tcW w:w="1140" w:type="dxa"/>
            <w:vAlign w:val="bottom"/>
            <w:tcBorders>
              <w:left w:val="single" w:sz="8" w:color="828282"/>
              <w:right w:val="single" w:sz="8" w:color="828282"/>
            </w:tcBorders>
            <w:vMerge w:val="continue"/>
          </w:tcPr>
          <w:p>
            <w:pPr>
              <w:spacing w:after="0"/>
              <w:rPr>
                <w:sz w:val="5"/>
                <w:szCs w:val="5"/>
                <w:color w:val="auto"/>
              </w:rPr>
            </w:pPr>
          </w:p>
        </w:tc>
        <w:tc>
          <w:tcPr>
            <w:tcW w:w="1080" w:type="dxa"/>
            <w:vAlign w:val="bottom"/>
            <w:tcBorders>
              <w:right w:val="single" w:sz="8" w:color="828282"/>
            </w:tcBorders>
          </w:tcPr>
          <w:p>
            <w:pPr>
              <w:spacing w:after="0"/>
              <w:rPr>
                <w:sz w:val="5"/>
                <w:szCs w:val="5"/>
                <w:color w:val="auto"/>
              </w:rPr>
            </w:pPr>
          </w:p>
        </w:tc>
        <w:tc>
          <w:tcPr>
            <w:tcW w:w="1060" w:type="dxa"/>
            <w:vAlign w:val="bottom"/>
            <w:tcBorders>
              <w:right w:val="single" w:sz="8" w:color="828282"/>
            </w:tcBorders>
            <w:vMerge w:val="continue"/>
          </w:tcPr>
          <w:p>
            <w:pPr>
              <w:spacing w:after="0"/>
              <w:rPr>
                <w:sz w:val="5"/>
                <w:szCs w:val="5"/>
                <w:color w:val="auto"/>
              </w:rPr>
            </w:pPr>
          </w:p>
        </w:tc>
        <w:tc>
          <w:tcPr>
            <w:tcW w:w="1020" w:type="dxa"/>
            <w:vAlign w:val="bottom"/>
            <w:tcBorders>
              <w:right w:val="single" w:sz="8" w:color="828282"/>
            </w:tcBorders>
          </w:tcPr>
          <w:p>
            <w:pPr>
              <w:spacing w:after="0"/>
              <w:rPr>
                <w:sz w:val="5"/>
                <w:szCs w:val="5"/>
                <w:color w:val="auto"/>
              </w:rPr>
            </w:pPr>
          </w:p>
        </w:tc>
        <w:tc>
          <w:tcPr>
            <w:tcW w:w="1020" w:type="dxa"/>
            <w:vAlign w:val="bottom"/>
          </w:tcPr>
          <w:p>
            <w:pPr>
              <w:spacing w:after="0"/>
              <w:rPr>
                <w:sz w:val="5"/>
                <w:szCs w:val="5"/>
                <w:color w:val="auto"/>
              </w:rPr>
            </w:pPr>
          </w:p>
        </w:tc>
        <w:tc>
          <w:tcPr>
            <w:tcW w:w="20" w:type="dxa"/>
            <w:vAlign w:val="bottom"/>
            <w:shd w:val="clear" w:color="auto" w:fill="828282"/>
          </w:tcPr>
          <w:p>
            <w:pPr>
              <w:spacing w:after="0"/>
              <w:rPr>
                <w:sz w:val="5"/>
                <w:szCs w:val="5"/>
                <w:color w:val="auto"/>
              </w:rPr>
            </w:pPr>
          </w:p>
        </w:tc>
        <w:tc>
          <w:tcPr>
            <w:tcW w:w="0" w:type="dxa"/>
            <w:vAlign w:val="bottom"/>
          </w:tcPr>
          <w:p>
            <w:pPr>
              <w:spacing w:after="0"/>
              <w:rPr>
                <w:sz w:val="1"/>
                <w:szCs w:val="1"/>
                <w:color w:val="auto"/>
              </w:rPr>
            </w:pPr>
          </w:p>
        </w:tc>
      </w:tr>
      <w:tr>
        <w:trPr>
          <w:trHeight w:val="122"/>
        </w:trPr>
        <w:tc>
          <w:tcPr>
            <w:tcW w:w="1140" w:type="dxa"/>
            <w:vAlign w:val="bottom"/>
            <w:tcBorders>
              <w:left w:val="single" w:sz="8" w:color="828282"/>
              <w:right w:val="single" w:sz="8" w:color="828282"/>
            </w:tcBorders>
          </w:tcPr>
          <w:p>
            <w:pPr>
              <w:ind w:left="40"/>
              <w:spacing w:after="0" w:line="122" w:lineRule="exact"/>
              <w:rPr>
                <w:sz w:val="20"/>
                <w:szCs w:val="20"/>
                <w:color w:val="auto"/>
              </w:rPr>
            </w:pPr>
            <w:r>
              <w:rPr>
                <w:rFonts w:ascii="Arial" w:cs="Arial" w:eastAsia="Arial" w:hAnsi="Arial"/>
                <w:sz w:val="11"/>
                <w:szCs w:val="11"/>
                <w:color w:val="auto"/>
              </w:rPr>
              <w:t>accountant for the</w:t>
            </w:r>
          </w:p>
        </w:tc>
        <w:tc>
          <w:tcPr>
            <w:tcW w:w="1080" w:type="dxa"/>
            <w:vAlign w:val="bottom"/>
            <w:tcBorders>
              <w:right w:val="single" w:sz="8" w:color="828282"/>
            </w:tcBorders>
          </w:tcPr>
          <w:p>
            <w:pPr>
              <w:spacing w:after="0"/>
              <w:rPr>
                <w:sz w:val="10"/>
                <w:szCs w:val="10"/>
                <w:color w:val="auto"/>
              </w:rPr>
            </w:pPr>
          </w:p>
        </w:tc>
        <w:tc>
          <w:tcPr>
            <w:tcW w:w="1060" w:type="dxa"/>
            <w:vAlign w:val="bottom"/>
            <w:tcBorders>
              <w:right w:val="single" w:sz="8" w:color="828282"/>
            </w:tcBorders>
          </w:tcPr>
          <w:p>
            <w:pPr>
              <w:spacing w:after="0"/>
              <w:rPr>
                <w:sz w:val="10"/>
                <w:szCs w:val="10"/>
                <w:color w:val="auto"/>
              </w:rPr>
            </w:pPr>
          </w:p>
        </w:tc>
        <w:tc>
          <w:tcPr>
            <w:tcW w:w="1020" w:type="dxa"/>
            <w:vAlign w:val="bottom"/>
            <w:tcBorders>
              <w:right w:val="single" w:sz="8" w:color="828282"/>
            </w:tcBorders>
          </w:tcPr>
          <w:p>
            <w:pPr>
              <w:spacing w:after="0"/>
              <w:rPr>
                <w:sz w:val="10"/>
                <w:szCs w:val="10"/>
                <w:color w:val="auto"/>
              </w:rPr>
            </w:pPr>
          </w:p>
        </w:tc>
        <w:tc>
          <w:tcPr>
            <w:tcW w:w="1020" w:type="dxa"/>
            <w:vAlign w:val="bottom"/>
          </w:tcPr>
          <w:p>
            <w:pPr>
              <w:spacing w:after="0"/>
              <w:rPr>
                <w:sz w:val="10"/>
                <w:szCs w:val="10"/>
                <w:color w:val="auto"/>
              </w:rPr>
            </w:pPr>
          </w:p>
        </w:tc>
        <w:tc>
          <w:tcPr>
            <w:tcW w:w="20" w:type="dxa"/>
            <w:vAlign w:val="bottom"/>
            <w:shd w:val="clear" w:color="auto" w:fill="828282"/>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1140" w:type="dxa"/>
            <w:vAlign w:val="bottom"/>
            <w:tcBorders>
              <w:left w:val="single" w:sz="8" w:color="828282"/>
              <w:right w:val="single" w:sz="8" w:color="828282"/>
            </w:tcBorders>
          </w:tcPr>
          <w:p>
            <w:pPr>
              <w:ind w:left="40"/>
              <w:spacing w:after="0" w:line="122" w:lineRule="exact"/>
              <w:rPr>
                <w:sz w:val="20"/>
                <w:szCs w:val="20"/>
                <w:color w:val="auto"/>
              </w:rPr>
            </w:pPr>
            <w:r>
              <w:rPr>
                <w:rFonts w:ascii="Arial" w:cs="Arial" w:eastAsia="Arial" w:hAnsi="Arial"/>
                <w:sz w:val="11"/>
                <w:szCs w:val="11"/>
                <w:color w:val="auto"/>
              </w:rPr>
              <w:t>fiscal year ending</w:t>
            </w:r>
          </w:p>
        </w:tc>
        <w:tc>
          <w:tcPr>
            <w:tcW w:w="1080" w:type="dxa"/>
            <w:vAlign w:val="bottom"/>
            <w:tcBorders>
              <w:right w:val="single" w:sz="8" w:color="828282"/>
            </w:tcBorders>
          </w:tcPr>
          <w:p>
            <w:pPr>
              <w:spacing w:after="0"/>
              <w:rPr>
                <w:sz w:val="10"/>
                <w:szCs w:val="10"/>
                <w:color w:val="auto"/>
              </w:rPr>
            </w:pPr>
          </w:p>
        </w:tc>
        <w:tc>
          <w:tcPr>
            <w:tcW w:w="1060" w:type="dxa"/>
            <w:vAlign w:val="bottom"/>
            <w:tcBorders>
              <w:right w:val="single" w:sz="8" w:color="828282"/>
            </w:tcBorders>
          </w:tcPr>
          <w:p>
            <w:pPr>
              <w:spacing w:after="0"/>
              <w:rPr>
                <w:sz w:val="10"/>
                <w:szCs w:val="10"/>
                <w:color w:val="auto"/>
              </w:rPr>
            </w:pPr>
          </w:p>
        </w:tc>
        <w:tc>
          <w:tcPr>
            <w:tcW w:w="1020" w:type="dxa"/>
            <w:vAlign w:val="bottom"/>
            <w:tcBorders>
              <w:right w:val="single" w:sz="8" w:color="828282"/>
            </w:tcBorders>
          </w:tcPr>
          <w:p>
            <w:pPr>
              <w:spacing w:after="0"/>
              <w:rPr>
                <w:sz w:val="10"/>
                <w:szCs w:val="10"/>
                <w:color w:val="auto"/>
              </w:rPr>
            </w:pPr>
          </w:p>
        </w:tc>
        <w:tc>
          <w:tcPr>
            <w:tcW w:w="1020" w:type="dxa"/>
            <w:vAlign w:val="bottom"/>
          </w:tcPr>
          <w:p>
            <w:pPr>
              <w:spacing w:after="0"/>
              <w:rPr>
                <w:sz w:val="10"/>
                <w:szCs w:val="10"/>
                <w:color w:val="auto"/>
              </w:rPr>
            </w:pPr>
          </w:p>
        </w:tc>
        <w:tc>
          <w:tcPr>
            <w:tcW w:w="20" w:type="dxa"/>
            <w:vAlign w:val="bottom"/>
            <w:shd w:val="clear" w:color="auto" w:fill="828282"/>
          </w:tcPr>
          <w:p>
            <w:pPr>
              <w:spacing w:after="0"/>
              <w:rPr>
                <w:sz w:val="10"/>
                <w:szCs w:val="10"/>
                <w:color w:val="auto"/>
              </w:rPr>
            </w:pPr>
          </w:p>
        </w:tc>
        <w:tc>
          <w:tcPr>
            <w:tcW w:w="0" w:type="dxa"/>
            <w:vAlign w:val="bottom"/>
          </w:tcPr>
          <w:p>
            <w:pPr>
              <w:spacing w:after="0"/>
              <w:rPr>
                <w:sz w:val="1"/>
                <w:szCs w:val="1"/>
                <w:color w:val="auto"/>
              </w:rPr>
            </w:pPr>
          </w:p>
        </w:tc>
      </w:tr>
      <w:tr>
        <w:trPr>
          <w:trHeight w:val="130"/>
        </w:trPr>
        <w:tc>
          <w:tcPr>
            <w:tcW w:w="1140" w:type="dxa"/>
            <w:vAlign w:val="bottom"/>
            <w:tcBorders>
              <w:left w:val="single" w:sz="8" w:color="828282"/>
              <w:right w:val="single" w:sz="8" w:color="828282"/>
            </w:tcBorders>
          </w:tcPr>
          <w:p>
            <w:pPr>
              <w:ind w:left="40"/>
              <w:spacing w:after="0"/>
              <w:rPr>
                <w:sz w:val="20"/>
                <w:szCs w:val="20"/>
                <w:color w:val="auto"/>
              </w:rPr>
            </w:pPr>
            <w:r>
              <w:rPr>
                <w:rFonts w:ascii="Arial" w:cs="Arial" w:eastAsia="Arial" w:hAnsi="Arial"/>
                <w:sz w:val="11"/>
                <w:szCs w:val="11"/>
                <w:color w:val="auto"/>
              </w:rPr>
              <w:t>August 31, 2019</w:t>
            </w:r>
          </w:p>
        </w:tc>
        <w:tc>
          <w:tcPr>
            <w:tcW w:w="1080" w:type="dxa"/>
            <w:vAlign w:val="bottom"/>
            <w:tcBorders>
              <w:right w:val="single" w:sz="8" w:color="828282"/>
            </w:tcBorders>
          </w:tcPr>
          <w:p>
            <w:pPr>
              <w:spacing w:after="0"/>
              <w:rPr>
                <w:sz w:val="11"/>
                <w:szCs w:val="11"/>
                <w:color w:val="auto"/>
              </w:rPr>
            </w:pPr>
          </w:p>
        </w:tc>
        <w:tc>
          <w:tcPr>
            <w:tcW w:w="1060" w:type="dxa"/>
            <w:vAlign w:val="bottom"/>
            <w:tcBorders>
              <w:right w:val="single" w:sz="8" w:color="828282"/>
            </w:tcBorders>
          </w:tcPr>
          <w:p>
            <w:pPr>
              <w:spacing w:after="0"/>
              <w:rPr>
                <w:sz w:val="11"/>
                <w:szCs w:val="11"/>
                <w:color w:val="auto"/>
              </w:rPr>
            </w:pPr>
          </w:p>
        </w:tc>
        <w:tc>
          <w:tcPr>
            <w:tcW w:w="1020" w:type="dxa"/>
            <w:vAlign w:val="bottom"/>
            <w:tcBorders>
              <w:right w:val="single" w:sz="8" w:color="828282"/>
            </w:tcBorders>
          </w:tcPr>
          <w:p>
            <w:pPr>
              <w:spacing w:after="0"/>
              <w:rPr>
                <w:sz w:val="11"/>
                <w:szCs w:val="11"/>
                <w:color w:val="auto"/>
              </w:rPr>
            </w:pPr>
          </w:p>
        </w:tc>
        <w:tc>
          <w:tcPr>
            <w:tcW w:w="1020" w:type="dxa"/>
            <w:vAlign w:val="bottom"/>
          </w:tcPr>
          <w:p>
            <w:pPr>
              <w:spacing w:after="0"/>
              <w:rPr>
                <w:sz w:val="11"/>
                <w:szCs w:val="11"/>
                <w:color w:val="auto"/>
              </w:rPr>
            </w:pPr>
          </w:p>
        </w:tc>
        <w:tc>
          <w:tcPr>
            <w:tcW w:w="20" w:type="dxa"/>
            <w:vAlign w:val="bottom"/>
            <w:shd w:val="clear" w:color="auto" w:fill="828282"/>
          </w:tcPr>
          <w:p>
            <w:pPr>
              <w:spacing w:after="0"/>
              <w:rPr>
                <w:sz w:val="11"/>
                <w:szCs w:val="11"/>
                <w:color w:val="auto"/>
              </w:rPr>
            </w:pPr>
          </w:p>
        </w:tc>
        <w:tc>
          <w:tcPr>
            <w:tcW w:w="0" w:type="dxa"/>
            <w:vAlign w:val="bottom"/>
          </w:tcPr>
          <w:p>
            <w:pPr>
              <w:spacing w:after="0"/>
              <w:rPr>
                <w:sz w:val="1"/>
                <w:szCs w:val="1"/>
                <w:color w:val="auto"/>
              </w:rPr>
            </w:pPr>
          </w:p>
        </w:tc>
      </w:tr>
      <w:tr>
        <w:trPr>
          <w:trHeight w:val="22"/>
        </w:trPr>
        <w:tc>
          <w:tcPr>
            <w:tcW w:w="1140" w:type="dxa"/>
            <w:vAlign w:val="bottom"/>
            <w:tcBorders>
              <w:left w:val="single" w:sz="8" w:color="828282"/>
              <w:bottom w:val="single" w:sz="8" w:color="828282"/>
              <w:right w:val="single" w:sz="8" w:color="828282"/>
            </w:tcBorders>
          </w:tcPr>
          <w:p>
            <w:pPr>
              <w:spacing w:after="0" w:line="20" w:lineRule="exact"/>
              <w:rPr>
                <w:sz w:val="1"/>
                <w:szCs w:val="1"/>
                <w:color w:val="auto"/>
              </w:rPr>
            </w:pPr>
          </w:p>
        </w:tc>
        <w:tc>
          <w:tcPr>
            <w:tcW w:w="1080" w:type="dxa"/>
            <w:vAlign w:val="bottom"/>
            <w:tcBorders>
              <w:bottom w:val="single" w:sz="8" w:color="828282"/>
              <w:right w:val="single" w:sz="8" w:color="828282"/>
            </w:tcBorders>
          </w:tcPr>
          <w:p>
            <w:pPr>
              <w:spacing w:after="0" w:line="20" w:lineRule="exact"/>
              <w:rPr>
                <w:sz w:val="1"/>
                <w:szCs w:val="1"/>
                <w:color w:val="auto"/>
              </w:rPr>
            </w:pPr>
          </w:p>
        </w:tc>
        <w:tc>
          <w:tcPr>
            <w:tcW w:w="1060" w:type="dxa"/>
            <w:vAlign w:val="bottom"/>
            <w:tcBorders>
              <w:bottom w:val="single" w:sz="8" w:color="828282"/>
              <w:right w:val="single" w:sz="8" w:color="828282"/>
            </w:tcBorders>
          </w:tcPr>
          <w:p>
            <w:pPr>
              <w:spacing w:after="0" w:line="20" w:lineRule="exact"/>
              <w:rPr>
                <w:sz w:val="1"/>
                <w:szCs w:val="1"/>
                <w:color w:val="auto"/>
              </w:rPr>
            </w:pPr>
          </w:p>
        </w:tc>
        <w:tc>
          <w:tcPr>
            <w:tcW w:w="1020" w:type="dxa"/>
            <w:vAlign w:val="bottom"/>
            <w:tcBorders>
              <w:bottom w:val="single" w:sz="8" w:color="828282"/>
              <w:right w:val="single" w:sz="8" w:color="828282"/>
            </w:tcBorders>
          </w:tcPr>
          <w:p>
            <w:pPr>
              <w:spacing w:after="0" w:line="20" w:lineRule="exact"/>
              <w:rPr>
                <w:sz w:val="1"/>
                <w:szCs w:val="1"/>
                <w:color w:val="auto"/>
              </w:rPr>
            </w:pPr>
          </w:p>
        </w:tc>
        <w:tc>
          <w:tcPr>
            <w:tcW w:w="1020" w:type="dxa"/>
            <w:vAlign w:val="bottom"/>
            <w:tcBorders>
              <w:bottom w:val="single" w:sz="8" w:color="828282"/>
            </w:tcBorders>
          </w:tcPr>
          <w:p>
            <w:pPr>
              <w:spacing w:after="0" w:line="20" w:lineRule="exact"/>
              <w:rPr>
                <w:sz w:val="1"/>
                <w:szCs w:val="1"/>
                <w:color w:val="auto"/>
              </w:rPr>
            </w:pPr>
          </w:p>
        </w:tc>
        <w:tc>
          <w:tcPr>
            <w:tcW w:w="20" w:type="dxa"/>
            <w:vAlign w:val="bottom"/>
            <w:tcBorders>
              <w:bottom w:val="single" w:sz="8" w:color="828282"/>
            </w:tcBorders>
            <w:shd w:val="clear" w:color="auto" w:fill="828282"/>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56" w:lineRule="exact"/>
        <w:rPr>
          <w:sz w:val="20"/>
          <w:szCs w:val="20"/>
          <w:color w:val="auto"/>
        </w:rPr>
      </w:pPr>
    </w:p>
    <w:p>
      <w:pPr>
        <w:ind w:left="160" w:right="300" w:firstLine="8"/>
        <w:spacing w:after="0" w:line="238" w:lineRule="auto"/>
        <w:tabs>
          <w:tab w:leader="none" w:pos="349" w:val="left"/>
        </w:tabs>
        <w:numPr>
          <w:ilvl w:val="0"/>
          <w:numId w:val="5"/>
        </w:numPr>
        <w:rPr>
          <w:rFonts w:ascii="Arial" w:cs="Arial" w:eastAsia="Arial" w:hAnsi="Arial"/>
          <w:sz w:val="13"/>
          <w:szCs w:val="13"/>
          <w:color w:val="auto"/>
        </w:rPr>
      </w:pPr>
      <w:r>
        <w:rPr>
          <w:rFonts w:ascii="Arial" w:cs="Arial" w:eastAsia="Arial" w:hAnsi="Arial"/>
          <w:sz w:val="13"/>
          <w:szCs w:val="13"/>
          <w:color w:val="auto"/>
        </w:rPr>
        <w:t>A withhold vote or abstention will have no impact on the outcome of the voting on any of the proposals.</w:t>
      </w:r>
    </w:p>
    <w:p>
      <w:pPr>
        <w:ind w:left="160" w:right="360" w:firstLine="8"/>
        <w:spacing w:after="0" w:line="238" w:lineRule="auto"/>
        <w:tabs>
          <w:tab w:leader="none" w:pos="349" w:val="left"/>
        </w:tabs>
        <w:numPr>
          <w:ilvl w:val="0"/>
          <w:numId w:val="5"/>
        </w:numPr>
        <w:rPr>
          <w:rFonts w:ascii="Arial" w:cs="Arial" w:eastAsia="Arial" w:hAnsi="Arial"/>
          <w:sz w:val="13"/>
          <w:szCs w:val="13"/>
          <w:color w:val="auto"/>
        </w:rPr>
      </w:pPr>
      <w:r>
        <w:rPr>
          <w:rFonts w:ascii="Arial" w:cs="Arial" w:eastAsia="Arial" w:hAnsi="Arial"/>
          <w:sz w:val="13"/>
          <w:szCs w:val="13"/>
          <w:color w:val="auto"/>
        </w:rPr>
        <w:t>If you submit a proxy without giving specific voting instructions, your shares will be voted in accordance with the Board's recommendations set forth above.</w:t>
      </w:r>
    </w:p>
    <w:p>
      <w:pPr>
        <w:ind w:left="160" w:right="100" w:firstLine="8"/>
        <w:spacing w:after="0" w:line="238" w:lineRule="auto"/>
        <w:tabs>
          <w:tab w:leader="none" w:pos="349" w:val="left"/>
        </w:tabs>
        <w:numPr>
          <w:ilvl w:val="0"/>
          <w:numId w:val="5"/>
        </w:numPr>
        <w:rPr>
          <w:rFonts w:ascii="Arial" w:cs="Arial" w:eastAsia="Arial" w:hAnsi="Arial"/>
          <w:sz w:val="13"/>
          <w:szCs w:val="13"/>
          <w:color w:val="auto"/>
        </w:rPr>
      </w:pPr>
      <w:r>
        <w:rPr>
          <w:rFonts w:ascii="Arial" w:cs="Arial" w:eastAsia="Arial" w:hAnsi="Arial"/>
          <w:sz w:val="13"/>
          <w:szCs w:val="13"/>
          <w:color w:val="auto"/>
        </w:rPr>
        <w:t>If broker discretionary voting is not allowed, your broker will not be able to vote your shares on these matters unless your broker receives voting instructions from you. A broker non-vote will have no effect on the outcome of the voting on any of the proposals.</w:t>
      </w:r>
    </w:p>
    <w:p>
      <w:pPr>
        <w:ind w:left="160" w:right="80" w:firstLine="8"/>
        <w:spacing w:after="0"/>
        <w:tabs>
          <w:tab w:leader="none" w:pos="349" w:val="left"/>
        </w:tabs>
        <w:numPr>
          <w:ilvl w:val="0"/>
          <w:numId w:val="5"/>
        </w:numPr>
        <w:rPr>
          <w:rFonts w:ascii="Arial" w:cs="Arial" w:eastAsia="Arial" w:hAnsi="Arial"/>
          <w:sz w:val="13"/>
          <w:szCs w:val="13"/>
          <w:color w:val="auto"/>
        </w:rPr>
      </w:pPr>
      <w:r>
        <w:rPr>
          <w:rFonts w:ascii="Arial" w:cs="Arial" w:eastAsia="Arial" w:hAnsi="Arial"/>
          <w:sz w:val="13"/>
          <w:szCs w:val="13"/>
          <w:color w:val="auto"/>
        </w:rPr>
        <w:t>The Board of Directors has adopted a majority voting policy for the election of directors in uncontested elections. Under this policy, in any uncontested election of directors of the Company, if any nominee receives less than a majority of the</w:t>
      </w:r>
    </w:p>
    <w:p>
      <w:pPr>
        <w:spacing w:after="0" w:line="200" w:lineRule="exact"/>
        <w:rPr>
          <w:sz w:val="20"/>
          <w:szCs w:val="20"/>
          <w:color w:val="auto"/>
        </w:rPr>
      </w:pPr>
    </w:p>
    <w:p>
      <w:pPr>
        <w:spacing w:after="0" w:line="224" w:lineRule="exact"/>
        <w:rPr>
          <w:sz w:val="20"/>
          <w:szCs w:val="20"/>
          <w:color w:val="auto"/>
        </w:rPr>
      </w:pPr>
    </w:p>
    <w:p>
      <w:pPr>
        <w:spacing w:after="0"/>
        <w:rPr>
          <w:sz w:val="20"/>
          <w:szCs w:val="20"/>
          <w:color w:val="auto"/>
        </w:rPr>
      </w:pPr>
      <w:r>
        <w:rPr>
          <w:rFonts w:ascii="Arial" w:cs="Arial" w:eastAsia="Arial" w:hAnsi="Arial"/>
          <w:sz w:val="16"/>
          <w:szCs w:val="16"/>
          <w:color w:val="auto"/>
        </w:rPr>
        <w:t>1</w:t>
      </w:r>
    </w:p>
    <w:p>
      <w:pPr>
        <w:sectPr>
          <w:pgSz w:w="11900" w:h="16838" w:orient="portrait"/>
          <w:cols w:equalWidth="0" w:num="2">
            <w:col w:w="5580" w:space="80"/>
            <w:col w:w="5760"/>
          </w:cols>
          <w:pgMar w:left="240" w:top="303" w:right="239" w:bottom="1440" w:gutter="0" w:footer="0" w:header="0"/>
          <w:type w:val="continuous"/>
        </w:sectPr>
      </w:pPr>
    </w:p>
    <w:bookmarkStart w:id="5" w:name="page6"/>
    <w:bookmarkEnd w:id="5"/>
    <w:p>
      <w:pPr>
        <w:ind w:left="40"/>
        <w:spacing w:after="0"/>
        <w:rPr>
          <w:rFonts w:ascii="Arial" w:cs="Arial" w:eastAsia="Arial" w:hAnsi="Arial"/>
          <w:sz w:val="15"/>
          <w:szCs w:val="15"/>
          <w:u w:val="single" w:color="auto"/>
          <w:color w:val="0000EE"/>
        </w:rPr>
      </w:pPr>
      <w:r>
        <w:rPr>
          <w:rFonts w:ascii="Arial" w:cs="Arial" w:eastAsia="Arial" w:hAnsi="Arial"/>
          <w:sz w:val="15"/>
          <w:szCs w:val="15"/>
          <w:u w:val="single" w:color="auto"/>
          <w:color w:val="0000EE"/>
        </w:rPr>
        <w:drawing>
          <wp:anchor simplePos="0" relativeHeight="251657728" behindDoc="1" locked="0" layoutInCell="0" allowOverlap="1">
            <wp:simplePos x="0" y="0"/>
            <wp:positionH relativeFrom="page">
              <wp:posOffset>5946140</wp:posOffset>
            </wp:positionH>
            <wp:positionV relativeFrom="page">
              <wp:posOffset>191770</wp:posOffset>
            </wp:positionV>
            <wp:extent cx="1440815" cy="20574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clrChange>
                        <a:clrFrom>
                          <a:srgbClr val="FFFFFF"/>
                        </a:clrFrom>
                        <a:clrTo>
                          <a:srgbClr val="FFFFFF">
                            <a:alpha val="0"/>
                          </a:srgbClr>
                        </a:clrTo>
                      </a:clrChange>
                      <a:extLst>
                        <a:ext uri="{28A0092B-C50C-407E-A947-70E740481C1C}"/>
                      </a:extLst>
                    </a:blip>
                    <a:srcRect/>
                    <a:stretch>
                      <a:fillRect/>
                    </a:stretch>
                  </pic:blipFill>
                  <pic:spPr bwMode="auto">
                    <a:xfrm>
                      <a:off x="0" y="0"/>
                      <a:ext cx="1440815" cy="205740"/>
                    </a:xfrm>
                    <a:prstGeom prst="rect">
                      <a:avLst/>
                    </a:prstGeom>
                    <a:noFill/>
                  </pic:spPr>
                </pic:pic>
              </a:graphicData>
            </a:graphic>
          </wp:anchor>
        </w:drawing>
      </w:r>
      <w:hyperlink w:anchor="page4">
        <w:r>
          <w:rPr>
            <w:rFonts w:ascii="Arial" w:cs="Arial" w:eastAsia="Arial" w:hAnsi="Arial"/>
            <w:sz w:val="15"/>
            <w:szCs w:val="15"/>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112395</wp:posOffset>
            </wp:positionV>
            <wp:extent cx="724662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303" w:right="239" w:bottom="1440" w:gutter="0" w:footer="0" w:header="0"/>
        </w:sectPr>
      </w:pPr>
    </w:p>
    <w:p>
      <w:pPr>
        <w:spacing w:after="0" w:line="200" w:lineRule="exact"/>
        <w:rPr>
          <w:sz w:val="20"/>
          <w:szCs w:val="20"/>
          <w:color w:val="auto"/>
        </w:rPr>
      </w:pPr>
    </w:p>
    <w:p>
      <w:pPr>
        <w:spacing w:after="0" w:line="227" w:lineRule="exact"/>
        <w:rPr>
          <w:sz w:val="20"/>
          <w:szCs w:val="20"/>
          <w:color w:val="auto"/>
        </w:rPr>
      </w:pPr>
    </w:p>
    <w:p>
      <w:pPr>
        <w:ind w:right="80"/>
        <w:spacing w:after="0" w:line="238" w:lineRule="auto"/>
        <w:rPr>
          <w:sz w:val="20"/>
          <w:szCs w:val="20"/>
          <w:color w:val="auto"/>
        </w:rPr>
      </w:pPr>
      <w:r>
        <w:rPr>
          <w:rFonts w:ascii="Arial" w:cs="Arial" w:eastAsia="Arial" w:hAnsi="Arial"/>
          <w:sz w:val="13"/>
          <w:szCs w:val="13"/>
          <w:color w:val="auto"/>
        </w:rPr>
        <w:t>votes cast for the nominee, that nominee shall still be elected, but must tender their resignation to the full Board of Directors for consideration at the next regularly scheduled meeting of the Board of Directors. The Board of Directors shall only not accept the tendered resignation for, in their judgment, a compelling reason.</w:t>
      </w:r>
    </w:p>
    <w:p>
      <w:pPr>
        <w:spacing w:after="0" w:line="1" w:lineRule="exact"/>
        <w:rPr>
          <w:sz w:val="20"/>
          <w:szCs w:val="20"/>
          <w:color w:val="auto"/>
        </w:rPr>
      </w:pPr>
    </w:p>
    <w:p>
      <w:pPr>
        <w:jc w:val="both"/>
        <w:ind w:right="60" w:firstLine="8"/>
        <w:spacing w:after="0"/>
        <w:tabs>
          <w:tab w:leader="none" w:pos="189" w:val="left"/>
        </w:tabs>
        <w:numPr>
          <w:ilvl w:val="0"/>
          <w:numId w:val="6"/>
        </w:numPr>
        <w:rPr>
          <w:rFonts w:ascii="Arial" w:cs="Arial" w:eastAsia="Arial" w:hAnsi="Arial"/>
          <w:sz w:val="13"/>
          <w:szCs w:val="13"/>
          <w:color w:val="auto"/>
        </w:rPr>
      </w:pPr>
      <w:r>
        <w:rPr>
          <w:rFonts w:ascii="Arial" w:cs="Arial" w:eastAsia="Arial" w:hAnsi="Arial"/>
          <w:sz w:val="13"/>
          <w:szCs w:val="13"/>
          <w:color w:val="auto"/>
        </w:rPr>
        <w:t>The vote of shareholders on this proposal is not binding on the Company, but rather is advisory in nature; however, the Board of Directors intends to carefully consider the result of the vote on this proposal.</w:t>
      </w:r>
    </w:p>
    <w:p>
      <w:pPr>
        <w:spacing w:after="0" w:line="113" w:lineRule="exact"/>
        <w:rPr>
          <w:sz w:val="20"/>
          <w:szCs w:val="20"/>
          <w:color w:val="auto"/>
        </w:rPr>
      </w:pPr>
    </w:p>
    <w:p>
      <w:pPr>
        <w:ind w:right="40"/>
        <w:spacing w:after="0" w:line="248" w:lineRule="auto"/>
        <w:rPr>
          <w:sz w:val="20"/>
          <w:szCs w:val="20"/>
          <w:color w:val="auto"/>
        </w:rPr>
      </w:pPr>
      <w:r>
        <w:rPr>
          <w:rFonts w:ascii="Arial" w:cs="Arial" w:eastAsia="Arial" w:hAnsi="Arial"/>
          <w:sz w:val="16"/>
          <w:szCs w:val="16"/>
          <w:color w:val="auto"/>
        </w:rPr>
        <w:t>Before the Meeting, you can appoint a proxy to vote your shares of Common Stock by following the instructions as set forth in the Notice of Internet Availability of Proxy Materials. If, by request, you have received a printed copy of our proxy materials, you can appoint a proxy to vote your shares of Common Stock (i) by using the Internet (www.proxyvote.com), (ii) by calling the toll-free telephone number (1-800-690-6903) or (iii) you may indicate your vote by completing, signing and dating the proxy card where indicated and returning the card to Vote Processing, c/o Broadridge, 51 Mercedes Way, Edgewood, NY 11717 by 11:59 p.m. Eastern Standard Time on December 10, 2018.</w:t>
      </w:r>
    </w:p>
    <w:p>
      <w:pPr>
        <w:spacing w:after="0" w:line="98" w:lineRule="exact"/>
        <w:rPr>
          <w:sz w:val="20"/>
          <w:szCs w:val="20"/>
          <w:color w:val="auto"/>
        </w:rPr>
      </w:pPr>
    </w:p>
    <w:p>
      <w:pPr>
        <w:spacing w:after="0" w:line="253" w:lineRule="auto"/>
        <w:rPr>
          <w:sz w:val="20"/>
          <w:szCs w:val="20"/>
          <w:color w:val="auto"/>
        </w:rPr>
      </w:pPr>
      <w:r>
        <w:rPr>
          <w:rFonts w:ascii="Arial" w:cs="Arial" w:eastAsia="Arial" w:hAnsi="Arial"/>
          <w:sz w:val="16"/>
          <w:szCs w:val="16"/>
          <w:color w:val="auto"/>
        </w:rPr>
        <w:t>If a proxy card is executed and returned, it may nevertheless be revoked at any time in accordance with the following instructions. A person may revoke a proxy electronically 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165735</wp:posOffset>
            </wp:positionV>
            <wp:extent cx="3575685"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3575685" cy="425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23" w:lineRule="exact"/>
        <w:rPr>
          <w:sz w:val="20"/>
          <w:szCs w:val="20"/>
          <w:color w:val="auto"/>
        </w:rPr>
      </w:pPr>
    </w:p>
    <w:p>
      <w:pPr>
        <w:ind w:right="60"/>
        <w:spacing w:after="0" w:line="247" w:lineRule="auto"/>
        <w:rPr>
          <w:sz w:val="20"/>
          <w:szCs w:val="20"/>
          <w:color w:val="auto"/>
        </w:rPr>
      </w:pPr>
      <w:r>
        <w:rPr>
          <w:rFonts w:ascii="Arial" w:cs="Arial" w:eastAsia="Arial" w:hAnsi="Arial"/>
          <w:sz w:val="16"/>
          <w:szCs w:val="16"/>
          <w:color w:val="auto"/>
        </w:rPr>
        <w:t>entering a new vote via the Internet or by telephone or a proxy may be revoked by (i) giving written notice to the Secretary of the Company (the “Secretary”), (ii) subsequently granting a later-dated proxy, (iii) attending the Meeting and voting virtually or (iv) executing a proxy designating another person to represent you at the Meeting and voting by your representative at the Meeting. Unless revoked, the shares represented by validly executed proxies will be voted at the Meeting in accordance with the instructions indicated thereon. To revoke a proxy by telephone or the Internet, you must do so by 12:00 p.m. Central Standard Time on December 10, 2018 (following the directions on the instructions as set forth in the Notice of Internet Availability of Proxy Materials or in the printed proxy materials received by request). Attendance at the Annual Meeting will not cause your previously granted proxy to be revoked unless you specifically so request. If the Meeting is adjourned for any reason, the proxies can vote your Common Stock on the new Meeting date as well, unless you have revoked your proxy instructions.</w:t>
      </w:r>
    </w:p>
    <w:p>
      <w:pPr>
        <w:spacing w:after="0" w:line="980" w:lineRule="exact"/>
        <w:rPr>
          <w:sz w:val="20"/>
          <w:szCs w:val="20"/>
          <w:color w:val="auto"/>
        </w:rPr>
      </w:pPr>
    </w:p>
    <w:p>
      <w:pPr>
        <w:sectPr>
          <w:pgSz w:w="11900" w:h="16838" w:orient="portrait"/>
          <w:cols w:equalWidth="0" w:num="2">
            <w:col w:w="5580" w:space="240"/>
            <w:col w:w="5600"/>
          </w:cols>
          <w:pgMar w:left="240" w:top="303" w:right="239" w:bottom="1440" w:gutter="0" w:footer="0" w:header="0"/>
          <w:type w:val="continuous"/>
        </w:sectPr>
      </w:pPr>
    </w:p>
    <w:p>
      <w:pPr>
        <w:spacing w:after="0" w:line="365" w:lineRule="exact"/>
        <w:rPr>
          <w:sz w:val="20"/>
          <w:szCs w:val="20"/>
          <w:color w:val="auto"/>
        </w:rPr>
      </w:pPr>
    </w:p>
    <w:p>
      <w:pPr>
        <w:spacing w:after="0"/>
        <w:rPr>
          <w:sz w:val="20"/>
          <w:szCs w:val="20"/>
          <w:color w:val="auto"/>
        </w:rPr>
      </w:pPr>
      <w:r>
        <w:rPr>
          <w:rFonts w:ascii="Arial" w:cs="Arial" w:eastAsia="Arial" w:hAnsi="Arial"/>
          <w:sz w:val="29"/>
          <w:szCs w:val="29"/>
          <w:b w:val="1"/>
          <w:bCs w:val="1"/>
          <w:color w:val="BF2115"/>
        </w:rPr>
        <w:t>Voting Securities and Principal Holders Thereof</w:t>
      </w:r>
    </w:p>
    <w:p>
      <w:pPr>
        <w:spacing w:after="0" w:line="200" w:lineRule="exact"/>
        <w:rPr>
          <w:sz w:val="20"/>
          <w:szCs w:val="20"/>
          <w:color w:val="auto"/>
        </w:rPr>
      </w:pPr>
    </w:p>
    <w:p>
      <w:pPr>
        <w:spacing w:after="0" w:line="224" w:lineRule="exact"/>
        <w:rPr>
          <w:sz w:val="20"/>
          <w:szCs w:val="20"/>
          <w:color w:val="auto"/>
        </w:rPr>
      </w:pPr>
    </w:p>
    <w:p>
      <w:pPr>
        <w:ind w:right="80"/>
        <w:spacing w:after="0" w:line="253" w:lineRule="auto"/>
        <w:rPr>
          <w:sz w:val="20"/>
          <w:szCs w:val="20"/>
          <w:color w:val="auto"/>
        </w:rPr>
      </w:pPr>
      <w:r>
        <w:rPr>
          <w:rFonts w:ascii="Arial" w:cs="Arial" w:eastAsia="Arial" w:hAnsi="Arial"/>
          <w:sz w:val="16"/>
          <w:szCs w:val="16"/>
          <w:color w:val="auto"/>
        </w:rPr>
        <w:t>The following table contains information with respect to the ownership of Common Stock by each person known to us who is the beneficial owner of more than 5% of the outstanding Common Stock. This information is based on ownership reported as of October 16, 2018 according to SEC filings of the beneficial owners listed below unless more recent information was appropriate to be used.</w:t>
      </w:r>
    </w:p>
    <w:p>
      <w:pPr>
        <w:spacing w:after="0" w:line="119" w:lineRule="exact"/>
        <w:rPr>
          <w:sz w:val="20"/>
          <w:szCs w:val="20"/>
          <w:color w:val="auto"/>
        </w:rPr>
      </w:pPr>
    </w:p>
    <w:tbl>
      <w:tblPr>
        <w:tblLayout w:type="fixed"/>
        <w:tblInd w:w="0" w:type="dxa"/>
        <w:tblCellMar>
          <w:top w:w="0" w:type="dxa"/>
          <w:left w:w="0" w:type="dxa"/>
          <w:bottom w:w="0" w:type="dxa"/>
          <w:right w:w="0" w:type="dxa"/>
        </w:tblCellMar>
      </w:tblPr>
      <w:tr>
        <w:trPr>
          <w:trHeight w:val="198"/>
        </w:trPr>
        <w:tc>
          <w:tcPr>
            <w:tcW w:w="5140" w:type="dxa"/>
            <w:vAlign w:val="bottom"/>
            <w:shd w:val="clear" w:color="auto" w:fill="BF2115"/>
          </w:tcPr>
          <w:p>
            <w:pPr>
              <w:spacing w:after="0"/>
              <w:rPr>
                <w:sz w:val="17"/>
                <w:szCs w:val="17"/>
                <w:color w:val="auto"/>
              </w:rPr>
            </w:pPr>
          </w:p>
        </w:tc>
        <w:tc>
          <w:tcPr>
            <w:tcW w:w="3900" w:type="dxa"/>
            <w:vAlign w:val="bottom"/>
            <w:shd w:val="clear" w:color="auto" w:fill="BF2115"/>
          </w:tcPr>
          <w:p>
            <w:pPr>
              <w:spacing w:after="0"/>
              <w:rPr>
                <w:sz w:val="17"/>
                <w:szCs w:val="17"/>
                <w:color w:val="auto"/>
              </w:rPr>
            </w:pPr>
          </w:p>
        </w:tc>
        <w:tc>
          <w:tcPr>
            <w:tcW w:w="760" w:type="dxa"/>
            <w:vAlign w:val="bottom"/>
            <w:shd w:val="clear" w:color="auto" w:fill="BF2115"/>
          </w:tcPr>
          <w:p>
            <w:pPr>
              <w:spacing w:after="0"/>
              <w:rPr>
                <w:sz w:val="17"/>
                <w:szCs w:val="17"/>
                <w:color w:val="auto"/>
              </w:rPr>
            </w:pPr>
          </w:p>
        </w:tc>
        <w:tc>
          <w:tcPr>
            <w:tcW w:w="1620" w:type="dxa"/>
            <w:vAlign w:val="bottom"/>
            <w:shd w:val="clear" w:color="auto" w:fill="BF2115"/>
          </w:tcPr>
          <w:p>
            <w:pPr>
              <w:jc w:val="center"/>
              <w:spacing w:after="0"/>
              <w:rPr>
                <w:sz w:val="20"/>
                <w:szCs w:val="20"/>
                <w:color w:val="auto"/>
              </w:rPr>
            </w:pPr>
            <w:r>
              <w:rPr>
                <w:rFonts w:ascii="Arial" w:cs="Arial" w:eastAsia="Arial" w:hAnsi="Arial"/>
                <w:sz w:val="16"/>
                <w:szCs w:val="16"/>
                <w:b w:val="1"/>
                <w:bCs w:val="1"/>
                <w:color w:val="FFFFFF"/>
              </w:rPr>
              <w:t>% of</w:t>
            </w:r>
          </w:p>
        </w:tc>
        <w:tc>
          <w:tcPr>
            <w:tcW w:w="0" w:type="dxa"/>
            <w:vAlign w:val="bottom"/>
          </w:tcPr>
          <w:p>
            <w:pPr>
              <w:spacing w:after="0"/>
              <w:rPr>
                <w:sz w:val="1"/>
                <w:szCs w:val="1"/>
                <w:color w:val="auto"/>
              </w:rPr>
            </w:pPr>
          </w:p>
        </w:tc>
      </w:tr>
      <w:tr>
        <w:trPr>
          <w:trHeight w:val="189"/>
        </w:trPr>
        <w:tc>
          <w:tcPr>
            <w:tcW w:w="5140" w:type="dxa"/>
            <w:vAlign w:val="bottom"/>
            <w:shd w:val="clear" w:color="auto" w:fill="BF2115"/>
          </w:tcPr>
          <w:p>
            <w:pPr>
              <w:ind w:left="40"/>
              <w:spacing w:after="0"/>
              <w:rPr>
                <w:sz w:val="20"/>
                <w:szCs w:val="20"/>
                <w:color w:val="auto"/>
              </w:rPr>
            </w:pPr>
            <w:r>
              <w:rPr>
                <w:rFonts w:ascii="Arial" w:cs="Arial" w:eastAsia="Arial" w:hAnsi="Arial"/>
                <w:sz w:val="16"/>
                <w:szCs w:val="16"/>
                <w:b w:val="1"/>
                <w:bCs w:val="1"/>
                <w:color w:val="FFFFFF"/>
              </w:rPr>
              <w:t>Name and Address of Beneficial Owner</w:t>
            </w:r>
          </w:p>
        </w:tc>
        <w:tc>
          <w:tcPr>
            <w:tcW w:w="3900" w:type="dxa"/>
            <w:vAlign w:val="bottom"/>
            <w:shd w:val="clear" w:color="auto" w:fill="BF2115"/>
          </w:tcPr>
          <w:p>
            <w:pPr>
              <w:jc w:val="center"/>
              <w:ind w:left="1879"/>
              <w:spacing w:after="0"/>
              <w:rPr>
                <w:sz w:val="20"/>
                <w:szCs w:val="20"/>
                <w:color w:val="auto"/>
              </w:rPr>
            </w:pPr>
            <w:r>
              <w:rPr>
                <w:rFonts w:ascii="Arial" w:cs="Arial" w:eastAsia="Arial" w:hAnsi="Arial"/>
                <w:sz w:val="16"/>
                <w:szCs w:val="16"/>
                <w:b w:val="1"/>
                <w:bCs w:val="1"/>
                <w:color w:val="FFFFFF"/>
              </w:rPr>
              <w:t>Amount and Nature of</w:t>
            </w:r>
          </w:p>
        </w:tc>
        <w:tc>
          <w:tcPr>
            <w:tcW w:w="760" w:type="dxa"/>
            <w:vAlign w:val="bottom"/>
            <w:shd w:val="clear" w:color="auto" w:fill="BF2115"/>
          </w:tcPr>
          <w:p>
            <w:pPr>
              <w:spacing w:after="0"/>
              <w:rPr>
                <w:sz w:val="16"/>
                <w:szCs w:val="16"/>
                <w:color w:val="auto"/>
              </w:rPr>
            </w:pPr>
          </w:p>
        </w:tc>
        <w:tc>
          <w:tcPr>
            <w:tcW w:w="1620" w:type="dxa"/>
            <w:vAlign w:val="bottom"/>
            <w:shd w:val="clear" w:color="auto" w:fill="BF2115"/>
          </w:tcPr>
          <w:p>
            <w:pPr>
              <w:jc w:val="center"/>
              <w:spacing w:after="0"/>
              <w:rPr>
                <w:sz w:val="20"/>
                <w:szCs w:val="20"/>
                <w:color w:val="auto"/>
              </w:rPr>
            </w:pPr>
            <w:r>
              <w:rPr>
                <w:rFonts w:ascii="Arial" w:cs="Arial" w:eastAsia="Arial" w:hAnsi="Arial"/>
                <w:sz w:val="16"/>
                <w:szCs w:val="16"/>
                <w:b w:val="1"/>
                <w:bCs w:val="1"/>
                <w:color w:val="FFFFFF"/>
              </w:rPr>
              <w:t>Common</w:t>
            </w:r>
          </w:p>
        </w:tc>
        <w:tc>
          <w:tcPr>
            <w:tcW w:w="0" w:type="dxa"/>
            <w:vAlign w:val="bottom"/>
          </w:tcPr>
          <w:p>
            <w:pPr>
              <w:spacing w:after="0"/>
              <w:rPr>
                <w:sz w:val="1"/>
                <w:szCs w:val="1"/>
                <w:color w:val="auto"/>
              </w:rPr>
            </w:pPr>
          </w:p>
        </w:tc>
      </w:tr>
      <w:tr>
        <w:trPr>
          <w:trHeight w:val="234"/>
        </w:trPr>
        <w:tc>
          <w:tcPr>
            <w:tcW w:w="5140" w:type="dxa"/>
            <w:vAlign w:val="bottom"/>
            <w:shd w:val="clear" w:color="auto" w:fill="BF2115"/>
          </w:tcPr>
          <w:p>
            <w:pPr>
              <w:spacing w:after="0"/>
              <w:rPr>
                <w:sz w:val="20"/>
                <w:szCs w:val="20"/>
                <w:color w:val="auto"/>
              </w:rPr>
            </w:pPr>
          </w:p>
        </w:tc>
        <w:tc>
          <w:tcPr>
            <w:tcW w:w="3900" w:type="dxa"/>
            <w:vAlign w:val="bottom"/>
            <w:shd w:val="clear" w:color="auto" w:fill="BF2115"/>
          </w:tcPr>
          <w:p>
            <w:pPr>
              <w:jc w:val="center"/>
              <w:ind w:left="1859"/>
              <w:spacing w:after="0"/>
              <w:rPr>
                <w:sz w:val="20"/>
                <w:szCs w:val="20"/>
                <w:color w:val="auto"/>
              </w:rPr>
            </w:pPr>
            <w:r>
              <w:rPr>
                <w:rFonts w:ascii="Arial" w:cs="Arial" w:eastAsia="Arial" w:hAnsi="Arial"/>
                <w:sz w:val="16"/>
                <w:szCs w:val="16"/>
                <w:b w:val="1"/>
                <w:bCs w:val="1"/>
                <w:color w:val="FFFFFF"/>
              </w:rPr>
              <w:t>Beneficial Ownership</w:t>
            </w:r>
          </w:p>
        </w:tc>
        <w:tc>
          <w:tcPr>
            <w:tcW w:w="760" w:type="dxa"/>
            <w:vAlign w:val="bottom"/>
            <w:shd w:val="clear" w:color="auto" w:fill="BF2115"/>
          </w:tcPr>
          <w:p>
            <w:pPr>
              <w:spacing w:after="0"/>
              <w:rPr>
                <w:sz w:val="20"/>
                <w:szCs w:val="20"/>
                <w:color w:val="auto"/>
              </w:rPr>
            </w:pPr>
          </w:p>
        </w:tc>
        <w:tc>
          <w:tcPr>
            <w:tcW w:w="1620" w:type="dxa"/>
            <w:vAlign w:val="bottom"/>
            <w:shd w:val="clear" w:color="auto" w:fill="BF2115"/>
          </w:tcPr>
          <w:p>
            <w:pPr>
              <w:jc w:val="center"/>
              <w:spacing w:after="0" w:line="234" w:lineRule="exact"/>
              <w:rPr>
                <w:sz w:val="20"/>
                <w:szCs w:val="20"/>
                <w:color w:val="auto"/>
              </w:rPr>
            </w:pPr>
            <w:r>
              <w:rPr>
                <w:rFonts w:ascii="Arial" w:cs="Arial" w:eastAsia="Arial" w:hAnsi="Arial"/>
                <w:sz w:val="16"/>
                <w:szCs w:val="16"/>
                <w:b w:val="1"/>
                <w:bCs w:val="1"/>
                <w:color w:val="FFFFFF"/>
                <w:w w:val="92"/>
              </w:rPr>
              <w:t>Stock</w:t>
            </w:r>
            <w:r>
              <w:rPr>
                <w:rFonts w:ascii="Arial" w:cs="Arial" w:eastAsia="Arial" w:hAnsi="Arial"/>
                <w:sz w:val="21"/>
                <w:szCs w:val="21"/>
                <w:b w:val="1"/>
                <w:bCs w:val="1"/>
                <w:color w:val="FFFFFF"/>
                <w:w w:val="92"/>
                <w:vertAlign w:val="superscript"/>
              </w:rPr>
              <w:t>(1)</w:t>
            </w:r>
          </w:p>
        </w:tc>
        <w:tc>
          <w:tcPr>
            <w:tcW w:w="0" w:type="dxa"/>
            <w:vAlign w:val="bottom"/>
          </w:tcPr>
          <w:p>
            <w:pPr>
              <w:spacing w:after="0"/>
              <w:rPr>
                <w:sz w:val="1"/>
                <w:szCs w:val="1"/>
                <w:color w:val="auto"/>
              </w:rPr>
            </w:pPr>
          </w:p>
        </w:tc>
      </w:tr>
      <w:tr>
        <w:trPr>
          <w:trHeight w:val="218"/>
        </w:trPr>
        <w:tc>
          <w:tcPr>
            <w:tcW w:w="5140" w:type="dxa"/>
            <w:vAlign w:val="bottom"/>
            <w:shd w:val="clear" w:color="auto" w:fill="ACACAC"/>
          </w:tcPr>
          <w:p>
            <w:pPr>
              <w:ind w:left="160"/>
              <w:spacing w:after="0"/>
              <w:rPr>
                <w:sz w:val="20"/>
                <w:szCs w:val="20"/>
                <w:color w:val="auto"/>
              </w:rPr>
            </w:pPr>
            <w:r>
              <w:rPr>
                <w:rFonts w:ascii="Arial" w:cs="Arial" w:eastAsia="Arial" w:hAnsi="Arial"/>
                <w:sz w:val="16"/>
                <w:szCs w:val="16"/>
                <w:color w:val="auto"/>
              </w:rPr>
              <w:t>BlackRock, Inc.</w:t>
            </w:r>
          </w:p>
        </w:tc>
        <w:tc>
          <w:tcPr>
            <w:tcW w:w="3900" w:type="dxa"/>
            <w:vAlign w:val="bottom"/>
            <w:vMerge w:val="restart"/>
            <w:shd w:val="clear" w:color="auto" w:fill="ACACAC"/>
          </w:tcPr>
          <w:p>
            <w:pPr>
              <w:jc w:val="center"/>
              <w:ind w:left="1859"/>
              <w:spacing w:after="0"/>
              <w:rPr>
                <w:sz w:val="20"/>
                <w:szCs w:val="20"/>
                <w:color w:val="auto"/>
              </w:rPr>
            </w:pPr>
            <w:r>
              <w:rPr>
                <w:rFonts w:ascii="Arial" w:cs="Arial" w:eastAsia="Arial" w:hAnsi="Arial"/>
                <w:sz w:val="16"/>
                <w:szCs w:val="16"/>
                <w:color w:val="auto"/>
              </w:rPr>
              <w:t>3,849,851 shares of</w:t>
            </w:r>
          </w:p>
        </w:tc>
        <w:tc>
          <w:tcPr>
            <w:tcW w:w="760" w:type="dxa"/>
            <w:vAlign w:val="bottom"/>
            <w:vMerge w:val="restart"/>
            <w:shd w:val="clear" w:color="auto" w:fill="ACACAC"/>
          </w:tcPr>
          <w:p>
            <w:pPr>
              <w:jc w:val="right"/>
              <w:ind w:right="426"/>
              <w:spacing w:after="0"/>
              <w:rPr>
                <w:sz w:val="20"/>
                <w:szCs w:val="20"/>
                <w:color w:val="auto"/>
              </w:rPr>
            </w:pPr>
            <w:r>
              <w:rPr>
                <w:rFonts w:ascii="Arial" w:cs="Arial" w:eastAsia="Arial" w:hAnsi="Arial"/>
                <w:sz w:val="11"/>
                <w:szCs w:val="11"/>
                <w:color w:val="auto"/>
              </w:rPr>
              <w:t>(2)</w:t>
            </w:r>
          </w:p>
        </w:tc>
        <w:tc>
          <w:tcPr>
            <w:tcW w:w="1620" w:type="dxa"/>
            <w:vAlign w:val="bottom"/>
            <w:shd w:val="clear" w:color="auto" w:fill="ACACAC"/>
          </w:tcPr>
          <w:p>
            <w:pPr>
              <w:spacing w:after="0"/>
              <w:rPr>
                <w:sz w:val="18"/>
                <w:szCs w:val="18"/>
                <w:color w:val="auto"/>
              </w:rPr>
            </w:pPr>
          </w:p>
        </w:tc>
        <w:tc>
          <w:tcPr>
            <w:tcW w:w="0" w:type="dxa"/>
            <w:vAlign w:val="bottom"/>
          </w:tcPr>
          <w:p>
            <w:pPr>
              <w:spacing w:after="0"/>
              <w:rPr>
                <w:sz w:val="1"/>
                <w:szCs w:val="1"/>
                <w:color w:val="auto"/>
              </w:rPr>
            </w:pPr>
          </w:p>
        </w:tc>
      </w:tr>
      <w:tr>
        <w:trPr>
          <w:trHeight w:val="95"/>
        </w:trPr>
        <w:tc>
          <w:tcPr>
            <w:tcW w:w="5140" w:type="dxa"/>
            <w:vAlign w:val="bottom"/>
            <w:vMerge w:val="restart"/>
            <w:shd w:val="clear" w:color="auto" w:fill="ACACAC"/>
          </w:tcPr>
          <w:p>
            <w:pPr>
              <w:ind w:left="160"/>
              <w:spacing w:after="0"/>
              <w:rPr>
                <w:sz w:val="20"/>
                <w:szCs w:val="20"/>
                <w:color w:val="auto"/>
              </w:rPr>
            </w:pPr>
            <w:r>
              <w:rPr>
                <w:rFonts w:ascii="Arial" w:cs="Arial" w:eastAsia="Arial" w:hAnsi="Arial"/>
                <w:sz w:val="16"/>
                <w:szCs w:val="16"/>
                <w:color w:val="auto"/>
              </w:rPr>
              <w:t>55 East 52nd Street</w:t>
            </w:r>
          </w:p>
        </w:tc>
        <w:tc>
          <w:tcPr>
            <w:tcW w:w="3900" w:type="dxa"/>
            <w:vAlign w:val="bottom"/>
            <w:vMerge w:val="continue"/>
            <w:shd w:val="clear" w:color="auto" w:fill="ACACAC"/>
          </w:tcPr>
          <w:p>
            <w:pPr>
              <w:spacing w:after="0"/>
              <w:rPr>
                <w:sz w:val="8"/>
                <w:szCs w:val="8"/>
                <w:color w:val="auto"/>
              </w:rPr>
            </w:pPr>
          </w:p>
        </w:tc>
        <w:tc>
          <w:tcPr>
            <w:tcW w:w="760" w:type="dxa"/>
            <w:vAlign w:val="bottom"/>
            <w:vMerge w:val="continue"/>
            <w:shd w:val="clear" w:color="auto" w:fill="ACACAC"/>
          </w:tcPr>
          <w:p>
            <w:pPr>
              <w:spacing w:after="0"/>
              <w:rPr>
                <w:sz w:val="8"/>
                <w:szCs w:val="8"/>
                <w:color w:val="auto"/>
              </w:rPr>
            </w:pPr>
          </w:p>
        </w:tc>
        <w:tc>
          <w:tcPr>
            <w:tcW w:w="1620" w:type="dxa"/>
            <w:vAlign w:val="bottom"/>
            <w:vMerge w:val="restart"/>
            <w:shd w:val="clear" w:color="auto" w:fill="ACACAC"/>
          </w:tcPr>
          <w:p>
            <w:pPr>
              <w:jc w:val="right"/>
              <w:ind w:right="439"/>
              <w:spacing w:after="0"/>
              <w:rPr>
                <w:sz w:val="20"/>
                <w:szCs w:val="20"/>
                <w:color w:val="auto"/>
              </w:rPr>
            </w:pPr>
            <w:r>
              <w:rPr>
                <w:rFonts w:ascii="Arial" w:cs="Arial" w:eastAsia="Arial" w:hAnsi="Arial"/>
                <w:sz w:val="16"/>
                <w:szCs w:val="16"/>
                <w:color w:val="auto"/>
              </w:rPr>
              <w:t>12.07%</w:t>
            </w:r>
          </w:p>
        </w:tc>
        <w:tc>
          <w:tcPr>
            <w:tcW w:w="0" w:type="dxa"/>
            <w:vAlign w:val="bottom"/>
          </w:tcPr>
          <w:p>
            <w:pPr>
              <w:spacing w:after="0"/>
              <w:rPr>
                <w:sz w:val="1"/>
                <w:szCs w:val="1"/>
                <w:color w:val="auto"/>
              </w:rPr>
            </w:pPr>
          </w:p>
        </w:tc>
      </w:tr>
      <w:tr>
        <w:trPr>
          <w:trHeight w:val="95"/>
        </w:trPr>
        <w:tc>
          <w:tcPr>
            <w:tcW w:w="5140" w:type="dxa"/>
            <w:vAlign w:val="bottom"/>
            <w:vMerge w:val="continue"/>
            <w:shd w:val="clear" w:color="auto" w:fill="ACACAC"/>
          </w:tcPr>
          <w:p>
            <w:pPr>
              <w:spacing w:after="0"/>
              <w:rPr>
                <w:sz w:val="8"/>
                <w:szCs w:val="8"/>
                <w:color w:val="auto"/>
              </w:rPr>
            </w:pPr>
          </w:p>
        </w:tc>
        <w:tc>
          <w:tcPr>
            <w:tcW w:w="3900" w:type="dxa"/>
            <w:vAlign w:val="bottom"/>
            <w:vMerge w:val="restart"/>
            <w:shd w:val="clear" w:color="auto" w:fill="ACACAC"/>
          </w:tcPr>
          <w:p>
            <w:pPr>
              <w:jc w:val="center"/>
              <w:ind w:left="1879"/>
              <w:spacing w:after="0"/>
              <w:rPr>
                <w:sz w:val="20"/>
                <w:szCs w:val="20"/>
                <w:color w:val="auto"/>
              </w:rPr>
            </w:pPr>
            <w:r>
              <w:rPr>
                <w:rFonts w:ascii="Arial" w:cs="Arial" w:eastAsia="Arial" w:hAnsi="Arial"/>
                <w:sz w:val="16"/>
                <w:szCs w:val="16"/>
                <w:color w:val="auto"/>
              </w:rPr>
              <w:t>Common Stock</w:t>
            </w:r>
          </w:p>
        </w:tc>
        <w:tc>
          <w:tcPr>
            <w:tcW w:w="760" w:type="dxa"/>
            <w:vAlign w:val="bottom"/>
            <w:shd w:val="clear" w:color="auto" w:fill="ACACAC"/>
          </w:tcPr>
          <w:p>
            <w:pPr>
              <w:spacing w:after="0"/>
              <w:rPr>
                <w:sz w:val="8"/>
                <w:szCs w:val="8"/>
                <w:color w:val="auto"/>
              </w:rPr>
            </w:pPr>
          </w:p>
        </w:tc>
        <w:tc>
          <w:tcPr>
            <w:tcW w:w="1620" w:type="dxa"/>
            <w:vAlign w:val="bottom"/>
            <w:vMerge w:val="continue"/>
            <w:shd w:val="clear" w:color="auto" w:fill="ACACAC"/>
          </w:tcPr>
          <w:p>
            <w:pPr>
              <w:spacing w:after="0"/>
              <w:rPr>
                <w:sz w:val="8"/>
                <w:szCs w:val="8"/>
                <w:color w:val="auto"/>
              </w:rPr>
            </w:pPr>
          </w:p>
        </w:tc>
        <w:tc>
          <w:tcPr>
            <w:tcW w:w="0" w:type="dxa"/>
            <w:vAlign w:val="bottom"/>
          </w:tcPr>
          <w:p>
            <w:pPr>
              <w:spacing w:after="0"/>
              <w:rPr>
                <w:sz w:val="1"/>
                <w:szCs w:val="1"/>
                <w:color w:val="auto"/>
              </w:rPr>
            </w:pPr>
          </w:p>
        </w:tc>
      </w:tr>
      <w:tr>
        <w:trPr>
          <w:trHeight w:val="100"/>
        </w:trPr>
        <w:tc>
          <w:tcPr>
            <w:tcW w:w="5140" w:type="dxa"/>
            <w:vAlign w:val="bottom"/>
            <w:vMerge w:val="restart"/>
            <w:shd w:val="clear" w:color="auto" w:fill="ACACAC"/>
          </w:tcPr>
          <w:p>
            <w:pPr>
              <w:ind w:left="160"/>
              <w:spacing w:after="0"/>
              <w:rPr>
                <w:sz w:val="20"/>
                <w:szCs w:val="20"/>
                <w:color w:val="auto"/>
              </w:rPr>
            </w:pPr>
            <w:r>
              <w:rPr>
                <w:rFonts w:ascii="Arial" w:cs="Arial" w:eastAsia="Arial" w:hAnsi="Arial"/>
                <w:sz w:val="16"/>
                <w:szCs w:val="16"/>
                <w:color w:val="auto"/>
              </w:rPr>
              <w:t>New York, NY 10055</w:t>
            </w:r>
          </w:p>
        </w:tc>
        <w:tc>
          <w:tcPr>
            <w:tcW w:w="3900" w:type="dxa"/>
            <w:vAlign w:val="bottom"/>
            <w:vMerge w:val="continue"/>
            <w:shd w:val="clear" w:color="auto" w:fill="ACACAC"/>
          </w:tcPr>
          <w:p>
            <w:pPr>
              <w:spacing w:after="0"/>
              <w:rPr>
                <w:sz w:val="8"/>
                <w:szCs w:val="8"/>
                <w:color w:val="auto"/>
              </w:rPr>
            </w:pPr>
          </w:p>
        </w:tc>
        <w:tc>
          <w:tcPr>
            <w:tcW w:w="760" w:type="dxa"/>
            <w:vAlign w:val="bottom"/>
            <w:shd w:val="clear" w:color="auto" w:fill="ACACAC"/>
          </w:tcPr>
          <w:p>
            <w:pPr>
              <w:spacing w:after="0"/>
              <w:rPr>
                <w:sz w:val="8"/>
                <w:szCs w:val="8"/>
                <w:color w:val="auto"/>
              </w:rPr>
            </w:pPr>
          </w:p>
        </w:tc>
        <w:tc>
          <w:tcPr>
            <w:tcW w:w="1620" w:type="dxa"/>
            <w:vAlign w:val="bottom"/>
            <w:shd w:val="clear" w:color="auto" w:fill="ACACAC"/>
          </w:tcPr>
          <w:p>
            <w:pPr>
              <w:spacing w:after="0"/>
              <w:rPr>
                <w:sz w:val="8"/>
                <w:szCs w:val="8"/>
                <w:color w:val="auto"/>
              </w:rPr>
            </w:pPr>
          </w:p>
        </w:tc>
        <w:tc>
          <w:tcPr>
            <w:tcW w:w="0" w:type="dxa"/>
            <w:vAlign w:val="bottom"/>
          </w:tcPr>
          <w:p>
            <w:pPr>
              <w:spacing w:after="0"/>
              <w:rPr>
                <w:sz w:val="1"/>
                <w:szCs w:val="1"/>
                <w:color w:val="auto"/>
              </w:rPr>
            </w:pPr>
          </w:p>
        </w:tc>
      </w:tr>
      <w:tr>
        <w:trPr>
          <w:trHeight w:val="114"/>
        </w:trPr>
        <w:tc>
          <w:tcPr>
            <w:tcW w:w="5140" w:type="dxa"/>
            <w:vAlign w:val="bottom"/>
            <w:vMerge w:val="continue"/>
            <w:shd w:val="clear" w:color="auto" w:fill="ACACAC"/>
          </w:tcPr>
          <w:p>
            <w:pPr>
              <w:spacing w:after="0"/>
              <w:rPr>
                <w:sz w:val="9"/>
                <w:szCs w:val="9"/>
                <w:color w:val="auto"/>
              </w:rPr>
            </w:pPr>
          </w:p>
        </w:tc>
        <w:tc>
          <w:tcPr>
            <w:tcW w:w="3900" w:type="dxa"/>
            <w:vAlign w:val="bottom"/>
            <w:shd w:val="clear" w:color="auto" w:fill="ACACAC"/>
          </w:tcPr>
          <w:p>
            <w:pPr>
              <w:spacing w:after="0"/>
              <w:rPr>
                <w:sz w:val="9"/>
                <w:szCs w:val="9"/>
                <w:color w:val="auto"/>
              </w:rPr>
            </w:pPr>
          </w:p>
        </w:tc>
        <w:tc>
          <w:tcPr>
            <w:tcW w:w="760" w:type="dxa"/>
            <w:vAlign w:val="bottom"/>
            <w:shd w:val="clear" w:color="auto" w:fill="ACACAC"/>
          </w:tcPr>
          <w:p>
            <w:pPr>
              <w:spacing w:after="0"/>
              <w:rPr>
                <w:sz w:val="9"/>
                <w:szCs w:val="9"/>
                <w:color w:val="auto"/>
              </w:rPr>
            </w:pPr>
          </w:p>
        </w:tc>
        <w:tc>
          <w:tcPr>
            <w:tcW w:w="1620" w:type="dxa"/>
            <w:vAlign w:val="bottom"/>
            <w:shd w:val="clear" w:color="auto" w:fill="ACACAC"/>
          </w:tcPr>
          <w:p>
            <w:pPr>
              <w:spacing w:after="0"/>
              <w:rPr>
                <w:sz w:val="9"/>
                <w:szCs w:val="9"/>
                <w:color w:val="auto"/>
              </w:rPr>
            </w:pPr>
          </w:p>
        </w:tc>
        <w:tc>
          <w:tcPr>
            <w:tcW w:w="0" w:type="dxa"/>
            <w:vAlign w:val="bottom"/>
          </w:tcPr>
          <w:p>
            <w:pPr>
              <w:spacing w:after="0"/>
              <w:rPr>
                <w:sz w:val="1"/>
                <w:szCs w:val="1"/>
                <w:color w:val="auto"/>
              </w:rPr>
            </w:pPr>
          </w:p>
        </w:tc>
      </w:tr>
      <w:tr>
        <w:trPr>
          <w:trHeight w:val="218"/>
        </w:trPr>
        <w:tc>
          <w:tcPr>
            <w:tcW w:w="5140" w:type="dxa"/>
            <w:vAlign w:val="bottom"/>
          </w:tcPr>
          <w:p>
            <w:pPr>
              <w:ind w:left="160"/>
              <w:spacing w:after="0"/>
              <w:rPr>
                <w:sz w:val="20"/>
                <w:szCs w:val="20"/>
                <w:color w:val="auto"/>
              </w:rPr>
            </w:pPr>
            <w:r>
              <w:rPr>
                <w:rFonts w:ascii="Arial" w:cs="Arial" w:eastAsia="Arial" w:hAnsi="Arial"/>
                <w:sz w:val="16"/>
                <w:szCs w:val="16"/>
                <w:color w:val="auto"/>
              </w:rPr>
              <w:t>Dimensional Fund Advisors LP</w:t>
            </w:r>
          </w:p>
        </w:tc>
        <w:tc>
          <w:tcPr>
            <w:tcW w:w="39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9"/>
        </w:trPr>
        <w:tc>
          <w:tcPr>
            <w:tcW w:w="5140" w:type="dxa"/>
            <w:vAlign w:val="bottom"/>
          </w:tcPr>
          <w:p>
            <w:pPr>
              <w:ind w:left="160"/>
              <w:spacing w:after="0"/>
              <w:rPr>
                <w:sz w:val="20"/>
                <w:szCs w:val="20"/>
                <w:color w:val="auto"/>
              </w:rPr>
            </w:pPr>
            <w:r>
              <w:rPr>
                <w:rFonts w:ascii="Arial" w:cs="Arial" w:eastAsia="Arial" w:hAnsi="Arial"/>
                <w:sz w:val="16"/>
                <w:szCs w:val="16"/>
                <w:color w:val="auto"/>
              </w:rPr>
              <w:t>Building One</w:t>
            </w:r>
          </w:p>
        </w:tc>
        <w:tc>
          <w:tcPr>
            <w:tcW w:w="3900" w:type="dxa"/>
            <w:vAlign w:val="bottom"/>
          </w:tcPr>
          <w:p>
            <w:pPr>
              <w:jc w:val="center"/>
              <w:ind w:left="1859"/>
              <w:spacing w:after="0"/>
              <w:rPr>
                <w:sz w:val="20"/>
                <w:szCs w:val="20"/>
                <w:color w:val="auto"/>
              </w:rPr>
            </w:pPr>
            <w:r>
              <w:rPr>
                <w:rFonts w:ascii="Arial" w:cs="Arial" w:eastAsia="Arial" w:hAnsi="Arial"/>
                <w:sz w:val="16"/>
                <w:szCs w:val="16"/>
                <w:color w:val="auto"/>
              </w:rPr>
              <w:t>1,836,098 shares of</w:t>
            </w:r>
          </w:p>
        </w:tc>
        <w:tc>
          <w:tcPr>
            <w:tcW w:w="760" w:type="dxa"/>
            <w:vAlign w:val="bottom"/>
          </w:tcPr>
          <w:p>
            <w:pPr>
              <w:jc w:val="right"/>
              <w:ind w:right="426"/>
              <w:spacing w:after="0"/>
              <w:rPr>
                <w:sz w:val="20"/>
                <w:szCs w:val="20"/>
                <w:color w:val="auto"/>
              </w:rPr>
            </w:pPr>
            <w:r>
              <w:rPr>
                <w:rFonts w:ascii="Arial" w:cs="Arial" w:eastAsia="Arial" w:hAnsi="Arial"/>
                <w:sz w:val="11"/>
                <w:szCs w:val="11"/>
                <w:color w:val="auto"/>
              </w:rPr>
              <w:t>(3)</w:t>
            </w:r>
          </w:p>
        </w:tc>
        <w:tc>
          <w:tcPr>
            <w:tcW w:w="1620" w:type="dxa"/>
            <w:vAlign w:val="bottom"/>
            <w:vMerge w:val="restart"/>
          </w:tcPr>
          <w:p>
            <w:pPr>
              <w:jc w:val="right"/>
              <w:ind w:right="479"/>
              <w:spacing w:after="0"/>
              <w:rPr>
                <w:sz w:val="20"/>
                <w:szCs w:val="20"/>
                <w:color w:val="auto"/>
              </w:rPr>
            </w:pPr>
            <w:r>
              <w:rPr>
                <w:rFonts w:ascii="Arial" w:cs="Arial" w:eastAsia="Arial" w:hAnsi="Arial"/>
                <w:sz w:val="16"/>
                <w:szCs w:val="16"/>
                <w:color w:val="auto"/>
              </w:rPr>
              <w:t>5.76%</w:t>
            </w:r>
          </w:p>
        </w:tc>
        <w:tc>
          <w:tcPr>
            <w:tcW w:w="0" w:type="dxa"/>
            <w:vAlign w:val="bottom"/>
          </w:tcPr>
          <w:p>
            <w:pPr>
              <w:spacing w:after="0"/>
              <w:rPr>
                <w:sz w:val="1"/>
                <w:szCs w:val="1"/>
                <w:color w:val="auto"/>
              </w:rPr>
            </w:pPr>
          </w:p>
        </w:tc>
      </w:tr>
      <w:tr>
        <w:trPr>
          <w:trHeight w:val="100"/>
        </w:trPr>
        <w:tc>
          <w:tcPr>
            <w:tcW w:w="5140" w:type="dxa"/>
            <w:vAlign w:val="bottom"/>
            <w:vMerge w:val="restart"/>
          </w:tcPr>
          <w:p>
            <w:pPr>
              <w:ind w:left="160"/>
              <w:spacing w:after="0"/>
              <w:rPr>
                <w:sz w:val="20"/>
                <w:szCs w:val="20"/>
                <w:color w:val="auto"/>
              </w:rPr>
            </w:pPr>
            <w:r>
              <w:rPr>
                <w:rFonts w:ascii="Arial" w:cs="Arial" w:eastAsia="Arial" w:hAnsi="Arial"/>
                <w:sz w:val="16"/>
                <w:szCs w:val="16"/>
                <w:color w:val="auto"/>
              </w:rPr>
              <w:t>6300 Bee Cave Road</w:t>
            </w:r>
          </w:p>
        </w:tc>
        <w:tc>
          <w:tcPr>
            <w:tcW w:w="3900" w:type="dxa"/>
            <w:vAlign w:val="bottom"/>
            <w:vMerge w:val="restart"/>
          </w:tcPr>
          <w:p>
            <w:pPr>
              <w:jc w:val="center"/>
              <w:ind w:left="1879"/>
              <w:spacing w:after="0"/>
              <w:rPr>
                <w:sz w:val="20"/>
                <w:szCs w:val="20"/>
                <w:color w:val="auto"/>
              </w:rPr>
            </w:pPr>
            <w:r>
              <w:rPr>
                <w:rFonts w:ascii="Arial" w:cs="Arial" w:eastAsia="Arial" w:hAnsi="Arial"/>
                <w:sz w:val="16"/>
                <w:szCs w:val="16"/>
                <w:color w:val="auto"/>
              </w:rPr>
              <w:t>Common Stock</w:t>
            </w:r>
          </w:p>
        </w:tc>
        <w:tc>
          <w:tcPr>
            <w:tcW w:w="760" w:type="dxa"/>
            <w:vAlign w:val="bottom"/>
          </w:tcPr>
          <w:p>
            <w:pPr>
              <w:spacing w:after="0"/>
              <w:rPr>
                <w:sz w:val="8"/>
                <w:szCs w:val="8"/>
                <w:color w:val="auto"/>
              </w:rPr>
            </w:pPr>
          </w:p>
        </w:tc>
        <w:tc>
          <w:tcPr>
            <w:tcW w:w="162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89"/>
        </w:trPr>
        <w:tc>
          <w:tcPr>
            <w:tcW w:w="5140" w:type="dxa"/>
            <w:vAlign w:val="bottom"/>
            <w:vMerge w:val="continue"/>
          </w:tcPr>
          <w:p>
            <w:pPr>
              <w:spacing w:after="0"/>
              <w:rPr>
                <w:sz w:val="7"/>
                <w:szCs w:val="7"/>
                <w:color w:val="auto"/>
              </w:rPr>
            </w:pPr>
          </w:p>
        </w:tc>
        <w:tc>
          <w:tcPr>
            <w:tcW w:w="3900" w:type="dxa"/>
            <w:vAlign w:val="bottom"/>
            <w:vMerge w:val="continue"/>
          </w:tcPr>
          <w:p>
            <w:pPr>
              <w:spacing w:after="0"/>
              <w:rPr>
                <w:sz w:val="7"/>
                <w:szCs w:val="7"/>
                <w:color w:val="auto"/>
              </w:rPr>
            </w:pPr>
          </w:p>
        </w:tc>
        <w:tc>
          <w:tcPr>
            <w:tcW w:w="760" w:type="dxa"/>
            <w:vAlign w:val="bottom"/>
          </w:tcPr>
          <w:p>
            <w:pPr>
              <w:spacing w:after="0"/>
              <w:rPr>
                <w:sz w:val="7"/>
                <w:szCs w:val="7"/>
                <w:color w:val="auto"/>
              </w:rPr>
            </w:pPr>
          </w:p>
        </w:tc>
        <w:tc>
          <w:tcPr>
            <w:tcW w:w="1620" w:type="dxa"/>
            <w:vAlign w:val="bottom"/>
          </w:tcPr>
          <w:p>
            <w:pPr>
              <w:spacing w:after="0"/>
              <w:rPr>
                <w:sz w:val="7"/>
                <w:szCs w:val="7"/>
                <w:color w:val="auto"/>
              </w:rPr>
            </w:pPr>
          </w:p>
        </w:tc>
        <w:tc>
          <w:tcPr>
            <w:tcW w:w="0" w:type="dxa"/>
            <w:vAlign w:val="bottom"/>
          </w:tcPr>
          <w:p>
            <w:pPr>
              <w:spacing w:after="0"/>
              <w:rPr>
                <w:sz w:val="1"/>
                <w:szCs w:val="1"/>
                <w:color w:val="auto"/>
              </w:rPr>
            </w:pPr>
          </w:p>
        </w:tc>
      </w:tr>
    </w:tbl>
    <w:p>
      <w:pPr>
        <w:ind w:left="160"/>
        <w:spacing w:after="0"/>
        <w:rPr>
          <w:sz w:val="20"/>
          <w:szCs w:val="20"/>
          <w:color w:val="auto"/>
        </w:rPr>
      </w:pPr>
      <w:r>
        <w:rPr>
          <w:rFonts w:ascii="Arial" w:cs="Arial" w:eastAsia="Arial" w:hAnsi="Arial"/>
          <w:sz w:val="16"/>
          <w:szCs w:val="16"/>
          <w:color w:val="auto"/>
        </w:rPr>
        <w:t>Austin, TX 78746</w:t>
      </w:r>
    </w:p>
    <w:p>
      <w:pPr>
        <w:spacing w:after="0" w:line="89" w:lineRule="exact"/>
        <w:rPr>
          <w:sz w:val="20"/>
          <w:szCs w:val="20"/>
          <w:color w:val="auto"/>
        </w:rPr>
      </w:pPr>
    </w:p>
    <w:p>
      <w:pPr>
        <w:ind w:left="340" w:hanging="332"/>
        <w:spacing w:after="0"/>
        <w:tabs>
          <w:tab w:leader="none" w:pos="340" w:val="left"/>
        </w:tabs>
        <w:numPr>
          <w:ilvl w:val="0"/>
          <w:numId w:val="7"/>
        </w:numPr>
        <w:rPr>
          <w:rFonts w:ascii="Arial" w:cs="Arial" w:eastAsia="Arial" w:hAnsi="Arial"/>
          <w:sz w:val="13"/>
          <w:szCs w:val="13"/>
          <w:color w:val="auto"/>
        </w:rPr>
      </w:pPr>
      <w:r>
        <w:rPr>
          <w:rFonts w:ascii="Arial" w:cs="Arial" w:eastAsia="Arial" w:hAnsi="Arial"/>
          <w:sz w:val="14"/>
          <w:szCs w:val="14"/>
          <w:color w:val="auto"/>
        </w:rPr>
        <w:t>Based on 31,887,265 outstanding shares of Common Stock on October 16, 2018.</w:t>
      </w:r>
    </w:p>
    <w:p>
      <w:pPr>
        <w:spacing w:after="0" w:line="1" w:lineRule="exact"/>
        <w:rPr>
          <w:rFonts w:ascii="Arial" w:cs="Arial" w:eastAsia="Arial" w:hAnsi="Arial"/>
          <w:sz w:val="13"/>
          <w:szCs w:val="13"/>
          <w:color w:val="auto"/>
        </w:rPr>
      </w:pPr>
    </w:p>
    <w:p>
      <w:pPr>
        <w:ind w:left="340" w:right="100" w:hanging="332"/>
        <w:spacing w:after="0" w:line="241" w:lineRule="auto"/>
        <w:tabs>
          <w:tab w:leader="none" w:pos="340" w:val="left"/>
        </w:tabs>
        <w:numPr>
          <w:ilvl w:val="0"/>
          <w:numId w:val="7"/>
        </w:numPr>
        <w:rPr>
          <w:rFonts w:ascii="Arial" w:cs="Arial" w:eastAsia="Arial" w:hAnsi="Arial"/>
          <w:sz w:val="13"/>
          <w:szCs w:val="13"/>
          <w:color w:val="auto"/>
        </w:rPr>
      </w:pPr>
      <w:r>
        <w:rPr>
          <w:rFonts w:ascii="Arial" w:cs="Arial" w:eastAsia="Arial" w:hAnsi="Arial"/>
          <w:sz w:val="14"/>
          <w:szCs w:val="14"/>
          <w:color w:val="auto"/>
        </w:rPr>
        <w:t>Based on information provided in a Schedule 13G/A filed with the SEC on January 23, 2018 by BlackRock, Inc., a parent holding company ("Blackrock"). BlackRock reported that it has sole power to vote or direct the vote of 3,785,583 shares and sole power to dispose of or direct the disposition of 3,849,851 shares.</w:t>
      </w:r>
    </w:p>
    <w:p>
      <w:pPr>
        <w:ind w:left="340" w:right="140" w:hanging="332"/>
        <w:spacing w:after="0" w:line="258" w:lineRule="auto"/>
        <w:tabs>
          <w:tab w:leader="none" w:pos="340" w:val="left"/>
        </w:tabs>
        <w:numPr>
          <w:ilvl w:val="0"/>
          <w:numId w:val="7"/>
        </w:numPr>
        <w:rPr>
          <w:rFonts w:ascii="Arial" w:cs="Arial" w:eastAsia="Arial" w:hAnsi="Arial"/>
          <w:sz w:val="13"/>
          <w:szCs w:val="13"/>
          <w:color w:val="auto"/>
        </w:rPr>
      </w:pPr>
      <w:r>
        <w:rPr>
          <w:rFonts w:ascii="Arial" w:cs="Arial" w:eastAsia="Arial" w:hAnsi="Arial"/>
          <w:sz w:val="14"/>
          <w:szCs w:val="14"/>
          <w:color w:val="auto"/>
        </w:rPr>
        <w:t>Based on information provided in a Schedule 13G/A filed with the SEC on February 9, 2018 by Dimensional Fund Advisors LP, an investment adviser ("DFA"). DFA reported that it has sole power to vote or direct the vote of 1,740,810 shares and sole power to dispose of or direct the disposition of 1,836,098 shares.</w:t>
      </w:r>
    </w:p>
    <w:p>
      <w:pPr>
        <w:spacing w:after="0" w:line="38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w:t>
      </w:r>
    </w:p>
    <w:p>
      <w:pPr>
        <w:sectPr>
          <w:pgSz w:w="11900" w:h="16838" w:orient="portrait"/>
          <w:cols w:equalWidth="0" w:num="1">
            <w:col w:w="11420"/>
          </w:cols>
          <w:pgMar w:left="240" w:top="303" w:right="239" w:bottom="1440" w:gutter="0" w:footer="0" w:header="0"/>
          <w:type w:val="continuous"/>
        </w:sectPr>
      </w:pPr>
    </w:p>
    <w:bookmarkStart w:id="6" w:name="page7"/>
    <w:bookmarkEnd w:id="6"/>
    <w:p>
      <w:pPr>
        <w:ind w:left="40"/>
        <w:spacing w:after="0"/>
        <w:rPr>
          <w:rFonts w:ascii="Arial" w:cs="Arial" w:eastAsia="Arial" w:hAnsi="Arial"/>
          <w:sz w:val="16"/>
          <w:szCs w:val="16"/>
          <w:u w:val="single" w:color="auto"/>
          <w:color w:val="0000EE"/>
        </w:rPr>
      </w:pPr>
      <w:r>
        <w:rPr>
          <w:rFonts w:ascii="Arial" w:cs="Arial" w:eastAsia="Arial" w:hAnsi="Arial"/>
          <w:sz w:val="16"/>
          <w:szCs w:val="16"/>
          <w:u w:val="single" w:color="auto"/>
          <w:color w:val="0000EE"/>
        </w:rPr>
        <w:drawing>
          <wp:anchor simplePos="0" relativeHeight="251657728" behindDoc="1" locked="0" layoutInCell="0" allowOverlap="1">
            <wp:simplePos x="0" y="0"/>
            <wp:positionH relativeFrom="page">
              <wp:posOffset>5946140</wp:posOffset>
            </wp:positionH>
            <wp:positionV relativeFrom="page">
              <wp:posOffset>191770</wp:posOffset>
            </wp:positionV>
            <wp:extent cx="1440815" cy="20574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clrChange>
                        <a:clrFrom>
                          <a:srgbClr val="FFFFFF"/>
                        </a:clrFrom>
                        <a:clrTo>
                          <a:srgbClr val="FFFFFF">
                            <a:alpha val="0"/>
                          </a:srgbClr>
                        </a:clrTo>
                      </a:clrChange>
                      <a:extLst>
                        <a:ext uri="{28A0092B-C50C-407E-A947-70E740481C1C}"/>
                      </a:extLst>
                    </a:blip>
                    <a:srcRect/>
                    <a:stretch>
                      <a:fillRect/>
                    </a:stretch>
                  </pic:blipFill>
                  <pic:spPr bwMode="auto">
                    <a:xfrm>
                      <a:off x="0" y="0"/>
                      <a:ext cx="1440815" cy="205740"/>
                    </a:xfrm>
                    <a:prstGeom prst="rect">
                      <a:avLst/>
                    </a:prstGeom>
                    <a:noFill/>
                  </pic:spPr>
                </pic:pic>
              </a:graphicData>
            </a:graphic>
          </wp:anchor>
        </w:drawing>
      </w:r>
      <w:hyperlink w:anchor="page4">
        <w:r>
          <w:rPr>
            <w:rFonts w:ascii="Arial" w:cs="Arial" w:eastAsia="Arial" w:hAnsi="Arial"/>
            <w:sz w:val="16"/>
            <w:szCs w:val="16"/>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104775</wp:posOffset>
            </wp:positionV>
            <wp:extent cx="724662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right="260"/>
        <w:spacing w:after="0" w:line="286" w:lineRule="auto"/>
        <w:rPr>
          <w:sz w:val="20"/>
          <w:szCs w:val="20"/>
          <w:color w:val="auto"/>
        </w:rPr>
      </w:pPr>
      <w:r>
        <w:rPr>
          <w:rFonts w:ascii="Arial" w:cs="Arial" w:eastAsia="Arial" w:hAnsi="Arial"/>
          <w:sz w:val="16"/>
          <w:szCs w:val="16"/>
          <w:color w:val="auto"/>
        </w:rPr>
        <w:t>The following table sets forth certain information known to us with respect to beneficial ownership of our Common Stock, as defined in Rule 13d-3 under the Exchange Act, at October 16, 2018 for (i) each of our directors and director nominees, (ii) each named executive officer of the Company in the summary compensation table below, (iii) all current executive officers (both NEO and non-NEO) and directors as a group. Except as otherwise indicated, the named beneficial owner has sole voting and investment power with respect to the shares held by such beneficial owner.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6677025</wp:posOffset>
            </wp:positionH>
            <wp:positionV relativeFrom="paragraph">
              <wp:posOffset>67945</wp:posOffset>
            </wp:positionV>
            <wp:extent cx="8890" cy="44577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8890" cy="445770"/>
                    </a:xfrm>
                    <a:prstGeom prst="rect">
                      <a:avLst/>
                    </a:prstGeom>
                    <a:noFill/>
                  </pic:spPr>
                </pic:pic>
              </a:graphicData>
            </a:graphic>
          </wp:anchor>
        </w:drawing>
        <w:drawing>
          <wp:anchor simplePos="0" relativeHeight="251657728" behindDoc="1" locked="0" layoutInCell="0" allowOverlap="1">
            <wp:simplePos x="0" y="0"/>
            <wp:positionH relativeFrom="column">
              <wp:posOffset>5888355</wp:posOffset>
            </wp:positionH>
            <wp:positionV relativeFrom="paragraph">
              <wp:posOffset>67945</wp:posOffset>
            </wp:positionV>
            <wp:extent cx="8890" cy="44577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8890" cy="445770"/>
                    </a:xfrm>
                    <a:prstGeom prst="rect">
                      <a:avLst/>
                    </a:prstGeom>
                    <a:noFill/>
                  </pic:spPr>
                </pic:pic>
              </a:graphicData>
            </a:graphic>
          </wp:anchor>
        </w:drawing>
        <w:drawing>
          <wp:anchor simplePos="0" relativeHeight="251657728" behindDoc="1" locked="0" layoutInCell="0" allowOverlap="1">
            <wp:simplePos x="0" y="0"/>
            <wp:positionH relativeFrom="column">
              <wp:posOffset>5099050</wp:posOffset>
            </wp:positionH>
            <wp:positionV relativeFrom="paragraph">
              <wp:posOffset>67945</wp:posOffset>
            </wp:positionV>
            <wp:extent cx="8890" cy="44577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8890" cy="445770"/>
                    </a:xfrm>
                    <a:prstGeom prst="rect">
                      <a:avLst/>
                    </a:prstGeom>
                    <a:noFill/>
                  </pic:spPr>
                </pic:pic>
              </a:graphicData>
            </a:graphic>
          </wp:anchor>
        </w:drawing>
        <w:drawing>
          <wp:anchor simplePos="0" relativeHeight="251657728" behindDoc="1" locked="0" layoutInCell="0" allowOverlap="1">
            <wp:simplePos x="0" y="0"/>
            <wp:positionH relativeFrom="column">
              <wp:posOffset>4293235</wp:posOffset>
            </wp:positionH>
            <wp:positionV relativeFrom="paragraph">
              <wp:posOffset>67945</wp:posOffset>
            </wp:positionV>
            <wp:extent cx="8890" cy="44577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8890" cy="445770"/>
                    </a:xfrm>
                    <a:prstGeom prst="rect">
                      <a:avLst/>
                    </a:prstGeom>
                    <a:noFill/>
                  </pic:spPr>
                </pic:pic>
              </a:graphicData>
            </a:graphic>
          </wp:anchor>
        </w:drawing>
        <w:drawing>
          <wp:anchor simplePos="0" relativeHeight="251657728" behindDoc="1" locked="0" layoutInCell="0" allowOverlap="1">
            <wp:simplePos x="0" y="0"/>
            <wp:positionH relativeFrom="column">
              <wp:posOffset>3272790</wp:posOffset>
            </wp:positionH>
            <wp:positionV relativeFrom="paragraph">
              <wp:posOffset>67945</wp:posOffset>
            </wp:positionV>
            <wp:extent cx="8890" cy="44577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8890" cy="445770"/>
                    </a:xfrm>
                    <a:prstGeom prst="rect">
                      <a:avLst/>
                    </a:prstGeom>
                    <a:noFill/>
                  </pic:spPr>
                </pic:pic>
              </a:graphicData>
            </a:graphic>
          </wp:anchor>
        </w:drawing>
      </w:r>
    </w:p>
    <w:p>
      <w:pPr>
        <w:spacing w:after="0" w:line="87"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4640" w:type="dxa"/>
            <w:vAlign w:val="bottom"/>
            <w:shd w:val="clear" w:color="auto" w:fill="BF2115"/>
          </w:tcPr>
          <w:p>
            <w:pPr>
              <w:spacing w:after="0"/>
              <w:rPr>
                <w:sz w:val="15"/>
                <w:szCs w:val="15"/>
                <w:color w:val="auto"/>
              </w:rPr>
            </w:pPr>
          </w:p>
        </w:tc>
        <w:tc>
          <w:tcPr>
            <w:tcW w:w="2220" w:type="dxa"/>
            <w:vAlign w:val="bottom"/>
            <w:shd w:val="clear" w:color="auto" w:fill="BF2115"/>
          </w:tcPr>
          <w:p>
            <w:pPr>
              <w:spacing w:after="0"/>
              <w:rPr>
                <w:sz w:val="15"/>
                <w:szCs w:val="15"/>
                <w:color w:val="auto"/>
              </w:rPr>
            </w:pPr>
          </w:p>
        </w:tc>
        <w:tc>
          <w:tcPr>
            <w:tcW w:w="1240" w:type="dxa"/>
            <w:vAlign w:val="bottom"/>
            <w:shd w:val="clear" w:color="auto" w:fill="BF2115"/>
          </w:tcPr>
          <w:p>
            <w:pPr>
              <w:spacing w:after="0"/>
              <w:rPr>
                <w:sz w:val="15"/>
                <w:szCs w:val="15"/>
                <w:color w:val="auto"/>
              </w:rPr>
            </w:pPr>
          </w:p>
        </w:tc>
        <w:tc>
          <w:tcPr>
            <w:tcW w:w="1200" w:type="dxa"/>
            <w:vAlign w:val="bottom"/>
            <w:shd w:val="clear" w:color="auto" w:fill="BF2115"/>
          </w:tcPr>
          <w:p>
            <w:pPr>
              <w:spacing w:after="0"/>
              <w:rPr>
                <w:sz w:val="15"/>
                <w:szCs w:val="15"/>
                <w:color w:val="auto"/>
              </w:rPr>
            </w:pPr>
          </w:p>
        </w:tc>
        <w:tc>
          <w:tcPr>
            <w:tcW w:w="1240" w:type="dxa"/>
            <w:vAlign w:val="bottom"/>
            <w:shd w:val="clear" w:color="auto" w:fill="BF2115"/>
          </w:tcPr>
          <w:p>
            <w:pPr>
              <w:jc w:val="center"/>
              <w:spacing w:after="0"/>
              <w:rPr>
                <w:sz w:val="20"/>
                <w:szCs w:val="20"/>
                <w:color w:val="auto"/>
              </w:rPr>
            </w:pPr>
            <w:r>
              <w:rPr>
                <w:rFonts w:ascii="Arial" w:cs="Arial" w:eastAsia="Arial" w:hAnsi="Arial"/>
                <w:sz w:val="14"/>
                <w:szCs w:val="14"/>
                <w:b w:val="1"/>
                <w:bCs w:val="1"/>
                <w:color w:val="FFFFFF"/>
                <w:w w:val="99"/>
              </w:rPr>
              <w:t>Total Shares</w:t>
            </w:r>
          </w:p>
        </w:tc>
        <w:tc>
          <w:tcPr>
            <w:tcW w:w="880" w:type="dxa"/>
            <w:vAlign w:val="bottom"/>
            <w:shd w:val="clear" w:color="auto" w:fill="BF2115"/>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4640" w:type="dxa"/>
            <w:vAlign w:val="bottom"/>
            <w:shd w:val="clear" w:color="auto" w:fill="BF2115"/>
          </w:tcPr>
          <w:p>
            <w:pPr>
              <w:spacing w:after="0"/>
              <w:rPr>
                <w:sz w:val="14"/>
                <w:szCs w:val="14"/>
                <w:color w:val="auto"/>
              </w:rPr>
            </w:pPr>
          </w:p>
        </w:tc>
        <w:tc>
          <w:tcPr>
            <w:tcW w:w="2220" w:type="dxa"/>
            <w:vAlign w:val="bottom"/>
            <w:shd w:val="clear" w:color="auto" w:fill="BF2115"/>
          </w:tcPr>
          <w:p>
            <w:pPr>
              <w:jc w:val="center"/>
              <w:ind w:left="361"/>
              <w:spacing w:after="0"/>
              <w:rPr>
                <w:sz w:val="20"/>
                <w:szCs w:val="20"/>
                <w:color w:val="auto"/>
              </w:rPr>
            </w:pPr>
            <w:r>
              <w:rPr>
                <w:rFonts w:ascii="Arial" w:cs="Arial" w:eastAsia="Arial" w:hAnsi="Arial"/>
                <w:sz w:val="14"/>
                <w:szCs w:val="14"/>
                <w:b w:val="1"/>
                <w:bCs w:val="1"/>
                <w:color w:val="FFFFFF"/>
              </w:rPr>
              <w:t>Shares of</w:t>
            </w:r>
          </w:p>
        </w:tc>
        <w:tc>
          <w:tcPr>
            <w:tcW w:w="1240" w:type="dxa"/>
            <w:vAlign w:val="bottom"/>
            <w:shd w:val="clear" w:color="auto" w:fill="BF2115"/>
          </w:tcPr>
          <w:p>
            <w:pPr>
              <w:jc w:val="center"/>
              <w:ind w:right="81"/>
              <w:spacing w:after="0"/>
              <w:rPr>
                <w:sz w:val="20"/>
                <w:szCs w:val="20"/>
                <w:color w:val="auto"/>
              </w:rPr>
            </w:pPr>
            <w:r>
              <w:rPr>
                <w:rFonts w:ascii="Arial" w:cs="Arial" w:eastAsia="Arial" w:hAnsi="Arial"/>
                <w:sz w:val="14"/>
                <w:szCs w:val="14"/>
                <w:b w:val="1"/>
                <w:bCs w:val="1"/>
                <w:color w:val="FFFFFF"/>
              </w:rPr>
              <w:t>Exercisable</w:t>
            </w:r>
          </w:p>
        </w:tc>
        <w:tc>
          <w:tcPr>
            <w:tcW w:w="1200" w:type="dxa"/>
            <w:vAlign w:val="bottom"/>
            <w:shd w:val="clear" w:color="auto" w:fill="BF2115"/>
          </w:tcPr>
          <w:p>
            <w:pPr>
              <w:jc w:val="center"/>
              <w:ind w:right="1"/>
              <w:spacing w:after="0"/>
              <w:rPr>
                <w:sz w:val="20"/>
                <w:szCs w:val="20"/>
                <w:color w:val="auto"/>
              </w:rPr>
            </w:pPr>
            <w:r>
              <w:rPr>
                <w:rFonts w:ascii="Arial" w:cs="Arial" w:eastAsia="Arial" w:hAnsi="Arial"/>
                <w:sz w:val="14"/>
                <w:szCs w:val="14"/>
                <w:b w:val="1"/>
                <w:bCs w:val="1"/>
                <w:color w:val="FFFFFF"/>
              </w:rPr>
              <w:t>Winnebago</w:t>
            </w:r>
          </w:p>
        </w:tc>
        <w:tc>
          <w:tcPr>
            <w:tcW w:w="1240" w:type="dxa"/>
            <w:vAlign w:val="bottom"/>
            <w:shd w:val="clear" w:color="auto" w:fill="BF2115"/>
          </w:tcPr>
          <w:p>
            <w:pPr>
              <w:jc w:val="center"/>
              <w:spacing w:after="0"/>
              <w:rPr>
                <w:sz w:val="20"/>
                <w:szCs w:val="20"/>
                <w:color w:val="auto"/>
              </w:rPr>
            </w:pPr>
            <w:r>
              <w:rPr>
                <w:rFonts w:ascii="Arial" w:cs="Arial" w:eastAsia="Arial" w:hAnsi="Arial"/>
                <w:sz w:val="14"/>
                <w:szCs w:val="14"/>
                <w:b w:val="1"/>
                <w:bCs w:val="1"/>
                <w:color w:val="FFFFFF"/>
              </w:rPr>
              <w:t>of Common</w:t>
            </w:r>
          </w:p>
        </w:tc>
        <w:tc>
          <w:tcPr>
            <w:tcW w:w="880" w:type="dxa"/>
            <w:vAlign w:val="bottom"/>
            <w:shd w:val="clear" w:color="auto" w:fill="BF2115"/>
          </w:tcPr>
          <w:p>
            <w:pPr>
              <w:jc w:val="center"/>
              <w:spacing w:after="0"/>
              <w:rPr>
                <w:sz w:val="20"/>
                <w:szCs w:val="20"/>
                <w:color w:val="auto"/>
              </w:rPr>
            </w:pPr>
            <w:r>
              <w:rPr>
                <w:rFonts w:ascii="Arial" w:cs="Arial" w:eastAsia="Arial" w:hAnsi="Arial"/>
                <w:sz w:val="14"/>
                <w:szCs w:val="14"/>
                <w:b w:val="1"/>
                <w:bCs w:val="1"/>
                <w:color w:val="FFFFFF"/>
              </w:rPr>
              <w:t>% of</w:t>
            </w:r>
          </w:p>
        </w:tc>
        <w:tc>
          <w:tcPr>
            <w:tcW w:w="0" w:type="dxa"/>
            <w:vAlign w:val="bottom"/>
          </w:tcPr>
          <w:p>
            <w:pPr>
              <w:spacing w:after="0"/>
              <w:rPr>
                <w:sz w:val="1"/>
                <w:szCs w:val="1"/>
                <w:color w:val="auto"/>
              </w:rPr>
            </w:pPr>
          </w:p>
        </w:tc>
      </w:tr>
      <w:tr>
        <w:trPr>
          <w:trHeight w:val="162"/>
        </w:trPr>
        <w:tc>
          <w:tcPr>
            <w:tcW w:w="4640" w:type="dxa"/>
            <w:vAlign w:val="bottom"/>
            <w:vMerge w:val="restart"/>
            <w:shd w:val="clear" w:color="auto" w:fill="BF2115"/>
          </w:tcPr>
          <w:p>
            <w:pPr>
              <w:ind w:left="40"/>
              <w:spacing w:after="0"/>
              <w:rPr>
                <w:sz w:val="20"/>
                <w:szCs w:val="20"/>
                <w:color w:val="auto"/>
              </w:rPr>
            </w:pPr>
            <w:r>
              <w:rPr>
                <w:rFonts w:ascii="Arial" w:cs="Arial" w:eastAsia="Arial" w:hAnsi="Arial"/>
                <w:sz w:val="16"/>
                <w:szCs w:val="16"/>
                <w:b w:val="1"/>
                <w:bCs w:val="1"/>
                <w:color w:val="FFFFFF"/>
              </w:rPr>
              <w:t>Name</w:t>
            </w:r>
          </w:p>
        </w:tc>
        <w:tc>
          <w:tcPr>
            <w:tcW w:w="2220" w:type="dxa"/>
            <w:vAlign w:val="bottom"/>
            <w:shd w:val="clear" w:color="auto" w:fill="BF2115"/>
          </w:tcPr>
          <w:p>
            <w:pPr>
              <w:jc w:val="center"/>
              <w:ind w:left="361"/>
              <w:spacing w:after="0"/>
              <w:rPr>
                <w:sz w:val="20"/>
                <w:szCs w:val="20"/>
                <w:color w:val="auto"/>
              </w:rPr>
            </w:pPr>
            <w:r>
              <w:rPr>
                <w:rFonts w:ascii="Arial" w:cs="Arial" w:eastAsia="Arial" w:hAnsi="Arial"/>
                <w:sz w:val="14"/>
                <w:szCs w:val="14"/>
                <w:b w:val="1"/>
                <w:bCs w:val="1"/>
                <w:color w:val="FFFFFF"/>
              </w:rPr>
              <w:t>Common</w:t>
            </w:r>
          </w:p>
        </w:tc>
        <w:tc>
          <w:tcPr>
            <w:tcW w:w="1240" w:type="dxa"/>
            <w:vAlign w:val="bottom"/>
            <w:shd w:val="clear" w:color="auto" w:fill="BF2115"/>
          </w:tcPr>
          <w:p>
            <w:pPr>
              <w:jc w:val="center"/>
              <w:ind w:right="81"/>
              <w:spacing w:after="0"/>
              <w:rPr>
                <w:sz w:val="20"/>
                <w:szCs w:val="20"/>
                <w:color w:val="auto"/>
              </w:rPr>
            </w:pPr>
            <w:r>
              <w:rPr>
                <w:rFonts w:ascii="Arial" w:cs="Arial" w:eastAsia="Arial" w:hAnsi="Arial"/>
                <w:sz w:val="14"/>
                <w:szCs w:val="14"/>
                <w:b w:val="1"/>
                <w:bCs w:val="1"/>
                <w:color w:val="FFFFFF"/>
              </w:rPr>
              <w:t>Stock</w:t>
            </w:r>
          </w:p>
        </w:tc>
        <w:tc>
          <w:tcPr>
            <w:tcW w:w="1200" w:type="dxa"/>
            <w:vAlign w:val="bottom"/>
            <w:shd w:val="clear" w:color="auto" w:fill="BF2115"/>
          </w:tcPr>
          <w:p>
            <w:pPr>
              <w:jc w:val="center"/>
              <w:ind w:right="1"/>
              <w:spacing w:after="0"/>
              <w:rPr>
                <w:sz w:val="20"/>
                <w:szCs w:val="20"/>
                <w:color w:val="auto"/>
              </w:rPr>
            </w:pPr>
            <w:r>
              <w:rPr>
                <w:rFonts w:ascii="Arial" w:cs="Arial" w:eastAsia="Arial" w:hAnsi="Arial"/>
                <w:sz w:val="14"/>
                <w:szCs w:val="14"/>
                <w:b w:val="1"/>
                <w:bCs w:val="1"/>
                <w:color w:val="FFFFFF"/>
              </w:rPr>
              <w:t>Stock</w:t>
            </w:r>
          </w:p>
        </w:tc>
        <w:tc>
          <w:tcPr>
            <w:tcW w:w="1240" w:type="dxa"/>
            <w:vAlign w:val="bottom"/>
            <w:shd w:val="clear" w:color="auto" w:fill="BF2115"/>
          </w:tcPr>
          <w:p>
            <w:pPr>
              <w:jc w:val="center"/>
              <w:spacing w:after="0"/>
              <w:rPr>
                <w:sz w:val="20"/>
                <w:szCs w:val="20"/>
                <w:color w:val="auto"/>
              </w:rPr>
            </w:pPr>
            <w:r>
              <w:rPr>
                <w:rFonts w:ascii="Arial" w:cs="Arial" w:eastAsia="Arial" w:hAnsi="Arial"/>
                <w:sz w:val="14"/>
                <w:szCs w:val="14"/>
                <w:b w:val="1"/>
                <w:bCs w:val="1"/>
                <w:color w:val="FFFFFF"/>
              </w:rPr>
              <w:t>Stock Owned</w:t>
            </w:r>
          </w:p>
        </w:tc>
        <w:tc>
          <w:tcPr>
            <w:tcW w:w="880" w:type="dxa"/>
            <w:vAlign w:val="bottom"/>
            <w:shd w:val="clear" w:color="auto" w:fill="BF2115"/>
          </w:tcPr>
          <w:p>
            <w:pPr>
              <w:jc w:val="center"/>
              <w:spacing w:after="0"/>
              <w:rPr>
                <w:sz w:val="20"/>
                <w:szCs w:val="20"/>
                <w:color w:val="auto"/>
              </w:rPr>
            </w:pPr>
            <w:r>
              <w:rPr>
                <w:rFonts w:ascii="Arial" w:cs="Arial" w:eastAsia="Arial" w:hAnsi="Arial"/>
                <w:sz w:val="14"/>
                <w:szCs w:val="14"/>
                <w:b w:val="1"/>
                <w:bCs w:val="1"/>
                <w:color w:val="FFFFFF"/>
              </w:rPr>
              <w:t>Common</w:t>
            </w:r>
          </w:p>
        </w:tc>
        <w:tc>
          <w:tcPr>
            <w:tcW w:w="0" w:type="dxa"/>
            <w:vAlign w:val="bottom"/>
          </w:tcPr>
          <w:p>
            <w:pPr>
              <w:spacing w:after="0"/>
              <w:rPr>
                <w:sz w:val="1"/>
                <w:szCs w:val="1"/>
                <w:color w:val="auto"/>
              </w:rPr>
            </w:pPr>
          </w:p>
        </w:tc>
      </w:tr>
      <w:tr>
        <w:trPr>
          <w:trHeight w:val="202"/>
        </w:trPr>
        <w:tc>
          <w:tcPr>
            <w:tcW w:w="4640" w:type="dxa"/>
            <w:vAlign w:val="bottom"/>
            <w:vMerge w:val="continue"/>
            <w:shd w:val="clear" w:color="auto" w:fill="BF2115"/>
          </w:tcPr>
          <w:p>
            <w:pPr>
              <w:spacing w:after="0"/>
              <w:rPr>
                <w:sz w:val="17"/>
                <w:szCs w:val="17"/>
                <w:color w:val="auto"/>
              </w:rPr>
            </w:pPr>
          </w:p>
        </w:tc>
        <w:tc>
          <w:tcPr>
            <w:tcW w:w="2220" w:type="dxa"/>
            <w:vAlign w:val="bottom"/>
            <w:shd w:val="clear" w:color="auto" w:fill="BF2115"/>
          </w:tcPr>
          <w:p>
            <w:pPr>
              <w:jc w:val="center"/>
              <w:ind w:left="341"/>
              <w:spacing w:after="0"/>
              <w:rPr>
                <w:sz w:val="20"/>
                <w:szCs w:val="20"/>
                <w:color w:val="auto"/>
              </w:rPr>
            </w:pPr>
            <w:r>
              <w:rPr>
                <w:rFonts w:ascii="Arial" w:cs="Arial" w:eastAsia="Arial" w:hAnsi="Arial"/>
                <w:sz w:val="14"/>
                <w:szCs w:val="14"/>
                <w:b w:val="1"/>
                <w:bCs w:val="1"/>
                <w:color w:val="FFFFFF"/>
              </w:rPr>
              <w:t>Stock Owned Outright</w:t>
            </w:r>
          </w:p>
        </w:tc>
        <w:tc>
          <w:tcPr>
            <w:tcW w:w="1240" w:type="dxa"/>
            <w:vAlign w:val="bottom"/>
            <w:shd w:val="clear" w:color="auto" w:fill="BF2115"/>
          </w:tcPr>
          <w:p>
            <w:pPr>
              <w:jc w:val="center"/>
              <w:ind w:right="81"/>
              <w:spacing w:after="0"/>
              <w:rPr>
                <w:sz w:val="20"/>
                <w:szCs w:val="20"/>
                <w:color w:val="auto"/>
              </w:rPr>
            </w:pPr>
            <w:r>
              <w:rPr>
                <w:rFonts w:ascii="Arial" w:cs="Arial" w:eastAsia="Arial" w:hAnsi="Arial"/>
                <w:sz w:val="14"/>
                <w:szCs w:val="14"/>
                <w:b w:val="1"/>
                <w:bCs w:val="1"/>
                <w:color w:val="FFFFFF"/>
                <w:w w:val="95"/>
              </w:rPr>
              <w:t>Options</w:t>
            </w:r>
            <w:r>
              <w:rPr>
                <w:rFonts w:ascii="Arial" w:cs="Arial" w:eastAsia="Arial" w:hAnsi="Arial"/>
                <w:sz w:val="17"/>
                <w:szCs w:val="17"/>
                <w:b w:val="1"/>
                <w:bCs w:val="1"/>
                <w:color w:val="FFFFFF"/>
                <w:w w:val="95"/>
                <w:vertAlign w:val="superscript"/>
              </w:rPr>
              <w:t>(1)</w:t>
            </w:r>
          </w:p>
        </w:tc>
        <w:tc>
          <w:tcPr>
            <w:tcW w:w="1200" w:type="dxa"/>
            <w:vAlign w:val="bottom"/>
            <w:shd w:val="clear" w:color="auto" w:fill="BF2115"/>
          </w:tcPr>
          <w:p>
            <w:pPr>
              <w:jc w:val="center"/>
              <w:ind w:right="1"/>
              <w:spacing w:after="0"/>
              <w:rPr>
                <w:sz w:val="20"/>
                <w:szCs w:val="20"/>
                <w:color w:val="auto"/>
              </w:rPr>
            </w:pPr>
            <w:r>
              <w:rPr>
                <w:rFonts w:ascii="Arial" w:cs="Arial" w:eastAsia="Arial" w:hAnsi="Arial"/>
                <w:sz w:val="14"/>
                <w:szCs w:val="14"/>
                <w:b w:val="1"/>
                <w:bCs w:val="1"/>
                <w:color w:val="FFFFFF"/>
                <w:w w:val="98"/>
              </w:rPr>
              <w:t>Units</w:t>
            </w:r>
            <w:r>
              <w:rPr>
                <w:rFonts w:ascii="Arial" w:cs="Arial" w:eastAsia="Arial" w:hAnsi="Arial"/>
                <w:sz w:val="17"/>
                <w:szCs w:val="17"/>
                <w:b w:val="1"/>
                <w:bCs w:val="1"/>
                <w:color w:val="FFFFFF"/>
                <w:w w:val="98"/>
                <w:vertAlign w:val="superscript"/>
              </w:rPr>
              <w:t>(2)</w:t>
            </w:r>
          </w:p>
        </w:tc>
        <w:tc>
          <w:tcPr>
            <w:tcW w:w="1240" w:type="dxa"/>
            <w:vAlign w:val="bottom"/>
            <w:shd w:val="clear" w:color="auto" w:fill="BF2115"/>
          </w:tcPr>
          <w:p>
            <w:pPr>
              <w:jc w:val="center"/>
              <w:spacing w:after="0"/>
              <w:rPr>
                <w:sz w:val="20"/>
                <w:szCs w:val="20"/>
                <w:color w:val="auto"/>
              </w:rPr>
            </w:pPr>
            <w:r>
              <w:rPr>
                <w:rFonts w:ascii="Arial" w:cs="Arial" w:eastAsia="Arial" w:hAnsi="Arial"/>
                <w:sz w:val="14"/>
                <w:szCs w:val="14"/>
                <w:b w:val="1"/>
                <w:bCs w:val="1"/>
                <w:color w:val="FFFFFF"/>
              </w:rPr>
              <w:t>Beneficially</w:t>
            </w:r>
          </w:p>
        </w:tc>
        <w:tc>
          <w:tcPr>
            <w:tcW w:w="880" w:type="dxa"/>
            <w:vAlign w:val="bottom"/>
            <w:shd w:val="clear" w:color="auto" w:fill="BF2115"/>
          </w:tcPr>
          <w:p>
            <w:pPr>
              <w:jc w:val="center"/>
              <w:spacing w:after="0"/>
              <w:rPr>
                <w:sz w:val="20"/>
                <w:szCs w:val="20"/>
                <w:color w:val="auto"/>
              </w:rPr>
            </w:pPr>
            <w:r>
              <w:rPr>
                <w:rFonts w:ascii="Arial" w:cs="Arial" w:eastAsia="Arial" w:hAnsi="Arial"/>
                <w:sz w:val="14"/>
                <w:szCs w:val="14"/>
                <w:b w:val="1"/>
                <w:bCs w:val="1"/>
                <w:color w:val="FFFFFF"/>
                <w:w w:val="96"/>
              </w:rPr>
              <w:t>Stock</w:t>
            </w:r>
            <w:r>
              <w:rPr>
                <w:rFonts w:ascii="Arial" w:cs="Arial" w:eastAsia="Arial" w:hAnsi="Arial"/>
                <w:sz w:val="17"/>
                <w:szCs w:val="17"/>
                <w:b w:val="1"/>
                <w:bCs w:val="1"/>
                <w:color w:val="FFFFFF"/>
                <w:w w:val="96"/>
                <w:vertAlign w:val="superscript"/>
              </w:rPr>
              <w:t>(3)</w:t>
            </w:r>
          </w:p>
        </w:tc>
        <w:tc>
          <w:tcPr>
            <w:tcW w:w="0" w:type="dxa"/>
            <w:vAlign w:val="bottom"/>
          </w:tcPr>
          <w:p>
            <w:pPr>
              <w:spacing w:after="0"/>
              <w:rPr>
                <w:sz w:val="1"/>
                <w:szCs w:val="1"/>
                <w:color w:val="auto"/>
              </w:rPr>
            </w:pPr>
          </w:p>
        </w:tc>
      </w:tr>
      <w:tr>
        <w:trPr>
          <w:trHeight w:val="154"/>
        </w:trPr>
        <w:tc>
          <w:tcPr>
            <w:tcW w:w="4640" w:type="dxa"/>
            <w:vAlign w:val="bottom"/>
            <w:vMerge w:val="restart"/>
          </w:tcPr>
          <w:p>
            <w:pPr>
              <w:ind w:left="40"/>
              <w:spacing w:after="0"/>
              <w:rPr>
                <w:sz w:val="20"/>
                <w:szCs w:val="20"/>
                <w:color w:val="auto"/>
              </w:rPr>
            </w:pPr>
            <w:r>
              <w:rPr>
                <w:rFonts w:ascii="Arial" w:cs="Arial" w:eastAsia="Arial" w:hAnsi="Arial"/>
                <w:sz w:val="16"/>
                <w:szCs w:val="16"/>
                <w:color w:val="auto"/>
              </w:rPr>
              <w:t>Maria F. Blase</w:t>
            </w:r>
          </w:p>
        </w:tc>
        <w:tc>
          <w:tcPr>
            <w:tcW w:w="2220" w:type="dxa"/>
            <w:vAlign w:val="bottom"/>
            <w:vMerge w:val="restart"/>
          </w:tcPr>
          <w:p>
            <w:pPr>
              <w:jc w:val="right"/>
              <w:ind w:right="141"/>
              <w:spacing w:after="0"/>
              <w:rPr>
                <w:sz w:val="20"/>
                <w:szCs w:val="20"/>
                <w:color w:val="auto"/>
              </w:rPr>
            </w:pPr>
            <w:r>
              <w:rPr>
                <w:rFonts w:ascii="Arial" w:cs="Arial" w:eastAsia="Arial" w:hAnsi="Arial"/>
                <w:sz w:val="16"/>
                <w:szCs w:val="16"/>
                <w:color w:val="auto"/>
              </w:rPr>
              <w:t>—</w:t>
            </w:r>
          </w:p>
        </w:tc>
        <w:tc>
          <w:tcPr>
            <w:tcW w:w="1240" w:type="dxa"/>
            <w:vAlign w:val="bottom"/>
            <w:vMerge w:val="restart"/>
          </w:tcPr>
          <w:p>
            <w:pPr>
              <w:jc w:val="right"/>
              <w:ind w:right="121"/>
              <w:spacing w:after="0"/>
              <w:rPr>
                <w:sz w:val="20"/>
                <w:szCs w:val="20"/>
                <w:color w:val="auto"/>
              </w:rPr>
            </w:pPr>
            <w:r>
              <w:rPr>
                <w:rFonts w:ascii="Arial" w:cs="Arial" w:eastAsia="Arial" w:hAnsi="Arial"/>
                <w:sz w:val="16"/>
                <w:szCs w:val="16"/>
                <w:color w:val="auto"/>
              </w:rPr>
              <w:t>—</w:t>
            </w:r>
          </w:p>
        </w:tc>
        <w:tc>
          <w:tcPr>
            <w:tcW w:w="1200" w:type="dxa"/>
            <w:vAlign w:val="bottom"/>
            <w:vMerge w:val="restart"/>
          </w:tcPr>
          <w:p>
            <w:pPr>
              <w:jc w:val="right"/>
              <w:ind w:right="61"/>
              <w:spacing w:after="0"/>
              <w:rPr>
                <w:sz w:val="20"/>
                <w:szCs w:val="20"/>
                <w:color w:val="auto"/>
              </w:rPr>
            </w:pPr>
            <w:r>
              <w:rPr>
                <w:rFonts w:ascii="Arial" w:cs="Arial" w:eastAsia="Arial" w:hAnsi="Arial"/>
                <w:sz w:val="16"/>
                <w:szCs w:val="16"/>
                <w:color w:val="auto"/>
              </w:rPr>
              <w:t>—</w:t>
            </w:r>
          </w:p>
        </w:tc>
        <w:tc>
          <w:tcPr>
            <w:tcW w:w="1240" w:type="dxa"/>
            <w:vAlign w:val="bottom"/>
            <w:vMerge w:val="restart"/>
          </w:tcPr>
          <w:p>
            <w:pPr>
              <w:jc w:val="right"/>
              <w:ind w:right="61"/>
              <w:spacing w:after="0"/>
              <w:rPr>
                <w:sz w:val="20"/>
                <w:szCs w:val="20"/>
                <w:color w:val="auto"/>
              </w:rPr>
            </w:pPr>
            <w:r>
              <w:rPr>
                <w:rFonts w:ascii="Arial" w:cs="Arial" w:eastAsia="Arial" w:hAnsi="Arial"/>
                <w:sz w:val="16"/>
                <w:szCs w:val="16"/>
                <w:color w:val="auto"/>
              </w:rPr>
              <w:t>—</w:t>
            </w:r>
          </w:p>
        </w:tc>
        <w:tc>
          <w:tcPr>
            <w:tcW w:w="880" w:type="dxa"/>
            <w:vAlign w:val="bottom"/>
          </w:tcPr>
          <w:p>
            <w:pPr>
              <w:jc w:val="right"/>
              <w:ind w:right="260"/>
              <w:spacing w:after="0"/>
              <w:rPr>
                <w:sz w:val="20"/>
                <w:szCs w:val="20"/>
                <w:color w:val="auto"/>
              </w:rPr>
            </w:pPr>
            <w:r>
              <w:rPr>
                <w:rFonts w:ascii="Arial" w:cs="Arial" w:eastAsia="Arial" w:hAnsi="Arial"/>
                <w:sz w:val="11"/>
                <w:szCs w:val="11"/>
                <w:color w:val="auto"/>
              </w:rPr>
              <w:t>(4)</w:t>
            </w:r>
          </w:p>
        </w:tc>
        <w:tc>
          <w:tcPr>
            <w:tcW w:w="0" w:type="dxa"/>
            <w:vAlign w:val="bottom"/>
          </w:tcPr>
          <w:p>
            <w:pPr>
              <w:spacing w:after="0"/>
              <w:rPr>
                <w:sz w:val="1"/>
                <w:szCs w:val="1"/>
                <w:color w:val="auto"/>
              </w:rPr>
            </w:pPr>
          </w:p>
        </w:tc>
      </w:tr>
      <w:tr>
        <w:trPr>
          <w:trHeight w:val="80"/>
        </w:trPr>
        <w:tc>
          <w:tcPr>
            <w:tcW w:w="4640" w:type="dxa"/>
            <w:vAlign w:val="bottom"/>
            <w:vMerge w:val="continue"/>
          </w:tcPr>
          <w:p>
            <w:pPr>
              <w:spacing w:after="0"/>
              <w:rPr>
                <w:sz w:val="6"/>
                <w:szCs w:val="6"/>
                <w:color w:val="auto"/>
              </w:rPr>
            </w:pPr>
          </w:p>
        </w:tc>
        <w:tc>
          <w:tcPr>
            <w:tcW w:w="2220" w:type="dxa"/>
            <w:vAlign w:val="bottom"/>
            <w:vMerge w:val="continue"/>
          </w:tcPr>
          <w:p>
            <w:pPr>
              <w:spacing w:after="0"/>
              <w:rPr>
                <w:sz w:val="6"/>
                <w:szCs w:val="6"/>
                <w:color w:val="auto"/>
              </w:rPr>
            </w:pPr>
          </w:p>
        </w:tc>
        <w:tc>
          <w:tcPr>
            <w:tcW w:w="1240" w:type="dxa"/>
            <w:vAlign w:val="bottom"/>
            <w:vMerge w:val="continue"/>
          </w:tcPr>
          <w:p>
            <w:pPr>
              <w:spacing w:after="0"/>
              <w:rPr>
                <w:sz w:val="6"/>
                <w:szCs w:val="6"/>
                <w:color w:val="auto"/>
              </w:rPr>
            </w:pPr>
          </w:p>
        </w:tc>
        <w:tc>
          <w:tcPr>
            <w:tcW w:w="1200" w:type="dxa"/>
            <w:vAlign w:val="bottom"/>
            <w:vMerge w:val="continue"/>
          </w:tcPr>
          <w:p>
            <w:pPr>
              <w:spacing w:after="0"/>
              <w:rPr>
                <w:sz w:val="6"/>
                <w:szCs w:val="6"/>
                <w:color w:val="auto"/>
              </w:rPr>
            </w:pPr>
          </w:p>
        </w:tc>
        <w:tc>
          <w:tcPr>
            <w:tcW w:w="1240" w:type="dxa"/>
            <w:vAlign w:val="bottom"/>
            <w:vMerge w:val="continue"/>
          </w:tcPr>
          <w:p>
            <w:pPr>
              <w:spacing w:after="0"/>
              <w:rPr>
                <w:sz w:val="6"/>
                <w:szCs w:val="6"/>
                <w:color w:val="auto"/>
              </w:rPr>
            </w:pPr>
          </w:p>
        </w:tc>
        <w:tc>
          <w:tcPr>
            <w:tcW w:w="8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63"/>
        </w:trPr>
        <w:tc>
          <w:tcPr>
            <w:tcW w:w="4640" w:type="dxa"/>
            <w:vAlign w:val="bottom"/>
            <w:vMerge w:val="restart"/>
            <w:shd w:val="clear" w:color="auto" w:fill="ACACAC"/>
          </w:tcPr>
          <w:p>
            <w:pPr>
              <w:ind w:left="40"/>
              <w:spacing w:after="0"/>
              <w:rPr>
                <w:sz w:val="20"/>
                <w:szCs w:val="20"/>
                <w:color w:val="auto"/>
              </w:rPr>
            </w:pPr>
            <w:r>
              <w:rPr>
                <w:rFonts w:ascii="Arial" w:cs="Arial" w:eastAsia="Arial" w:hAnsi="Arial"/>
                <w:sz w:val="16"/>
                <w:szCs w:val="16"/>
                <w:color w:val="auto"/>
              </w:rPr>
              <w:t>Christopher J. Braun</w:t>
            </w:r>
          </w:p>
        </w:tc>
        <w:tc>
          <w:tcPr>
            <w:tcW w:w="2220" w:type="dxa"/>
            <w:vAlign w:val="bottom"/>
            <w:vMerge w:val="restart"/>
            <w:shd w:val="clear" w:color="auto" w:fill="ACACAC"/>
          </w:tcPr>
          <w:p>
            <w:pPr>
              <w:jc w:val="right"/>
              <w:ind w:right="141"/>
              <w:spacing w:after="0"/>
              <w:rPr>
                <w:sz w:val="20"/>
                <w:szCs w:val="20"/>
                <w:color w:val="auto"/>
              </w:rPr>
            </w:pPr>
            <w:r>
              <w:rPr>
                <w:rFonts w:ascii="Arial" w:cs="Arial" w:eastAsia="Arial" w:hAnsi="Arial"/>
                <w:sz w:val="16"/>
                <w:szCs w:val="16"/>
                <w:color w:val="auto"/>
              </w:rPr>
              <w:t>9,740</w:t>
            </w:r>
          </w:p>
        </w:tc>
        <w:tc>
          <w:tcPr>
            <w:tcW w:w="1240" w:type="dxa"/>
            <w:vAlign w:val="bottom"/>
            <w:vMerge w:val="restart"/>
            <w:shd w:val="clear" w:color="auto" w:fill="ACACAC"/>
          </w:tcPr>
          <w:p>
            <w:pPr>
              <w:jc w:val="right"/>
              <w:ind w:right="121"/>
              <w:spacing w:after="0"/>
              <w:rPr>
                <w:sz w:val="20"/>
                <w:szCs w:val="20"/>
                <w:color w:val="auto"/>
              </w:rPr>
            </w:pPr>
            <w:r>
              <w:rPr>
                <w:rFonts w:ascii="Arial" w:cs="Arial" w:eastAsia="Arial" w:hAnsi="Arial"/>
                <w:sz w:val="16"/>
                <w:szCs w:val="16"/>
                <w:color w:val="auto"/>
              </w:rPr>
              <w:t>—</w:t>
            </w:r>
          </w:p>
        </w:tc>
        <w:tc>
          <w:tcPr>
            <w:tcW w:w="1200" w:type="dxa"/>
            <w:vAlign w:val="bottom"/>
            <w:vMerge w:val="restart"/>
            <w:shd w:val="clear" w:color="auto" w:fill="ACACAC"/>
          </w:tcPr>
          <w:p>
            <w:pPr>
              <w:jc w:val="right"/>
              <w:ind w:right="61"/>
              <w:spacing w:after="0"/>
              <w:rPr>
                <w:sz w:val="20"/>
                <w:szCs w:val="20"/>
                <w:color w:val="auto"/>
              </w:rPr>
            </w:pPr>
            <w:r>
              <w:rPr>
                <w:rFonts w:ascii="Arial" w:cs="Arial" w:eastAsia="Arial" w:hAnsi="Arial"/>
                <w:sz w:val="16"/>
                <w:szCs w:val="16"/>
                <w:color w:val="auto"/>
              </w:rPr>
              <w:t>—</w:t>
            </w:r>
          </w:p>
        </w:tc>
        <w:tc>
          <w:tcPr>
            <w:tcW w:w="1240" w:type="dxa"/>
            <w:vAlign w:val="bottom"/>
            <w:vMerge w:val="restart"/>
            <w:shd w:val="clear" w:color="auto" w:fill="ACACAC"/>
          </w:tcPr>
          <w:p>
            <w:pPr>
              <w:jc w:val="right"/>
              <w:ind w:right="61"/>
              <w:spacing w:after="0"/>
              <w:rPr>
                <w:sz w:val="20"/>
                <w:szCs w:val="20"/>
                <w:color w:val="auto"/>
              </w:rPr>
            </w:pPr>
            <w:r>
              <w:rPr>
                <w:rFonts w:ascii="Arial" w:cs="Arial" w:eastAsia="Arial" w:hAnsi="Arial"/>
                <w:sz w:val="16"/>
                <w:szCs w:val="16"/>
                <w:color w:val="auto"/>
              </w:rPr>
              <w:t>9,740</w:t>
            </w:r>
          </w:p>
        </w:tc>
        <w:tc>
          <w:tcPr>
            <w:tcW w:w="880" w:type="dxa"/>
            <w:vAlign w:val="bottom"/>
            <w:shd w:val="clear" w:color="auto" w:fill="ACACAC"/>
          </w:tcPr>
          <w:p>
            <w:pPr>
              <w:jc w:val="right"/>
              <w:ind w:right="260"/>
              <w:spacing w:after="0"/>
              <w:rPr>
                <w:sz w:val="20"/>
                <w:szCs w:val="20"/>
                <w:color w:val="auto"/>
              </w:rPr>
            </w:pPr>
            <w:r>
              <w:rPr>
                <w:rFonts w:ascii="Arial" w:cs="Arial" w:eastAsia="Arial" w:hAnsi="Arial"/>
                <w:sz w:val="11"/>
                <w:szCs w:val="11"/>
                <w:color w:val="auto"/>
              </w:rPr>
              <w:t>(4)</w:t>
            </w:r>
          </w:p>
        </w:tc>
        <w:tc>
          <w:tcPr>
            <w:tcW w:w="0" w:type="dxa"/>
            <w:vAlign w:val="bottom"/>
          </w:tcPr>
          <w:p>
            <w:pPr>
              <w:spacing w:after="0"/>
              <w:rPr>
                <w:sz w:val="1"/>
                <w:szCs w:val="1"/>
                <w:color w:val="auto"/>
              </w:rPr>
            </w:pPr>
          </w:p>
        </w:tc>
      </w:tr>
      <w:tr>
        <w:trPr>
          <w:trHeight w:val="90"/>
        </w:trPr>
        <w:tc>
          <w:tcPr>
            <w:tcW w:w="4640" w:type="dxa"/>
            <w:vAlign w:val="bottom"/>
            <w:vMerge w:val="continue"/>
            <w:shd w:val="clear" w:color="auto" w:fill="ACACAC"/>
          </w:tcPr>
          <w:p>
            <w:pPr>
              <w:spacing w:after="0"/>
              <w:rPr>
                <w:sz w:val="7"/>
                <w:szCs w:val="7"/>
                <w:color w:val="auto"/>
              </w:rPr>
            </w:pPr>
          </w:p>
        </w:tc>
        <w:tc>
          <w:tcPr>
            <w:tcW w:w="2220" w:type="dxa"/>
            <w:vAlign w:val="bottom"/>
            <w:vMerge w:val="continue"/>
            <w:shd w:val="clear" w:color="auto" w:fill="ACACAC"/>
          </w:tcPr>
          <w:p>
            <w:pPr>
              <w:spacing w:after="0"/>
              <w:rPr>
                <w:sz w:val="7"/>
                <w:szCs w:val="7"/>
                <w:color w:val="auto"/>
              </w:rPr>
            </w:pPr>
          </w:p>
        </w:tc>
        <w:tc>
          <w:tcPr>
            <w:tcW w:w="1240" w:type="dxa"/>
            <w:vAlign w:val="bottom"/>
            <w:vMerge w:val="continue"/>
            <w:shd w:val="clear" w:color="auto" w:fill="ACACAC"/>
          </w:tcPr>
          <w:p>
            <w:pPr>
              <w:spacing w:after="0"/>
              <w:rPr>
                <w:sz w:val="7"/>
                <w:szCs w:val="7"/>
                <w:color w:val="auto"/>
              </w:rPr>
            </w:pPr>
          </w:p>
        </w:tc>
        <w:tc>
          <w:tcPr>
            <w:tcW w:w="1200" w:type="dxa"/>
            <w:vAlign w:val="bottom"/>
            <w:vMerge w:val="continue"/>
            <w:shd w:val="clear" w:color="auto" w:fill="ACACAC"/>
          </w:tcPr>
          <w:p>
            <w:pPr>
              <w:spacing w:after="0"/>
              <w:rPr>
                <w:sz w:val="7"/>
                <w:szCs w:val="7"/>
                <w:color w:val="auto"/>
              </w:rPr>
            </w:pPr>
          </w:p>
        </w:tc>
        <w:tc>
          <w:tcPr>
            <w:tcW w:w="1240" w:type="dxa"/>
            <w:vAlign w:val="bottom"/>
            <w:vMerge w:val="continue"/>
            <w:shd w:val="clear" w:color="auto" w:fill="ACACAC"/>
          </w:tcPr>
          <w:p>
            <w:pPr>
              <w:spacing w:after="0"/>
              <w:rPr>
                <w:sz w:val="7"/>
                <w:szCs w:val="7"/>
                <w:color w:val="auto"/>
              </w:rPr>
            </w:pPr>
          </w:p>
        </w:tc>
        <w:tc>
          <w:tcPr>
            <w:tcW w:w="880" w:type="dxa"/>
            <w:vAlign w:val="bottom"/>
            <w:shd w:val="clear" w:color="auto" w:fill="ACACAC"/>
          </w:tcPr>
          <w:p>
            <w:pPr>
              <w:spacing w:after="0"/>
              <w:rPr>
                <w:sz w:val="7"/>
                <w:szCs w:val="7"/>
                <w:color w:val="auto"/>
              </w:rPr>
            </w:pPr>
          </w:p>
        </w:tc>
        <w:tc>
          <w:tcPr>
            <w:tcW w:w="0" w:type="dxa"/>
            <w:vAlign w:val="bottom"/>
          </w:tcPr>
          <w:p>
            <w:pPr>
              <w:spacing w:after="0"/>
              <w:rPr>
                <w:sz w:val="1"/>
                <w:szCs w:val="1"/>
                <w:color w:val="auto"/>
              </w:rPr>
            </w:pPr>
          </w:p>
        </w:tc>
      </w:tr>
      <w:tr>
        <w:trPr>
          <w:trHeight w:val="154"/>
        </w:trPr>
        <w:tc>
          <w:tcPr>
            <w:tcW w:w="4640" w:type="dxa"/>
            <w:vAlign w:val="bottom"/>
            <w:vMerge w:val="restart"/>
          </w:tcPr>
          <w:p>
            <w:pPr>
              <w:ind w:left="40"/>
              <w:spacing w:after="0"/>
              <w:rPr>
                <w:sz w:val="20"/>
                <w:szCs w:val="20"/>
                <w:color w:val="auto"/>
              </w:rPr>
            </w:pPr>
            <w:r>
              <w:rPr>
                <w:rFonts w:ascii="Arial" w:cs="Arial" w:eastAsia="Arial" w:hAnsi="Arial"/>
                <w:sz w:val="16"/>
                <w:szCs w:val="16"/>
                <w:color w:val="auto"/>
              </w:rPr>
              <w:t>Stacy L. Bogart</w:t>
            </w:r>
          </w:p>
        </w:tc>
        <w:tc>
          <w:tcPr>
            <w:tcW w:w="2220" w:type="dxa"/>
            <w:vAlign w:val="bottom"/>
            <w:vMerge w:val="restart"/>
          </w:tcPr>
          <w:p>
            <w:pPr>
              <w:jc w:val="right"/>
              <w:ind w:right="141"/>
              <w:spacing w:after="0"/>
              <w:rPr>
                <w:sz w:val="20"/>
                <w:szCs w:val="20"/>
                <w:color w:val="auto"/>
              </w:rPr>
            </w:pPr>
            <w:r>
              <w:rPr>
                <w:rFonts w:ascii="Arial" w:cs="Arial" w:eastAsia="Arial" w:hAnsi="Arial"/>
                <w:sz w:val="16"/>
                <w:szCs w:val="16"/>
                <w:color w:val="auto"/>
              </w:rPr>
              <w:t>10,000</w:t>
            </w:r>
          </w:p>
        </w:tc>
        <w:tc>
          <w:tcPr>
            <w:tcW w:w="1240" w:type="dxa"/>
            <w:vAlign w:val="bottom"/>
            <w:vMerge w:val="restart"/>
          </w:tcPr>
          <w:p>
            <w:pPr>
              <w:jc w:val="right"/>
              <w:ind w:right="121"/>
              <w:spacing w:after="0"/>
              <w:rPr>
                <w:sz w:val="20"/>
                <w:szCs w:val="20"/>
                <w:color w:val="auto"/>
              </w:rPr>
            </w:pPr>
            <w:r>
              <w:rPr>
                <w:rFonts w:ascii="Arial" w:cs="Arial" w:eastAsia="Arial" w:hAnsi="Arial"/>
                <w:sz w:val="16"/>
                <w:szCs w:val="16"/>
                <w:color w:val="auto"/>
              </w:rPr>
              <w:t>—</w:t>
            </w:r>
          </w:p>
        </w:tc>
        <w:tc>
          <w:tcPr>
            <w:tcW w:w="1200" w:type="dxa"/>
            <w:vAlign w:val="bottom"/>
            <w:vMerge w:val="restart"/>
          </w:tcPr>
          <w:p>
            <w:pPr>
              <w:jc w:val="right"/>
              <w:ind w:right="61"/>
              <w:spacing w:after="0"/>
              <w:rPr>
                <w:sz w:val="20"/>
                <w:szCs w:val="20"/>
                <w:color w:val="auto"/>
              </w:rPr>
            </w:pPr>
            <w:r>
              <w:rPr>
                <w:rFonts w:ascii="Arial" w:cs="Arial" w:eastAsia="Arial" w:hAnsi="Arial"/>
                <w:sz w:val="16"/>
                <w:szCs w:val="16"/>
                <w:color w:val="auto"/>
              </w:rPr>
              <w:t>—</w:t>
            </w:r>
          </w:p>
        </w:tc>
        <w:tc>
          <w:tcPr>
            <w:tcW w:w="1240" w:type="dxa"/>
            <w:vAlign w:val="bottom"/>
            <w:vMerge w:val="restart"/>
          </w:tcPr>
          <w:p>
            <w:pPr>
              <w:jc w:val="right"/>
              <w:ind w:right="61"/>
              <w:spacing w:after="0"/>
              <w:rPr>
                <w:sz w:val="20"/>
                <w:szCs w:val="20"/>
                <w:color w:val="auto"/>
              </w:rPr>
            </w:pPr>
            <w:r>
              <w:rPr>
                <w:rFonts w:ascii="Arial" w:cs="Arial" w:eastAsia="Arial" w:hAnsi="Arial"/>
                <w:sz w:val="16"/>
                <w:szCs w:val="16"/>
                <w:color w:val="auto"/>
              </w:rPr>
              <w:t>10,000</w:t>
            </w:r>
          </w:p>
        </w:tc>
        <w:tc>
          <w:tcPr>
            <w:tcW w:w="880" w:type="dxa"/>
            <w:vAlign w:val="bottom"/>
          </w:tcPr>
          <w:p>
            <w:pPr>
              <w:jc w:val="right"/>
              <w:ind w:right="260"/>
              <w:spacing w:after="0"/>
              <w:rPr>
                <w:sz w:val="20"/>
                <w:szCs w:val="20"/>
                <w:color w:val="auto"/>
              </w:rPr>
            </w:pPr>
            <w:r>
              <w:rPr>
                <w:rFonts w:ascii="Arial" w:cs="Arial" w:eastAsia="Arial" w:hAnsi="Arial"/>
                <w:sz w:val="11"/>
                <w:szCs w:val="11"/>
                <w:color w:val="auto"/>
              </w:rPr>
              <w:t>(4)</w:t>
            </w:r>
          </w:p>
        </w:tc>
        <w:tc>
          <w:tcPr>
            <w:tcW w:w="0" w:type="dxa"/>
            <w:vAlign w:val="bottom"/>
          </w:tcPr>
          <w:p>
            <w:pPr>
              <w:spacing w:after="0"/>
              <w:rPr>
                <w:sz w:val="1"/>
                <w:szCs w:val="1"/>
                <w:color w:val="auto"/>
              </w:rPr>
            </w:pPr>
          </w:p>
        </w:tc>
      </w:tr>
      <w:tr>
        <w:trPr>
          <w:trHeight w:val="80"/>
        </w:trPr>
        <w:tc>
          <w:tcPr>
            <w:tcW w:w="4640" w:type="dxa"/>
            <w:vAlign w:val="bottom"/>
            <w:vMerge w:val="continue"/>
          </w:tcPr>
          <w:p>
            <w:pPr>
              <w:spacing w:after="0"/>
              <w:rPr>
                <w:sz w:val="6"/>
                <w:szCs w:val="6"/>
                <w:color w:val="auto"/>
              </w:rPr>
            </w:pPr>
          </w:p>
        </w:tc>
        <w:tc>
          <w:tcPr>
            <w:tcW w:w="2220" w:type="dxa"/>
            <w:vAlign w:val="bottom"/>
            <w:vMerge w:val="continue"/>
          </w:tcPr>
          <w:p>
            <w:pPr>
              <w:spacing w:after="0"/>
              <w:rPr>
                <w:sz w:val="6"/>
                <w:szCs w:val="6"/>
                <w:color w:val="auto"/>
              </w:rPr>
            </w:pPr>
          </w:p>
        </w:tc>
        <w:tc>
          <w:tcPr>
            <w:tcW w:w="1240" w:type="dxa"/>
            <w:vAlign w:val="bottom"/>
            <w:vMerge w:val="continue"/>
          </w:tcPr>
          <w:p>
            <w:pPr>
              <w:spacing w:after="0"/>
              <w:rPr>
                <w:sz w:val="6"/>
                <w:szCs w:val="6"/>
                <w:color w:val="auto"/>
              </w:rPr>
            </w:pPr>
          </w:p>
        </w:tc>
        <w:tc>
          <w:tcPr>
            <w:tcW w:w="1200" w:type="dxa"/>
            <w:vAlign w:val="bottom"/>
            <w:vMerge w:val="continue"/>
          </w:tcPr>
          <w:p>
            <w:pPr>
              <w:spacing w:after="0"/>
              <w:rPr>
                <w:sz w:val="6"/>
                <w:szCs w:val="6"/>
                <w:color w:val="auto"/>
              </w:rPr>
            </w:pPr>
          </w:p>
        </w:tc>
        <w:tc>
          <w:tcPr>
            <w:tcW w:w="1240" w:type="dxa"/>
            <w:vAlign w:val="bottom"/>
            <w:vMerge w:val="continue"/>
          </w:tcPr>
          <w:p>
            <w:pPr>
              <w:spacing w:after="0"/>
              <w:rPr>
                <w:sz w:val="6"/>
                <w:szCs w:val="6"/>
                <w:color w:val="auto"/>
              </w:rPr>
            </w:pPr>
          </w:p>
        </w:tc>
        <w:tc>
          <w:tcPr>
            <w:tcW w:w="8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63"/>
        </w:trPr>
        <w:tc>
          <w:tcPr>
            <w:tcW w:w="4640" w:type="dxa"/>
            <w:vAlign w:val="bottom"/>
            <w:vMerge w:val="restart"/>
            <w:shd w:val="clear" w:color="auto" w:fill="ACACAC"/>
          </w:tcPr>
          <w:p>
            <w:pPr>
              <w:ind w:left="40"/>
              <w:spacing w:after="0"/>
              <w:rPr>
                <w:sz w:val="20"/>
                <w:szCs w:val="20"/>
                <w:color w:val="auto"/>
              </w:rPr>
            </w:pPr>
            <w:r>
              <w:rPr>
                <w:rFonts w:ascii="Arial" w:cs="Arial" w:eastAsia="Arial" w:hAnsi="Arial"/>
                <w:sz w:val="16"/>
                <w:szCs w:val="16"/>
                <w:color w:val="auto"/>
              </w:rPr>
              <w:t>Robert M. Chiusano</w:t>
            </w:r>
          </w:p>
        </w:tc>
        <w:tc>
          <w:tcPr>
            <w:tcW w:w="2220" w:type="dxa"/>
            <w:vAlign w:val="bottom"/>
            <w:vMerge w:val="restart"/>
            <w:shd w:val="clear" w:color="auto" w:fill="ACACAC"/>
          </w:tcPr>
          <w:p>
            <w:pPr>
              <w:jc w:val="right"/>
              <w:ind w:right="141"/>
              <w:spacing w:after="0"/>
              <w:rPr>
                <w:sz w:val="20"/>
                <w:szCs w:val="20"/>
                <w:color w:val="auto"/>
              </w:rPr>
            </w:pPr>
            <w:r>
              <w:rPr>
                <w:rFonts w:ascii="Arial" w:cs="Arial" w:eastAsia="Arial" w:hAnsi="Arial"/>
                <w:sz w:val="16"/>
                <w:szCs w:val="16"/>
                <w:color w:val="auto"/>
              </w:rPr>
              <w:t>24,700</w:t>
            </w:r>
          </w:p>
        </w:tc>
        <w:tc>
          <w:tcPr>
            <w:tcW w:w="1240" w:type="dxa"/>
            <w:vAlign w:val="bottom"/>
            <w:vMerge w:val="restart"/>
            <w:shd w:val="clear" w:color="auto" w:fill="ACACAC"/>
          </w:tcPr>
          <w:p>
            <w:pPr>
              <w:jc w:val="right"/>
              <w:ind w:right="121"/>
              <w:spacing w:after="0"/>
              <w:rPr>
                <w:sz w:val="20"/>
                <w:szCs w:val="20"/>
                <w:color w:val="auto"/>
              </w:rPr>
            </w:pPr>
            <w:r>
              <w:rPr>
                <w:rFonts w:ascii="Arial" w:cs="Arial" w:eastAsia="Arial" w:hAnsi="Arial"/>
                <w:sz w:val="16"/>
                <w:szCs w:val="16"/>
                <w:color w:val="auto"/>
              </w:rPr>
              <w:t>—</w:t>
            </w:r>
          </w:p>
        </w:tc>
        <w:tc>
          <w:tcPr>
            <w:tcW w:w="1200" w:type="dxa"/>
            <w:vAlign w:val="bottom"/>
            <w:vMerge w:val="restart"/>
            <w:shd w:val="clear" w:color="auto" w:fill="ACACAC"/>
          </w:tcPr>
          <w:p>
            <w:pPr>
              <w:jc w:val="right"/>
              <w:ind w:right="61"/>
              <w:spacing w:after="0"/>
              <w:rPr>
                <w:sz w:val="20"/>
                <w:szCs w:val="20"/>
                <w:color w:val="auto"/>
              </w:rPr>
            </w:pPr>
            <w:r>
              <w:rPr>
                <w:rFonts w:ascii="Arial" w:cs="Arial" w:eastAsia="Arial" w:hAnsi="Arial"/>
                <w:sz w:val="16"/>
                <w:szCs w:val="16"/>
                <w:color w:val="auto"/>
              </w:rPr>
              <w:t>24,880</w:t>
            </w:r>
          </w:p>
        </w:tc>
        <w:tc>
          <w:tcPr>
            <w:tcW w:w="1240" w:type="dxa"/>
            <w:vAlign w:val="bottom"/>
            <w:vMerge w:val="restart"/>
            <w:shd w:val="clear" w:color="auto" w:fill="ACACAC"/>
          </w:tcPr>
          <w:p>
            <w:pPr>
              <w:jc w:val="right"/>
              <w:ind w:right="61"/>
              <w:spacing w:after="0"/>
              <w:rPr>
                <w:sz w:val="20"/>
                <w:szCs w:val="20"/>
                <w:color w:val="auto"/>
              </w:rPr>
            </w:pPr>
            <w:r>
              <w:rPr>
                <w:rFonts w:ascii="Arial" w:cs="Arial" w:eastAsia="Arial" w:hAnsi="Arial"/>
                <w:sz w:val="16"/>
                <w:szCs w:val="16"/>
                <w:color w:val="auto"/>
              </w:rPr>
              <w:t>49,580</w:t>
            </w:r>
          </w:p>
        </w:tc>
        <w:tc>
          <w:tcPr>
            <w:tcW w:w="880" w:type="dxa"/>
            <w:vAlign w:val="bottom"/>
            <w:shd w:val="clear" w:color="auto" w:fill="ACACAC"/>
          </w:tcPr>
          <w:p>
            <w:pPr>
              <w:jc w:val="right"/>
              <w:ind w:right="260"/>
              <w:spacing w:after="0"/>
              <w:rPr>
                <w:sz w:val="20"/>
                <w:szCs w:val="20"/>
                <w:color w:val="auto"/>
              </w:rPr>
            </w:pPr>
            <w:r>
              <w:rPr>
                <w:rFonts w:ascii="Arial" w:cs="Arial" w:eastAsia="Arial" w:hAnsi="Arial"/>
                <w:sz w:val="11"/>
                <w:szCs w:val="11"/>
                <w:color w:val="auto"/>
              </w:rPr>
              <w:t>(4)</w:t>
            </w:r>
          </w:p>
        </w:tc>
        <w:tc>
          <w:tcPr>
            <w:tcW w:w="0" w:type="dxa"/>
            <w:vAlign w:val="bottom"/>
          </w:tcPr>
          <w:p>
            <w:pPr>
              <w:spacing w:after="0"/>
              <w:rPr>
                <w:sz w:val="1"/>
                <w:szCs w:val="1"/>
                <w:color w:val="auto"/>
              </w:rPr>
            </w:pPr>
          </w:p>
        </w:tc>
      </w:tr>
      <w:tr>
        <w:trPr>
          <w:trHeight w:val="90"/>
        </w:trPr>
        <w:tc>
          <w:tcPr>
            <w:tcW w:w="4640" w:type="dxa"/>
            <w:vAlign w:val="bottom"/>
            <w:vMerge w:val="continue"/>
            <w:shd w:val="clear" w:color="auto" w:fill="ACACAC"/>
          </w:tcPr>
          <w:p>
            <w:pPr>
              <w:spacing w:after="0"/>
              <w:rPr>
                <w:sz w:val="7"/>
                <w:szCs w:val="7"/>
                <w:color w:val="auto"/>
              </w:rPr>
            </w:pPr>
          </w:p>
        </w:tc>
        <w:tc>
          <w:tcPr>
            <w:tcW w:w="2220" w:type="dxa"/>
            <w:vAlign w:val="bottom"/>
            <w:vMerge w:val="continue"/>
            <w:shd w:val="clear" w:color="auto" w:fill="ACACAC"/>
          </w:tcPr>
          <w:p>
            <w:pPr>
              <w:spacing w:after="0"/>
              <w:rPr>
                <w:sz w:val="7"/>
                <w:szCs w:val="7"/>
                <w:color w:val="auto"/>
              </w:rPr>
            </w:pPr>
          </w:p>
        </w:tc>
        <w:tc>
          <w:tcPr>
            <w:tcW w:w="1240" w:type="dxa"/>
            <w:vAlign w:val="bottom"/>
            <w:vMerge w:val="continue"/>
            <w:shd w:val="clear" w:color="auto" w:fill="ACACAC"/>
          </w:tcPr>
          <w:p>
            <w:pPr>
              <w:spacing w:after="0"/>
              <w:rPr>
                <w:sz w:val="7"/>
                <w:szCs w:val="7"/>
                <w:color w:val="auto"/>
              </w:rPr>
            </w:pPr>
          </w:p>
        </w:tc>
        <w:tc>
          <w:tcPr>
            <w:tcW w:w="1200" w:type="dxa"/>
            <w:vAlign w:val="bottom"/>
            <w:vMerge w:val="continue"/>
            <w:shd w:val="clear" w:color="auto" w:fill="ACACAC"/>
          </w:tcPr>
          <w:p>
            <w:pPr>
              <w:spacing w:after="0"/>
              <w:rPr>
                <w:sz w:val="7"/>
                <w:szCs w:val="7"/>
                <w:color w:val="auto"/>
              </w:rPr>
            </w:pPr>
          </w:p>
        </w:tc>
        <w:tc>
          <w:tcPr>
            <w:tcW w:w="1240" w:type="dxa"/>
            <w:vAlign w:val="bottom"/>
            <w:vMerge w:val="continue"/>
            <w:shd w:val="clear" w:color="auto" w:fill="ACACAC"/>
          </w:tcPr>
          <w:p>
            <w:pPr>
              <w:spacing w:after="0"/>
              <w:rPr>
                <w:sz w:val="7"/>
                <w:szCs w:val="7"/>
                <w:color w:val="auto"/>
              </w:rPr>
            </w:pPr>
          </w:p>
        </w:tc>
        <w:tc>
          <w:tcPr>
            <w:tcW w:w="880" w:type="dxa"/>
            <w:vAlign w:val="bottom"/>
            <w:shd w:val="clear" w:color="auto" w:fill="ACACAC"/>
          </w:tcPr>
          <w:p>
            <w:pPr>
              <w:spacing w:after="0"/>
              <w:rPr>
                <w:sz w:val="7"/>
                <w:szCs w:val="7"/>
                <w:color w:val="auto"/>
              </w:rPr>
            </w:pPr>
          </w:p>
        </w:tc>
        <w:tc>
          <w:tcPr>
            <w:tcW w:w="0" w:type="dxa"/>
            <w:vAlign w:val="bottom"/>
          </w:tcPr>
          <w:p>
            <w:pPr>
              <w:spacing w:after="0"/>
              <w:rPr>
                <w:sz w:val="1"/>
                <w:szCs w:val="1"/>
                <w:color w:val="auto"/>
              </w:rPr>
            </w:pPr>
          </w:p>
        </w:tc>
      </w:tr>
      <w:tr>
        <w:trPr>
          <w:trHeight w:val="233"/>
        </w:trPr>
        <w:tc>
          <w:tcPr>
            <w:tcW w:w="4640" w:type="dxa"/>
            <w:vAlign w:val="bottom"/>
          </w:tcPr>
          <w:p>
            <w:pPr>
              <w:ind w:left="40"/>
              <w:spacing w:after="0"/>
              <w:rPr>
                <w:sz w:val="20"/>
                <w:szCs w:val="20"/>
                <w:color w:val="auto"/>
              </w:rPr>
            </w:pPr>
            <w:r>
              <w:rPr>
                <w:rFonts w:ascii="Arial" w:cs="Arial" w:eastAsia="Arial" w:hAnsi="Arial"/>
                <w:sz w:val="16"/>
                <w:szCs w:val="16"/>
                <w:color w:val="auto"/>
              </w:rPr>
              <w:t>Donald J. Clark</w:t>
            </w:r>
          </w:p>
        </w:tc>
        <w:tc>
          <w:tcPr>
            <w:tcW w:w="2220" w:type="dxa"/>
            <w:vAlign w:val="bottom"/>
          </w:tcPr>
          <w:p>
            <w:pPr>
              <w:jc w:val="right"/>
              <w:ind w:right="141"/>
              <w:spacing w:after="0"/>
              <w:rPr>
                <w:sz w:val="20"/>
                <w:szCs w:val="20"/>
                <w:color w:val="auto"/>
              </w:rPr>
            </w:pPr>
            <w:r>
              <w:rPr>
                <w:rFonts w:ascii="Arial" w:cs="Arial" w:eastAsia="Arial" w:hAnsi="Arial"/>
                <w:sz w:val="16"/>
                <w:szCs w:val="16"/>
                <w:color w:val="auto"/>
              </w:rPr>
              <w:t>764,426</w:t>
            </w:r>
          </w:p>
        </w:tc>
        <w:tc>
          <w:tcPr>
            <w:tcW w:w="1240" w:type="dxa"/>
            <w:vAlign w:val="bottom"/>
          </w:tcPr>
          <w:p>
            <w:pPr>
              <w:jc w:val="right"/>
              <w:ind w:right="121"/>
              <w:spacing w:after="0"/>
              <w:rPr>
                <w:sz w:val="20"/>
                <w:szCs w:val="20"/>
                <w:color w:val="auto"/>
              </w:rPr>
            </w:pPr>
            <w:r>
              <w:rPr>
                <w:rFonts w:ascii="Arial" w:cs="Arial" w:eastAsia="Arial" w:hAnsi="Arial"/>
                <w:sz w:val="16"/>
                <w:szCs w:val="16"/>
                <w:color w:val="auto"/>
              </w:rPr>
              <w:t>—</w:t>
            </w:r>
          </w:p>
        </w:tc>
        <w:tc>
          <w:tcPr>
            <w:tcW w:w="1200" w:type="dxa"/>
            <w:vAlign w:val="bottom"/>
          </w:tcPr>
          <w:p>
            <w:pPr>
              <w:jc w:val="right"/>
              <w:ind w:right="61"/>
              <w:spacing w:after="0"/>
              <w:rPr>
                <w:sz w:val="20"/>
                <w:szCs w:val="20"/>
                <w:color w:val="auto"/>
              </w:rPr>
            </w:pPr>
            <w:r>
              <w:rPr>
                <w:rFonts w:ascii="Arial" w:cs="Arial" w:eastAsia="Arial" w:hAnsi="Arial"/>
                <w:sz w:val="16"/>
                <w:szCs w:val="16"/>
                <w:color w:val="auto"/>
              </w:rPr>
              <w:t>—</w:t>
            </w:r>
          </w:p>
        </w:tc>
        <w:tc>
          <w:tcPr>
            <w:tcW w:w="1240" w:type="dxa"/>
            <w:vAlign w:val="bottom"/>
          </w:tcPr>
          <w:p>
            <w:pPr>
              <w:jc w:val="right"/>
              <w:ind w:right="61"/>
              <w:spacing w:after="0"/>
              <w:rPr>
                <w:sz w:val="20"/>
                <w:szCs w:val="20"/>
                <w:color w:val="auto"/>
              </w:rPr>
            </w:pPr>
            <w:r>
              <w:rPr>
                <w:rFonts w:ascii="Arial" w:cs="Arial" w:eastAsia="Arial" w:hAnsi="Arial"/>
                <w:sz w:val="16"/>
                <w:szCs w:val="16"/>
                <w:color w:val="auto"/>
              </w:rPr>
              <w:t>764,426</w:t>
            </w:r>
          </w:p>
        </w:tc>
        <w:tc>
          <w:tcPr>
            <w:tcW w:w="880" w:type="dxa"/>
            <w:vAlign w:val="bottom"/>
          </w:tcPr>
          <w:p>
            <w:pPr>
              <w:jc w:val="right"/>
              <w:ind w:right="260"/>
              <w:spacing w:after="0"/>
              <w:rPr>
                <w:sz w:val="20"/>
                <w:szCs w:val="20"/>
                <w:color w:val="auto"/>
              </w:rPr>
            </w:pPr>
            <w:r>
              <w:rPr>
                <w:rFonts w:ascii="Arial" w:cs="Arial" w:eastAsia="Arial" w:hAnsi="Arial"/>
                <w:sz w:val="16"/>
                <w:szCs w:val="16"/>
                <w:color w:val="auto"/>
              </w:rPr>
              <w:t>2.39</w:t>
            </w:r>
          </w:p>
        </w:tc>
        <w:tc>
          <w:tcPr>
            <w:tcW w:w="0" w:type="dxa"/>
            <w:vAlign w:val="bottom"/>
          </w:tcPr>
          <w:p>
            <w:pPr>
              <w:spacing w:after="0"/>
              <w:rPr>
                <w:sz w:val="1"/>
                <w:szCs w:val="1"/>
                <w:color w:val="auto"/>
              </w:rPr>
            </w:pPr>
          </w:p>
        </w:tc>
      </w:tr>
      <w:tr>
        <w:trPr>
          <w:trHeight w:val="163"/>
        </w:trPr>
        <w:tc>
          <w:tcPr>
            <w:tcW w:w="4640" w:type="dxa"/>
            <w:vAlign w:val="bottom"/>
            <w:vMerge w:val="restart"/>
            <w:shd w:val="clear" w:color="auto" w:fill="ACACAC"/>
          </w:tcPr>
          <w:p>
            <w:pPr>
              <w:ind w:left="40"/>
              <w:spacing w:after="0"/>
              <w:rPr>
                <w:sz w:val="20"/>
                <w:szCs w:val="20"/>
                <w:color w:val="auto"/>
              </w:rPr>
            </w:pPr>
            <w:r>
              <w:rPr>
                <w:rFonts w:ascii="Arial" w:cs="Arial" w:eastAsia="Arial" w:hAnsi="Arial"/>
                <w:sz w:val="16"/>
                <w:szCs w:val="16"/>
                <w:color w:val="auto"/>
              </w:rPr>
              <w:t>William C. Fisher</w:t>
            </w:r>
          </w:p>
        </w:tc>
        <w:tc>
          <w:tcPr>
            <w:tcW w:w="2220" w:type="dxa"/>
            <w:vAlign w:val="bottom"/>
            <w:vMerge w:val="restart"/>
            <w:shd w:val="clear" w:color="auto" w:fill="ACACAC"/>
          </w:tcPr>
          <w:p>
            <w:pPr>
              <w:jc w:val="right"/>
              <w:ind w:right="141"/>
              <w:spacing w:after="0"/>
              <w:rPr>
                <w:sz w:val="20"/>
                <w:szCs w:val="20"/>
                <w:color w:val="auto"/>
              </w:rPr>
            </w:pPr>
            <w:r>
              <w:rPr>
                <w:rFonts w:ascii="Arial" w:cs="Arial" w:eastAsia="Arial" w:hAnsi="Arial"/>
                <w:sz w:val="16"/>
                <w:szCs w:val="16"/>
                <w:color w:val="auto"/>
              </w:rPr>
              <w:t>16,740</w:t>
            </w:r>
          </w:p>
        </w:tc>
        <w:tc>
          <w:tcPr>
            <w:tcW w:w="1240" w:type="dxa"/>
            <w:vAlign w:val="bottom"/>
            <w:vMerge w:val="restart"/>
            <w:shd w:val="clear" w:color="auto" w:fill="ACACAC"/>
          </w:tcPr>
          <w:p>
            <w:pPr>
              <w:jc w:val="right"/>
              <w:ind w:right="121"/>
              <w:spacing w:after="0"/>
              <w:rPr>
                <w:sz w:val="20"/>
                <w:szCs w:val="20"/>
                <w:color w:val="auto"/>
              </w:rPr>
            </w:pPr>
            <w:r>
              <w:rPr>
                <w:rFonts w:ascii="Arial" w:cs="Arial" w:eastAsia="Arial" w:hAnsi="Arial"/>
                <w:sz w:val="16"/>
                <w:szCs w:val="16"/>
                <w:color w:val="auto"/>
              </w:rPr>
              <w:t>—</w:t>
            </w:r>
          </w:p>
        </w:tc>
        <w:tc>
          <w:tcPr>
            <w:tcW w:w="1200" w:type="dxa"/>
            <w:vAlign w:val="bottom"/>
            <w:vMerge w:val="restart"/>
            <w:shd w:val="clear" w:color="auto" w:fill="ACACAC"/>
          </w:tcPr>
          <w:p>
            <w:pPr>
              <w:jc w:val="right"/>
              <w:ind w:right="61"/>
              <w:spacing w:after="0"/>
              <w:rPr>
                <w:sz w:val="20"/>
                <w:szCs w:val="20"/>
                <w:color w:val="auto"/>
              </w:rPr>
            </w:pPr>
            <w:r>
              <w:rPr>
                <w:rFonts w:ascii="Arial" w:cs="Arial" w:eastAsia="Arial" w:hAnsi="Arial"/>
                <w:sz w:val="16"/>
                <w:szCs w:val="16"/>
                <w:color w:val="auto"/>
              </w:rPr>
              <w:t>7,134</w:t>
            </w:r>
          </w:p>
        </w:tc>
        <w:tc>
          <w:tcPr>
            <w:tcW w:w="1240" w:type="dxa"/>
            <w:vAlign w:val="bottom"/>
            <w:vMerge w:val="restart"/>
            <w:shd w:val="clear" w:color="auto" w:fill="ACACAC"/>
          </w:tcPr>
          <w:p>
            <w:pPr>
              <w:jc w:val="right"/>
              <w:ind w:right="61"/>
              <w:spacing w:after="0"/>
              <w:rPr>
                <w:sz w:val="20"/>
                <w:szCs w:val="20"/>
                <w:color w:val="auto"/>
              </w:rPr>
            </w:pPr>
            <w:r>
              <w:rPr>
                <w:rFonts w:ascii="Arial" w:cs="Arial" w:eastAsia="Arial" w:hAnsi="Arial"/>
                <w:sz w:val="16"/>
                <w:szCs w:val="16"/>
                <w:color w:val="auto"/>
              </w:rPr>
              <w:t>23,874</w:t>
            </w:r>
          </w:p>
        </w:tc>
        <w:tc>
          <w:tcPr>
            <w:tcW w:w="880" w:type="dxa"/>
            <w:vAlign w:val="bottom"/>
            <w:shd w:val="clear" w:color="auto" w:fill="ACACAC"/>
          </w:tcPr>
          <w:p>
            <w:pPr>
              <w:jc w:val="right"/>
              <w:ind w:right="260"/>
              <w:spacing w:after="0"/>
              <w:rPr>
                <w:sz w:val="20"/>
                <w:szCs w:val="20"/>
                <w:color w:val="auto"/>
              </w:rPr>
            </w:pPr>
            <w:r>
              <w:rPr>
                <w:rFonts w:ascii="Arial" w:cs="Arial" w:eastAsia="Arial" w:hAnsi="Arial"/>
                <w:sz w:val="11"/>
                <w:szCs w:val="11"/>
                <w:color w:val="auto"/>
              </w:rPr>
              <w:t>(4)</w:t>
            </w:r>
          </w:p>
        </w:tc>
        <w:tc>
          <w:tcPr>
            <w:tcW w:w="0" w:type="dxa"/>
            <w:vAlign w:val="bottom"/>
          </w:tcPr>
          <w:p>
            <w:pPr>
              <w:spacing w:after="0"/>
              <w:rPr>
                <w:sz w:val="1"/>
                <w:szCs w:val="1"/>
                <w:color w:val="auto"/>
              </w:rPr>
            </w:pPr>
          </w:p>
        </w:tc>
      </w:tr>
      <w:tr>
        <w:trPr>
          <w:trHeight w:val="90"/>
        </w:trPr>
        <w:tc>
          <w:tcPr>
            <w:tcW w:w="4640" w:type="dxa"/>
            <w:vAlign w:val="bottom"/>
            <w:vMerge w:val="continue"/>
            <w:shd w:val="clear" w:color="auto" w:fill="ACACAC"/>
          </w:tcPr>
          <w:p>
            <w:pPr>
              <w:spacing w:after="0"/>
              <w:rPr>
                <w:sz w:val="7"/>
                <w:szCs w:val="7"/>
                <w:color w:val="auto"/>
              </w:rPr>
            </w:pPr>
          </w:p>
        </w:tc>
        <w:tc>
          <w:tcPr>
            <w:tcW w:w="2220" w:type="dxa"/>
            <w:vAlign w:val="bottom"/>
            <w:vMerge w:val="continue"/>
            <w:shd w:val="clear" w:color="auto" w:fill="ACACAC"/>
          </w:tcPr>
          <w:p>
            <w:pPr>
              <w:spacing w:after="0"/>
              <w:rPr>
                <w:sz w:val="7"/>
                <w:szCs w:val="7"/>
                <w:color w:val="auto"/>
              </w:rPr>
            </w:pPr>
          </w:p>
        </w:tc>
        <w:tc>
          <w:tcPr>
            <w:tcW w:w="1240" w:type="dxa"/>
            <w:vAlign w:val="bottom"/>
            <w:vMerge w:val="continue"/>
            <w:shd w:val="clear" w:color="auto" w:fill="ACACAC"/>
          </w:tcPr>
          <w:p>
            <w:pPr>
              <w:spacing w:after="0"/>
              <w:rPr>
                <w:sz w:val="7"/>
                <w:szCs w:val="7"/>
                <w:color w:val="auto"/>
              </w:rPr>
            </w:pPr>
          </w:p>
        </w:tc>
        <w:tc>
          <w:tcPr>
            <w:tcW w:w="1200" w:type="dxa"/>
            <w:vAlign w:val="bottom"/>
            <w:vMerge w:val="continue"/>
            <w:shd w:val="clear" w:color="auto" w:fill="ACACAC"/>
          </w:tcPr>
          <w:p>
            <w:pPr>
              <w:spacing w:after="0"/>
              <w:rPr>
                <w:sz w:val="7"/>
                <w:szCs w:val="7"/>
                <w:color w:val="auto"/>
              </w:rPr>
            </w:pPr>
          </w:p>
        </w:tc>
        <w:tc>
          <w:tcPr>
            <w:tcW w:w="1240" w:type="dxa"/>
            <w:vAlign w:val="bottom"/>
            <w:vMerge w:val="continue"/>
            <w:shd w:val="clear" w:color="auto" w:fill="ACACAC"/>
          </w:tcPr>
          <w:p>
            <w:pPr>
              <w:spacing w:after="0"/>
              <w:rPr>
                <w:sz w:val="7"/>
                <w:szCs w:val="7"/>
                <w:color w:val="auto"/>
              </w:rPr>
            </w:pPr>
          </w:p>
        </w:tc>
        <w:tc>
          <w:tcPr>
            <w:tcW w:w="880" w:type="dxa"/>
            <w:vAlign w:val="bottom"/>
            <w:shd w:val="clear" w:color="auto" w:fill="ACACAC"/>
          </w:tcPr>
          <w:p>
            <w:pPr>
              <w:spacing w:after="0"/>
              <w:rPr>
                <w:sz w:val="7"/>
                <w:szCs w:val="7"/>
                <w:color w:val="auto"/>
              </w:rPr>
            </w:pPr>
          </w:p>
        </w:tc>
        <w:tc>
          <w:tcPr>
            <w:tcW w:w="0" w:type="dxa"/>
            <w:vAlign w:val="bottom"/>
          </w:tcPr>
          <w:p>
            <w:pPr>
              <w:spacing w:after="0"/>
              <w:rPr>
                <w:sz w:val="1"/>
                <w:szCs w:val="1"/>
                <w:color w:val="auto"/>
              </w:rPr>
            </w:pPr>
          </w:p>
        </w:tc>
      </w:tr>
      <w:tr>
        <w:trPr>
          <w:trHeight w:val="154"/>
        </w:trPr>
        <w:tc>
          <w:tcPr>
            <w:tcW w:w="4640" w:type="dxa"/>
            <w:vAlign w:val="bottom"/>
            <w:vMerge w:val="restart"/>
          </w:tcPr>
          <w:p>
            <w:pPr>
              <w:ind w:left="40"/>
              <w:spacing w:after="0"/>
              <w:rPr>
                <w:sz w:val="20"/>
                <w:szCs w:val="20"/>
                <w:color w:val="auto"/>
              </w:rPr>
            </w:pPr>
            <w:r>
              <w:rPr>
                <w:rFonts w:ascii="Arial" w:cs="Arial" w:eastAsia="Arial" w:hAnsi="Arial"/>
                <w:sz w:val="16"/>
                <w:szCs w:val="16"/>
                <w:color w:val="auto"/>
              </w:rPr>
              <w:t>Michael J. Happe</w:t>
            </w:r>
          </w:p>
        </w:tc>
        <w:tc>
          <w:tcPr>
            <w:tcW w:w="2220" w:type="dxa"/>
            <w:vAlign w:val="bottom"/>
            <w:vMerge w:val="restart"/>
          </w:tcPr>
          <w:p>
            <w:pPr>
              <w:jc w:val="right"/>
              <w:ind w:right="141"/>
              <w:spacing w:after="0"/>
              <w:rPr>
                <w:sz w:val="20"/>
                <w:szCs w:val="20"/>
                <w:color w:val="auto"/>
              </w:rPr>
            </w:pPr>
            <w:r>
              <w:rPr>
                <w:rFonts w:ascii="Arial" w:cs="Arial" w:eastAsia="Arial" w:hAnsi="Arial"/>
                <w:sz w:val="16"/>
                <w:szCs w:val="16"/>
                <w:color w:val="auto"/>
              </w:rPr>
              <w:t>40,802</w:t>
            </w:r>
          </w:p>
        </w:tc>
        <w:tc>
          <w:tcPr>
            <w:tcW w:w="1240" w:type="dxa"/>
            <w:vAlign w:val="bottom"/>
            <w:vMerge w:val="restart"/>
          </w:tcPr>
          <w:p>
            <w:pPr>
              <w:jc w:val="right"/>
              <w:ind w:right="121"/>
              <w:spacing w:after="0"/>
              <w:rPr>
                <w:sz w:val="20"/>
                <w:szCs w:val="20"/>
                <w:color w:val="auto"/>
              </w:rPr>
            </w:pPr>
            <w:r>
              <w:rPr>
                <w:rFonts w:ascii="Arial" w:cs="Arial" w:eastAsia="Arial" w:hAnsi="Arial"/>
                <w:sz w:val="16"/>
                <w:szCs w:val="16"/>
                <w:color w:val="auto"/>
              </w:rPr>
              <w:t>36,203</w:t>
            </w:r>
          </w:p>
        </w:tc>
        <w:tc>
          <w:tcPr>
            <w:tcW w:w="1200" w:type="dxa"/>
            <w:vAlign w:val="bottom"/>
            <w:vMerge w:val="restart"/>
          </w:tcPr>
          <w:p>
            <w:pPr>
              <w:jc w:val="right"/>
              <w:ind w:right="61"/>
              <w:spacing w:after="0"/>
              <w:rPr>
                <w:sz w:val="20"/>
                <w:szCs w:val="20"/>
                <w:color w:val="auto"/>
              </w:rPr>
            </w:pPr>
            <w:r>
              <w:rPr>
                <w:rFonts w:ascii="Arial" w:cs="Arial" w:eastAsia="Arial" w:hAnsi="Arial"/>
                <w:sz w:val="16"/>
                <w:szCs w:val="16"/>
                <w:color w:val="auto"/>
              </w:rPr>
              <w:t>—</w:t>
            </w:r>
          </w:p>
        </w:tc>
        <w:tc>
          <w:tcPr>
            <w:tcW w:w="1240" w:type="dxa"/>
            <w:vAlign w:val="bottom"/>
            <w:vMerge w:val="restart"/>
          </w:tcPr>
          <w:p>
            <w:pPr>
              <w:jc w:val="right"/>
              <w:ind w:right="61"/>
              <w:spacing w:after="0"/>
              <w:rPr>
                <w:sz w:val="20"/>
                <w:szCs w:val="20"/>
                <w:color w:val="auto"/>
              </w:rPr>
            </w:pPr>
            <w:r>
              <w:rPr>
                <w:rFonts w:ascii="Arial" w:cs="Arial" w:eastAsia="Arial" w:hAnsi="Arial"/>
                <w:sz w:val="16"/>
                <w:szCs w:val="16"/>
                <w:color w:val="auto"/>
              </w:rPr>
              <w:t>77,005</w:t>
            </w:r>
          </w:p>
        </w:tc>
        <w:tc>
          <w:tcPr>
            <w:tcW w:w="880" w:type="dxa"/>
            <w:vAlign w:val="bottom"/>
          </w:tcPr>
          <w:p>
            <w:pPr>
              <w:jc w:val="right"/>
              <w:ind w:right="260"/>
              <w:spacing w:after="0"/>
              <w:rPr>
                <w:sz w:val="20"/>
                <w:szCs w:val="20"/>
                <w:color w:val="auto"/>
              </w:rPr>
            </w:pPr>
            <w:r>
              <w:rPr>
                <w:rFonts w:ascii="Arial" w:cs="Arial" w:eastAsia="Arial" w:hAnsi="Arial"/>
                <w:sz w:val="11"/>
                <w:szCs w:val="11"/>
                <w:color w:val="auto"/>
              </w:rPr>
              <w:t>(4)</w:t>
            </w:r>
          </w:p>
        </w:tc>
        <w:tc>
          <w:tcPr>
            <w:tcW w:w="0" w:type="dxa"/>
            <w:vAlign w:val="bottom"/>
          </w:tcPr>
          <w:p>
            <w:pPr>
              <w:spacing w:after="0"/>
              <w:rPr>
                <w:sz w:val="1"/>
                <w:szCs w:val="1"/>
                <w:color w:val="auto"/>
              </w:rPr>
            </w:pPr>
          </w:p>
        </w:tc>
      </w:tr>
      <w:tr>
        <w:trPr>
          <w:trHeight w:val="80"/>
        </w:trPr>
        <w:tc>
          <w:tcPr>
            <w:tcW w:w="4640" w:type="dxa"/>
            <w:vAlign w:val="bottom"/>
            <w:vMerge w:val="continue"/>
          </w:tcPr>
          <w:p>
            <w:pPr>
              <w:spacing w:after="0"/>
              <w:rPr>
                <w:sz w:val="6"/>
                <w:szCs w:val="6"/>
                <w:color w:val="auto"/>
              </w:rPr>
            </w:pPr>
          </w:p>
        </w:tc>
        <w:tc>
          <w:tcPr>
            <w:tcW w:w="2220" w:type="dxa"/>
            <w:vAlign w:val="bottom"/>
            <w:vMerge w:val="continue"/>
          </w:tcPr>
          <w:p>
            <w:pPr>
              <w:spacing w:after="0"/>
              <w:rPr>
                <w:sz w:val="6"/>
                <w:szCs w:val="6"/>
                <w:color w:val="auto"/>
              </w:rPr>
            </w:pPr>
          </w:p>
        </w:tc>
        <w:tc>
          <w:tcPr>
            <w:tcW w:w="1240" w:type="dxa"/>
            <w:vAlign w:val="bottom"/>
            <w:vMerge w:val="continue"/>
          </w:tcPr>
          <w:p>
            <w:pPr>
              <w:spacing w:after="0"/>
              <w:rPr>
                <w:sz w:val="6"/>
                <w:szCs w:val="6"/>
                <w:color w:val="auto"/>
              </w:rPr>
            </w:pPr>
          </w:p>
        </w:tc>
        <w:tc>
          <w:tcPr>
            <w:tcW w:w="1200" w:type="dxa"/>
            <w:vAlign w:val="bottom"/>
            <w:vMerge w:val="continue"/>
          </w:tcPr>
          <w:p>
            <w:pPr>
              <w:spacing w:after="0"/>
              <w:rPr>
                <w:sz w:val="6"/>
                <w:szCs w:val="6"/>
                <w:color w:val="auto"/>
              </w:rPr>
            </w:pPr>
          </w:p>
        </w:tc>
        <w:tc>
          <w:tcPr>
            <w:tcW w:w="1240" w:type="dxa"/>
            <w:vAlign w:val="bottom"/>
            <w:vMerge w:val="continue"/>
          </w:tcPr>
          <w:p>
            <w:pPr>
              <w:spacing w:after="0"/>
              <w:rPr>
                <w:sz w:val="6"/>
                <w:szCs w:val="6"/>
                <w:color w:val="auto"/>
              </w:rPr>
            </w:pPr>
          </w:p>
        </w:tc>
        <w:tc>
          <w:tcPr>
            <w:tcW w:w="8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63"/>
        </w:trPr>
        <w:tc>
          <w:tcPr>
            <w:tcW w:w="4640" w:type="dxa"/>
            <w:vAlign w:val="bottom"/>
            <w:vMerge w:val="restart"/>
            <w:shd w:val="clear" w:color="auto" w:fill="ACACAC"/>
          </w:tcPr>
          <w:p>
            <w:pPr>
              <w:ind w:left="40"/>
              <w:spacing w:after="0"/>
              <w:rPr>
                <w:sz w:val="20"/>
                <w:szCs w:val="20"/>
                <w:color w:val="auto"/>
              </w:rPr>
            </w:pPr>
            <w:r>
              <w:rPr>
                <w:rFonts w:ascii="Arial" w:cs="Arial" w:eastAsia="Arial" w:hAnsi="Arial"/>
                <w:sz w:val="16"/>
                <w:szCs w:val="16"/>
                <w:color w:val="auto"/>
              </w:rPr>
              <w:t>Brian D. Hazelton</w:t>
            </w:r>
          </w:p>
        </w:tc>
        <w:tc>
          <w:tcPr>
            <w:tcW w:w="2220" w:type="dxa"/>
            <w:vAlign w:val="bottom"/>
            <w:vMerge w:val="restart"/>
            <w:shd w:val="clear" w:color="auto" w:fill="ACACAC"/>
          </w:tcPr>
          <w:p>
            <w:pPr>
              <w:jc w:val="right"/>
              <w:ind w:right="141"/>
              <w:spacing w:after="0"/>
              <w:rPr>
                <w:sz w:val="20"/>
                <w:szCs w:val="20"/>
                <w:color w:val="auto"/>
              </w:rPr>
            </w:pPr>
            <w:r>
              <w:rPr>
                <w:rFonts w:ascii="Arial" w:cs="Arial" w:eastAsia="Arial" w:hAnsi="Arial"/>
                <w:sz w:val="16"/>
                <w:szCs w:val="16"/>
                <w:color w:val="auto"/>
              </w:rPr>
              <w:t>12,999</w:t>
            </w:r>
          </w:p>
        </w:tc>
        <w:tc>
          <w:tcPr>
            <w:tcW w:w="1240" w:type="dxa"/>
            <w:vAlign w:val="bottom"/>
            <w:vMerge w:val="restart"/>
            <w:shd w:val="clear" w:color="auto" w:fill="ACACAC"/>
          </w:tcPr>
          <w:p>
            <w:pPr>
              <w:jc w:val="right"/>
              <w:ind w:right="121"/>
              <w:spacing w:after="0"/>
              <w:rPr>
                <w:sz w:val="20"/>
                <w:szCs w:val="20"/>
                <w:color w:val="auto"/>
              </w:rPr>
            </w:pPr>
            <w:r>
              <w:rPr>
                <w:rFonts w:ascii="Arial" w:cs="Arial" w:eastAsia="Arial" w:hAnsi="Arial"/>
                <w:sz w:val="16"/>
                <w:szCs w:val="16"/>
                <w:color w:val="auto"/>
              </w:rPr>
              <w:t>7,412</w:t>
            </w:r>
          </w:p>
        </w:tc>
        <w:tc>
          <w:tcPr>
            <w:tcW w:w="1200" w:type="dxa"/>
            <w:vAlign w:val="bottom"/>
            <w:vMerge w:val="restart"/>
            <w:shd w:val="clear" w:color="auto" w:fill="ACACAC"/>
          </w:tcPr>
          <w:p>
            <w:pPr>
              <w:jc w:val="right"/>
              <w:ind w:right="61"/>
              <w:spacing w:after="0"/>
              <w:rPr>
                <w:sz w:val="20"/>
                <w:szCs w:val="20"/>
                <w:color w:val="auto"/>
              </w:rPr>
            </w:pPr>
            <w:r>
              <w:rPr>
                <w:rFonts w:ascii="Arial" w:cs="Arial" w:eastAsia="Arial" w:hAnsi="Arial"/>
                <w:sz w:val="16"/>
                <w:szCs w:val="16"/>
                <w:color w:val="auto"/>
              </w:rPr>
              <w:t>—</w:t>
            </w:r>
          </w:p>
        </w:tc>
        <w:tc>
          <w:tcPr>
            <w:tcW w:w="1240" w:type="dxa"/>
            <w:vAlign w:val="bottom"/>
            <w:vMerge w:val="restart"/>
            <w:shd w:val="clear" w:color="auto" w:fill="ACACAC"/>
          </w:tcPr>
          <w:p>
            <w:pPr>
              <w:jc w:val="right"/>
              <w:ind w:right="61"/>
              <w:spacing w:after="0"/>
              <w:rPr>
                <w:sz w:val="20"/>
                <w:szCs w:val="20"/>
                <w:color w:val="auto"/>
              </w:rPr>
            </w:pPr>
            <w:r>
              <w:rPr>
                <w:rFonts w:ascii="Arial" w:cs="Arial" w:eastAsia="Arial" w:hAnsi="Arial"/>
                <w:sz w:val="16"/>
                <w:szCs w:val="16"/>
                <w:color w:val="auto"/>
              </w:rPr>
              <w:t>20,411</w:t>
            </w:r>
          </w:p>
        </w:tc>
        <w:tc>
          <w:tcPr>
            <w:tcW w:w="880" w:type="dxa"/>
            <w:vAlign w:val="bottom"/>
            <w:shd w:val="clear" w:color="auto" w:fill="ACACAC"/>
          </w:tcPr>
          <w:p>
            <w:pPr>
              <w:jc w:val="right"/>
              <w:ind w:right="260"/>
              <w:spacing w:after="0"/>
              <w:rPr>
                <w:sz w:val="20"/>
                <w:szCs w:val="20"/>
                <w:color w:val="auto"/>
              </w:rPr>
            </w:pPr>
            <w:r>
              <w:rPr>
                <w:rFonts w:ascii="Arial" w:cs="Arial" w:eastAsia="Arial" w:hAnsi="Arial"/>
                <w:sz w:val="11"/>
                <w:szCs w:val="11"/>
                <w:color w:val="auto"/>
              </w:rPr>
              <w:t>(4)</w:t>
            </w:r>
          </w:p>
        </w:tc>
        <w:tc>
          <w:tcPr>
            <w:tcW w:w="0" w:type="dxa"/>
            <w:vAlign w:val="bottom"/>
          </w:tcPr>
          <w:p>
            <w:pPr>
              <w:spacing w:after="0"/>
              <w:rPr>
                <w:sz w:val="1"/>
                <w:szCs w:val="1"/>
                <w:color w:val="auto"/>
              </w:rPr>
            </w:pPr>
          </w:p>
        </w:tc>
      </w:tr>
      <w:tr>
        <w:trPr>
          <w:trHeight w:val="90"/>
        </w:trPr>
        <w:tc>
          <w:tcPr>
            <w:tcW w:w="4640" w:type="dxa"/>
            <w:vAlign w:val="bottom"/>
            <w:vMerge w:val="continue"/>
            <w:shd w:val="clear" w:color="auto" w:fill="ACACAC"/>
          </w:tcPr>
          <w:p>
            <w:pPr>
              <w:spacing w:after="0"/>
              <w:rPr>
                <w:sz w:val="7"/>
                <w:szCs w:val="7"/>
                <w:color w:val="auto"/>
              </w:rPr>
            </w:pPr>
          </w:p>
        </w:tc>
        <w:tc>
          <w:tcPr>
            <w:tcW w:w="2220" w:type="dxa"/>
            <w:vAlign w:val="bottom"/>
            <w:vMerge w:val="continue"/>
            <w:shd w:val="clear" w:color="auto" w:fill="ACACAC"/>
          </w:tcPr>
          <w:p>
            <w:pPr>
              <w:spacing w:after="0"/>
              <w:rPr>
                <w:sz w:val="7"/>
                <w:szCs w:val="7"/>
                <w:color w:val="auto"/>
              </w:rPr>
            </w:pPr>
          </w:p>
        </w:tc>
        <w:tc>
          <w:tcPr>
            <w:tcW w:w="1240" w:type="dxa"/>
            <w:vAlign w:val="bottom"/>
            <w:vMerge w:val="continue"/>
            <w:shd w:val="clear" w:color="auto" w:fill="ACACAC"/>
          </w:tcPr>
          <w:p>
            <w:pPr>
              <w:spacing w:after="0"/>
              <w:rPr>
                <w:sz w:val="7"/>
                <w:szCs w:val="7"/>
                <w:color w:val="auto"/>
              </w:rPr>
            </w:pPr>
          </w:p>
        </w:tc>
        <w:tc>
          <w:tcPr>
            <w:tcW w:w="1200" w:type="dxa"/>
            <w:vAlign w:val="bottom"/>
            <w:vMerge w:val="continue"/>
            <w:shd w:val="clear" w:color="auto" w:fill="ACACAC"/>
          </w:tcPr>
          <w:p>
            <w:pPr>
              <w:spacing w:after="0"/>
              <w:rPr>
                <w:sz w:val="7"/>
                <w:szCs w:val="7"/>
                <w:color w:val="auto"/>
              </w:rPr>
            </w:pPr>
          </w:p>
        </w:tc>
        <w:tc>
          <w:tcPr>
            <w:tcW w:w="1240" w:type="dxa"/>
            <w:vAlign w:val="bottom"/>
            <w:vMerge w:val="continue"/>
            <w:shd w:val="clear" w:color="auto" w:fill="ACACAC"/>
          </w:tcPr>
          <w:p>
            <w:pPr>
              <w:spacing w:after="0"/>
              <w:rPr>
                <w:sz w:val="7"/>
                <w:szCs w:val="7"/>
                <w:color w:val="auto"/>
              </w:rPr>
            </w:pPr>
          </w:p>
        </w:tc>
        <w:tc>
          <w:tcPr>
            <w:tcW w:w="880" w:type="dxa"/>
            <w:vAlign w:val="bottom"/>
            <w:shd w:val="clear" w:color="auto" w:fill="ACACAC"/>
          </w:tcPr>
          <w:p>
            <w:pPr>
              <w:spacing w:after="0"/>
              <w:rPr>
                <w:sz w:val="7"/>
                <w:szCs w:val="7"/>
                <w:color w:val="auto"/>
              </w:rPr>
            </w:pPr>
          </w:p>
        </w:tc>
        <w:tc>
          <w:tcPr>
            <w:tcW w:w="0" w:type="dxa"/>
            <w:vAlign w:val="bottom"/>
          </w:tcPr>
          <w:p>
            <w:pPr>
              <w:spacing w:after="0"/>
              <w:rPr>
                <w:sz w:val="1"/>
                <w:szCs w:val="1"/>
                <w:color w:val="auto"/>
              </w:rPr>
            </w:pPr>
          </w:p>
        </w:tc>
      </w:tr>
      <w:tr>
        <w:trPr>
          <w:trHeight w:val="154"/>
        </w:trPr>
        <w:tc>
          <w:tcPr>
            <w:tcW w:w="4640" w:type="dxa"/>
            <w:vAlign w:val="bottom"/>
            <w:vMerge w:val="restart"/>
          </w:tcPr>
          <w:p>
            <w:pPr>
              <w:ind w:left="40"/>
              <w:spacing w:after="0"/>
              <w:rPr>
                <w:sz w:val="20"/>
                <w:szCs w:val="20"/>
                <w:color w:val="auto"/>
              </w:rPr>
            </w:pPr>
            <w:r>
              <w:rPr>
                <w:rFonts w:ascii="Arial" w:cs="Arial" w:eastAsia="Arial" w:hAnsi="Arial"/>
                <w:sz w:val="16"/>
                <w:szCs w:val="16"/>
                <w:color w:val="auto"/>
              </w:rPr>
              <w:t>Bryan L. Hughes</w:t>
            </w:r>
          </w:p>
        </w:tc>
        <w:tc>
          <w:tcPr>
            <w:tcW w:w="2220" w:type="dxa"/>
            <w:vAlign w:val="bottom"/>
            <w:vMerge w:val="restart"/>
          </w:tcPr>
          <w:p>
            <w:pPr>
              <w:jc w:val="right"/>
              <w:ind w:right="141"/>
              <w:spacing w:after="0"/>
              <w:rPr>
                <w:sz w:val="20"/>
                <w:szCs w:val="20"/>
                <w:color w:val="auto"/>
              </w:rPr>
            </w:pPr>
            <w:r>
              <w:rPr>
                <w:rFonts w:ascii="Arial" w:cs="Arial" w:eastAsia="Arial" w:hAnsi="Arial"/>
                <w:sz w:val="16"/>
                <w:szCs w:val="16"/>
                <w:color w:val="auto"/>
              </w:rPr>
              <w:t>12,787</w:t>
            </w:r>
          </w:p>
        </w:tc>
        <w:tc>
          <w:tcPr>
            <w:tcW w:w="1240" w:type="dxa"/>
            <w:vAlign w:val="bottom"/>
            <w:vMerge w:val="restart"/>
          </w:tcPr>
          <w:p>
            <w:pPr>
              <w:jc w:val="right"/>
              <w:ind w:right="121"/>
              <w:spacing w:after="0"/>
              <w:rPr>
                <w:sz w:val="20"/>
                <w:szCs w:val="20"/>
                <w:color w:val="auto"/>
              </w:rPr>
            </w:pPr>
            <w:r>
              <w:rPr>
                <w:rFonts w:ascii="Arial" w:cs="Arial" w:eastAsia="Arial" w:hAnsi="Arial"/>
                <w:sz w:val="16"/>
                <w:szCs w:val="16"/>
                <w:color w:val="auto"/>
              </w:rPr>
              <w:t>3,718</w:t>
            </w:r>
          </w:p>
        </w:tc>
        <w:tc>
          <w:tcPr>
            <w:tcW w:w="1200" w:type="dxa"/>
            <w:vAlign w:val="bottom"/>
            <w:vMerge w:val="restart"/>
          </w:tcPr>
          <w:p>
            <w:pPr>
              <w:jc w:val="right"/>
              <w:ind w:right="61"/>
              <w:spacing w:after="0"/>
              <w:rPr>
                <w:sz w:val="20"/>
                <w:szCs w:val="20"/>
                <w:color w:val="auto"/>
              </w:rPr>
            </w:pPr>
            <w:r>
              <w:rPr>
                <w:rFonts w:ascii="Arial" w:cs="Arial" w:eastAsia="Arial" w:hAnsi="Arial"/>
                <w:sz w:val="16"/>
                <w:szCs w:val="16"/>
                <w:color w:val="auto"/>
              </w:rPr>
              <w:t>—</w:t>
            </w:r>
          </w:p>
        </w:tc>
        <w:tc>
          <w:tcPr>
            <w:tcW w:w="1240" w:type="dxa"/>
            <w:vAlign w:val="bottom"/>
            <w:vMerge w:val="restart"/>
          </w:tcPr>
          <w:p>
            <w:pPr>
              <w:jc w:val="right"/>
              <w:ind w:right="61"/>
              <w:spacing w:after="0"/>
              <w:rPr>
                <w:sz w:val="20"/>
                <w:szCs w:val="20"/>
                <w:color w:val="auto"/>
              </w:rPr>
            </w:pPr>
            <w:r>
              <w:rPr>
                <w:rFonts w:ascii="Arial" w:cs="Arial" w:eastAsia="Arial" w:hAnsi="Arial"/>
                <w:sz w:val="16"/>
                <w:szCs w:val="16"/>
                <w:color w:val="auto"/>
              </w:rPr>
              <w:t>16,505</w:t>
            </w:r>
          </w:p>
        </w:tc>
        <w:tc>
          <w:tcPr>
            <w:tcW w:w="880" w:type="dxa"/>
            <w:vAlign w:val="bottom"/>
          </w:tcPr>
          <w:p>
            <w:pPr>
              <w:jc w:val="right"/>
              <w:ind w:right="260"/>
              <w:spacing w:after="0"/>
              <w:rPr>
                <w:sz w:val="20"/>
                <w:szCs w:val="20"/>
                <w:color w:val="auto"/>
              </w:rPr>
            </w:pPr>
            <w:r>
              <w:rPr>
                <w:rFonts w:ascii="Arial" w:cs="Arial" w:eastAsia="Arial" w:hAnsi="Arial"/>
                <w:sz w:val="11"/>
                <w:szCs w:val="11"/>
                <w:color w:val="auto"/>
              </w:rPr>
              <w:t>(4)</w:t>
            </w:r>
          </w:p>
        </w:tc>
        <w:tc>
          <w:tcPr>
            <w:tcW w:w="0" w:type="dxa"/>
            <w:vAlign w:val="bottom"/>
          </w:tcPr>
          <w:p>
            <w:pPr>
              <w:spacing w:after="0"/>
              <w:rPr>
                <w:sz w:val="1"/>
                <w:szCs w:val="1"/>
                <w:color w:val="auto"/>
              </w:rPr>
            </w:pPr>
          </w:p>
        </w:tc>
      </w:tr>
      <w:tr>
        <w:trPr>
          <w:trHeight w:val="80"/>
        </w:trPr>
        <w:tc>
          <w:tcPr>
            <w:tcW w:w="4640" w:type="dxa"/>
            <w:vAlign w:val="bottom"/>
            <w:vMerge w:val="continue"/>
          </w:tcPr>
          <w:p>
            <w:pPr>
              <w:spacing w:after="0"/>
              <w:rPr>
                <w:sz w:val="6"/>
                <w:szCs w:val="6"/>
                <w:color w:val="auto"/>
              </w:rPr>
            </w:pPr>
          </w:p>
        </w:tc>
        <w:tc>
          <w:tcPr>
            <w:tcW w:w="2220" w:type="dxa"/>
            <w:vAlign w:val="bottom"/>
            <w:vMerge w:val="continue"/>
          </w:tcPr>
          <w:p>
            <w:pPr>
              <w:spacing w:after="0"/>
              <w:rPr>
                <w:sz w:val="6"/>
                <w:szCs w:val="6"/>
                <w:color w:val="auto"/>
              </w:rPr>
            </w:pPr>
          </w:p>
        </w:tc>
        <w:tc>
          <w:tcPr>
            <w:tcW w:w="1240" w:type="dxa"/>
            <w:vAlign w:val="bottom"/>
            <w:vMerge w:val="continue"/>
          </w:tcPr>
          <w:p>
            <w:pPr>
              <w:spacing w:after="0"/>
              <w:rPr>
                <w:sz w:val="6"/>
                <w:szCs w:val="6"/>
                <w:color w:val="auto"/>
              </w:rPr>
            </w:pPr>
          </w:p>
        </w:tc>
        <w:tc>
          <w:tcPr>
            <w:tcW w:w="1200" w:type="dxa"/>
            <w:vAlign w:val="bottom"/>
            <w:vMerge w:val="continue"/>
          </w:tcPr>
          <w:p>
            <w:pPr>
              <w:spacing w:after="0"/>
              <w:rPr>
                <w:sz w:val="6"/>
                <w:szCs w:val="6"/>
                <w:color w:val="auto"/>
              </w:rPr>
            </w:pPr>
          </w:p>
        </w:tc>
        <w:tc>
          <w:tcPr>
            <w:tcW w:w="1240" w:type="dxa"/>
            <w:vAlign w:val="bottom"/>
            <w:vMerge w:val="continue"/>
          </w:tcPr>
          <w:p>
            <w:pPr>
              <w:spacing w:after="0"/>
              <w:rPr>
                <w:sz w:val="6"/>
                <w:szCs w:val="6"/>
                <w:color w:val="auto"/>
              </w:rPr>
            </w:pPr>
          </w:p>
        </w:tc>
        <w:tc>
          <w:tcPr>
            <w:tcW w:w="8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63"/>
        </w:trPr>
        <w:tc>
          <w:tcPr>
            <w:tcW w:w="4640" w:type="dxa"/>
            <w:vAlign w:val="bottom"/>
            <w:vMerge w:val="restart"/>
            <w:shd w:val="clear" w:color="auto" w:fill="ACACAC"/>
          </w:tcPr>
          <w:p>
            <w:pPr>
              <w:ind w:left="40"/>
              <w:spacing w:after="0"/>
              <w:rPr>
                <w:sz w:val="20"/>
                <w:szCs w:val="20"/>
                <w:color w:val="auto"/>
              </w:rPr>
            </w:pPr>
            <w:r>
              <w:rPr>
                <w:rFonts w:ascii="Arial" w:cs="Arial" w:eastAsia="Arial" w:hAnsi="Arial"/>
                <w:sz w:val="16"/>
                <w:szCs w:val="16"/>
                <w:color w:val="auto"/>
              </w:rPr>
              <w:t>David W. Miles</w:t>
            </w:r>
          </w:p>
        </w:tc>
        <w:tc>
          <w:tcPr>
            <w:tcW w:w="2220" w:type="dxa"/>
            <w:vAlign w:val="bottom"/>
            <w:vMerge w:val="restart"/>
            <w:shd w:val="clear" w:color="auto" w:fill="ACACAC"/>
          </w:tcPr>
          <w:p>
            <w:pPr>
              <w:jc w:val="right"/>
              <w:ind w:right="141"/>
              <w:spacing w:after="0"/>
              <w:rPr>
                <w:sz w:val="20"/>
                <w:szCs w:val="20"/>
                <w:color w:val="auto"/>
              </w:rPr>
            </w:pPr>
            <w:r>
              <w:rPr>
                <w:rFonts w:ascii="Arial" w:cs="Arial" w:eastAsia="Arial" w:hAnsi="Arial"/>
                <w:sz w:val="16"/>
                <w:szCs w:val="16"/>
                <w:color w:val="auto"/>
              </w:rPr>
              <w:t>6,740</w:t>
            </w:r>
          </w:p>
        </w:tc>
        <w:tc>
          <w:tcPr>
            <w:tcW w:w="1240" w:type="dxa"/>
            <w:vAlign w:val="bottom"/>
            <w:vMerge w:val="restart"/>
            <w:shd w:val="clear" w:color="auto" w:fill="ACACAC"/>
          </w:tcPr>
          <w:p>
            <w:pPr>
              <w:jc w:val="right"/>
              <w:ind w:right="121"/>
              <w:spacing w:after="0"/>
              <w:rPr>
                <w:sz w:val="20"/>
                <w:szCs w:val="20"/>
                <w:color w:val="auto"/>
              </w:rPr>
            </w:pPr>
            <w:r>
              <w:rPr>
                <w:rFonts w:ascii="Arial" w:cs="Arial" w:eastAsia="Arial" w:hAnsi="Arial"/>
                <w:sz w:val="16"/>
                <w:szCs w:val="16"/>
                <w:color w:val="auto"/>
              </w:rPr>
              <w:t>—</w:t>
            </w:r>
          </w:p>
        </w:tc>
        <w:tc>
          <w:tcPr>
            <w:tcW w:w="1200" w:type="dxa"/>
            <w:vAlign w:val="bottom"/>
            <w:vMerge w:val="restart"/>
            <w:shd w:val="clear" w:color="auto" w:fill="ACACAC"/>
          </w:tcPr>
          <w:p>
            <w:pPr>
              <w:jc w:val="right"/>
              <w:ind w:right="61"/>
              <w:spacing w:after="0"/>
              <w:rPr>
                <w:sz w:val="20"/>
                <w:szCs w:val="20"/>
                <w:color w:val="auto"/>
              </w:rPr>
            </w:pPr>
            <w:r>
              <w:rPr>
                <w:rFonts w:ascii="Arial" w:cs="Arial" w:eastAsia="Arial" w:hAnsi="Arial"/>
                <w:sz w:val="16"/>
                <w:szCs w:val="16"/>
                <w:color w:val="auto"/>
              </w:rPr>
              <w:t>—</w:t>
            </w:r>
          </w:p>
        </w:tc>
        <w:tc>
          <w:tcPr>
            <w:tcW w:w="1240" w:type="dxa"/>
            <w:vAlign w:val="bottom"/>
            <w:vMerge w:val="restart"/>
            <w:shd w:val="clear" w:color="auto" w:fill="ACACAC"/>
          </w:tcPr>
          <w:p>
            <w:pPr>
              <w:jc w:val="right"/>
              <w:ind w:right="61"/>
              <w:spacing w:after="0"/>
              <w:rPr>
                <w:sz w:val="20"/>
                <w:szCs w:val="20"/>
                <w:color w:val="auto"/>
              </w:rPr>
            </w:pPr>
            <w:r>
              <w:rPr>
                <w:rFonts w:ascii="Arial" w:cs="Arial" w:eastAsia="Arial" w:hAnsi="Arial"/>
                <w:sz w:val="16"/>
                <w:szCs w:val="16"/>
                <w:color w:val="auto"/>
              </w:rPr>
              <w:t>6,740</w:t>
            </w:r>
          </w:p>
        </w:tc>
        <w:tc>
          <w:tcPr>
            <w:tcW w:w="880" w:type="dxa"/>
            <w:vAlign w:val="bottom"/>
            <w:shd w:val="clear" w:color="auto" w:fill="ACACAC"/>
          </w:tcPr>
          <w:p>
            <w:pPr>
              <w:jc w:val="right"/>
              <w:ind w:right="260"/>
              <w:spacing w:after="0"/>
              <w:rPr>
                <w:sz w:val="20"/>
                <w:szCs w:val="20"/>
                <w:color w:val="auto"/>
              </w:rPr>
            </w:pPr>
            <w:r>
              <w:rPr>
                <w:rFonts w:ascii="Arial" w:cs="Arial" w:eastAsia="Arial" w:hAnsi="Arial"/>
                <w:sz w:val="11"/>
                <w:szCs w:val="11"/>
                <w:color w:val="auto"/>
              </w:rPr>
              <w:t>(4)</w:t>
            </w:r>
          </w:p>
        </w:tc>
        <w:tc>
          <w:tcPr>
            <w:tcW w:w="0" w:type="dxa"/>
            <w:vAlign w:val="bottom"/>
          </w:tcPr>
          <w:p>
            <w:pPr>
              <w:spacing w:after="0"/>
              <w:rPr>
                <w:sz w:val="1"/>
                <w:szCs w:val="1"/>
                <w:color w:val="auto"/>
              </w:rPr>
            </w:pPr>
          </w:p>
        </w:tc>
      </w:tr>
      <w:tr>
        <w:trPr>
          <w:trHeight w:val="90"/>
        </w:trPr>
        <w:tc>
          <w:tcPr>
            <w:tcW w:w="4640" w:type="dxa"/>
            <w:vAlign w:val="bottom"/>
            <w:vMerge w:val="continue"/>
            <w:shd w:val="clear" w:color="auto" w:fill="ACACAC"/>
          </w:tcPr>
          <w:p>
            <w:pPr>
              <w:spacing w:after="0"/>
              <w:rPr>
                <w:sz w:val="7"/>
                <w:szCs w:val="7"/>
                <w:color w:val="auto"/>
              </w:rPr>
            </w:pPr>
          </w:p>
        </w:tc>
        <w:tc>
          <w:tcPr>
            <w:tcW w:w="2220" w:type="dxa"/>
            <w:vAlign w:val="bottom"/>
            <w:vMerge w:val="continue"/>
            <w:shd w:val="clear" w:color="auto" w:fill="ACACAC"/>
          </w:tcPr>
          <w:p>
            <w:pPr>
              <w:spacing w:after="0"/>
              <w:rPr>
                <w:sz w:val="7"/>
                <w:szCs w:val="7"/>
                <w:color w:val="auto"/>
              </w:rPr>
            </w:pPr>
          </w:p>
        </w:tc>
        <w:tc>
          <w:tcPr>
            <w:tcW w:w="1240" w:type="dxa"/>
            <w:vAlign w:val="bottom"/>
            <w:vMerge w:val="continue"/>
            <w:shd w:val="clear" w:color="auto" w:fill="ACACAC"/>
          </w:tcPr>
          <w:p>
            <w:pPr>
              <w:spacing w:after="0"/>
              <w:rPr>
                <w:sz w:val="7"/>
                <w:szCs w:val="7"/>
                <w:color w:val="auto"/>
              </w:rPr>
            </w:pPr>
          </w:p>
        </w:tc>
        <w:tc>
          <w:tcPr>
            <w:tcW w:w="1200" w:type="dxa"/>
            <w:vAlign w:val="bottom"/>
            <w:vMerge w:val="continue"/>
            <w:shd w:val="clear" w:color="auto" w:fill="ACACAC"/>
          </w:tcPr>
          <w:p>
            <w:pPr>
              <w:spacing w:after="0"/>
              <w:rPr>
                <w:sz w:val="7"/>
                <w:szCs w:val="7"/>
                <w:color w:val="auto"/>
              </w:rPr>
            </w:pPr>
          </w:p>
        </w:tc>
        <w:tc>
          <w:tcPr>
            <w:tcW w:w="1240" w:type="dxa"/>
            <w:vAlign w:val="bottom"/>
            <w:vMerge w:val="continue"/>
            <w:shd w:val="clear" w:color="auto" w:fill="ACACAC"/>
          </w:tcPr>
          <w:p>
            <w:pPr>
              <w:spacing w:after="0"/>
              <w:rPr>
                <w:sz w:val="7"/>
                <w:szCs w:val="7"/>
                <w:color w:val="auto"/>
              </w:rPr>
            </w:pPr>
          </w:p>
        </w:tc>
        <w:tc>
          <w:tcPr>
            <w:tcW w:w="880" w:type="dxa"/>
            <w:vAlign w:val="bottom"/>
            <w:shd w:val="clear" w:color="auto" w:fill="ACACAC"/>
          </w:tcPr>
          <w:p>
            <w:pPr>
              <w:spacing w:after="0"/>
              <w:rPr>
                <w:sz w:val="7"/>
                <w:szCs w:val="7"/>
                <w:color w:val="auto"/>
              </w:rPr>
            </w:pPr>
          </w:p>
        </w:tc>
        <w:tc>
          <w:tcPr>
            <w:tcW w:w="0" w:type="dxa"/>
            <w:vAlign w:val="bottom"/>
          </w:tcPr>
          <w:p>
            <w:pPr>
              <w:spacing w:after="0"/>
              <w:rPr>
                <w:sz w:val="1"/>
                <w:szCs w:val="1"/>
                <w:color w:val="auto"/>
              </w:rPr>
            </w:pPr>
          </w:p>
        </w:tc>
      </w:tr>
      <w:tr>
        <w:trPr>
          <w:trHeight w:val="154"/>
        </w:trPr>
        <w:tc>
          <w:tcPr>
            <w:tcW w:w="4640" w:type="dxa"/>
            <w:vAlign w:val="bottom"/>
            <w:vMerge w:val="restart"/>
          </w:tcPr>
          <w:p>
            <w:pPr>
              <w:ind w:left="40"/>
              <w:spacing w:after="0"/>
              <w:rPr>
                <w:sz w:val="20"/>
                <w:szCs w:val="20"/>
                <w:color w:val="auto"/>
              </w:rPr>
            </w:pPr>
            <w:r>
              <w:rPr>
                <w:rFonts w:ascii="Arial" w:cs="Arial" w:eastAsia="Arial" w:hAnsi="Arial"/>
                <w:sz w:val="16"/>
                <w:szCs w:val="16"/>
                <w:color w:val="auto"/>
              </w:rPr>
              <w:t>Richard D. Moss</w:t>
            </w:r>
          </w:p>
        </w:tc>
        <w:tc>
          <w:tcPr>
            <w:tcW w:w="2220" w:type="dxa"/>
            <w:vAlign w:val="bottom"/>
            <w:vMerge w:val="restart"/>
          </w:tcPr>
          <w:p>
            <w:pPr>
              <w:jc w:val="right"/>
              <w:ind w:right="141"/>
              <w:spacing w:after="0"/>
              <w:rPr>
                <w:sz w:val="20"/>
                <w:szCs w:val="20"/>
                <w:color w:val="auto"/>
              </w:rPr>
            </w:pPr>
            <w:r>
              <w:rPr>
                <w:rFonts w:ascii="Arial" w:cs="Arial" w:eastAsia="Arial" w:hAnsi="Arial"/>
                <w:sz w:val="16"/>
                <w:szCs w:val="16"/>
                <w:color w:val="auto"/>
              </w:rPr>
              <w:t>5,140</w:t>
            </w:r>
          </w:p>
        </w:tc>
        <w:tc>
          <w:tcPr>
            <w:tcW w:w="1240" w:type="dxa"/>
            <w:vAlign w:val="bottom"/>
            <w:vMerge w:val="restart"/>
          </w:tcPr>
          <w:p>
            <w:pPr>
              <w:jc w:val="right"/>
              <w:ind w:right="121"/>
              <w:spacing w:after="0"/>
              <w:rPr>
                <w:sz w:val="20"/>
                <w:szCs w:val="20"/>
                <w:color w:val="auto"/>
              </w:rPr>
            </w:pPr>
            <w:r>
              <w:rPr>
                <w:rFonts w:ascii="Arial" w:cs="Arial" w:eastAsia="Arial" w:hAnsi="Arial"/>
                <w:sz w:val="16"/>
                <w:szCs w:val="16"/>
                <w:color w:val="auto"/>
              </w:rPr>
              <w:t>—</w:t>
            </w:r>
          </w:p>
        </w:tc>
        <w:tc>
          <w:tcPr>
            <w:tcW w:w="1200" w:type="dxa"/>
            <w:vAlign w:val="bottom"/>
            <w:vMerge w:val="restart"/>
          </w:tcPr>
          <w:p>
            <w:pPr>
              <w:jc w:val="right"/>
              <w:ind w:right="61"/>
              <w:spacing w:after="0"/>
              <w:rPr>
                <w:sz w:val="20"/>
                <w:szCs w:val="20"/>
                <w:color w:val="auto"/>
              </w:rPr>
            </w:pPr>
            <w:r>
              <w:rPr>
                <w:rFonts w:ascii="Arial" w:cs="Arial" w:eastAsia="Arial" w:hAnsi="Arial"/>
                <w:sz w:val="16"/>
                <w:szCs w:val="16"/>
                <w:color w:val="auto"/>
              </w:rPr>
              <w:t>—</w:t>
            </w:r>
          </w:p>
        </w:tc>
        <w:tc>
          <w:tcPr>
            <w:tcW w:w="1240" w:type="dxa"/>
            <w:vAlign w:val="bottom"/>
            <w:vMerge w:val="restart"/>
          </w:tcPr>
          <w:p>
            <w:pPr>
              <w:jc w:val="right"/>
              <w:ind w:right="61"/>
              <w:spacing w:after="0"/>
              <w:rPr>
                <w:sz w:val="20"/>
                <w:szCs w:val="20"/>
                <w:color w:val="auto"/>
              </w:rPr>
            </w:pPr>
            <w:r>
              <w:rPr>
                <w:rFonts w:ascii="Arial" w:cs="Arial" w:eastAsia="Arial" w:hAnsi="Arial"/>
                <w:sz w:val="16"/>
                <w:szCs w:val="16"/>
                <w:color w:val="auto"/>
              </w:rPr>
              <w:t>5,140</w:t>
            </w:r>
          </w:p>
        </w:tc>
        <w:tc>
          <w:tcPr>
            <w:tcW w:w="880" w:type="dxa"/>
            <w:vAlign w:val="bottom"/>
          </w:tcPr>
          <w:p>
            <w:pPr>
              <w:jc w:val="right"/>
              <w:ind w:right="260"/>
              <w:spacing w:after="0"/>
              <w:rPr>
                <w:sz w:val="20"/>
                <w:szCs w:val="20"/>
                <w:color w:val="auto"/>
              </w:rPr>
            </w:pPr>
            <w:r>
              <w:rPr>
                <w:rFonts w:ascii="Arial" w:cs="Arial" w:eastAsia="Arial" w:hAnsi="Arial"/>
                <w:sz w:val="11"/>
                <w:szCs w:val="11"/>
                <w:color w:val="auto"/>
              </w:rPr>
              <w:t>(4)</w:t>
            </w:r>
          </w:p>
        </w:tc>
        <w:tc>
          <w:tcPr>
            <w:tcW w:w="0" w:type="dxa"/>
            <w:vAlign w:val="bottom"/>
          </w:tcPr>
          <w:p>
            <w:pPr>
              <w:spacing w:after="0"/>
              <w:rPr>
                <w:sz w:val="1"/>
                <w:szCs w:val="1"/>
                <w:color w:val="auto"/>
              </w:rPr>
            </w:pPr>
          </w:p>
        </w:tc>
      </w:tr>
      <w:tr>
        <w:trPr>
          <w:trHeight w:val="80"/>
        </w:trPr>
        <w:tc>
          <w:tcPr>
            <w:tcW w:w="4640" w:type="dxa"/>
            <w:vAlign w:val="bottom"/>
            <w:vMerge w:val="continue"/>
          </w:tcPr>
          <w:p>
            <w:pPr>
              <w:spacing w:after="0"/>
              <w:rPr>
                <w:sz w:val="6"/>
                <w:szCs w:val="6"/>
                <w:color w:val="auto"/>
              </w:rPr>
            </w:pPr>
          </w:p>
        </w:tc>
        <w:tc>
          <w:tcPr>
            <w:tcW w:w="2220" w:type="dxa"/>
            <w:vAlign w:val="bottom"/>
            <w:vMerge w:val="continue"/>
          </w:tcPr>
          <w:p>
            <w:pPr>
              <w:spacing w:after="0"/>
              <w:rPr>
                <w:sz w:val="6"/>
                <w:szCs w:val="6"/>
                <w:color w:val="auto"/>
              </w:rPr>
            </w:pPr>
          </w:p>
        </w:tc>
        <w:tc>
          <w:tcPr>
            <w:tcW w:w="1240" w:type="dxa"/>
            <w:vAlign w:val="bottom"/>
            <w:vMerge w:val="continue"/>
          </w:tcPr>
          <w:p>
            <w:pPr>
              <w:spacing w:after="0"/>
              <w:rPr>
                <w:sz w:val="6"/>
                <w:szCs w:val="6"/>
                <w:color w:val="auto"/>
              </w:rPr>
            </w:pPr>
          </w:p>
        </w:tc>
        <w:tc>
          <w:tcPr>
            <w:tcW w:w="1200" w:type="dxa"/>
            <w:vAlign w:val="bottom"/>
            <w:vMerge w:val="continue"/>
          </w:tcPr>
          <w:p>
            <w:pPr>
              <w:spacing w:after="0"/>
              <w:rPr>
                <w:sz w:val="6"/>
                <w:szCs w:val="6"/>
                <w:color w:val="auto"/>
              </w:rPr>
            </w:pPr>
          </w:p>
        </w:tc>
        <w:tc>
          <w:tcPr>
            <w:tcW w:w="1240" w:type="dxa"/>
            <w:vAlign w:val="bottom"/>
            <w:vMerge w:val="continue"/>
          </w:tcPr>
          <w:p>
            <w:pPr>
              <w:spacing w:after="0"/>
              <w:rPr>
                <w:sz w:val="6"/>
                <w:szCs w:val="6"/>
                <w:color w:val="auto"/>
              </w:rPr>
            </w:pPr>
          </w:p>
        </w:tc>
        <w:tc>
          <w:tcPr>
            <w:tcW w:w="8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63"/>
        </w:trPr>
        <w:tc>
          <w:tcPr>
            <w:tcW w:w="4640" w:type="dxa"/>
            <w:vAlign w:val="bottom"/>
            <w:vMerge w:val="restart"/>
            <w:shd w:val="clear" w:color="auto" w:fill="ACACAC"/>
          </w:tcPr>
          <w:p>
            <w:pPr>
              <w:ind w:left="40"/>
              <w:spacing w:after="0"/>
              <w:rPr>
                <w:sz w:val="20"/>
                <w:szCs w:val="20"/>
                <w:color w:val="auto"/>
              </w:rPr>
            </w:pPr>
            <w:r>
              <w:rPr>
                <w:rFonts w:ascii="Arial" w:cs="Arial" w:eastAsia="Arial" w:hAnsi="Arial"/>
                <w:sz w:val="16"/>
                <w:szCs w:val="16"/>
                <w:color w:val="auto"/>
              </w:rPr>
              <w:t>John M. Murabito</w:t>
            </w:r>
          </w:p>
        </w:tc>
        <w:tc>
          <w:tcPr>
            <w:tcW w:w="2220" w:type="dxa"/>
            <w:vAlign w:val="bottom"/>
            <w:vMerge w:val="restart"/>
            <w:shd w:val="clear" w:color="auto" w:fill="ACACAC"/>
          </w:tcPr>
          <w:p>
            <w:pPr>
              <w:jc w:val="right"/>
              <w:ind w:right="141"/>
              <w:spacing w:after="0"/>
              <w:rPr>
                <w:sz w:val="20"/>
                <w:szCs w:val="20"/>
                <w:color w:val="auto"/>
              </w:rPr>
            </w:pPr>
            <w:r>
              <w:rPr>
                <w:rFonts w:ascii="Arial" w:cs="Arial" w:eastAsia="Arial" w:hAnsi="Arial"/>
                <w:sz w:val="16"/>
                <w:szCs w:val="16"/>
                <w:color w:val="auto"/>
              </w:rPr>
              <w:t>3,840</w:t>
            </w:r>
          </w:p>
        </w:tc>
        <w:tc>
          <w:tcPr>
            <w:tcW w:w="1240" w:type="dxa"/>
            <w:vAlign w:val="bottom"/>
            <w:vMerge w:val="restart"/>
            <w:shd w:val="clear" w:color="auto" w:fill="ACACAC"/>
          </w:tcPr>
          <w:p>
            <w:pPr>
              <w:jc w:val="right"/>
              <w:ind w:right="121"/>
              <w:spacing w:after="0"/>
              <w:rPr>
                <w:sz w:val="20"/>
                <w:szCs w:val="20"/>
                <w:color w:val="auto"/>
              </w:rPr>
            </w:pPr>
            <w:r>
              <w:rPr>
                <w:rFonts w:ascii="Arial" w:cs="Arial" w:eastAsia="Arial" w:hAnsi="Arial"/>
                <w:sz w:val="16"/>
                <w:szCs w:val="16"/>
                <w:color w:val="auto"/>
              </w:rPr>
              <w:t>—</w:t>
            </w:r>
          </w:p>
        </w:tc>
        <w:tc>
          <w:tcPr>
            <w:tcW w:w="1200" w:type="dxa"/>
            <w:vAlign w:val="bottom"/>
            <w:vMerge w:val="restart"/>
            <w:shd w:val="clear" w:color="auto" w:fill="ACACAC"/>
          </w:tcPr>
          <w:p>
            <w:pPr>
              <w:jc w:val="right"/>
              <w:ind w:right="61"/>
              <w:spacing w:after="0"/>
              <w:rPr>
                <w:sz w:val="20"/>
                <w:szCs w:val="20"/>
                <w:color w:val="auto"/>
              </w:rPr>
            </w:pPr>
            <w:r>
              <w:rPr>
                <w:rFonts w:ascii="Arial" w:cs="Arial" w:eastAsia="Arial" w:hAnsi="Arial"/>
                <w:sz w:val="16"/>
                <w:szCs w:val="16"/>
                <w:color w:val="auto"/>
              </w:rPr>
              <w:t>—</w:t>
            </w:r>
          </w:p>
        </w:tc>
        <w:tc>
          <w:tcPr>
            <w:tcW w:w="1240" w:type="dxa"/>
            <w:vAlign w:val="bottom"/>
            <w:vMerge w:val="restart"/>
            <w:shd w:val="clear" w:color="auto" w:fill="ACACAC"/>
          </w:tcPr>
          <w:p>
            <w:pPr>
              <w:jc w:val="right"/>
              <w:ind w:right="61"/>
              <w:spacing w:after="0"/>
              <w:rPr>
                <w:sz w:val="20"/>
                <w:szCs w:val="20"/>
                <w:color w:val="auto"/>
              </w:rPr>
            </w:pPr>
            <w:r>
              <w:rPr>
                <w:rFonts w:ascii="Arial" w:cs="Arial" w:eastAsia="Arial" w:hAnsi="Arial"/>
                <w:sz w:val="16"/>
                <w:szCs w:val="16"/>
                <w:color w:val="auto"/>
              </w:rPr>
              <w:t>3,840</w:t>
            </w:r>
          </w:p>
        </w:tc>
        <w:tc>
          <w:tcPr>
            <w:tcW w:w="880" w:type="dxa"/>
            <w:vAlign w:val="bottom"/>
            <w:shd w:val="clear" w:color="auto" w:fill="ACACAC"/>
          </w:tcPr>
          <w:p>
            <w:pPr>
              <w:jc w:val="right"/>
              <w:ind w:right="260"/>
              <w:spacing w:after="0"/>
              <w:rPr>
                <w:sz w:val="20"/>
                <w:szCs w:val="20"/>
                <w:color w:val="auto"/>
              </w:rPr>
            </w:pPr>
            <w:r>
              <w:rPr>
                <w:rFonts w:ascii="Arial" w:cs="Arial" w:eastAsia="Arial" w:hAnsi="Arial"/>
                <w:sz w:val="11"/>
                <w:szCs w:val="11"/>
                <w:color w:val="auto"/>
              </w:rPr>
              <w:t>(4)</w:t>
            </w:r>
          </w:p>
        </w:tc>
        <w:tc>
          <w:tcPr>
            <w:tcW w:w="0" w:type="dxa"/>
            <w:vAlign w:val="bottom"/>
          </w:tcPr>
          <w:p>
            <w:pPr>
              <w:spacing w:after="0"/>
              <w:rPr>
                <w:sz w:val="1"/>
                <w:szCs w:val="1"/>
                <w:color w:val="auto"/>
              </w:rPr>
            </w:pPr>
          </w:p>
        </w:tc>
      </w:tr>
      <w:tr>
        <w:trPr>
          <w:trHeight w:val="90"/>
        </w:trPr>
        <w:tc>
          <w:tcPr>
            <w:tcW w:w="4640" w:type="dxa"/>
            <w:vAlign w:val="bottom"/>
            <w:vMerge w:val="continue"/>
            <w:shd w:val="clear" w:color="auto" w:fill="ACACAC"/>
          </w:tcPr>
          <w:p>
            <w:pPr>
              <w:spacing w:after="0"/>
              <w:rPr>
                <w:sz w:val="7"/>
                <w:szCs w:val="7"/>
                <w:color w:val="auto"/>
              </w:rPr>
            </w:pPr>
          </w:p>
        </w:tc>
        <w:tc>
          <w:tcPr>
            <w:tcW w:w="2220" w:type="dxa"/>
            <w:vAlign w:val="bottom"/>
            <w:vMerge w:val="continue"/>
            <w:shd w:val="clear" w:color="auto" w:fill="ACACAC"/>
          </w:tcPr>
          <w:p>
            <w:pPr>
              <w:spacing w:after="0"/>
              <w:rPr>
                <w:sz w:val="7"/>
                <w:szCs w:val="7"/>
                <w:color w:val="auto"/>
              </w:rPr>
            </w:pPr>
          </w:p>
        </w:tc>
        <w:tc>
          <w:tcPr>
            <w:tcW w:w="1240" w:type="dxa"/>
            <w:vAlign w:val="bottom"/>
            <w:vMerge w:val="continue"/>
            <w:shd w:val="clear" w:color="auto" w:fill="ACACAC"/>
          </w:tcPr>
          <w:p>
            <w:pPr>
              <w:spacing w:after="0"/>
              <w:rPr>
                <w:sz w:val="7"/>
                <w:szCs w:val="7"/>
                <w:color w:val="auto"/>
              </w:rPr>
            </w:pPr>
          </w:p>
        </w:tc>
        <w:tc>
          <w:tcPr>
            <w:tcW w:w="1200" w:type="dxa"/>
            <w:vAlign w:val="bottom"/>
            <w:vMerge w:val="continue"/>
            <w:shd w:val="clear" w:color="auto" w:fill="ACACAC"/>
          </w:tcPr>
          <w:p>
            <w:pPr>
              <w:spacing w:after="0"/>
              <w:rPr>
                <w:sz w:val="7"/>
                <w:szCs w:val="7"/>
                <w:color w:val="auto"/>
              </w:rPr>
            </w:pPr>
          </w:p>
        </w:tc>
        <w:tc>
          <w:tcPr>
            <w:tcW w:w="1240" w:type="dxa"/>
            <w:vAlign w:val="bottom"/>
            <w:vMerge w:val="continue"/>
            <w:shd w:val="clear" w:color="auto" w:fill="ACACAC"/>
          </w:tcPr>
          <w:p>
            <w:pPr>
              <w:spacing w:after="0"/>
              <w:rPr>
                <w:sz w:val="7"/>
                <w:szCs w:val="7"/>
                <w:color w:val="auto"/>
              </w:rPr>
            </w:pPr>
          </w:p>
        </w:tc>
        <w:tc>
          <w:tcPr>
            <w:tcW w:w="880" w:type="dxa"/>
            <w:vAlign w:val="bottom"/>
            <w:shd w:val="clear" w:color="auto" w:fill="ACACAC"/>
          </w:tcPr>
          <w:p>
            <w:pPr>
              <w:spacing w:after="0"/>
              <w:rPr>
                <w:sz w:val="7"/>
                <w:szCs w:val="7"/>
                <w:color w:val="auto"/>
              </w:rPr>
            </w:pPr>
          </w:p>
        </w:tc>
        <w:tc>
          <w:tcPr>
            <w:tcW w:w="0" w:type="dxa"/>
            <w:vAlign w:val="bottom"/>
          </w:tcPr>
          <w:p>
            <w:pPr>
              <w:spacing w:after="0"/>
              <w:rPr>
                <w:sz w:val="1"/>
                <w:szCs w:val="1"/>
                <w:color w:val="auto"/>
              </w:rPr>
            </w:pPr>
          </w:p>
        </w:tc>
      </w:tr>
      <w:tr>
        <w:trPr>
          <w:trHeight w:val="154"/>
        </w:trPr>
        <w:tc>
          <w:tcPr>
            <w:tcW w:w="4640" w:type="dxa"/>
            <w:vAlign w:val="bottom"/>
            <w:vMerge w:val="restart"/>
          </w:tcPr>
          <w:p>
            <w:pPr>
              <w:ind w:left="40"/>
              <w:spacing w:after="0"/>
              <w:rPr>
                <w:sz w:val="20"/>
                <w:szCs w:val="20"/>
                <w:color w:val="auto"/>
              </w:rPr>
            </w:pPr>
            <w:r>
              <w:rPr>
                <w:rFonts w:ascii="Arial" w:cs="Arial" w:eastAsia="Arial" w:hAnsi="Arial"/>
                <w:sz w:val="16"/>
                <w:szCs w:val="16"/>
                <w:color w:val="auto"/>
              </w:rPr>
              <w:t>Martha T. Rodamaker</w:t>
            </w:r>
          </w:p>
        </w:tc>
        <w:tc>
          <w:tcPr>
            <w:tcW w:w="2220" w:type="dxa"/>
            <w:vAlign w:val="bottom"/>
            <w:vMerge w:val="restart"/>
          </w:tcPr>
          <w:p>
            <w:pPr>
              <w:jc w:val="right"/>
              <w:ind w:right="141"/>
              <w:spacing w:after="0"/>
              <w:rPr>
                <w:sz w:val="20"/>
                <w:szCs w:val="20"/>
                <w:color w:val="auto"/>
              </w:rPr>
            </w:pPr>
            <w:r>
              <w:rPr>
                <w:rFonts w:ascii="Arial" w:cs="Arial" w:eastAsia="Arial" w:hAnsi="Arial"/>
                <w:sz w:val="16"/>
                <w:szCs w:val="16"/>
                <w:color w:val="auto"/>
              </w:rPr>
              <w:t>16,240</w:t>
            </w:r>
          </w:p>
        </w:tc>
        <w:tc>
          <w:tcPr>
            <w:tcW w:w="1240" w:type="dxa"/>
            <w:vAlign w:val="bottom"/>
            <w:vMerge w:val="restart"/>
          </w:tcPr>
          <w:p>
            <w:pPr>
              <w:jc w:val="right"/>
              <w:ind w:right="121"/>
              <w:spacing w:after="0"/>
              <w:rPr>
                <w:sz w:val="20"/>
                <w:szCs w:val="20"/>
                <w:color w:val="auto"/>
              </w:rPr>
            </w:pPr>
            <w:r>
              <w:rPr>
                <w:rFonts w:ascii="Arial" w:cs="Arial" w:eastAsia="Arial" w:hAnsi="Arial"/>
                <w:sz w:val="16"/>
                <w:szCs w:val="16"/>
                <w:color w:val="auto"/>
              </w:rPr>
              <w:t>—</w:t>
            </w:r>
          </w:p>
        </w:tc>
        <w:tc>
          <w:tcPr>
            <w:tcW w:w="1200" w:type="dxa"/>
            <w:vAlign w:val="bottom"/>
            <w:vMerge w:val="restart"/>
          </w:tcPr>
          <w:p>
            <w:pPr>
              <w:jc w:val="right"/>
              <w:ind w:right="61"/>
              <w:spacing w:after="0"/>
              <w:rPr>
                <w:sz w:val="20"/>
                <w:szCs w:val="20"/>
                <w:color w:val="auto"/>
              </w:rPr>
            </w:pPr>
            <w:r>
              <w:rPr>
                <w:rFonts w:ascii="Arial" w:cs="Arial" w:eastAsia="Arial" w:hAnsi="Arial"/>
                <w:sz w:val="16"/>
                <w:szCs w:val="16"/>
                <w:color w:val="auto"/>
              </w:rPr>
              <w:t>12,051</w:t>
            </w:r>
          </w:p>
        </w:tc>
        <w:tc>
          <w:tcPr>
            <w:tcW w:w="1240" w:type="dxa"/>
            <w:vAlign w:val="bottom"/>
            <w:vMerge w:val="restart"/>
          </w:tcPr>
          <w:p>
            <w:pPr>
              <w:jc w:val="right"/>
              <w:ind w:right="61"/>
              <w:spacing w:after="0"/>
              <w:rPr>
                <w:sz w:val="20"/>
                <w:szCs w:val="20"/>
                <w:color w:val="auto"/>
              </w:rPr>
            </w:pPr>
            <w:r>
              <w:rPr>
                <w:rFonts w:ascii="Arial" w:cs="Arial" w:eastAsia="Arial" w:hAnsi="Arial"/>
                <w:sz w:val="16"/>
                <w:szCs w:val="16"/>
                <w:color w:val="auto"/>
              </w:rPr>
              <w:t>28,291</w:t>
            </w:r>
          </w:p>
        </w:tc>
        <w:tc>
          <w:tcPr>
            <w:tcW w:w="880" w:type="dxa"/>
            <w:vAlign w:val="bottom"/>
          </w:tcPr>
          <w:p>
            <w:pPr>
              <w:jc w:val="right"/>
              <w:ind w:right="260"/>
              <w:spacing w:after="0"/>
              <w:rPr>
                <w:sz w:val="20"/>
                <w:szCs w:val="20"/>
                <w:color w:val="auto"/>
              </w:rPr>
            </w:pPr>
            <w:r>
              <w:rPr>
                <w:rFonts w:ascii="Arial" w:cs="Arial" w:eastAsia="Arial" w:hAnsi="Arial"/>
                <w:sz w:val="11"/>
                <w:szCs w:val="11"/>
                <w:color w:val="auto"/>
              </w:rPr>
              <w:t>(4)</w:t>
            </w:r>
          </w:p>
        </w:tc>
        <w:tc>
          <w:tcPr>
            <w:tcW w:w="0" w:type="dxa"/>
            <w:vAlign w:val="bottom"/>
          </w:tcPr>
          <w:p>
            <w:pPr>
              <w:spacing w:after="0"/>
              <w:rPr>
                <w:sz w:val="1"/>
                <w:szCs w:val="1"/>
                <w:color w:val="auto"/>
              </w:rPr>
            </w:pPr>
          </w:p>
        </w:tc>
      </w:tr>
      <w:tr>
        <w:trPr>
          <w:trHeight w:val="80"/>
        </w:trPr>
        <w:tc>
          <w:tcPr>
            <w:tcW w:w="4640" w:type="dxa"/>
            <w:vAlign w:val="bottom"/>
            <w:vMerge w:val="continue"/>
          </w:tcPr>
          <w:p>
            <w:pPr>
              <w:spacing w:after="0"/>
              <w:rPr>
                <w:sz w:val="6"/>
                <w:szCs w:val="6"/>
                <w:color w:val="auto"/>
              </w:rPr>
            </w:pPr>
          </w:p>
        </w:tc>
        <w:tc>
          <w:tcPr>
            <w:tcW w:w="2220" w:type="dxa"/>
            <w:vAlign w:val="bottom"/>
            <w:vMerge w:val="continue"/>
          </w:tcPr>
          <w:p>
            <w:pPr>
              <w:spacing w:after="0"/>
              <w:rPr>
                <w:sz w:val="6"/>
                <w:szCs w:val="6"/>
                <w:color w:val="auto"/>
              </w:rPr>
            </w:pPr>
          </w:p>
        </w:tc>
        <w:tc>
          <w:tcPr>
            <w:tcW w:w="1240" w:type="dxa"/>
            <w:vAlign w:val="bottom"/>
            <w:vMerge w:val="continue"/>
          </w:tcPr>
          <w:p>
            <w:pPr>
              <w:spacing w:after="0"/>
              <w:rPr>
                <w:sz w:val="6"/>
                <w:szCs w:val="6"/>
                <w:color w:val="auto"/>
              </w:rPr>
            </w:pPr>
          </w:p>
        </w:tc>
        <w:tc>
          <w:tcPr>
            <w:tcW w:w="1200" w:type="dxa"/>
            <w:vAlign w:val="bottom"/>
            <w:vMerge w:val="continue"/>
          </w:tcPr>
          <w:p>
            <w:pPr>
              <w:spacing w:after="0"/>
              <w:rPr>
                <w:sz w:val="6"/>
                <w:szCs w:val="6"/>
                <w:color w:val="auto"/>
              </w:rPr>
            </w:pPr>
          </w:p>
        </w:tc>
        <w:tc>
          <w:tcPr>
            <w:tcW w:w="1240" w:type="dxa"/>
            <w:vAlign w:val="bottom"/>
            <w:vMerge w:val="continue"/>
          </w:tcPr>
          <w:p>
            <w:pPr>
              <w:spacing w:after="0"/>
              <w:rPr>
                <w:sz w:val="6"/>
                <w:szCs w:val="6"/>
                <w:color w:val="auto"/>
              </w:rPr>
            </w:pPr>
          </w:p>
        </w:tc>
        <w:tc>
          <w:tcPr>
            <w:tcW w:w="8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53"/>
        </w:trPr>
        <w:tc>
          <w:tcPr>
            <w:tcW w:w="4640" w:type="dxa"/>
            <w:vAlign w:val="bottom"/>
            <w:shd w:val="clear" w:color="auto" w:fill="ACACAC"/>
          </w:tcPr>
          <w:p>
            <w:pPr>
              <w:ind w:left="40"/>
              <w:spacing w:after="0"/>
              <w:rPr>
                <w:sz w:val="20"/>
                <w:szCs w:val="20"/>
                <w:color w:val="auto"/>
              </w:rPr>
            </w:pPr>
            <w:r>
              <w:rPr>
                <w:rFonts w:ascii="Arial" w:cs="Arial" w:eastAsia="Arial" w:hAnsi="Arial"/>
                <w:sz w:val="16"/>
                <w:szCs w:val="16"/>
                <w:color w:val="auto"/>
              </w:rPr>
              <w:t>Directors and executive officers as a group (18 persons)</w:t>
            </w:r>
          </w:p>
        </w:tc>
        <w:tc>
          <w:tcPr>
            <w:tcW w:w="2220" w:type="dxa"/>
            <w:vAlign w:val="bottom"/>
            <w:shd w:val="clear" w:color="auto" w:fill="ACACAC"/>
          </w:tcPr>
          <w:p>
            <w:pPr>
              <w:jc w:val="right"/>
              <w:ind w:right="141"/>
              <w:spacing w:after="0"/>
              <w:rPr>
                <w:sz w:val="20"/>
                <w:szCs w:val="20"/>
                <w:color w:val="auto"/>
              </w:rPr>
            </w:pPr>
            <w:r>
              <w:rPr>
                <w:rFonts w:ascii="Arial" w:cs="Arial" w:eastAsia="Arial" w:hAnsi="Arial"/>
                <w:sz w:val="16"/>
                <w:szCs w:val="16"/>
                <w:color w:val="auto"/>
              </w:rPr>
              <w:t>1,035,915</w:t>
            </w:r>
          </w:p>
        </w:tc>
        <w:tc>
          <w:tcPr>
            <w:tcW w:w="1240" w:type="dxa"/>
            <w:vAlign w:val="bottom"/>
            <w:shd w:val="clear" w:color="auto" w:fill="ACACAC"/>
          </w:tcPr>
          <w:p>
            <w:pPr>
              <w:jc w:val="right"/>
              <w:ind w:right="121"/>
              <w:spacing w:after="0"/>
              <w:rPr>
                <w:sz w:val="20"/>
                <w:szCs w:val="20"/>
                <w:color w:val="auto"/>
              </w:rPr>
            </w:pPr>
            <w:r>
              <w:rPr>
                <w:rFonts w:ascii="Arial" w:cs="Arial" w:eastAsia="Arial" w:hAnsi="Arial"/>
                <w:sz w:val="16"/>
                <w:szCs w:val="16"/>
                <w:color w:val="auto"/>
              </w:rPr>
              <w:t>66,154</w:t>
            </w:r>
          </w:p>
        </w:tc>
        <w:tc>
          <w:tcPr>
            <w:tcW w:w="1200" w:type="dxa"/>
            <w:vAlign w:val="bottom"/>
            <w:shd w:val="clear" w:color="auto" w:fill="ACACAC"/>
          </w:tcPr>
          <w:p>
            <w:pPr>
              <w:jc w:val="right"/>
              <w:ind w:right="61"/>
              <w:spacing w:after="0"/>
              <w:rPr>
                <w:sz w:val="20"/>
                <w:szCs w:val="20"/>
                <w:color w:val="auto"/>
              </w:rPr>
            </w:pPr>
            <w:r>
              <w:rPr>
                <w:rFonts w:ascii="Arial" w:cs="Arial" w:eastAsia="Arial" w:hAnsi="Arial"/>
                <w:sz w:val="16"/>
                <w:szCs w:val="16"/>
                <w:color w:val="auto"/>
              </w:rPr>
              <w:t>44,065</w:t>
            </w:r>
          </w:p>
        </w:tc>
        <w:tc>
          <w:tcPr>
            <w:tcW w:w="1240" w:type="dxa"/>
            <w:vAlign w:val="bottom"/>
            <w:shd w:val="clear" w:color="auto" w:fill="ACACAC"/>
          </w:tcPr>
          <w:p>
            <w:pPr>
              <w:jc w:val="right"/>
              <w:ind w:right="61"/>
              <w:spacing w:after="0"/>
              <w:rPr>
                <w:sz w:val="20"/>
                <w:szCs w:val="20"/>
                <w:color w:val="auto"/>
              </w:rPr>
            </w:pPr>
            <w:r>
              <w:rPr>
                <w:rFonts w:ascii="Arial" w:cs="Arial" w:eastAsia="Arial" w:hAnsi="Arial"/>
                <w:sz w:val="16"/>
                <w:szCs w:val="16"/>
                <w:color w:val="auto"/>
              </w:rPr>
              <w:t>1,146,134</w:t>
            </w:r>
          </w:p>
        </w:tc>
        <w:tc>
          <w:tcPr>
            <w:tcW w:w="880" w:type="dxa"/>
            <w:vAlign w:val="bottom"/>
            <w:shd w:val="clear" w:color="auto" w:fill="ACACAC"/>
          </w:tcPr>
          <w:p>
            <w:pPr>
              <w:jc w:val="right"/>
              <w:spacing w:after="0"/>
              <w:rPr>
                <w:sz w:val="20"/>
                <w:szCs w:val="20"/>
                <w:color w:val="auto"/>
              </w:rPr>
            </w:pPr>
            <w:r>
              <w:rPr>
                <w:rFonts w:ascii="Arial" w:cs="Arial" w:eastAsia="Arial" w:hAnsi="Arial"/>
                <w:sz w:val="16"/>
                <w:szCs w:val="16"/>
                <w:color w:val="auto"/>
              </w:rPr>
              <w:t>3.57</w:t>
            </w:r>
            <w:r>
              <w:rPr>
                <w:rFonts w:ascii="Arial" w:cs="Arial" w:eastAsia="Arial" w:hAnsi="Arial"/>
                <w:sz w:val="21"/>
                <w:szCs w:val="21"/>
                <w:color w:val="auto"/>
                <w:vertAlign w:val="superscript"/>
              </w:rPr>
              <w:t>(5)</w:t>
            </w:r>
          </w:p>
        </w:tc>
        <w:tc>
          <w:tcPr>
            <w:tcW w:w="0" w:type="dxa"/>
            <w:vAlign w:val="bottom"/>
          </w:tcPr>
          <w:p>
            <w:pPr>
              <w:spacing w:after="0"/>
              <w:rPr>
                <w:sz w:val="1"/>
                <w:szCs w:val="1"/>
                <w:color w:val="auto"/>
              </w:rPr>
            </w:pPr>
          </w:p>
        </w:tc>
      </w:tr>
    </w:tbl>
    <w:p>
      <w:pPr>
        <w:spacing w:after="0" w:line="5" w:lineRule="exact"/>
        <w:rPr>
          <w:sz w:val="20"/>
          <w:szCs w:val="20"/>
          <w:color w:val="auto"/>
        </w:rPr>
      </w:pPr>
    </w:p>
    <w:p>
      <w:pPr>
        <w:ind w:left="340" w:hanging="332"/>
        <w:spacing w:after="0"/>
        <w:tabs>
          <w:tab w:leader="none" w:pos="340" w:val="left"/>
        </w:tabs>
        <w:numPr>
          <w:ilvl w:val="0"/>
          <w:numId w:val="8"/>
        </w:numPr>
        <w:rPr>
          <w:rFonts w:ascii="Arial" w:cs="Arial" w:eastAsia="Arial" w:hAnsi="Arial"/>
          <w:sz w:val="13"/>
          <w:szCs w:val="13"/>
          <w:color w:val="auto"/>
        </w:rPr>
      </w:pPr>
      <w:r>
        <w:rPr>
          <w:rFonts w:ascii="Arial" w:cs="Arial" w:eastAsia="Arial" w:hAnsi="Arial"/>
          <w:sz w:val="14"/>
          <w:szCs w:val="14"/>
          <w:color w:val="auto"/>
        </w:rPr>
        <w:t>Includes shares underlying stock options that are currently exercisable or become exercisable within 60 days.</w:t>
      </w:r>
    </w:p>
    <w:p>
      <w:pPr>
        <w:spacing w:after="0" w:line="55" w:lineRule="exact"/>
        <w:rPr>
          <w:rFonts w:ascii="Arial" w:cs="Arial" w:eastAsia="Arial" w:hAnsi="Arial"/>
          <w:sz w:val="13"/>
          <w:szCs w:val="13"/>
          <w:color w:val="auto"/>
        </w:rPr>
      </w:pPr>
    </w:p>
    <w:p>
      <w:pPr>
        <w:ind w:left="340" w:right="160" w:hanging="332"/>
        <w:spacing w:after="0" w:line="250" w:lineRule="auto"/>
        <w:tabs>
          <w:tab w:leader="none" w:pos="340" w:val="left"/>
        </w:tabs>
        <w:numPr>
          <w:ilvl w:val="0"/>
          <w:numId w:val="8"/>
        </w:numPr>
        <w:rPr>
          <w:rFonts w:ascii="Arial" w:cs="Arial" w:eastAsia="Arial" w:hAnsi="Arial"/>
          <w:sz w:val="13"/>
          <w:szCs w:val="13"/>
          <w:color w:val="auto"/>
        </w:rPr>
      </w:pPr>
      <w:r>
        <w:rPr>
          <w:rFonts w:ascii="Arial" w:cs="Arial" w:eastAsia="Arial" w:hAnsi="Arial"/>
          <w:sz w:val="14"/>
          <w:szCs w:val="14"/>
          <w:color w:val="auto"/>
        </w:rPr>
        <w:t>Winnebago Stock Units held under our Directors' Deferred Compensation Plan as of October 16, 2018 (see further discussion of the plan in the Director Compensation section). These units are vested and will be settled 100% in Common Stock upon the earliest of the following events: director's termination of service, death or disability or a "change in control" of the Company, as defined in the plan.</w:t>
      </w:r>
    </w:p>
    <w:p>
      <w:pPr>
        <w:spacing w:after="0" w:line="37" w:lineRule="exact"/>
        <w:rPr>
          <w:rFonts w:ascii="Arial" w:cs="Arial" w:eastAsia="Arial" w:hAnsi="Arial"/>
          <w:sz w:val="13"/>
          <w:szCs w:val="13"/>
          <w:color w:val="auto"/>
        </w:rPr>
      </w:pPr>
    </w:p>
    <w:p>
      <w:pPr>
        <w:ind w:left="340" w:hanging="332"/>
        <w:spacing w:after="0"/>
        <w:tabs>
          <w:tab w:leader="none" w:pos="340" w:val="left"/>
        </w:tabs>
        <w:numPr>
          <w:ilvl w:val="0"/>
          <w:numId w:val="8"/>
        </w:numPr>
        <w:rPr>
          <w:rFonts w:ascii="Arial" w:cs="Arial" w:eastAsia="Arial" w:hAnsi="Arial"/>
          <w:sz w:val="13"/>
          <w:szCs w:val="13"/>
          <w:color w:val="auto"/>
        </w:rPr>
      </w:pPr>
      <w:r>
        <w:rPr>
          <w:rFonts w:ascii="Arial" w:cs="Arial" w:eastAsia="Arial" w:hAnsi="Arial"/>
          <w:sz w:val="14"/>
          <w:szCs w:val="14"/>
          <w:color w:val="auto"/>
        </w:rPr>
        <w:t>Based on 31,887,265 outstanding shares of Common Stock on October 16, 2018.</w:t>
      </w:r>
    </w:p>
    <w:p>
      <w:pPr>
        <w:spacing w:after="0" w:line="55" w:lineRule="exact"/>
        <w:rPr>
          <w:rFonts w:ascii="Arial" w:cs="Arial" w:eastAsia="Arial" w:hAnsi="Arial"/>
          <w:sz w:val="13"/>
          <w:szCs w:val="13"/>
          <w:color w:val="auto"/>
        </w:rPr>
      </w:pPr>
    </w:p>
    <w:p>
      <w:pPr>
        <w:ind w:left="340" w:hanging="332"/>
        <w:spacing w:after="0"/>
        <w:tabs>
          <w:tab w:leader="none" w:pos="340" w:val="left"/>
        </w:tabs>
        <w:numPr>
          <w:ilvl w:val="0"/>
          <w:numId w:val="8"/>
        </w:numPr>
        <w:rPr>
          <w:rFonts w:ascii="Arial" w:cs="Arial" w:eastAsia="Arial" w:hAnsi="Arial"/>
          <w:sz w:val="13"/>
          <w:szCs w:val="13"/>
          <w:color w:val="auto"/>
        </w:rPr>
      </w:pPr>
      <w:r>
        <w:rPr>
          <w:rFonts w:ascii="Arial" w:cs="Arial" w:eastAsia="Arial" w:hAnsi="Arial"/>
          <w:sz w:val="14"/>
          <w:szCs w:val="14"/>
          <w:color w:val="auto"/>
        </w:rPr>
        <w:t>Less than 1%.</w:t>
      </w:r>
    </w:p>
    <w:p>
      <w:pPr>
        <w:spacing w:after="0" w:line="163" w:lineRule="exact"/>
        <w:rPr>
          <w:rFonts w:ascii="Arial" w:cs="Arial" w:eastAsia="Arial" w:hAnsi="Arial"/>
          <w:sz w:val="13"/>
          <w:szCs w:val="13"/>
          <w:color w:val="auto"/>
        </w:rPr>
      </w:pPr>
    </w:p>
    <w:p>
      <w:pPr>
        <w:ind w:left="340" w:right="20" w:hanging="332"/>
        <w:spacing w:after="0" w:line="258" w:lineRule="auto"/>
        <w:tabs>
          <w:tab w:leader="none" w:pos="340" w:val="left"/>
        </w:tabs>
        <w:numPr>
          <w:ilvl w:val="0"/>
          <w:numId w:val="8"/>
        </w:numPr>
        <w:rPr>
          <w:rFonts w:ascii="Arial" w:cs="Arial" w:eastAsia="Arial" w:hAnsi="Arial"/>
          <w:sz w:val="14"/>
          <w:szCs w:val="14"/>
          <w:color w:val="auto"/>
        </w:rPr>
      </w:pPr>
      <w:r>
        <w:rPr>
          <w:rFonts w:ascii="Arial" w:cs="Arial" w:eastAsia="Arial" w:hAnsi="Arial"/>
          <w:sz w:val="14"/>
          <w:szCs w:val="14"/>
          <w:color w:val="auto"/>
        </w:rPr>
        <w:t>Includes 66,154 shares that directors and executive officers as a group have the right to acquire within 60 days of October 16, 2018 through the exercise of stock options, and shares representing the 44,065 Winnebago stock units held by directors under our Directors' Deferred Compensation Plan as of October 16, 2018.</w:t>
      </w:r>
    </w:p>
    <w:p>
      <w:pPr>
        <w:sectPr>
          <w:pgSz w:w="11900" w:h="16838" w:orient="portrait"/>
          <w:cols w:equalWidth="0" w:num="1">
            <w:col w:w="11420"/>
          </w:cols>
          <w:pgMar w:left="240" w:top="303"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ind w:right="700"/>
        <w:spacing w:after="0" w:line="278" w:lineRule="auto"/>
        <w:rPr>
          <w:sz w:val="20"/>
          <w:szCs w:val="20"/>
          <w:color w:val="auto"/>
        </w:rPr>
      </w:pPr>
      <w:r>
        <w:rPr>
          <w:rFonts w:ascii="Arial" w:cs="Arial" w:eastAsia="Arial" w:hAnsi="Arial"/>
          <w:sz w:val="29"/>
          <w:szCs w:val="29"/>
          <w:b w:val="1"/>
          <w:bCs w:val="1"/>
          <w:color w:val="BF2115"/>
        </w:rPr>
        <w:t>Section 16(a) Beneficial Ownership Reporting Compliance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-631825</wp:posOffset>
            </wp:positionV>
            <wp:extent cx="3575685"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3575685" cy="42545"/>
                    </a:xfrm>
                    <a:prstGeom prst="rect">
                      <a:avLst/>
                    </a:prstGeom>
                    <a:noFill/>
                  </pic:spPr>
                </pic:pic>
              </a:graphicData>
            </a:graphic>
          </wp:anchor>
        </w:drawing>
      </w:r>
    </w:p>
    <w:p>
      <w:pPr>
        <w:spacing w:after="0" w:line="195" w:lineRule="exact"/>
        <w:rPr>
          <w:sz w:val="20"/>
          <w:szCs w:val="20"/>
          <w:color w:val="auto"/>
        </w:rPr>
      </w:pPr>
    </w:p>
    <w:p>
      <w:pPr>
        <w:spacing w:after="0" w:line="247" w:lineRule="auto"/>
        <w:rPr>
          <w:sz w:val="20"/>
          <w:szCs w:val="20"/>
          <w:color w:val="auto"/>
        </w:rPr>
      </w:pPr>
      <w:r>
        <w:rPr>
          <w:rFonts w:ascii="Arial" w:cs="Arial" w:eastAsia="Arial" w:hAnsi="Arial"/>
          <w:sz w:val="16"/>
          <w:szCs w:val="16"/>
          <w:color w:val="auto"/>
        </w:rPr>
        <w:t>Section 16(a) of the Exchange Act requires our officers and directors and persons who own more than 10% of our Common Stock (collectively, “Reporting Persons”) to file reports of ownership and changes in ownership with the SEC. Reporting Persons are required by the SEC regulations to furnish us with copies of all Section 16(a) forms they file. Based solely on our review of the copies of such forms received or written representations from certain Reporting Persons that no Forms 5 were required for those persons, we believe that, during Fiscal 2018, all Reporting Persons complied with all applicable filing requirements, except that due to an administrative transition, delinquent Form 4 filings were filed as described herein: (i) for a grant of restricted stock on October 18, 2017, a Form 4 was filed on November 22, 2017 for each of Robert Chiusano, Christopher Braun, William</w:t>
      </w:r>
    </w:p>
    <w:p>
      <w:pPr>
        <w:spacing w:after="0" w:line="20" w:lineRule="exact"/>
        <w:rPr>
          <w:sz w:val="20"/>
          <w:szCs w:val="20"/>
          <w:color w:val="auto"/>
        </w:rPr>
      </w:pPr>
      <w:r>
        <w:rPr>
          <w:sz w:val="20"/>
          <w:szCs w:val="20"/>
          <w:color w:val="auto"/>
        </w:rPr>
        <w:br w:type="column"/>
      </w:r>
    </w:p>
    <w:p>
      <w:pPr>
        <w:spacing w:after="0" w:line="387" w:lineRule="exact"/>
        <w:rPr>
          <w:sz w:val="20"/>
          <w:szCs w:val="20"/>
          <w:color w:val="auto"/>
        </w:rPr>
      </w:pPr>
    </w:p>
    <w:p>
      <w:pPr>
        <w:ind w:right="20"/>
        <w:spacing w:after="0" w:line="247" w:lineRule="auto"/>
        <w:rPr>
          <w:sz w:val="20"/>
          <w:szCs w:val="20"/>
          <w:color w:val="auto"/>
        </w:rPr>
      </w:pPr>
      <w:r>
        <w:rPr>
          <w:rFonts w:ascii="Arial" w:cs="Arial" w:eastAsia="Arial" w:hAnsi="Arial"/>
          <w:sz w:val="16"/>
          <w:szCs w:val="16"/>
          <w:color w:val="auto"/>
        </w:rPr>
        <w:t>Fisher, David Miles, Richard Moss, John Murabito and Martha Rodamaker, (ii) for a grant of stock units on November 30, 2017, a Form 4 was filed on December 8, 2017 for each of Robert Chiusano, William Fisher and Martha Rodamaker, (iii) for a grant of restricted stock on October 18, 2017, a Form 4 was filed on October 23, 2017 for each of Michael Happe, Ashis Bhattacharya, Scott Degnan, Brian Hazelton, Bryan Hughes, Jeff Kubacki, Chris West and Bret Woodson, (iv) for withholding shares to cover taxes upon vesting on October 11, 2017, a Form 4 was filed on October 16, 2017 for each of Michael Happe, Ashis Bhattacharya and Brian Hazelton, (v) for a grant of stock options, settlement of performance awards, a grant of restricted stock and withholding shares to cover taxes upon vesting on October 18, 2017, a Form 4 was filed on October 23, 2017 for each of Scott Folkers and Scott Degnan, (vi) for withholding shares to cover taxes upon vesting on October 16, 2017, a Form 4 was filed on October 19, 2017 for each of Scott Folkers and Scott Degnan, and (vii) for withholding shares to cover taxes upon vesting on October 11, 2017 and October 13, 2017, a Form 4 was filed on October 16, 2017 for each of Scott Folkers, Scott Degnan and Bret Woodson.</w:t>
      </w:r>
    </w:p>
    <w:p>
      <w:pPr>
        <w:spacing w:after="0" w:line="549" w:lineRule="exact"/>
        <w:rPr>
          <w:sz w:val="20"/>
          <w:szCs w:val="20"/>
          <w:color w:val="auto"/>
        </w:rPr>
      </w:pPr>
    </w:p>
    <w:p>
      <w:pPr>
        <w:sectPr>
          <w:pgSz w:w="11900" w:h="16838" w:orient="portrait"/>
          <w:cols w:equalWidth="0" w:num="2">
            <w:col w:w="5520" w:space="300"/>
            <w:col w:w="5600"/>
          </w:cols>
          <w:pgMar w:left="240" w:top="303" w:right="239" w:bottom="1440" w:gutter="0" w:footer="0" w:header="0"/>
          <w:type w:val="continuous"/>
        </w:sectPr>
      </w:pPr>
    </w:p>
    <w:p>
      <w:pPr>
        <w:spacing w:after="0" w:line="6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w:t>
      </w:r>
    </w:p>
    <w:p>
      <w:pPr>
        <w:sectPr>
          <w:pgSz w:w="11900" w:h="16838" w:orient="portrait"/>
          <w:cols w:equalWidth="0" w:num="1">
            <w:col w:w="11420"/>
          </w:cols>
          <w:pgMar w:left="240" w:top="303" w:right="239" w:bottom="1440" w:gutter="0" w:footer="0" w:header="0"/>
          <w:type w:val="continuous"/>
        </w:sectPr>
      </w:pPr>
    </w:p>
    <w:bookmarkStart w:id="7" w:name="page8"/>
    <w:bookmarkEnd w:id="7"/>
    <w:p>
      <w:pPr>
        <w:ind w:left="40"/>
        <w:spacing w:after="0"/>
        <w:rPr>
          <w:rFonts w:ascii="Arial" w:cs="Arial" w:eastAsia="Arial" w:hAnsi="Arial"/>
          <w:sz w:val="15"/>
          <w:szCs w:val="15"/>
          <w:u w:val="single" w:color="auto"/>
          <w:color w:val="0000EE"/>
        </w:rPr>
      </w:pPr>
      <w:r>
        <w:rPr>
          <w:rFonts w:ascii="Arial" w:cs="Arial" w:eastAsia="Arial" w:hAnsi="Arial"/>
          <w:sz w:val="15"/>
          <w:szCs w:val="15"/>
          <w:u w:val="single" w:color="auto"/>
          <w:color w:val="0000EE"/>
        </w:rPr>
        <w:drawing>
          <wp:anchor simplePos="0" relativeHeight="251657728" behindDoc="1" locked="0" layoutInCell="0" allowOverlap="1">
            <wp:simplePos x="0" y="0"/>
            <wp:positionH relativeFrom="page">
              <wp:posOffset>5946140</wp:posOffset>
            </wp:positionH>
            <wp:positionV relativeFrom="page">
              <wp:posOffset>191770</wp:posOffset>
            </wp:positionV>
            <wp:extent cx="1440815" cy="20574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clrChange>
                        <a:clrFrom>
                          <a:srgbClr val="FFFFFF"/>
                        </a:clrFrom>
                        <a:clrTo>
                          <a:srgbClr val="FFFFFF">
                            <a:alpha val="0"/>
                          </a:srgbClr>
                        </a:clrTo>
                      </a:clrChange>
                      <a:extLst>
                        <a:ext uri="{28A0092B-C50C-407E-A947-70E740481C1C}"/>
                      </a:extLst>
                    </a:blip>
                    <a:srcRect/>
                    <a:stretch>
                      <a:fillRect/>
                    </a:stretch>
                  </pic:blipFill>
                  <pic:spPr bwMode="auto">
                    <a:xfrm>
                      <a:off x="0" y="0"/>
                      <a:ext cx="1440815" cy="205740"/>
                    </a:xfrm>
                    <a:prstGeom prst="rect">
                      <a:avLst/>
                    </a:prstGeom>
                    <a:noFill/>
                  </pic:spPr>
                </pic:pic>
              </a:graphicData>
            </a:graphic>
          </wp:anchor>
        </w:drawing>
      </w:r>
      <w:hyperlink w:anchor="page4">
        <w:r>
          <w:rPr>
            <w:rFonts w:ascii="Arial" w:cs="Arial" w:eastAsia="Arial" w:hAnsi="Arial"/>
            <w:sz w:val="15"/>
            <w:szCs w:val="15"/>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112395</wp:posOffset>
            </wp:positionV>
            <wp:extent cx="724662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303"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spacing w:after="0"/>
        <w:rPr>
          <w:sz w:val="20"/>
          <w:szCs w:val="20"/>
          <w:color w:val="auto"/>
        </w:rPr>
      </w:pPr>
      <w:r>
        <w:rPr>
          <w:rFonts w:ascii="Arial" w:cs="Arial" w:eastAsia="Arial" w:hAnsi="Arial"/>
          <w:sz w:val="29"/>
          <w:szCs w:val="29"/>
          <w:b w:val="1"/>
          <w:bCs w:val="1"/>
          <w:color w:val="BF2115"/>
        </w:rPr>
        <w:t>Corporate Governance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-352425</wp:posOffset>
            </wp:positionV>
            <wp:extent cx="3575685"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3575685" cy="42545"/>
                    </a:xfrm>
                    <a:prstGeom prst="rect">
                      <a:avLst/>
                    </a:prstGeom>
                    <a:noFill/>
                  </pic:spPr>
                </pic:pic>
              </a:graphicData>
            </a:graphic>
          </wp:anchor>
        </w:drawing>
      </w:r>
    </w:p>
    <w:p>
      <w:pPr>
        <w:spacing w:after="0" w:line="301" w:lineRule="exact"/>
        <w:rPr>
          <w:sz w:val="20"/>
          <w:szCs w:val="20"/>
          <w:color w:val="auto"/>
        </w:rPr>
      </w:pPr>
    </w:p>
    <w:p>
      <w:pPr>
        <w:spacing w:after="0"/>
        <w:rPr>
          <w:sz w:val="20"/>
          <w:szCs w:val="20"/>
          <w:color w:val="auto"/>
        </w:rPr>
      </w:pPr>
      <w:r>
        <w:rPr>
          <w:rFonts w:ascii="Arial" w:cs="Arial" w:eastAsia="Arial" w:hAnsi="Arial"/>
          <w:sz w:val="22"/>
          <w:szCs w:val="22"/>
          <w:color w:val="828282"/>
        </w:rPr>
        <w:t>Board Leadership Structure</w:t>
      </w:r>
    </w:p>
    <w:p>
      <w:pPr>
        <w:spacing w:after="0" w:line="188" w:lineRule="exact"/>
        <w:rPr>
          <w:sz w:val="20"/>
          <w:szCs w:val="20"/>
          <w:color w:val="auto"/>
        </w:rPr>
      </w:pPr>
    </w:p>
    <w:p>
      <w:pPr>
        <w:spacing w:after="0" w:line="248" w:lineRule="auto"/>
        <w:rPr>
          <w:sz w:val="20"/>
          <w:szCs w:val="20"/>
          <w:color w:val="auto"/>
        </w:rPr>
      </w:pPr>
      <w:r>
        <w:rPr>
          <w:rFonts w:ascii="Arial" w:cs="Arial" w:eastAsia="Arial" w:hAnsi="Arial"/>
          <w:sz w:val="16"/>
          <w:szCs w:val="16"/>
          <w:color w:val="auto"/>
        </w:rPr>
        <w:t>Our By-Laws and Corporate Governance Policy delegate to the Board of Directors the right to exercise its discretion to either separate or combine the offices of Board Chair and Chief Executive Officer ("CEO"). This decision is based upon the Board's determination of what is in the best interests of Winnebago Industries and our shareholders, in light of then-current and anticipated future circumstances and taking into consideration succession planning, skills and experience of the individual(s) filling those positions, and other relevant factors.</w:t>
      </w:r>
    </w:p>
    <w:p>
      <w:pPr>
        <w:spacing w:after="0" w:line="181" w:lineRule="exact"/>
        <w:rPr>
          <w:sz w:val="20"/>
          <w:szCs w:val="20"/>
          <w:color w:val="auto"/>
        </w:rPr>
      </w:pPr>
    </w:p>
    <w:p>
      <w:pPr>
        <w:ind w:right="60"/>
        <w:spacing w:after="0" w:line="248" w:lineRule="auto"/>
        <w:rPr>
          <w:sz w:val="20"/>
          <w:szCs w:val="20"/>
          <w:color w:val="auto"/>
        </w:rPr>
      </w:pPr>
      <w:r>
        <w:rPr>
          <w:rFonts w:ascii="Arial" w:cs="Arial" w:eastAsia="Arial" w:hAnsi="Arial"/>
          <w:sz w:val="16"/>
          <w:szCs w:val="16"/>
          <w:color w:val="auto"/>
        </w:rPr>
        <w:t>The Board, as part of its continuing obligation to determine the appropriate role for the Chair, has concluded that at this time the Company should have an independent Chair. The Board concluded that this structure provides us with a strong governance and leadership structure that is designed to exercise independent oversight of members of our management team ("Management") and key issues related to strategy and risk. Since June 14, 2016, Mr. Chiusano, an independent director, has served as Chair.</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ind w:right="180"/>
        <w:spacing w:after="0" w:line="248" w:lineRule="auto"/>
        <w:rPr>
          <w:sz w:val="20"/>
          <w:szCs w:val="20"/>
          <w:color w:val="auto"/>
        </w:rPr>
      </w:pPr>
      <w:r>
        <w:rPr>
          <w:rFonts w:ascii="Arial" w:cs="Arial" w:eastAsia="Arial" w:hAnsi="Arial"/>
          <w:sz w:val="16"/>
          <w:szCs w:val="16"/>
          <w:color w:val="auto"/>
        </w:rPr>
        <w:t>In addition, only independent directors serve on the Audit Committee, the Human Resources Committee and the Nominating and Governance Committee of the Board. Non-employee directors regularly hold executive sessions of the Board outside the presence of the CEO or any other employee under the Corporate Governance Policy that requires the Board's independent directors to hold executive sessions at least once each year; such executive sessions are led by the Chair.</w:t>
      </w:r>
    </w:p>
    <w:p>
      <w:pPr>
        <w:spacing w:after="0" w:line="182" w:lineRule="exact"/>
        <w:rPr>
          <w:sz w:val="20"/>
          <w:szCs w:val="20"/>
          <w:color w:val="auto"/>
        </w:rPr>
      </w:pPr>
    </w:p>
    <w:p>
      <w:pPr>
        <w:ind w:right="20"/>
        <w:spacing w:after="0" w:line="251" w:lineRule="auto"/>
        <w:rPr>
          <w:sz w:val="20"/>
          <w:szCs w:val="20"/>
          <w:color w:val="auto"/>
        </w:rPr>
      </w:pPr>
      <w:r>
        <w:rPr>
          <w:rFonts w:ascii="Arial" w:cs="Arial" w:eastAsia="Arial" w:hAnsi="Arial"/>
          <w:sz w:val="16"/>
          <w:szCs w:val="16"/>
          <w:color w:val="auto"/>
        </w:rPr>
        <w:t>The Board recognizes that, depending on the specific characteristics and circumstances of the Company, other leadership structures might also be appropriate. The Company is committed to reviewing this determination on an annual basis.</w:t>
      </w:r>
    </w:p>
    <w:p>
      <w:pPr>
        <w:spacing w:after="0" w:line="176" w:lineRule="exact"/>
        <w:rPr>
          <w:sz w:val="20"/>
          <w:szCs w:val="20"/>
          <w:color w:val="auto"/>
        </w:rPr>
      </w:pPr>
    </w:p>
    <w:p>
      <w:pPr>
        <w:ind w:right="80"/>
        <w:spacing w:after="0" w:line="249" w:lineRule="auto"/>
        <w:rPr>
          <w:sz w:val="20"/>
          <w:szCs w:val="20"/>
          <w:color w:val="auto"/>
        </w:rPr>
      </w:pPr>
      <w:r>
        <w:rPr>
          <w:rFonts w:ascii="Arial" w:cs="Arial" w:eastAsia="Arial" w:hAnsi="Arial"/>
          <w:sz w:val="16"/>
          <w:szCs w:val="16"/>
          <w:color w:val="auto"/>
        </w:rPr>
        <w:t>According to the Company's Corporate Governance Policy, whenever the Chair of the Board is also the CEO or an employee of the Company, the non-employee directors shall select an independent director to preside or lead at each executive session (the “Lead Director”). The Company's Corporate Governance Policy sets forth the authority, duties and responsibilities of any Lead Director.</w:t>
      </w:r>
    </w:p>
    <w:p>
      <w:pPr>
        <w:spacing w:after="0" w:line="1020" w:lineRule="exact"/>
        <w:rPr>
          <w:sz w:val="20"/>
          <w:szCs w:val="20"/>
          <w:color w:val="auto"/>
        </w:rPr>
      </w:pPr>
    </w:p>
    <w:p>
      <w:pPr>
        <w:sectPr>
          <w:pgSz w:w="11900" w:h="16838" w:orient="portrait"/>
          <w:cols w:equalWidth="0" w:num="2">
            <w:col w:w="5480" w:space="340"/>
            <w:col w:w="5600"/>
          </w:cols>
          <w:pgMar w:left="240" w:top="303" w:right="239" w:bottom="1440" w:gutter="0" w:footer="0" w:header="0"/>
          <w:type w:val="continuous"/>
        </w:sectPr>
      </w:pPr>
    </w:p>
    <w:p>
      <w:pPr>
        <w:spacing w:after="0"/>
        <w:rPr>
          <w:sz w:val="20"/>
          <w:szCs w:val="20"/>
          <w:color w:val="auto"/>
        </w:rPr>
      </w:pPr>
      <w:r>
        <w:rPr>
          <w:rFonts w:ascii="Arial" w:cs="Arial" w:eastAsia="Arial" w:hAnsi="Arial"/>
          <w:sz w:val="22"/>
          <w:szCs w:val="22"/>
          <w:color w:val="828282"/>
        </w:rPr>
        <w:t>Required Committees of the Board</w:t>
      </w:r>
    </w:p>
    <w:p>
      <w:pPr>
        <w:spacing w:after="0" w:line="323" w:lineRule="exact"/>
        <w:rPr>
          <w:sz w:val="20"/>
          <w:szCs w:val="20"/>
          <w:color w:val="auto"/>
        </w:rPr>
      </w:pPr>
    </w:p>
    <w:p>
      <w:pPr>
        <w:ind w:right="40"/>
        <w:spacing w:after="0" w:line="253" w:lineRule="auto"/>
        <w:rPr>
          <w:sz w:val="20"/>
          <w:szCs w:val="20"/>
          <w:color w:val="auto"/>
        </w:rPr>
      </w:pPr>
      <w:r>
        <w:rPr>
          <w:rFonts w:ascii="Arial" w:cs="Arial" w:eastAsia="Arial" w:hAnsi="Arial"/>
          <w:sz w:val="16"/>
          <w:szCs w:val="16"/>
          <w:color w:val="auto"/>
        </w:rPr>
        <w:t>The Board has established standing Audit, Human Resources, Nominating and Governance and Finance Committees to assist it in the discharge of its responsibilities. Each of such committees is governed by a written charter. A description of each committee, including its membership, principal responsibilities, and meeting frequency, is set forth below.</w:t>
      </w:r>
    </w:p>
    <w:p>
      <w:pPr>
        <w:spacing w:after="0" w:line="308" w:lineRule="exact"/>
        <w:rPr>
          <w:sz w:val="20"/>
          <w:szCs w:val="20"/>
          <w:color w:val="auto"/>
        </w:rPr>
      </w:pPr>
    </w:p>
    <w:tbl>
      <w:tblPr>
        <w:tblLayout w:type="fixed"/>
        <w:tblInd w:w="0" w:type="dxa"/>
        <w:tblCellMar>
          <w:top w:w="0" w:type="dxa"/>
          <w:left w:w="0" w:type="dxa"/>
          <w:bottom w:w="0" w:type="dxa"/>
          <w:right w:w="0" w:type="dxa"/>
        </w:tblCellMar>
      </w:tblPr>
      <w:tr>
        <w:trPr>
          <w:trHeight w:val="251"/>
        </w:trPr>
        <w:tc>
          <w:tcPr>
            <w:tcW w:w="5620" w:type="dxa"/>
            <w:vAlign w:val="bottom"/>
          </w:tcPr>
          <w:p>
            <w:pPr>
              <w:spacing w:after="0"/>
              <w:rPr>
                <w:sz w:val="21"/>
                <w:szCs w:val="21"/>
                <w:color w:val="auto"/>
              </w:rPr>
            </w:pPr>
          </w:p>
        </w:tc>
        <w:tc>
          <w:tcPr>
            <w:tcW w:w="1360" w:type="dxa"/>
            <w:vAlign w:val="bottom"/>
            <w:shd w:val="clear" w:color="auto" w:fill="BF2115"/>
          </w:tcPr>
          <w:p>
            <w:pPr>
              <w:spacing w:after="0"/>
              <w:rPr>
                <w:sz w:val="21"/>
                <w:szCs w:val="21"/>
                <w:color w:val="auto"/>
              </w:rPr>
            </w:pPr>
          </w:p>
        </w:tc>
        <w:tc>
          <w:tcPr>
            <w:tcW w:w="3120" w:type="dxa"/>
            <w:vAlign w:val="bottom"/>
            <w:gridSpan w:val="2"/>
            <w:shd w:val="clear" w:color="auto" w:fill="BF2115"/>
          </w:tcPr>
          <w:p>
            <w:pPr>
              <w:ind w:left="580"/>
              <w:spacing w:after="0"/>
              <w:rPr>
                <w:sz w:val="20"/>
                <w:szCs w:val="20"/>
                <w:color w:val="auto"/>
              </w:rPr>
            </w:pPr>
            <w:r>
              <w:rPr>
                <w:rFonts w:ascii="Arial" w:cs="Arial" w:eastAsia="Arial" w:hAnsi="Arial"/>
                <w:sz w:val="16"/>
                <w:szCs w:val="16"/>
                <w:b w:val="1"/>
                <w:bCs w:val="1"/>
                <w:color w:val="FFFFFF"/>
              </w:rPr>
              <w:t>Committees of the Board</w:t>
            </w:r>
          </w:p>
        </w:tc>
        <w:tc>
          <w:tcPr>
            <w:tcW w:w="1320" w:type="dxa"/>
            <w:vAlign w:val="bottom"/>
            <w:shd w:val="clear" w:color="auto" w:fill="BF2115"/>
          </w:tcPr>
          <w:p>
            <w:pPr>
              <w:spacing w:after="0"/>
              <w:rPr>
                <w:sz w:val="21"/>
                <w:szCs w:val="21"/>
                <w:color w:val="auto"/>
              </w:rPr>
            </w:pPr>
          </w:p>
        </w:tc>
      </w:tr>
      <w:tr>
        <w:trPr>
          <w:trHeight w:val="231"/>
        </w:trPr>
        <w:tc>
          <w:tcPr>
            <w:tcW w:w="5620" w:type="dxa"/>
            <w:vAlign w:val="bottom"/>
          </w:tcPr>
          <w:p>
            <w:pPr>
              <w:spacing w:after="0"/>
              <w:rPr>
                <w:sz w:val="20"/>
                <w:szCs w:val="20"/>
                <w:color w:val="auto"/>
              </w:rPr>
            </w:pPr>
          </w:p>
        </w:tc>
        <w:tc>
          <w:tcPr>
            <w:tcW w:w="1360" w:type="dxa"/>
            <w:vAlign w:val="bottom"/>
            <w:shd w:val="clear" w:color="auto" w:fill="BF2115"/>
          </w:tcPr>
          <w:p>
            <w:pPr>
              <w:spacing w:after="0"/>
              <w:rPr>
                <w:sz w:val="20"/>
                <w:szCs w:val="20"/>
                <w:color w:val="auto"/>
              </w:rPr>
            </w:pPr>
          </w:p>
        </w:tc>
        <w:tc>
          <w:tcPr>
            <w:tcW w:w="1420" w:type="dxa"/>
            <w:vAlign w:val="bottom"/>
            <w:shd w:val="clear" w:color="auto" w:fill="BF2115"/>
          </w:tcPr>
          <w:p>
            <w:pPr>
              <w:jc w:val="center"/>
              <w:ind w:left="119"/>
              <w:spacing w:after="0"/>
              <w:rPr>
                <w:sz w:val="20"/>
                <w:szCs w:val="20"/>
                <w:color w:val="auto"/>
              </w:rPr>
            </w:pPr>
            <w:r>
              <w:rPr>
                <w:rFonts w:ascii="Arial" w:cs="Arial" w:eastAsia="Arial" w:hAnsi="Arial"/>
                <w:sz w:val="16"/>
                <w:szCs w:val="16"/>
                <w:b w:val="1"/>
                <w:bCs w:val="1"/>
                <w:color w:val="FFFFFF"/>
                <w:w w:val="99"/>
              </w:rPr>
              <w:t>Human</w:t>
            </w:r>
          </w:p>
        </w:tc>
        <w:tc>
          <w:tcPr>
            <w:tcW w:w="1700" w:type="dxa"/>
            <w:vAlign w:val="bottom"/>
            <w:shd w:val="clear" w:color="auto" w:fill="BF2115"/>
          </w:tcPr>
          <w:p>
            <w:pPr>
              <w:jc w:val="center"/>
              <w:spacing w:after="0"/>
              <w:rPr>
                <w:sz w:val="20"/>
                <w:szCs w:val="20"/>
                <w:color w:val="auto"/>
              </w:rPr>
            </w:pPr>
            <w:r>
              <w:rPr>
                <w:rFonts w:ascii="Arial" w:cs="Arial" w:eastAsia="Arial" w:hAnsi="Arial"/>
                <w:sz w:val="16"/>
                <w:szCs w:val="16"/>
                <w:b w:val="1"/>
                <w:bCs w:val="1"/>
                <w:color w:val="FFFFFF"/>
              </w:rPr>
              <w:t>Nominating and</w:t>
            </w:r>
          </w:p>
        </w:tc>
        <w:tc>
          <w:tcPr>
            <w:tcW w:w="1320" w:type="dxa"/>
            <w:vAlign w:val="bottom"/>
            <w:shd w:val="clear" w:color="auto" w:fill="BF2115"/>
          </w:tcPr>
          <w:p>
            <w:pPr>
              <w:spacing w:after="0"/>
              <w:rPr>
                <w:sz w:val="20"/>
                <w:szCs w:val="20"/>
                <w:color w:val="auto"/>
              </w:rPr>
            </w:pPr>
          </w:p>
        </w:tc>
      </w:tr>
      <w:tr>
        <w:trPr>
          <w:trHeight w:val="228"/>
        </w:trPr>
        <w:tc>
          <w:tcPr>
            <w:tcW w:w="562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shd w:val="clear" w:color="auto" w:fill="BF2115"/>
          </w:tcPr>
          <w:p>
            <w:pPr>
              <w:jc w:val="center"/>
              <w:ind w:left="19"/>
              <w:spacing w:after="0"/>
              <w:rPr>
                <w:sz w:val="20"/>
                <w:szCs w:val="20"/>
                <w:color w:val="auto"/>
              </w:rPr>
            </w:pPr>
            <w:r>
              <w:rPr>
                <w:rFonts w:ascii="Arial" w:cs="Arial" w:eastAsia="Arial" w:hAnsi="Arial"/>
                <w:sz w:val="16"/>
                <w:szCs w:val="16"/>
                <w:b w:val="1"/>
                <w:bCs w:val="1"/>
                <w:color w:val="FFFFFF"/>
              </w:rPr>
              <w:t>Audit</w:t>
            </w:r>
          </w:p>
        </w:tc>
        <w:tc>
          <w:tcPr>
            <w:tcW w:w="1420" w:type="dxa"/>
            <w:vAlign w:val="bottom"/>
            <w:tcBorders>
              <w:bottom w:val="single" w:sz="8" w:color="auto"/>
            </w:tcBorders>
            <w:shd w:val="clear" w:color="auto" w:fill="BF2115"/>
          </w:tcPr>
          <w:p>
            <w:pPr>
              <w:jc w:val="center"/>
              <w:ind w:left="119"/>
              <w:spacing w:after="0"/>
              <w:rPr>
                <w:sz w:val="20"/>
                <w:szCs w:val="20"/>
                <w:color w:val="auto"/>
              </w:rPr>
            </w:pPr>
            <w:r>
              <w:rPr>
                <w:rFonts w:ascii="Arial" w:cs="Arial" w:eastAsia="Arial" w:hAnsi="Arial"/>
                <w:sz w:val="16"/>
                <w:szCs w:val="16"/>
                <w:b w:val="1"/>
                <w:bCs w:val="1"/>
                <w:color w:val="FFFFFF"/>
              </w:rPr>
              <w:t>Resources</w:t>
            </w:r>
          </w:p>
        </w:tc>
        <w:tc>
          <w:tcPr>
            <w:tcW w:w="1700" w:type="dxa"/>
            <w:vAlign w:val="bottom"/>
            <w:tcBorders>
              <w:bottom w:val="single" w:sz="8" w:color="auto"/>
            </w:tcBorders>
            <w:shd w:val="clear" w:color="auto" w:fill="BF2115"/>
          </w:tcPr>
          <w:p>
            <w:pPr>
              <w:jc w:val="center"/>
              <w:spacing w:after="0"/>
              <w:rPr>
                <w:sz w:val="20"/>
                <w:szCs w:val="20"/>
                <w:color w:val="auto"/>
              </w:rPr>
            </w:pPr>
            <w:r>
              <w:rPr>
                <w:rFonts w:ascii="Arial" w:cs="Arial" w:eastAsia="Arial" w:hAnsi="Arial"/>
                <w:sz w:val="16"/>
                <w:szCs w:val="16"/>
                <w:b w:val="1"/>
                <w:bCs w:val="1"/>
                <w:color w:val="FFFFFF"/>
                <w:w w:val="99"/>
              </w:rPr>
              <w:t>Governance</w:t>
            </w:r>
          </w:p>
        </w:tc>
        <w:tc>
          <w:tcPr>
            <w:tcW w:w="1320" w:type="dxa"/>
            <w:vAlign w:val="bottom"/>
            <w:tcBorders>
              <w:bottom w:val="single" w:sz="8" w:color="auto"/>
            </w:tcBorders>
            <w:shd w:val="clear" w:color="auto" w:fill="BF2115"/>
          </w:tcPr>
          <w:p>
            <w:pPr>
              <w:jc w:val="center"/>
              <w:ind w:right="59"/>
              <w:spacing w:after="0"/>
              <w:rPr>
                <w:sz w:val="20"/>
                <w:szCs w:val="20"/>
                <w:color w:val="auto"/>
              </w:rPr>
            </w:pPr>
            <w:r>
              <w:rPr>
                <w:rFonts w:ascii="Arial" w:cs="Arial" w:eastAsia="Arial" w:hAnsi="Arial"/>
                <w:sz w:val="16"/>
                <w:szCs w:val="16"/>
                <w:b w:val="1"/>
                <w:bCs w:val="1"/>
                <w:color w:val="FFFFFF"/>
              </w:rPr>
              <w:t>Finance</w:t>
            </w:r>
          </w:p>
        </w:tc>
      </w:tr>
      <w:tr>
        <w:trPr>
          <w:trHeight w:val="270"/>
        </w:trPr>
        <w:tc>
          <w:tcPr>
            <w:tcW w:w="5620" w:type="dxa"/>
            <w:vAlign w:val="bottom"/>
            <w:shd w:val="clear" w:color="auto" w:fill="ACACAC"/>
          </w:tcPr>
          <w:p>
            <w:pPr>
              <w:ind w:left="40"/>
              <w:spacing w:after="0"/>
              <w:rPr>
                <w:sz w:val="20"/>
                <w:szCs w:val="20"/>
                <w:color w:val="auto"/>
              </w:rPr>
            </w:pPr>
            <w:r>
              <w:rPr>
                <w:rFonts w:ascii="Arial" w:cs="Arial" w:eastAsia="Arial" w:hAnsi="Arial"/>
                <w:sz w:val="16"/>
                <w:szCs w:val="16"/>
                <w:color w:val="auto"/>
              </w:rPr>
              <w:t>Maria F. Blase</w:t>
            </w:r>
            <w:r>
              <w:rPr>
                <w:rFonts w:ascii="Arial" w:cs="Arial" w:eastAsia="Arial" w:hAnsi="Arial"/>
                <w:sz w:val="21"/>
                <w:szCs w:val="21"/>
                <w:color w:val="auto"/>
                <w:vertAlign w:val="superscript"/>
              </w:rPr>
              <w:t>(1)(2)</w:t>
            </w:r>
          </w:p>
        </w:tc>
        <w:tc>
          <w:tcPr>
            <w:tcW w:w="1360" w:type="dxa"/>
            <w:vAlign w:val="bottom"/>
            <w:shd w:val="clear" w:color="auto" w:fill="ACACAC"/>
          </w:tcPr>
          <w:p>
            <w:pPr>
              <w:jc w:val="center"/>
              <w:ind w:left="19"/>
              <w:spacing w:after="0"/>
              <w:rPr>
                <w:sz w:val="20"/>
                <w:szCs w:val="20"/>
                <w:color w:val="auto"/>
              </w:rPr>
            </w:pPr>
            <w:r>
              <w:rPr>
                <w:rFonts w:ascii="Arial" w:cs="Arial" w:eastAsia="Arial" w:hAnsi="Arial"/>
                <w:sz w:val="16"/>
                <w:szCs w:val="16"/>
                <w:color w:val="auto"/>
                <w:w w:val="93"/>
              </w:rPr>
              <w:t>X</w:t>
            </w:r>
          </w:p>
        </w:tc>
        <w:tc>
          <w:tcPr>
            <w:tcW w:w="1420" w:type="dxa"/>
            <w:vAlign w:val="bottom"/>
            <w:shd w:val="clear" w:color="auto" w:fill="ACACAC"/>
          </w:tcPr>
          <w:p>
            <w:pPr>
              <w:spacing w:after="0"/>
              <w:rPr>
                <w:sz w:val="23"/>
                <w:szCs w:val="23"/>
                <w:color w:val="auto"/>
              </w:rPr>
            </w:pPr>
          </w:p>
        </w:tc>
        <w:tc>
          <w:tcPr>
            <w:tcW w:w="1700" w:type="dxa"/>
            <w:vAlign w:val="bottom"/>
            <w:shd w:val="clear" w:color="auto" w:fill="ACACAC"/>
          </w:tcPr>
          <w:p>
            <w:pPr>
              <w:jc w:val="center"/>
              <w:spacing w:after="0"/>
              <w:rPr>
                <w:sz w:val="20"/>
                <w:szCs w:val="20"/>
                <w:color w:val="auto"/>
              </w:rPr>
            </w:pPr>
            <w:r>
              <w:rPr>
                <w:rFonts w:ascii="Arial" w:cs="Arial" w:eastAsia="Arial" w:hAnsi="Arial"/>
                <w:sz w:val="16"/>
                <w:szCs w:val="16"/>
                <w:color w:val="auto"/>
                <w:w w:val="93"/>
              </w:rPr>
              <w:t>X</w:t>
            </w:r>
          </w:p>
        </w:tc>
        <w:tc>
          <w:tcPr>
            <w:tcW w:w="1320" w:type="dxa"/>
            <w:vAlign w:val="bottom"/>
            <w:shd w:val="clear" w:color="auto" w:fill="ACACAC"/>
          </w:tcPr>
          <w:p>
            <w:pPr>
              <w:spacing w:after="0"/>
              <w:rPr>
                <w:sz w:val="23"/>
                <w:szCs w:val="23"/>
                <w:color w:val="auto"/>
              </w:rPr>
            </w:pPr>
          </w:p>
        </w:tc>
      </w:tr>
      <w:tr>
        <w:trPr>
          <w:trHeight w:val="270"/>
        </w:trPr>
        <w:tc>
          <w:tcPr>
            <w:tcW w:w="5620" w:type="dxa"/>
            <w:vAlign w:val="bottom"/>
          </w:tcPr>
          <w:p>
            <w:pPr>
              <w:ind w:left="40"/>
              <w:spacing w:after="0"/>
              <w:rPr>
                <w:sz w:val="20"/>
                <w:szCs w:val="20"/>
                <w:color w:val="auto"/>
              </w:rPr>
            </w:pPr>
            <w:r>
              <w:rPr>
                <w:rFonts w:ascii="Arial" w:cs="Arial" w:eastAsia="Arial" w:hAnsi="Arial"/>
                <w:sz w:val="16"/>
                <w:szCs w:val="16"/>
                <w:color w:val="auto"/>
              </w:rPr>
              <w:t xml:space="preserve">Christopher J. Braun </w:t>
            </w:r>
            <w:r>
              <w:rPr>
                <w:rFonts w:ascii="Arial" w:cs="Arial" w:eastAsia="Arial" w:hAnsi="Arial"/>
                <w:sz w:val="21"/>
                <w:szCs w:val="21"/>
                <w:color w:val="auto"/>
                <w:vertAlign w:val="superscript"/>
              </w:rPr>
              <w:t>(1)</w:t>
            </w:r>
          </w:p>
        </w:tc>
        <w:tc>
          <w:tcPr>
            <w:tcW w:w="1360" w:type="dxa"/>
            <w:vAlign w:val="bottom"/>
          </w:tcPr>
          <w:p>
            <w:pPr>
              <w:spacing w:after="0"/>
              <w:rPr>
                <w:sz w:val="23"/>
                <w:szCs w:val="23"/>
                <w:color w:val="auto"/>
              </w:rPr>
            </w:pPr>
          </w:p>
        </w:tc>
        <w:tc>
          <w:tcPr>
            <w:tcW w:w="1420" w:type="dxa"/>
            <w:vAlign w:val="bottom"/>
          </w:tcPr>
          <w:p>
            <w:pPr>
              <w:jc w:val="center"/>
              <w:ind w:left="119"/>
              <w:spacing w:after="0"/>
              <w:rPr>
                <w:sz w:val="20"/>
                <w:szCs w:val="20"/>
                <w:color w:val="auto"/>
              </w:rPr>
            </w:pPr>
            <w:r>
              <w:rPr>
                <w:rFonts w:ascii="Arial" w:cs="Arial" w:eastAsia="Arial" w:hAnsi="Arial"/>
                <w:sz w:val="16"/>
                <w:szCs w:val="16"/>
                <w:color w:val="auto"/>
                <w:w w:val="93"/>
              </w:rPr>
              <w:t>X</w:t>
            </w:r>
          </w:p>
        </w:tc>
        <w:tc>
          <w:tcPr>
            <w:tcW w:w="1700" w:type="dxa"/>
            <w:vAlign w:val="bottom"/>
          </w:tcPr>
          <w:p>
            <w:pPr>
              <w:jc w:val="center"/>
              <w:spacing w:after="0"/>
              <w:rPr>
                <w:sz w:val="20"/>
                <w:szCs w:val="20"/>
                <w:color w:val="auto"/>
              </w:rPr>
            </w:pPr>
            <w:r>
              <w:rPr>
                <w:rFonts w:ascii="Arial" w:cs="Arial" w:eastAsia="Arial" w:hAnsi="Arial"/>
                <w:sz w:val="16"/>
                <w:szCs w:val="16"/>
                <w:color w:val="auto"/>
                <w:w w:val="93"/>
              </w:rPr>
              <w:t>X</w:t>
            </w:r>
          </w:p>
        </w:tc>
        <w:tc>
          <w:tcPr>
            <w:tcW w:w="1320" w:type="dxa"/>
            <w:vAlign w:val="bottom"/>
          </w:tcPr>
          <w:p>
            <w:pPr>
              <w:spacing w:after="0"/>
              <w:rPr>
                <w:sz w:val="23"/>
                <w:szCs w:val="23"/>
                <w:color w:val="auto"/>
              </w:rPr>
            </w:pPr>
          </w:p>
        </w:tc>
      </w:tr>
      <w:tr>
        <w:trPr>
          <w:trHeight w:val="270"/>
        </w:trPr>
        <w:tc>
          <w:tcPr>
            <w:tcW w:w="5620" w:type="dxa"/>
            <w:vAlign w:val="bottom"/>
            <w:shd w:val="clear" w:color="auto" w:fill="ACACAC"/>
          </w:tcPr>
          <w:p>
            <w:pPr>
              <w:ind w:left="40"/>
              <w:spacing w:after="0"/>
              <w:rPr>
                <w:sz w:val="20"/>
                <w:szCs w:val="20"/>
                <w:color w:val="auto"/>
              </w:rPr>
            </w:pPr>
            <w:r>
              <w:rPr>
                <w:rFonts w:ascii="Arial" w:cs="Arial" w:eastAsia="Arial" w:hAnsi="Arial"/>
                <w:sz w:val="16"/>
                <w:szCs w:val="16"/>
                <w:color w:val="auto"/>
              </w:rPr>
              <w:t xml:space="preserve">Robert M. Chiusano (Chair) </w:t>
            </w:r>
            <w:r>
              <w:rPr>
                <w:rFonts w:ascii="Arial" w:cs="Arial" w:eastAsia="Arial" w:hAnsi="Arial"/>
                <w:sz w:val="21"/>
                <w:szCs w:val="21"/>
                <w:color w:val="auto"/>
                <w:vertAlign w:val="superscript"/>
              </w:rPr>
              <w:t>(1)</w:t>
            </w:r>
          </w:p>
        </w:tc>
        <w:tc>
          <w:tcPr>
            <w:tcW w:w="1360" w:type="dxa"/>
            <w:vAlign w:val="bottom"/>
            <w:shd w:val="clear" w:color="auto" w:fill="ACACAC"/>
          </w:tcPr>
          <w:p>
            <w:pPr>
              <w:spacing w:after="0"/>
              <w:rPr>
                <w:sz w:val="23"/>
                <w:szCs w:val="23"/>
                <w:color w:val="auto"/>
              </w:rPr>
            </w:pPr>
          </w:p>
        </w:tc>
        <w:tc>
          <w:tcPr>
            <w:tcW w:w="1420" w:type="dxa"/>
            <w:vAlign w:val="bottom"/>
            <w:shd w:val="clear" w:color="auto" w:fill="ACACAC"/>
          </w:tcPr>
          <w:p>
            <w:pPr>
              <w:jc w:val="center"/>
              <w:ind w:left="119"/>
              <w:spacing w:after="0"/>
              <w:rPr>
                <w:sz w:val="20"/>
                <w:szCs w:val="20"/>
                <w:color w:val="auto"/>
              </w:rPr>
            </w:pPr>
            <w:r>
              <w:rPr>
                <w:rFonts w:ascii="Arial" w:cs="Arial" w:eastAsia="Arial" w:hAnsi="Arial"/>
                <w:sz w:val="16"/>
                <w:szCs w:val="16"/>
                <w:color w:val="auto"/>
                <w:w w:val="93"/>
              </w:rPr>
              <w:t>X</w:t>
            </w:r>
          </w:p>
        </w:tc>
        <w:tc>
          <w:tcPr>
            <w:tcW w:w="1700" w:type="dxa"/>
            <w:vAlign w:val="bottom"/>
            <w:shd w:val="clear" w:color="auto" w:fill="ACACAC"/>
          </w:tcPr>
          <w:p>
            <w:pPr>
              <w:spacing w:after="0"/>
              <w:rPr>
                <w:sz w:val="23"/>
                <w:szCs w:val="23"/>
                <w:color w:val="auto"/>
              </w:rPr>
            </w:pPr>
          </w:p>
        </w:tc>
        <w:tc>
          <w:tcPr>
            <w:tcW w:w="1320" w:type="dxa"/>
            <w:vAlign w:val="bottom"/>
            <w:shd w:val="clear" w:color="auto" w:fill="ACACAC"/>
          </w:tcPr>
          <w:p>
            <w:pPr>
              <w:jc w:val="center"/>
              <w:ind w:right="59"/>
              <w:spacing w:after="0"/>
              <w:rPr>
                <w:sz w:val="20"/>
                <w:szCs w:val="20"/>
                <w:color w:val="auto"/>
              </w:rPr>
            </w:pPr>
            <w:r>
              <w:rPr>
                <w:rFonts w:ascii="Arial" w:cs="Arial" w:eastAsia="Arial" w:hAnsi="Arial"/>
                <w:sz w:val="16"/>
                <w:szCs w:val="16"/>
                <w:color w:val="auto"/>
                <w:w w:val="93"/>
              </w:rPr>
              <w:t>X</w:t>
            </w:r>
          </w:p>
        </w:tc>
      </w:tr>
      <w:tr>
        <w:trPr>
          <w:trHeight w:val="270"/>
        </w:trPr>
        <w:tc>
          <w:tcPr>
            <w:tcW w:w="5620" w:type="dxa"/>
            <w:vAlign w:val="bottom"/>
          </w:tcPr>
          <w:p>
            <w:pPr>
              <w:ind w:left="40"/>
              <w:spacing w:after="0"/>
              <w:rPr>
                <w:sz w:val="20"/>
                <w:szCs w:val="20"/>
                <w:color w:val="auto"/>
              </w:rPr>
            </w:pPr>
            <w:r>
              <w:rPr>
                <w:rFonts w:ascii="Arial" w:cs="Arial" w:eastAsia="Arial" w:hAnsi="Arial"/>
                <w:sz w:val="16"/>
                <w:szCs w:val="16"/>
                <w:color w:val="auto"/>
              </w:rPr>
              <w:t xml:space="preserve">William C. Fisher </w:t>
            </w:r>
            <w:r>
              <w:rPr>
                <w:rFonts w:ascii="Arial" w:cs="Arial" w:eastAsia="Arial" w:hAnsi="Arial"/>
                <w:sz w:val="21"/>
                <w:szCs w:val="21"/>
                <w:color w:val="auto"/>
                <w:vertAlign w:val="superscript"/>
              </w:rPr>
              <w:t>(1)</w:t>
            </w:r>
          </w:p>
        </w:tc>
        <w:tc>
          <w:tcPr>
            <w:tcW w:w="1360" w:type="dxa"/>
            <w:vAlign w:val="bottom"/>
          </w:tcPr>
          <w:p>
            <w:pPr>
              <w:jc w:val="center"/>
              <w:ind w:left="19"/>
              <w:spacing w:after="0"/>
              <w:rPr>
                <w:sz w:val="20"/>
                <w:szCs w:val="20"/>
                <w:color w:val="auto"/>
              </w:rPr>
            </w:pPr>
            <w:r>
              <w:rPr>
                <w:rFonts w:ascii="Arial" w:cs="Arial" w:eastAsia="Arial" w:hAnsi="Arial"/>
                <w:sz w:val="16"/>
                <w:szCs w:val="16"/>
                <w:color w:val="auto"/>
                <w:w w:val="93"/>
              </w:rPr>
              <w:t>X</w:t>
            </w:r>
          </w:p>
        </w:tc>
        <w:tc>
          <w:tcPr>
            <w:tcW w:w="1420" w:type="dxa"/>
            <w:vAlign w:val="bottom"/>
          </w:tcPr>
          <w:p>
            <w:pPr>
              <w:spacing w:after="0"/>
              <w:rPr>
                <w:sz w:val="23"/>
                <w:szCs w:val="23"/>
                <w:color w:val="auto"/>
              </w:rPr>
            </w:pPr>
          </w:p>
        </w:tc>
        <w:tc>
          <w:tcPr>
            <w:tcW w:w="1700" w:type="dxa"/>
            <w:vAlign w:val="bottom"/>
          </w:tcPr>
          <w:p>
            <w:pPr>
              <w:jc w:val="center"/>
              <w:spacing w:after="0"/>
              <w:rPr>
                <w:sz w:val="20"/>
                <w:szCs w:val="20"/>
                <w:color w:val="auto"/>
              </w:rPr>
            </w:pPr>
            <w:r>
              <w:rPr>
                <w:rFonts w:ascii="Arial" w:cs="Arial" w:eastAsia="Arial" w:hAnsi="Arial"/>
                <w:sz w:val="16"/>
                <w:szCs w:val="16"/>
                <w:color w:val="auto"/>
                <w:w w:val="99"/>
              </w:rPr>
              <w:t>Chair</w:t>
            </w:r>
          </w:p>
        </w:tc>
        <w:tc>
          <w:tcPr>
            <w:tcW w:w="1320" w:type="dxa"/>
            <w:vAlign w:val="bottom"/>
          </w:tcPr>
          <w:p>
            <w:pPr>
              <w:spacing w:after="0"/>
              <w:rPr>
                <w:sz w:val="23"/>
                <w:szCs w:val="23"/>
                <w:color w:val="auto"/>
              </w:rPr>
            </w:pPr>
          </w:p>
        </w:tc>
      </w:tr>
      <w:tr>
        <w:trPr>
          <w:trHeight w:val="270"/>
        </w:trPr>
        <w:tc>
          <w:tcPr>
            <w:tcW w:w="5620" w:type="dxa"/>
            <w:vAlign w:val="bottom"/>
            <w:shd w:val="clear" w:color="auto" w:fill="ACACAC"/>
          </w:tcPr>
          <w:p>
            <w:pPr>
              <w:ind w:left="40"/>
              <w:spacing w:after="0"/>
              <w:rPr>
                <w:sz w:val="20"/>
                <w:szCs w:val="20"/>
                <w:color w:val="auto"/>
              </w:rPr>
            </w:pPr>
            <w:r>
              <w:rPr>
                <w:rFonts w:ascii="Arial" w:cs="Arial" w:eastAsia="Arial" w:hAnsi="Arial"/>
                <w:sz w:val="16"/>
                <w:szCs w:val="16"/>
                <w:color w:val="auto"/>
              </w:rPr>
              <w:t xml:space="preserve">David W. Miles </w:t>
            </w:r>
            <w:r>
              <w:rPr>
                <w:rFonts w:ascii="Arial" w:cs="Arial" w:eastAsia="Arial" w:hAnsi="Arial"/>
                <w:sz w:val="21"/>
                <w:szCs w:val="21"/>
                <w:color w:val="auto"/>
                <w:vertAlign w:val="superscript"/>
              </w:rPr>
              <w:t>(1)(2)</w:t>
            </w:r>
          </w:p>
        </w:tc>
        <w:tc>
          <w:tcPr>
            <w:tcW w:w="1360" w:type="dxa"/>
            <w:vAlign w:val="bottom"/>
            <w:shd w:val="clear" w:color="auto" w:fill="ACACAC"/>
          </w:tcPr>
          <w:p>
            <w:pPr>
              <w:jc w:val="center"/>
              <w:ind w:left="19"/>
              <w:spacing w:after="0"/>
              <w:rPr>
                <w:sz w:val="20"/>
                <w:szCs w:val="20"/>
                <w:color w:val="auto"/>
              </w:rPr>
            </w:pPr>
            <w:r>
              <w:rPr>
                <w:rFonts w:ascii="Arial" w:cs="Arial" w:eastAsia="Arial" w:hAnsi="Arial"/>
                <w:sz w:val="16"/>
                <w:szCs w:val="16"/>
                <w:color w:val="auto"/>
                <w:w w:val="93"/>
              </w:rPr>
              <w:t>X</w:t>
            </w:r>
          </w:p>
        </w:tc>
        <w:tc>
          <w:tcPr>
            <w:tcW w:w="1420" w:type="dxa"/>
            <w:vAlign w:val="bottom"/>
            <w:shd w:val="clear" w:color="auto" w:fill="ACACAC"/>
          </w:tcPr>
          <w:p>
            <w:pPr>
              <w:spacing w:after="0"/>
              <w:rPr>
                <w:sz w:val="23"/>
                <w:szCs w:val="23"/>
                <w:color w:val="auto"/>
              </w:rPr>
            </w:pPr>
          </w:p>
        </w:tc>
        <w:tc>
          <w:tcPr>
            <w:tcW w:w="1700" w:type="dxa"/>
            <w:vAlign w:val="bottom"/>
            <w:shd w:val="clear" w:color="auto" w:fill="ACACAC"/>
          </w:tcPr>
          <w:p>
            <w:pPr>
              <w:spacing w:after="0"/>
              <w:rPr>
                <w:sz w:val="23"/>
                <w:szCs w:val="23"/>
                <w:color w:val="auto"/>
              </w:rPr>
            </w:pPr>
          </w:p>
        </w:tc>
        <w:tc>
          <w:tcPr>
            <w:tcW w:w="1320" w:type="dxa"/>
            <w:vAlign w:val="bottom"/>
            <w:shd w:val="clear" w:color="auto" w:fill="ACACAC"/>
          </w:tcPr>
          <w:p>
            <w:pPr>
              <w:jc w:val="center"/>
              <w:ind w:right="59"/>
              <w:spacing w:after="0"/>
              <w:rPr>
                <w:sz w:val="20"/>
                <w:szCs w:val="20"/>
                <w:color w:val="auto"/>
              </w:rPr>
            </w:pPr>
            <w:r>
              <w:rPr>
                <w:rFonts w:ascii="Arial" w:cs="Arial" w:eastAsia="Arial" w:hAnsi="Arial"/>
                <w:sz w:val="16"/>
                <w:szCs w:val="16"/>
                <w:color w:val="auto"/>
                <w:w w:val="99"/>
              </w:rPr>
              <w:t>Chair</w:t>
            </w:r>
          </w:p>
        </w:tc>
      </w:tr>
      <w:tr>
        <w:trPr>
          <w:trHeight w:val="270"/>
        </w:trPr>
        <w:tc>
          <w:tcPr>
            <w:tcW w:w="5620" w:type="dxa"/>
            <w:vAlign w:val="bottom"/>
          </w:tcPr>
          <w:p>
            <w:pPr>
              <w:ind w:left="40"/>
              <w:spacing w:after="0"/>
              <w:rPr>
                <w:sz w:val="20"/>
                <w:szCs w:val="20"/>
                <w:color w:val="auto"/>
              </w:rPr>
            </w:pPr>
            <w:r>
              <w:rPr>
                <w:rFonts w:ascii="Arial" w:cs="Arial" w:eastAsia="Arial" w:hAnsi="Arial"/>
                <w:sz w:val="16"/>
                <w:szCs w:val="16"/>
                <w:color w:val="auto"/>
              </w:rPr>
              <w:t xml:space="preserve">Richard D. Moss </w:t>
            </w:r>
            <w:r>
              <w:rPr>
                <w:rFonts w:ascii="Arial" w:cs="Arial" w:eastAsia="Arial" w:hAnsi="Arial"/>
                <w:sz w:val="21"/>
                <w:szCs w:val="21"/>
                <w:color w:val="auto"/>
                <w:vertAlign w:val="superscript"/>
              </w:rPr>
              <w:t>(1)(2)</w:t>
            </w:r>
          </w:p>
        </w:tc>
        <w:tc>
          <w:tcPr>
            <w:tcW w:w="1360" w:type="dxa"/>
            <w:vAlign w:val="bottom"/>
          </w:tcPr>
          <w:p>
            <w:pPr>
              <w:jc w:val="center"/>
              <w:ind w:left="19"/>
              <w:spacing w:after="0"/>
              <w:rPr>
                <w:sz w:val="20"/>
                <w:szCs w:val="20"/>
                <w:color w:val="auto"/>
              </w:rPr>
            </w:pPr>
            <w:r>
              <w:rPr>
                <w:rFonts w:ascii="Arial" w:cs="Arial" w:eastAsia="Arial" w:hAnsi="Arial"/>
                <w:sz w:val="16"/>
                <w:szCs w:val="16"/>
                <w:color w:val="auto"/>
                <w:w w:val="99"/>
              </w:rPr>
              <w:t>Chair</w:t>
            </w:r>
          </w:p>
        </w:tc>
        <w:tc>
          <w:tcPr>
            <w:tcW w:w="1420" w:type="dxa"/>
            <w:vAlign w:val="bottom"/>
          </w:tcPr>
          <w:p>
            <w:pPr>
              <w:spacing w:after="0"/>
              <w:rPr>
                <w:sz w:val="23"/>
                <w:szCs w:val="23"/>
                <w:color w:val="auto"/>
              </w:rPr>
            </w:pPr>
          </w:p>
        </w:tc>
        <w:tc>
          <w:tcPr>
            <w:tcW w:w="1700" w:type="dxa"/>
            <w:vAlign w:val="bottom"/>
          </w:tcPr>
          <w:p>
            <w:pPr>
              <w:spacing w:after="0"/>
              <w:rPr>
                <w:sz w:val="23"/>
                <w:szCs w:val="23"/>
                <w:color w:val="auto"/>
              </w:rPr>
            </w:pPr>
          </w:p>
        </w:tc>
        <w:tc>
          <w:tcPr>
            <w:tcW w:w="1320" w:type="dxa"/>
            <w:vAlign w:val="bottom"/>
          </w:tcPr>
          <w:p>
            <w:pPr>
              <w:jc w:val="center"/>
              <w:ind w:right="59"/>
              <w:spacing w:after="0"/>
              <w:rPr>
                <w:sz w:val="20"/>
                <w:szCs w:val="20"/>
                <w:color w:val="auto"/>
              </w:rPr>
            </w:pPr>
            <w:r>
              <w:rPr>
                <w:rFonts w:ascii="Arial" w:cs="Arial" w:eastAsia="Arial" w:hAnsi="Arial"/>
                <w:sz w:val="16"/>
                <w:szCs w:val="16"/>
                <w:color w:val="auto"/>
                <w:w w:val="93"/>
              </w:rPr>
              <w:t>X</w:t>
            </w:r>
          </w:p>
        </w:tc>
      </w:tr>
      <w:tr>
        <w:trPr>
          <w:trHeight w:val="270"/>
        </w:trPr>
        <w:tc>
          <w:tcPr>
            <w:tcW w:w="5620" w:type="dxa"/>
            <w:vAlign w:val="bottom"/>
            <w:shd w:val="clear" w:color="auto" w:fill="ACACAC"/>
          </w:tcPr>
          <w:p>
            <w:pPr>
              <w:ind w:left="40"/>
              <w:spacing w:after="0"/>
              <w:rPr>
                <w:sz w:val="20"/>
                <w:szCs w:val="20"/>
                <w:color w:val="auto"/>
              </w:rPr>
            </w:pPr>
            <w:r>
              <w:rPr>
                <w:rFonts w:ascii="Arial" w:cs="Arial" w:eastAsia="Arial" w:hAnsi="Arial"/>
                <w:sz w:val="16"/>
                <w:szCs w:val="16"/>
                <w:color w:val="auto"/>
              </w:rPr>
              <w:t xml:space="preserve">John M. Murabito </w:t>
            </w:r>
            <w:r>
              <w:rPr>
                <w:rFonts w:ascii="Arial" w:cs="Arial" w:eastAsia="Arial" w:hAnsi="Arial"/>
                <w:sz w:val="21"/>
                <w:szCs w:val="21"/>
                <w:color w:val="auto"/>
                <w:vertAlign w:val="superscript"/>
              </w:rPr>
              <w:t>(1)</w:t>
            </w:r>
          </w:p>
        </w:tc>
        <w:tc>
          <w:tcPr>
            <w:tcW w:w="1360" w:type="dxa"/>
            <w:vAlign w:val="bottom"/>
            <w:shd w:val="clear" w:color="auto" w:fill="ACACAC"/>
          </w:tcPr>
          <w:p>
            <w:pPr>
              <w:spacing w:after="0"/>
              <w:rPr>
                <w:sz w:val="23"/>
                <w:szCs w:val="23"/>
                <w:color w:val="auto"/>
              </w:rPr>
            </w:pPr>
          </w:p>
        </w:tc>
        <w:tc>
          <w:tcPr>
            <w:tcW w:w="1420" w:type="dxa"/>
            <w:vAlign w:val="bottom"/>
            <w:shd w:val="clear" w:color="auto" w:fill="ACACAC"/>
          </w:tcPr>
          <w:p>
            <w:pPr>
              <w:jc w:val="center"/>
              <w:ind w:left="119"/>
              <w:spacing w:after="0"/>
              <w:rPr>
                <w:sz w:val="20"/>
                <w:szCs w:val="20"/>
                <w:color w:val="auto"/>
              </w:rPr>
            </w:pPr>
            <w:r>
              <w:rPr>
                <w:rFonts w:ascii="Arial" w:cs="Arial" w:eastAsia="Arial" w:hAnsi="Arial"/>
                <w:sz w:val="16"/>
                <w:szCs w:val="16"/>
                <w:color w:val="auto"/>
                <w:w w:val="99"/>
              </w:rPr>
              <w:t>Chair</w:t>
            </w:r>
          </w:p>
        </w:tc>
        <w:tc>
          <w:tcPr>
            <w:tcW w:w="1700" w:type="dxa"/>
            <w:vAlign w:val="bottom"/>
            <w:shd w:val="clear" w:color="auto" w:fill="ACACAC"/>
          </w:tcPr>
          <w:p>
            <w:pPr>
              <w:jc w:val="center"/>
              <w:spacing w:after="0"/>
              <w:rPr>
                <w:sz w:val="20"/>
                <w:szCs w:val="20"/>
                <w:color w:val="auto"/>
              </w:rPr>
            </w:pPr>
            <w:r>
              <w:rPr>
                <w:rFonts w:ascii="Arial" w:cs="Arial" w:eastAsia="Arial" w:hAnsi="Arial"/>
                <w:sz w:val="16"/>
                <w:szCs w:val="16"/>
                <w:color w:val="auto"/>
                <w:w w:val="93"/>
              </w:rPr>
              <w:t>X</w:t>
            </w:r>
          </w:p>
        </w:tc>
        <w:tc>
          <w:tcPr>
            <w:tcW w:w="1320" w:type="dxa"/>
            <w:vAlign w:val="bottom"/>
            <w:shd w:val="clear" w:color="auto" w:fill="ACACAC"/>
          </w:tcPr>
          <w:p>
            <w:pPr>
              <w:spacing w:after="0"/>
              <w:rPr>
                <w:sz w:val="23"/>
                <w:szCs w:val="23"/>
                <w:color w:val="auto"/>
              </w:rPr>
            </w:pPr>
          </w:p>
        </w:tc>
      </w:tr>
      <w:tr>
        <w:trPr>
          <w:trHeight w:val="270"/>
        </w:trPr>
        <w:tc>
          <w:tcPr>
            <w:tcW w:w="5620" w:type="dxa"/>
            <w:vAlign w:val="bottom"/>
            <w:tcBorders>
              <w:bottom w:val="single" w:sz="8" w:color="auto"/>
            </w:tcBorders>
          </w:tcPr>
          <w:p>
            <w:pPr>
              <w:ind w:left="40"/>
              <w:spacing w:after="0"/>
              <w:rPr>
                <w:sz w:val="20"/>
                <w:szCs w:val="20"/>
                <w:color w:val="auto"/>
              </w:rPr>
            </w:pPr>
            <w:r>
              <w:rPr>
                <w:rFonts w:ascii="Arial" w:cs="Arial" w:eastAsia="Arial" w:hAnsi="Arial"/>
                <w:sz w:val="16"/>
                <w:szCs w:val="16"/>
                <w:color w:val="auto"/>
              </w:rPr>
              <w:t xml:space="preserve">Martha T. Rodamaker </w:t>
            </w:r>
            <w:r>
              <w:rPr>
                <w:rFonts w:ascii="Arial" w:cs="Arial" w:eastAsia="Arial" w:hAnsi="Arial"/>
                <w:sz w:val="21"/>
                <w:szCs w:val="21"/>
                <w:color w:val="auto"/>
                <w:vertAlign w:val="superscript"/>
              </w:rPr>
              <w:t>(1)</w:t>
            </w:r>
          </w:p>
        </w:tc>
        <w:tc>
          <w:tcPr>
            <w:tcW w:w="1360" w:type="dxa"/>
            <w:vAlign w:val="bottom"/>
            <w:tcBorders>
              <w:bottom w:val="single" w:sz="8" w:color="auto"/>
            </w:tcBorders>
          </w:tcPr>
          <w:p>
            <w:pPr>
              <w:jc w:val="center"/>
              <w:ind w:left="19"/>
              <w:spacing w:after="0"/>
              <w:rPr>
                <w:sz w:val="20"/>
                <w:szCs w:val="20"/>
                <w:color w:val="auto"/>
              </w:rPr>
            </w:pPr>
            <w:r>
              <w:rPr>
                <w:rFonts w:ascii="Arial" w:cs="Arial" w:eastAsia="Arial" w:hAnsi="Arial"/>
                <w:sz w:val="16"/>
                <w:szCs w:val="16"/>
                <w:color w:val="auto"/>
                <w:w w:val="93"/>
              </w:rPr>
              <w:t>X</w:t>
            </w:r>
          </w:p>
        </w:tc>
        <w:tc>
          <w:tcPr>
            <w:tcW w:w="1420" w:type="dxa"/>
            <w:vAlign w:val="bottom"/>
            <w:tcBorders>
              <w:bottom w:val="single" w:sz="8" w:color="auto"/>
            </w:tcBorders>
          </w:tcPr>
          <w:p>
            <w:pPr>
              <w:spacing w:after="0"/>
              <w:rPr>
                <w:sz w:val="23"/>
                <w:szCs w:val="23"/>
                <w:color w:val="auto"/>
              </w:rPr>
            </w:pPr>
          </w:p>
        </w:tc>
        <w:tc>
          <w:tcPr>
            <w:tcW w:w="1700" w:type="dxa"/>
            <w:vAlign w:val="bottom"/>
            <w:tcBorders>
              <w:bottom w:val="single" w:sz="8" w:color="auto"/>
            </w:tcBorders>
          </w:tcPr>
          <w:p>
            <w:pPr>
              <w:spacing w:after="0"/>
              <w:rPr>
                <w:sz w:val="23"/>
                <w:szCs w:val="23"/>
                <w:color w:val="auto"/>
              </w:rPr>
            </w:pPr>
          </w:p>
        </w:tc>
        <w:tc>
          <w:tcPr>
            <w:tcW w:w="1320" w:type="dxa"/>
            <w:vAlign w:val="bottom"/>
            <w:tcBorders>
              <w:bottom w:val="single" w:sz="8" w:color="auto"/>
            </w:tcBorders>
          </w:tcPr>
          <w:p>
            <w:pPr>
              <w:jc w:val="center"/>
              <w:ind w:right="59"/>
              <w:spacing w:after="0"/>
              <w:rPr>
                <w:sz w:val="20"/>
                <w:szCs w:val="20"/>
                <w:color w:val="auto"/>
              </w:rPr>
            </w:pPr>
            <w:r>
              <w:rPr>
                <w:rFonts w:ascii="Arial" w:cs="Arial" w:eastAsia="Arial" w:hAnsi="Arial"/>
                <w:sz w:val="16"/>
                <w:szCs w:val="16"/>
                <w:color w:val="auto"/>
                <w:w w:val="93"/>
              </w:rPr>
              <w:t>X</w:t>
            </w:r>
          </w:p>
        </w:tc>
      </w:tr>
      <w:tr>
        <w:trPr>
          <w:trHeight w:val="230"/>
        </w:trPr>
        <w:tc>
          <w:tcPr>
            <w:tcW w:w="5620" w:type="dxa"/>
            <w:vAlign w:val="bottom"/>
            <w:tcBorders>
              <w:bottom w:val="single" w:sz="8" w:color="auto"/>
            </w:tcBorders>
            <w:shd w:val="clear" w:color="auto" w:fill="ACACAC"/>
          </w:tcPr>
          <w:p>
            <w:pPr>
              <w:ind w:left="40"/>
              <w:spacing w:after="0"/>
              <w:rPr>
                <w:sz w:val="20"/>
                <w:szCs w:val="20"/>
                <w:color w:val="auto"/>
              </w:rPr>
            </w:pPr>
            <w:r>
              <w:rPr>
                <w:rFonts w:ascii="Arial" w:cs="Arial" w:eastAsia="Arial" w:hAnsi="Arial"/>
                <w:sz w:val="16"/>
                <w:szCs w:val="16"/>
                <w:color w:val="auto"/>
              </w:rPr>
              <w:t>Number of meetings in Fiscal 2018</w:t>
            </w:r>
          </w:p>
        </w:tc>
        <w:tc>
          <w:tcPr>
            <w:tcW w:w="1360" w:type="dxa"/>
            <w:vAlign w:val="bottom"/>
            <w:tcBorders>
              <w:bottom w:val="single" w:sz="8" w:color="auto"/>
            </w:tcBorders>
            <w:shd w:val="clear" w:color="auto" w:fill="ACACAC"/>
          </w:tcPr>
          <w:p>
            <w:pPr>
              <w:jc w:val="center"/>
              <w:ind w:left="39"/>
              <w:spacing w:after="0"/>
              <w:rPr>
                <w:sz w:val="20"/>
                <w:szCs w:val="20"/>
                <w:color w:val="auto"/>
              </w:rPr>
            </w:pPr>
            <w:r>
              <w:rPr>
                <w:rFonts w:ascii="Arial" w:cs="Arial" w:eastAsia="Arial" w:hAnsi="Arial"/>
                <w:sz w:val="16"/>
                <w:szCs w:val="16"/>
                <w:color w:val="auto"/>
                <w:w w:val="89"/>
              </w:rPr>
              <w:t>7</w:t>
            </w:r>
          </w:p>
        </w:tc>
        <w:tc>
          <w:tcPr>
            <w:tcW w:w="1420" w:type="dxa"/>
            <w:vAlign w:val="bottom"/>
            <w:tcBorders>
              <w:bottom w:val="single" w:sz="8" w:color="auto"/>
            </w:tcBorders>
            <w:shd w:val="clear" w:color="auto" w:fill="ACACAC"/>
          </w:tcPr>
          <w:p>
            <w:pPr>
              <w:jc w:val="center"/>
              <w:ind w:left="119"/>
              <w:spacing w:after="0"/>
              <w:rPr>
                <w:sz w:val="20"/>
                <w:szCs w:val="20"/>
                <w:color w:val="auto"/>
              </w:rPr>
            </w:pPr>
            <w:r>
              <w:rPr>
                <w:rFonts w:ascii="Arial" w:cs="Arial" w:eastAsia="Arial" w:hAnsi="Arial"/>
                <w:sz w:val="16"/>
                <w:szCs w:val="16"/>
                <w:color w:val="auto"/>
              </w:rPr>
              <w:t>5</w:t>
            </w:r>
          </w:p>
        </w:tc>
        <w:tc>
          <w:tcPr>
            <w:tcW w:w="1700" w:type="dxa"/>
            <w:vAlign w:val="bottom"/>
            <w:tcBorders>
              <w:bottom w:val="single" w:sz="8" w:color="auto"/>
            </w:tcBorders>
            <w:shd w:val="clear" w:color="auto" w:fill="ACACAC"/>
          </w:tcPr>
          <w:p>
            <w:pPr>
              <w:jc w:val="center"/>
              <w:spacing w:after="0"/>
              <w:rPr>
                <w:sz w:val="20"/>
                <w:szCs w:val="20"/>
                <w:color w:val="auto"/>
              </w:rPr>
            </w:pPr>
            <w:r>
              <w:rPr>
                <w:rFonts w:ascii="Arial" w:cs="Arial" w:eastAsia="Arial" w:hAnsi="Arial"/>
                <w:sz w:val="16"/>
                <w:szCs w:val="16"/>
                <w:color w:val="auto"/>
              </w:rPr>
              <w:t>5</w:t>
            </w:r>
          </w:p>
        </w:tc>
        <w:tc>
          <w:tcPr>
            <w:tcW w:w="1320" w:type="dxa"/>
            <w:vAlign w:val="bottom"/>
            <w:tcBorders>
              <w:bottom w:val="single" w:sz="8" w:color="auto"/>
            </w:tcBorders>
            <w:shd w:val="clear" w:color="auto" w:fill="ACACAC"/>
          </w:tcPr>
          <w:p>
            <w:pPr>
              <w:jc w:val="center"/>
              <w:ind w:right="79"/>
              <w:spacing w:after="0"/>
              <w:rPr>
                <w:sz w:val="20"/>
                <w:szCs w:val="20"/>
                <w:color w:val="auto"/>
              </w:rPr>
            </w:pPr>
            <w:r>
              <w:rPr>
                <w:rFonts w:ascii="Arial" w:cs="Arial" w:eastAsia="Arial" w:hAnsi="Arial"/>
                <w:sz w:val="16"/>
                <w:szCs w:val="16"/>
                <w:color w:val="auto"/>
                <w:w w:val="89"/>
              </w:rPr>
              <w:t>5</w:t>
            </w:r>
          </w:p>
        </w:tc>
      </w:tr>
      <w:tr>
        <w:trPr>
          <w:trHeight w:val="224"/>
        </w:trPr>
        <w:tc>
          <w:tcPr>
            <w:tcW w:w="5620" w:type="dxa"/>
            <w:vAlign w:val="bottom"/>
          </w:tcPr>
          <w:p>
            <w:pPr>
              <w:ind w:left="40"/>
              <w:spacing w:after="0"/>
              <w:rPr>
                <w:sz w:val="20"/>
                <w:szCs w:val="20"/>
                <w:color w:val="auto"/>
              </w:rPr>
            </w:pPr>
            <w:r>
              <w:rPr>
                <w:rFonts w:ascii="Arial" w:cs="Arial" w:eastAsia="Arial" w:hAnsi="Arial"/>
                <w:sz w:val="16"/>
                <w:szCs w:val="16"/>
                <w:color w:val="auto"/>
              </w:rPr>
              <w:t>Conducted a self-assessment of its performance</w:t>
            </w:r>
          </w:p>
        </w:tc>
        <w:tc>
          <w:tcPr>
            <w:tcW w:w="1360" w:type="dxa"/>
            <w:vAlign w:val="bottom"/>
          </w:tcPr>
          <w:p>
            <w:pPr>
              <w:jc w:val="center"/>
              <w:ind w:left="19"/>
              <w:spacing w:after="0"/>
              <w:rPr>
                <w:sz w:val="20"/>
                <w:szCs w:val="20"/>
                <w:color w:val="auto"/>
              </w:rPr>
            </w:pPr>
            <w:r>
              <w:rPr>
                <w:rFonts w:ascii="Arial" w:cs="Arial" w:eastAsia="Arial" w:hAnsi="Arial"/>
                <w:sz w:val="16"/>
                <w:szCs w:val="16"/>
                <w:color w:val="auto"/>
                <w:w w:val="93"/>
              </w:rPr>
              <w:t>X</w:t>
            </w:r>
          </w:p>
        </w:tc>
        <w:tc>
          <w:tcPr>
            <w:tcW w:w="1420" w:type="dxa"/>
            <w:vAlign w:val="bottom"/>
          </w:tcPr>
          <w:p>
            <w:pPr>
              <w:jc w:val="center"/>
              <w:ind w:left="119"/>
              <w:spacing w:after="0"/>
              <w:rPr>
                <w:sz w:val="20"/>
                <w:szCs w:val="20"/>
                <w:color w:val="auto"/>
              </w:rPr>
            </w:pPr>
            <w:r>
              <w:rPr>
                <w:rFonts w:ascii="Arial" w:cs="Arial" w:eastAsia="Arial" w:hAnsi="Arial"/>
                <w:sz w:val="16"/>
                <w:szCs w:val="16"/>
                <w:color w:val="auto"/>
                <w:w w:val="93"/>
              </w:rPr>
              <w:t>X</w:t>
            </w:r>
          </w:p>
        </w:tc>
        <w:tc>
          <w:tcPr>
            <w:tcW w:w="1700" w:type="dxa"/>
            <w:vAlign w:val="bottom"/>
          </w:tcPr>
          <w:p>
            <w:pPr>
              <w:jc w:val="center"/>
              <w:spacing w:after="0"/>
              <w:rPr>
                <w:sz w:val="20"/>
                <w:szCs w:val="20"/>
                <w:color w:val="auto"/>
              </w:rPr>
            </w:pPr>
            <w:r>
              <w:rPr>
                <w:rFonts w:ascii="Arial" w:cs="Arial" w:eastAsia="Arial" w:hAnsi="Arial"/>
                <w:sz w:val="16"/>
                <w:szCs w:val="16"/>
                <w:color w:val="auto"/>
                <w:w w:val="93"/>
              </w:rPr>
              <w:t>X</w:t>
            </w:r>
          </w:p>
        </w:tc>
        <w:tc>
          <w:tcPr>
            <w:tcW w:w="1320" w:type="dxa"/>
            <w:vAlign w:val="bottom"/>
          </w:tcPr>
          <w:p>
            <w:pPr>
              <w:jc w:val="center"/>
              <w:ind w:right="59"/>
              <w:spacing w:after="0"/>
              <w:rPr>
                <w:sz w:val="20"/>
                <w:szCs w:val="20"/>
                <w:color w:val="auto"/>
              </w:rPr>
            </w:pPr>
            <w:r>
              <w:rPr>
                <w:rFonts w:ascii="Arial" w:cs="Arial" w:eastAsia="Arial" w:hAnsi="Arial"/>
                <w:sz w:val="16"/>
                <w:szCs w:val="16"/>
                <w:color w:val="auto"/>
                <w:w w:val="93"/>
              </w:rPr>
              <w:t>X</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12700</wp:posOffset>
            </wp:positionV>
            <wp:extent cx="7246620"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3564255</wp:posOffset>
            </wp:positionH>
            <wp:positionV relativeFrom="paragraph">
              <wp:posOffset>-1976755</wp:posOffset>
            </wp:positionV>
            <wp:extent cx="3687445" cy="29146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3687445" cy="291465"/>
                    </a:xfrm>
                    <a:prstGeom prst="rect">
                      <a:avLst/>
                    </a:prstGeom>
                    <a:noFill/>
                  </pic:spPr>
                </pic:pic>
              </a:graphicData>
            </a:graphic>
          </wp:anchor>
        </w:drawing>
      </w:r>
    </w:p>
    <w:p>
      <w:pPr>
        <w:spacing w:after="0" w:line="18" w:lineRule="exact"/>
        <w:rPr>
          <w:sz w:val="20"/>
          <w:szCs w:val="20"/>
          <w:color w:val="auto"/>
        </w:rPr>
      </w:pPr>
    </w:p>
    <w:p>
      <w:pPr>
        <w:ind w:left="340" w:hanging="332"/>
        <w:spacing w:after="0"/>
        <w:tabs>
          <w:tab w:leader="none" w:pos="340" w:val="left"/>
        </w:tabs>
        <w:numPr>
          <w:ilvl w:val="0"/>
          <w:numId w:val="9"/>
        </w:numPr>
        <w:rPr>
          <w:rFonts w:ascii="Arial" w:cs="Arial" w:eastAsia="Arial" w:hAnsi="Arial"/>
          <w:sz w:val="13"/>
          <w:szCs w:val="13"/>
          <w:color w:val="auto"/>
        </w:rPr>
      </w:pPr>
      <w:r>
        <w:rPr>
          <w:rFonts w:ascii="Arial" w:cs="Arial" w:eastAsia="Arial" w:hAnsi="Arial"/>
          <w:sz w:val="14"/>
          <w:szCs w:val="14"/>
          <w:color w:val="auto"/>
        </w:rPr>
        <w:t>Determined to be "independent" under applicable listing standards of the NYSE.</w:t>
      </w:r>
    </w:p>
    <w:p>
      <w:pPr>
        <w:spacing w:after="0" w:line="1" w:lineRule="exact"/>
        <w:rPr>
          <w:rFonts w:ascii="Arial" w:cs="Arial" w:eastAsia="Arial" w:hAnsi="Arial"/>
          <w:sz w:val="13"/>
          <w:szCs w:val="13"/>
          <w:color w:val="auto"/>
        </w:rPr>
      </w:pPr>
    </w:p>
    <w:p>
      <w:pPr>
        <w:ind w:left="340" w:hanging="332"/>
        <w:spacing w:after="0"/>
        <w:tabs>
          <w:tab w:leader="none" w:pos="340" w:val="left"/>
        </w:tabs>
        <w:numPr>
          <w:ilvl w:val="0"/>
          <w:numId w:val="9"/>
        </w:numPr>
        <w:rPr>
          <w:rFonts w:ascii="Arial" w:cs="Arial" w:eastAsia="Arial" w:hAnsi="Arial"/>
          <w:sz w:val="13"/>
          <w:szCs w:val="13"/>
          <w:color w:val="auto"/>
        </w:rPr>
      </w:pPr>
      <w:r>
        <w:rPr>
          <w:rFonts w:ascii="Arial" w:cs="Arial" w:eastAsia="Arial" w:hAnsi="Arial"/>
          <w:sz w:val="14"/>
          <w:szCs w:val="14"/>
          <w:color w:val="auto"/>
        </w:rPr>
        <w:t>Designated as an "audit committee financial expert" for purposes of Item 407, Regulation S-K under the Securities Act of 1933, as amended.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w:t>
      </w:r>
    </w:p>
    <w:p>
      <w:pPr>
        <w:sectPr>
          <w:pgSz w:w="11900" w:h="16838" w:orient="portrait"/>
          <w:cols w:equalWidth="0" w:num="1">
            <w:col w:w="11420"/>
          </w:cols>
          <w:pgMar w:left="240" w:top="303" w:right="239" w:bottom="1440" w:gutter="0" w:footer="0" w:header="0"/>
          <w:type w:val="continuous"/>
        </w:sectPr>
      </w:pPr>
    </w:p>
    <w:bookmarkStart w:id="8" w:name="page9"/>
    <w:bookmarkEnd w:id="8"/>
    <w:p>
      <w:pPr>
        <w:spacing w:after="0"/>
        <w:rPr>
          <w:rFonts w:ascii="Arial" w:cs="Arial" w:eastAsia="Arial" w:hAnsi="Arial"/>
          <w:sz w:val="15"/>
          <w:szCs w:val="15"/>
          <w:u w:val="single" w:color="auto"/>
          <w:color w:val="0000EE"/>
        </w:rPr>
      </w:pPr>
      <w:r>
        <w:rPr>
          <w:rFonts w:ascii="Arial" w:cs="Arial" w:eastAsia="Arial" w:hAnsi="Arial"/>
          <w:sz w:val="15"/>
          <w:szCs w:val="15"/>
          <w:u w:val="single" w:color="auto"/>
          <w:color w:val="0000EE"/>
        </w:rPr>
        <w:drawing>
          <wp:anchor simplePos="0" relativeHeight="251657728" behindDoc="1" locked="0" layoutInCell="0" allowOverlap="1">
            <wp:simplePos x="0" y="0"/>
            <wp:positionH relativeFrom="page">
              <wp:posOffset>5946140</wp:posOffset>
            </wp:positionH>
            <wp:positionV relativeFrom="page">
              <wp:posOffset>191770</wp:posOffset>
            </wp:positionV>
            <wp:extent cx="1440815" cy="20574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clrChange>
                        <a:clrFrom>
                          <a:srgbClr val="FFFFFF"/>
                        </a:clrFrom>
                        <a:clrTo>
                          <a:srgbClr val="FFFFFF">
                            <a:alpha val="0"/>
                          </a:srgbClr>
                        </a:clrTo>
                      </a:clrChange>
                      <a:extLst>
                        <a:ext uri="{28A0092B-C50C-407E-A947-70E740481C1C}"/>
                      </a:extLst>
                    </a:blip>
                    <a:srcRect/>
                    <a:stretch>
                      <a:fillRect/>
                    </a:stretch>
                  </pic:blipFill>
                  <pic:spPr bwMode="auto">
                    <a:xfrm>
                      <a:off x="0" y="0"/>
                      <a:ext cx="1440815" cy="205740"/>
                    </a:xfrm>
                    <a:prstGeom prst="rect">
                      <a:avLst/>
                    </a:prstGeom>
                    <a:noFill/>
                  </pic:spPr>
                </pic:pic>
              </a:graphicData>
            </a:graphic>
          </wp:anchor>
        </w:drawing>
      </w:r>
      <w:hyperlink w:anchor="page4">
        <w:r>
          <w:rPr>
            <w:rFonts w:ascii="Arial" w:cs="Arial" w:eastAsia="Arial" w:hAnsi="Arial"/>
            <w:sz w:val="15"/>
            <w:szCs w:val="15"/>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112395</wp:posOffset>
            </wp:positionV>
            <wp:extent cx="7246620"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13970</wp:posOffset>
            </wp:positionH>
            <wp:positionV relativeFrom="paragraph">
              <wp:posOffset>360680</wp:posOffset>
            </wp:positionV>
            <wp:extent cx="7212330" cy="210121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12330" cy="2101215"/>
                    </a:xfrm>
                    <a:prstGeom prst="rect">
                      <a:avLst/>
                    </a:prstGeom>
                    <a:noFill/>
                  </pic:spPr>
                </pic:pic>
              </a:graphicData>
            </a:graphic>
          </wp:anchor>
        </w:drawing>
      </w:r>
    </w:p>
    <w:p>
      <w:pPr>
        <w:sectPr>
          <w:pgSz w:w="11900" w:h="16838" w:orient="portrait"/>
          <w:cols w:equalWidth="0" w:num="1">
            <w:col w:w="11340"/>
          </w:cols>
          <w:pgMar w:left="280" w:top="303" w:right="2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ind w:left="40"/>
        <w:spacing w:after="0"/>
        <w:rPr>
          <w:sz w:val="20"/>
          <w:szCs w:val="20"/>
          <w:color w:val="auto"/>
        </w:rPr>
      </w:pPr>
      <w:r>
        <w:rPr>
          <w:rFonts w:ascii="Arial" w:cs="Arial" w:eastAsia="Arial" w:hAnsi="Arial"/>
          <w:sz w:val="25"/>
          <w:szCs w:val="25"/>
          <w:color w:val="828282"/>
        </w:rPr>
        <w:t>Audit Committee</w:t>
      </w:r>
    </w:p>
    <w:p>
      <w:pPr>
        <w:spacing w:after="0" w:line="315" w:lineRule="exact"/>
        <w:rPr>
          <w:sz w:val="20"/>
          <w:szCs w:val="20"/>
          <w:color w:val="auto"/>
        </w:rPr>
      </w:pPr>
    </w:p>
    <w:p>
      <w:pPr>
        <w:ind w:left="40"/>
        <w:spacing w:after="0"/>
        <w:rPr>
          <w:sz w:val="20"/>
          <w:szCs w:val="20"/>
          <w:color w:val="auto"/>
        </w:rPr>
      </w:pPr>
      <w:r>
        <w:rPr>
          <w:rFonts w:ascii="Arial" w:cs="Arial" w:eastAsia="Arial" w:hAnsi="Arial"/>
          <w:sz w:val="20"/>
          <w:szCs w:val="20"/>
          <w:color w:val="BF2115"/>
        </w:rPr>
        <w:t>Members</w:t>
      </w:r>
    </w:p>
    <w:p>
      <w:pPr>
        <w:spacing w:after="0" w:line="100" w:lineRule="exact"/>
        <w:rPr>
          <w:sz w:val="20"/>
          <w:szCs w:val="20"/>
          <w:color w:val="auto"/>
        </w:rPr>
      </w:pPr>
    </w:p>
    <w:p>
      <w:pPr>
        <w:ind w:left="40" w:right="220"/>
        <w:spacing w:after="0" w:line="377" w:lineRule="auto"/>
        <w:rPr>
          <w:sz w:val="20"/>
          <w:szCs w:val="20"/>
          <w:color w:val="auto"/>
        </w:rPr>
      </w:pPr>
      <w:r>
        <w:rPr>
          <w:rFonts w:ascii="Arial" w:cs="Arial" w:eastAsia="Arial" w:hAnsi="Arial"/>
          <w:sz w:val="16"/>
          <w:szCs w:val="16"/>
          <w:color w:val="BF2115"/>
        </w:rPr>
        <w:t>Richard D. Moss, Chair Maria F. Blase William C. Fisher David W. Miles Martha T. Rodamaker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ind w:left="40" w:right="120"/>
        <w:spacing w:after="0" w:line="254" w:lineRule="auto"/>
        <w:rPr>
          <w:sz w:val="20"/>
          <w:szCs w:val="20"/>
          <w:color w:val="auto"/>
        </w:rPr>
      </w:pPr>
      <w:r>
        <w:rPr>
          <w:rFonts w:ascii="Arial" w:cs="Arial" w:eastAsia="Arial" w:hAnsi="Arial"/>
          <w:sz w:val="25"/>
          <w:szCs w:val="25"/>
          <w:color w:val="828282"/>
        </w:rPr>
        <w:t>Nominating and Governance Committee</w:t>
      </w:r>
    </w:p>
    <w:p>
      <w:pPr>
        <w:spacing w:after="0" w:line="68" w:lineRule="exact"/>
        <w:rPr>
          <w:sz w:val="20"/>
          <w:szCs w:val="20"/>
          <w:color w:val="auto"/>
        </w:rPr>
      </w:pPr>
    </w:p>
    <w:p>
      <w:pPr>
        <w:ind w:left="40"/>
        <w:spacing w:after="0"/>
        <w:rPr>
          <w:sz w:val="20"/>
          <w:szCs w:val="20"/>
          <w:color w:val="auto"/>
        </w:rPr>
      </w:pPr>
      <w:r>
        <w:rPr>
          <w:rFonts w:ascii="Arial" w:cs="Arial" w:eastAsia="Arial" w:hAnsi="Arial"/>
          <w:sz w:val="20"/>
          <w:szCs w:val="20"/>
          <w:color w:val="BF2115"/>
        </w:rPr>
        <w:t>Members</w:t>
      </w:r>
    </w:p>
    <w:p>
      <w:pPr>
        <w:spacing w:after="0" w:line="59" w:lineRule="exact"/>
        <w:rPr>
          <w:sz w:val="20"/>
          <w:szCs w:val="20"/>
          <w:color w:val="auto"/>
        </w:rPr>
      </w:pPr>
    </w:p>
    <w:p>
      <w:pPr>
        <w:ind w:left="40" w:right="200"/>
        <w:spacing w:after="0" w:line="339" w:lineRule="auto"/>
        <w:rPr>
          <w:sz w:val="20"/>
          <w:szCs w:val="20"/>
          <w:color w:val="auto"/>
        </w:rPr>
      </w:pPr>
      <w:r>
        <w:rPr>
          <w:rFonts w:ascii="Arial" w:cs="Arial" w:eastAsia="Arial" w:hAnsi="Arial"/>
          <w:sz w:val="16"/>
          <w:szCs w:val="16"/>
          <w:color w:val="BF2115"/>
        </w:rPr>
        <w:t>William C. Fisher, Chair Maria F. Blase Christopher J. Braun John M. Murabito</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spacing w:after="0" w:line="248" w:lineRule="auto"/>
        <w:rPr>
          <w:sz w:val="20"/>
          <w:szCs w:val="20"/>
          <w:color w:val="auto"/>
        </w:rPr>
      </w:pPr>
      <w:r>
        <w:rPr>
          <w:rFonts w:ascii="Arial" w:cs="Arial" w:eastAsia="Arial" w:hAnsi="Arial"/>
          <w:sz w:val="16"/>
          <w:szCs w:val="16"/>
          <w:color w:val="auto"/>
        </w:rPr>
        <w:t>Each year, the committee appoints the independent registered public accountant to examine our financial statements. It reviews with representatives of the independent registered public accountant the auditing arrangements and scope of the independent registered public accountant's examination of the books, results of those audits, any non-audit services, their fees for all such services and any problems identified by and recommendations of the independent registered public accountant regarding internal controls. Others in regular attendance for part of the Audit Committee meeting typically include: the Board Chair; the CEO; the CFO; the Vice President, General Counsel and Secretary; and the Corporate Controller.</w:t>
      </w:r>
    </w:p>
    <w:p>
      <w:pPr>
        <w:spacing w:after="0" w:line="182" w:lineRule="exact"/>
        <w:rPr>
          <w:sz w:val="20"/>
          <w:szCs w:val="20"/>
          <w:color w:val="auto"/>
        </w:rPr>
      </w:pPr>
    </w:p>
    <w:p>
      <w:pPr>
        <w:spacing w:after="0" w:line="249" w:lineRule="auto"/>
        <w:rPr>
          <w:sz w:val="20"/>
          <w:szCs w:val="20"/>
          <w:color w:val="auto"/>
        </w:rPr>
      </w:pPr>
      <w:r>
        <w:rPr>
          <w:rFonts w:ascii="Arial" w:cs="Arial" w:eastAsia="Arial" w:hAnsi="Arial"/>
          <w:sz w:val="16"/>
          <w:szCs w:val="16"/>
          <w:color w:val="auto"/>
        </w:rPr>
        <w:t>The Audit Committee meets at least annually with the CFO, the internal auditors and the independent auditors in separate executive sessions. The Audit Committee is also prepared to meet privately at any time at the request of the independent registered public accountant or members of our Management to review any special situation arising on any of the above subjects. The Audit Committee also performs other duties as set forth in its written charter which is available for review on the Corporate Governance portion of the Investor Relations section of our Web Site at http://www.winnebagoind.com. The Audit Committee annually reviews its written charter and recommends to the Board such changes as it deems necessary.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-1674495</wp:posOffset>
            </wp:positionH>
            <wp:positionV relativeFrom="paragraph">
              <wp:posOffset>351790</wp:posOffset>
            </wp:positionV>
            <wp:extent cx="7212330" cy="222123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12330" cy="22212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ind w:right="120"/>
        <w:spacing w:after="0" w:line="248" w:lineRule="auto"/>
        <w:rPr>
          <w:sz w:val="20"/>
          <w:szCs w:val="20"/>
          <w:color w:val="auto"/>
        </w:rPr>
      </w:pPr>
      <w:r>
        <w:rPr>
          <w:rFonts w:ascii="Arial" w:cs="Arial" w:eastAsia="Arial" w:hAnsi="Arial"/>
          <w:sz w:val="16"/>
          <w:szCs w:val="16"/>
          <w:color w:val="auto"/>
        </w:rPr>
        <w:t>The Nominating and Governance Committee's charter, which is available for review on the Corporate Governance portion of the Investor Relations section of our Web Site at http://www.winnebagoind.com, establishes the scope of the committee's duties to include: (1) adopting policies and procedures for identifying and evaluating director nominees, including nominees recommended by shareholders; (2) identifying and evaluating individuals qualified to become Board members, considering director candidates recommended by shareholders and recommending that the Board select the director nominees for the next annual meeting of shareholders; (3) establishing a process by which shareholders and other interested parties are able to communicate with members of the Board; (4) developing and recommending to the Board a Corporate Governance Policy applicable to the Company; and (5) reviewing and approving Related Person Transactions (as defined below).</w:t>
      </w:r>
    </w:p>
    <w:p>
      <w:pPr>
        <w:spacing w:after="0" w:line="180" w:lineRule="exact"/>
        <w:rPr>
          <w:sz w:val="20"/>
          <w:szCs w:val="20"/>
          <w:color w:val="auto"/>
        </w:rPr>
      </w:pPr>
    </w:p>
    <w:p>
      <w:pPr>
        <w:ind w:right="80"/>
        <w:spacing w:after="0" w:line="249" w:lineRule="auto"/>
        <w:rPr>
          <w:sz w:val="20"/>
          <w:szCs w:val="20"/>
          <w:color w:val="auto"/>
        </w:rPr>
      </w:pPr>
      <w:r>
        <w:rPr>
          <w:rFonts w:ascii="Arial" w:cs="Arial" w:eastAsia="Arial" w:hAnsi="Arial"/>
          <w:sz w:val="16"/>
          <w:szCs w:val="16"/>
          <w:color w:val="auto"/>
        </w:rPr>
        <w:t>The committee recommended to the Board the director-nominees proposed in this Proxy Statement for election by the shareholders. The Nominating and Governance Committee reviews the qualifications of, and recommends to the Board, candidates to fill Board vacancies as they may occur during the year. The Nominating and Governance Committee will consider suggestions from all sources, including shareholders, regarding possible candidates for director. See also "Fiscal Year 2019 Shareholder Proposals" for a summary of the procedures that shareholders should follow to nominate a 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-1674495</wp:posOffset>
            </wp:positionH>
            <wp:positionV relativeFrom="paragraph">
              <wp:posOffset>231775</wp:posOffset>
            </wp:positionV>
            <wp:extent cx="7212330" cy="192976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12330" cy="192976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1940" w:space="720"/>
            <w:col w:w="8680"/>
          </w:cols>
          <w:pgMar w:left="280" w:top="303" w:right="279" w:bottom="1440" w:gutter="0" w:footer="0" w:header="0"/>
          <w:type w:val="continuous"/>
        </w:sectPr>
      </w:pPr>
    </w:p>
    <w:p>
      <w:pPr>
        <w:spacing w:after="0" w:line="200" w:lineRule="exact"/>
        <w:rPr>
          <w:sz w:val="20"/>
          <w:szCs w:val="20"/>
          <w:color w:val="auto"/>
        </w:rPr>
      </w:pPr>
    </w:p>
    <w:p>
      <w:pPr>
        <w:spacing w:after="0" w:line="224" w:lineRule="exact"/>
        <w:rPr>
          <w:sz w:val="20"/>
          <w:szCs w:val="20"/>
          <w:color w:val="auto"/>
        </w:rPr>
      </w:pPr>
    </w:p>
    <w:p>
      <w:pPr>
        <w:ind w:left="40"/>
        <w:spacing w:after="0"/>
        <w:rPr>
          <w:sz w:val="20"/>
          <w:szCs w:val="20"/>
          <w:color w:val="auto"/>
        </w:rPr>
      </w:pPr>
      <w:r>
        <w:rPr>
          <w:rFonts w:ascii="Arial" w:cs="Arial" w:eastAsia="Arial" w:hAnsi="Arial"/>
          <w:sz w:val="25"/>
          <w:szCs w:val="25"/>
          <w:color w:val="828282"/>
        </w:rPr>
        <w:t>Finance Committee</w:t>
      </w:r>
    </w:p>
    <w:p>
      <w:pPr>
        <w:spacing w:after="0" w:line="356" w:lineRule="exact"/>
        <w:rPr>
          <w:sz w:val="20"/>
          <w:szCs w:val="20"/>
          <w:color w:val="auto"/>
        </w:rPr>
      </w:pPr>
    </w:p>
    <w:p>
      <w:pPr>
        <w:ind w:left="40"/>
        <w:spacing w:after="0"/>
        <w:rPr>
          <w:sz w:val="20"/>
          <w:szCs w:val="20"/>
          <w:color w:val="auto"/>
        </w:rPr>
      </w:pPr>
      <w:r>
        <w:rPr>
          <w:rFonts w:ascii="Arial" w:cs="Arial" w:eastAsia="Arial" w:hAnsi="Arial"/>
          <w:sz w:val="20"/>
          <w:szCs w:val="20"/>
          <w:color w:val="BF2115"/>
        </w:rPr>
        <w:t>Members</w:t>
      </w:r>
    </w:p>
    <w:p>
      <w:pPr>
        <w:spacing w:after="0" w:line="46" w:lineRule="exact"/>
        <w:rPr>
          <w:sz w:val="20"/>
          <w:szCs w:val="20"/>
          <w:color w:val="auto"/>
        </w:rPr>
      </w:pPr>
    </w:p>
    <w:p>
      <w:pPr>
        <w:ind w:left="40" w:right="640"/>
        <w:spacing w:after="0" w:line="321" w:lineRule="auto"/>
        <w:rPr>
          <w:sz w:val="20"/>
          <w:szCs w:val="20"/>
          <w:color w:val="auto"/>
        </w:rPr>
      </w:pPr>
      <w:r>
        <w:rPr>
          <w:rFonts w:ascii="Arial" w:cs="Arial" w:eastAsia="Arial" w:hAnsi="Arial"/>
          <w:sz w:val="16"/>
          <w:szCs w:val="16"/>
          <w:color w:val="BF2115"/>
        </w:rPr>
        <w:t>David W. Miles, Chair Robert M. Chiusano Richard D. Moss Martha T. Rodamaker</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ind w:right="120"/>
        <w:spacing w:after="0" w:line="276" w:lineRule="auto"/>
        <w:rPr>
          <w:sz w:val="20"/>
          <w:szCs w:val="20"/>
          <w:color w:val="auto"/>
        </w:rPr>
      </w:pPr>
      <w:r>
        <w:rPr>
          <w:rFonts w:ascii="Arial" w:cs="Arial" w:eastAsia="Arial" w:hAnsi="Arial"/>
          <w:sz w:val="17"/>
          <w:szCs w:val="17"/>
          <w:color w:val="auto"/>
        </w:rPr>
        <w:t>The Finance Committee's charter, which is available for review on the Corporate Governance portion of the Investor Relations section of our Web Site at http://www.winnebagoind.com, establishes the scope of the committee's duties to include: recommending to the Board financial policies, goals, and budgets that support the financial health, strategic goals, mission, and values of the Company, including the long-range financial plan of the Company, and annual capital budgets; evaluating major capital expenditures and financial transactions.</w:t>
      </w:r>
    </w:p>
    <w:p>
      <w:pPr>
        <w:spacing w:after="0" w:line="173"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The Finance Committee has oversight in the following specific areas: strategic transactions, capitalization and debt and equity offerings, capital expenditure plans, financial review of business plans, rating agencies and investor relations, dividends, share repurchase authorizations, investment policy, debt management, tax strategies, and financial risk management.</w:t>
      </w:r>
    </w:p>
    <w:p>
      <w:pPr>
        <w:spacing w:after="0" w:line="200" w:lineRule="exact"/>
        <w:rPr>
          <w:sz w:val="20"/>
          <w:szCs w:val="20"/>
          <w:color w:val="auto"/>
        </w:rPr>
      </w:pPr>
    </w:p>
    <w:p>
      <w:pPr>
        <w:sectPr>
          <w:pgSz w:w="11900" w:h="16838" w:orient="portrait"/>
          <w:cols w:equalWidth="0" w:num="2">
            <w:col w:w="2240" w:space="420"/>
            <w:col w:w="8680"/>
          </w:cols>
          <w:pgMar w:left="280" w:top="303" w:right="279" w:bottom="1440" w:gutter="0" w:footer="0" w:header="0"/>
          <w:type w:val="continuous"/>
        </w:sect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w:t>
      </w:r>
    </w:p>
    <w:p>
      <w:pPr>
        <w:sectPr>
          <w:pgSz w:w="11900" w:h="16838" w:orient="portrait"/>
          <w:cols w:equalWidth="0" w:num="1">
            <w:col w:w="11340"/>
          </w:cols>
          <w:pgMar w:left="280" w:top="303" w:right="279" w:bottom="1440" w:gutter="0" w:footer="0" w:header="0"/>
          <w:type w:val="continuous"/>
        </w:sectPr>
      </w:pPr>
    </w:p>
    <w:bookmarkStart w:id="9" w:name="page10"/>
    <w:bookmarkEnd w:id="9"/>
    <w:p>
      <w:pPr>
        <w:ind w:left="40"/>
        <w:spacing w:after="0"/>
        <w:rPr>
          <w:rFonts w:ascii="Arial" w:cs="Arial" w:eastAsia="Arial" w:hAnsi="Arial"/>
          <w:sz w:val="15"/>
          <w:szCs w:val="15"/>
          <w:u w:val="single" w:color="auto"/>
          <w:color w:val="0000EE"/>
        </w:rPr>
      </w:pPr>
      <w:r>
        <w:rPr>
          <w:rFonts w:ascii="Arial" w:cs="Arial" w:eastAsia="Arial" w:hAnsi="Arial"/>
          <w:sz w:val="15"/>
          <w:szCs w:val="15"/>
          <w:u w:val="single" w:color="auto"/>
          <w:color w:val="0000EE"/>
        </w:rPr>
        <w:drawing>
          <wp:anchor simplePos="0" relativeHeight="251657728" behindDoc="1" locked="0" layoutInCell="0" allowOverlap="1">
            <wp:simplePos x="0" y="0"/>
            <wp:positionH relativeFrom="page">
              <wp:posOffset>5946140</wp:posOffset>
            </wp:positionH>
            <wp:positionV relativeFrom="page">
              <wp:posOffset>191770</wp:posOffset>
            </wp:positionV>
            <wp:extent cx="1440815" cy="20574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clrChange>
                        <a:clrFrom>
                          <a:srgbClr val="FFFFFF"/>
                        </a:clrFrom>
                        <a:clrTo>
                          <a:srgbClr val="FFFFFF">
                            <a:alpha val="0"/>
                          </a:srgbClr>
                        </a:clrTo>
                      </a:clrChange>
                      <a:extLst>
                        <a:ext uri="{28A0092B-C50C-407E-A947-70E740481C1C}"/>
                      </a:extLst>
                    </a:blip>
                    <a:srcRect/>
                    <a:stretch>
                      <a:fillRect/>
                    </a:stretch>
                  </pic:blipFill>
                  <pic:spPr bwMode="auto">
                    <a:xfrm>
                      <a:off x="0" y="0"/>
                      <a:ext cx="1440815" cy="205740"/>
                    </a:xfrm>
                    <a:prstGeom prst="rect">
                      <a:avLst/>
                    </a:prstGeom>
                    <a:noFill/>
                  </pic:spPr>
                </pic:pic>
              </a:graphicData>
            </a:graphic>
          </wp:anchor>
        </w:drawing>
      </w:r>
      <w:hyperlink w:anchor="page4">
        <w:r>
          <w:rPr>
            <w:rFonts w:ascii="Arial" w:cs="Arial" w:eastAsia="Arial" w:hAnsi="Arial"/>
            <w:sz w:val="15"/>
            <w:szCs w:val="15"/>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112395</wp:posOffset>
            </wp:positionV>
            <wp:extent cx="7246620" cy="439928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46620" cy="4399280"/>
                    </a:xfrm>
                    <a:prstGeom prst="rect">
                      <a:avLst/>
                    </a:prstGeom>
                    <a:noFill/>
                  </pic:spPr>
                </pic:pic>
              </a:graphicData>
            </a:graphic>
          </wp:anchor>
        </w:drawing>
      </w:r>
    </w:p>
    <w:p>
      <w:pPr>
        <w:sectPr>
          <w:pgSz w:w="11900" w:h="16838" w:orient="portrait"/>
          <w:cols w:equalWidth="0" w:num="1">
            <w:col w:w="11420"/>
          </w:cols>
          <w:pgMar w:left="240" w:top="303"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ind w:left="80"/>
        <w:spacing w:after="0" w:line="261" w:lineRule="auto"/>
        <w:rPr>
          <w:sz w:val="20"/>
          <w:szCs w:val="20"/>
          <w:color w:val="auto"/>
        </w:rPr>
      </w:pPr>
      <w:r>
        <w:rPr>
          <w:rFonts w:ascii="Arial" w:cs="Arial" w:eastAsia="Arial" w:hAnsi="Arial"/>
          <w:sz w:val="25"/>
          <w:szCs w:val="25"/>
          <w:color w:val="828282"/>
        </w:rPr>
        <w:t>Human Resources Committee</w:t>
      </w:r>
    </w:p>
    <w:p>
      <w:pPr>
        <w:spacing w:after="0" w:line="18" w:lineRule="exact"/>
        <w:rPr>
          <w:sz w:val="20"/>
          <w:szCs w:val="20"/>
          <w:color w:val="auto"/>
        </w:rPr>
      </w:pPr>
    </w:p>
    <w:p>
      <w:pPr>
        <w:ind w:left="80"/>
        <w:spacing w:after="0"/>
        <w:rPr>
          <w:sz w:val="20"/>
          <w:szCs w:val="20"/>
          <w:color w:val="auto"/>
        </w:rPr>
      </w:pPr>
      <w:r>
        <w:rPr>
          <w:rFonts w:ascii="Arial" w:cs="Arial" w:eastAsia="Arial" w:hAnsi="Arial"/>
          <w:sz w:val="20"/>
          <w:szCs w:val="20"/>
          <w:color w:val="BF2115"/>
        </w:rPr>
        <w:t>Members</w:t>
      </w:r>
    </w:p>
    <w:p>
      <w:pPr>
        <w:spacing w:after="0" w:line="46" w:lineRule="exact"/>
        <w:rPr>
          <w:sz w:val="20"/>
          <w:szCs w:val="20"/>
          <w:color w:val="auto"/>
        </w:rPr>
      </w:pPr>
    </w:p>
    <w:p>
      <w:pPr>
        <w:ind w:left="80"/>
        <w:spacing w:after="0"/>
        <w:rPr>
          <w:sz w:val="20"/>
          <w:szCs w:val="20"/>
          <w:color w:val="auto"/>
        </w:rPr>
      </w:pPr>
      <w:r>
        <w:rPr>
          <w:rFonts w:ascii="Arial" w:cs="Arial" w:eastAsia="Arial" w:hAnsi="Arial"/>
          <w:sz w:val="16"/>
          <w:szCs w:val="16"/>
          <w:color w:val="BF2115"/>
        </w:rPr>
        <w:t>John Murabito, Chair</w:t>
      </w:r>
    </w:p>
    <w:p>
      <w:pPr>
        <w:spacing w:after="0" w:line="59" w:lineRule="exact"/>
        <w:rPr>
          <w:sz w:val="20"/>
          <w:szCs w:val="20"/>
          <w:color w:val="auto"/>
        </w:rPr>
      </w:pPr>
    </w:p>
    <w:p>
      <w:pPr>
        <w:ind w:left="80"/>
        <w:spacing w:after="0"/>
        <w:rPr>
          <w:sz w:val="20"/>
          <w:szCs w:val="20"/>
          <w:color w:val="auto"/>
        </w:rPr>
      </w:pPr>
      <w:r>
        <w:rPr>
          <w:rFonts w:ascii="Arial" w:cs="Arial" w:eastAsia="Arial" w:hAnsi="Arial"/>
          <w:sz w:val="16"/>
          <w:szCs w:val="16"/>
          <w:color w:val="BF2115"/>
        </w:rPr>
        <w:t>Christopher J. Braun</w:t>
      </w:r>
    </w:p>
    <w:p>
      <w:pPr>
        <w:spacing w:after="0" w:line="59" w:lineRule="exact"/>
        <w:rPr>
          <w:sz w:val="20"/>
          <w:szCs w:val="20"/>
          <w:color w:val="auto"/>
        </w:rPr>
      </w:pPr>
    </w:p>
    <w:p>
      <w:pPr>
        <w:ind w:left="80"/>
        <w:spacing w:after="0"/>
        <w:rPr>
          <w:sz w:val="20"/>
          <w:szCs w:val="20"/>
          <w:color w:val="auto"/>
        </w:rPr>
      </w:pPr>
      <w:r>
        <w:rPr>
          <w:rFonts w:ascii="Arial" w:cs="Arial" w:eastAsia="Arial" w:hAnsi="Arial"/>
          <w:sz w:val="16"/>
          <w:szCs w:val="16"/>
          <w:color w:val="BF2115"/>
        </w:rPr>
        <w:t>Robert M. Chiusano</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ind w:right="40"/>
        <w:spacing w:after="0" w:line="246" w:lineRule="auto"/>
        <w:rPr>
          <w:sz w:val="20"/>
          <w:szCs w:val="20"/>
          <w:color w:val="auto"/>
        </w:rPr>
      </w:pPr>
      <w:r>
        <w:rPr>
          <w:rFonts w:ascii="Arial" w:cs="Arial" w:eastAsia="Arial" w:hAnsi="Arial"/>
          <w:sz w:val="16"/>
          <w:szCs w:val="16"/>
          <w:color w:val="auto"/>
        </w:rPr>
        <w:t>The Human Resources Committee's charter, which is available for review on the Corporate Governance portion of the Investor Relations section of our Web Site at http://www.winnebagoind.com, establishes the scope of the committee's duties to include: (1) reviewing and approving corporate goals and objectives relevant to compensation of our CEO, evaluating performance and compensation of our CEO in light of such goals and objectives and establishing compensation levels for other executive officers; (2) overseeing the evaluation of our executive officers (other than the CEO) and approving the general compensation program and salary structure of such executive officers; (3) administering and approving awards under our incentive compensation and equity-based plan; (4) reviewing and approving all executive officer compensation, including any executive employment agreements, severance agreements, and change in control agreements; (5) from time to time, reviewing the list of peer group companies used for compensation purposes;</w:t>
      </w:r>
    </w:p>
    <w:p>
      <w:pPr>
        <w:spacing w:after="0" w:line="4" w:lineRule="exact"/>
        <w:rPr>
          <w:sz w:val="20"/>
          <w:szCs w:val="20"/>
          <w:color w:val="auto"/>
        </w:rPr>
      </w:pPr>
    </w:p>
    <w:p>
      <w:pPr>
        <w:ind w:right="60" w:firstLine="9"/>
        <w:spacing w:after="0" w:line="250" w:lineRule="auto"/>
        <w:tabs>
          <w:tab w:leader="none" w:pos="243" w:val="left"/>
        </w:tabs>
        <w:numPr>
          <w:ilvl w:val="0"/>
          <w:numId w:val="10"/>
        </w:numPr>
        <w:rPr>
          <w:rFonts w:ascii="Arial" w:cs="Arial" w:eastAsia="Arial" w:hAnsi="Arial"/>
          <w:sz w:val="16"/>
          <w:szCs w:val="16"/>
          <w:color w:val="auto"/>
        </w:rPr>
      </w:pPr>
      <w:r>
        <w:rPr>
          <w:rFonts w:ascii="Arial" w:cs="Arial" w:eastAsia="Arial" w:hAnsi="Arial"/>
          <w:sz w:val="16"/>
          <w:szCs w:val="16"/>
          <w:color w:val="auto"/>
        </w:rPr>
        <w:t>reviewing and approving Board retainer fees, attendance fees, and other compensation, if any, to be paid to non-employee directors; (7) reviewing and discussing with Management the Compensation Discussion and Analysis section and certain other disclosures, including those relating to compensation advisors, compensation risk and the "say on pay" vote, as applicable for our Form 10-K and proxy statement; and (8) preparing the committee's annual report on executive compensation for our Form 10-K and proxy statement.</w:t>
      </w:r>
    </w:p>
    <w:p>
      <w:pPr>
        <w:spacing w:after="0" w:line="176" w:lineRule="exact"/>
        <w:rPr>
          <w:sz w:val="20"/>
          <w:szCs w:val="20"/>
          <w:color w:val="auto"/>
        </w:rPr>
      </w:pPr>
    </w:p>
    <w:p>
      <w:pPr>
        <w:ind w:right="200"/>
        <w:spacing w:after="0" w:line="248" w:lineRule="auto"/>
        <w:rPr>
          <w:sz w:val="20"/>
          <w:szCs w:val="20"/>
          <w:color w:val="auto"/>
        </w:rPr>
      </w:pPr>
      <w:r>
        <w:rPr>
          <w:rFonts w:ascii="Arial" w:cs="Arial" w:eastAsia="Arial" w:hAnsi="Arial"/>
          <w:sz w:val="16"/>
          <w:szCs w:val="16"/>
          <w:color w:val="auto"/>
        </w:rPr>
        <w:t>Role of Executive Officers — In Fiscal 2018, the Human Resources Committee delegated authority to designated members of Management to approve employment compensation packages for certain employees, not including the Named Executive Officers (NEOs) (as defined below), under certain circumstances. During Fiscal 2018, Mr. Happe as CEO, recommended to the committee proposals for base salary, target short-term incentive levels, actual short-term incentive payouts and long-term incentive grants for select NEOs for Fiscal 2019. The committee separately considers, discusses, modifies as appropriate, and takes action on such proposals and determines the compensation of the CEO and other NEOs. See “Compensation Discussion and Analysis-Role of Executive Officers in Compensation Decisions” below for further detail.</w:t>
      </w:r>
    </w:p>
    <w:p>
      <w:pPr>
        <w:spacing w:after="0" w:line="181" w:lineRule="exact"/>
        <w:rPr>
          <w:sz w:val="20"/>
          <w:szCs w:val="20"/>
          <w:color w:val="auto"/>
        </w:rPr>
      </w:pPr>
    </w:p>
    <w:p>
      <w:pPr>
        <w:ind w:right="300"/>
        <w:spacing w:after="0" w:line="250" w:lineRule="auto"/>
        <w:rPr>
          <w:sz w:val="20"/>
          <w:szCs w:val="20"/>
          <w:color w:val="auto"/>
        </w:rPr>
      </w:pPr>
      <w:r>
        <w:rPr>
          <w:rFonts w:ascii="Arial" w:cs="Arial" w:eastAsia="Arial" w:hAnsi="Arial"/>
          <w:sz w:val="16"/>
          <w:szCs w:val="16"/>
          <w:color w:val="auto"/>
        </w:rPr>
        <w:t>Role of Compensation Consultants — The Human Resources Committee has periodically utilized an outside compensation consultant for matters relating to executive compensation. In Fiscal 2018, the committee retained Willis Towers Watson through March 2018 and Semler Brossy Consulting Group LLC ("Semler Brossy") beginning in April 2018, to advise on certain executive compensation-related matters, as described further in the "Compensation Discussion and Analysis" Section.</w:t>
      </w:r>
    </w:p>
    <w:p>
      <w:pPr>
        <w:spacing w:after="0" w:line="200" w:lineRule="exact"/>
        <w:rPr>
          <w:sz w:val="20"/>
          <w:szCs w:val="20"/>
          <w:color w:val="auto"/>
        </w:rPr>
      </w:pPr>
    </w:p>
    <w:p>
      <w:pPr>
        <w:sectPr>
          <w:pgSz w:w="11900" w:h="16838" w:orient="portrait"/>
          <w:cols w:equalWidth="0" w:num="2">
            <w:col w:w="2180" w:space="520"/>
            <w:col w:w="8720"/>
          </w:cols>
          <w:pgMar w:left="240" w:top="303" w:right="2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ind w:right="80"/>
        <w:spacing w:after="0" w:line="251" w:lineRule="auto"/>
        <w:rPr>
          <w:sz w:val="20"/>
          <w:szCs w:val="20"/>
          <w:color w:val="auto"/>
        </w:rPr>
      </w:pPr>
      <w:r>
        <w:rPr>
          <w:rFonts w:ascii="Arial" w:cs="Arial" w:eastAsia="Arial" w:hAnsi="Arial"/>
          <w:sz w:val="16"/>
          <w:szCs w:val="16"/>
          <w:color w:val="auto"/>
        </w:rPr>
        <w:t>Our Board of Directors held six meetings during Fiscal 2018. Actions taken by any committee of the Board are reported generally to the Board of Directors at its next meeting. During Fiscal 2018, all of the directors attended more than 75% of the aggregate of Board of Directors' meetings and meetings of committees of the Board on which they served. Our Corporate Governance Policy, discussed below, encourages, but does not require, Board members to attend annual meetings of shareholders. At the last annual meeting of shareholders, all of the then-current directors were in attendance.</w:t>
      </w:r>
    </w:p>
    <w:p>
      <w:pPr>
        <w:spacing w:after="0" w:line="156" w:lineRule="exact"/>
        <w:rPr>
          <w:sz w:val="20"/>
          <w:szCs w:val="20"/>
          <w:color w:val="auto"/>
        </w:rPr>
      </w:pPr>
    </w:p>
    <w:p>
      <w:pPr>
        <w:ind w:right="480"/>
        <w:spacing w:after="0" w:line="266" w:lineRule="auto"/>
        <w:rPr>
          <w:sz w:val="20"/>
          <w:szCs w:val="20"/>
          <w:color w:val="auto"/>
        </w:rPr>
      </w:pPr>
      <w:r>
        <w:rPr>
          <w:rFonts w:ascii="Arial" w:cs="Arial" w:eastAsia="Arial" w:hAnsi="Arial"/>
          <w:sz w:val="16"/>
          <w:szCs w:val="16"/>
          <w:i w:val="1"/>
          <w:iCs w:val="1"/>
          <w:color w:val="auto"/>
        </w:rPr>
        <w:t xml:space="preserve">Executive Sessions of Non-Employee Directors </w:t>
      </w:r>
      <w:r>
        <w:rPr>
          <w:rFonts w:ascii="Arial" w:cs="Arial" w:eastAsia="Arial" w:hAnsi="Arial"/>
          <w:sz w:val="16"/>
          <w:szCs w:val="16"/>
          <w:b w:val="1"/>
          <w:bCs w:val="1"/>
          <w:i w:val="1"/>
          <w:iCs w:val="1"/>
          <w:color w:val="auto"/>
        </w:rPr>
        <w:t>—</w:t>
      </w:r>
      <w:r>
        <w:rPr>
          <w:rFonts w:ascii="Arial" w:cs="Arial" w:eastAsia="Arial" w:hAnsi="Arial"/>
          <w:sz w:val="16"/>
          <w:szCs w:val="16"/>
          <w:i w:val="1"/>
          <w:iCs w:val="1"/>
          <w:color w:val="auto"/>
        </w:rPr>
        <w:t xml:space="preserve"> </w:t>
      </w:r>
      <w:r>
        <w:rPr>
          <w:rFonts w:ascii="Arial" w:cs="Arial" w:eastAsia="Arial" w:hAnsi="Arial"/>
          <w:sz w:val="16"/>
          <w:szCs w:val="16"/>
          <w:color w:val="auto"/>
        </w:rPr>
        <w:t>Independent directors meet privately in executive sessions to consider such matters as they deem</w:t>
      </w:r>
      <w:r>
        <w:rPr>
          <w:rFonts w:ascii="Arial" w:cs="Arial" w:eastAsia="Arial" w:hAnsi="Arial"/>
          <w:sz w:val="16"/>
          <w:szCs w:val="16"/>
          <w:i w:val="1"/>
          <w:iCs w:val="1"/>
          <w:color w:val="auto"/>
        </w:rPr>
        <w:t xml:space="preserve"> </w:t>
      </w:r>
      <w:r>
        <w:rPr>
          <w:rFonts w:ascii="Arial" w:cs="Arial" w:eastAsia="Arial" w:hAnsi="Arial"/>
          <w:sz w:val="16"/>
          <w:szCs w:val="16"/>
          <w:color w:val="auto"/>
        </w:rPr>
        <w:t>appropriate, without Management being present, as a routinely scheduled agenda item for every Board meeting and at least once a year. pursuant to the requirements of the NYSE. During Fiscal 2018, all non-employee directors were independent.</w:t>
      </w:r>
    </w:p>
    <w:p>
      <w:pPr>
        <w:sectPr>
          <w:pgSz w:w="11900" w:h="16838" w:orient="portrait"/>
          <w:cols w:equalWidth="0" w:num="1">
            <w:col w:w="11420"/>
          </w:cols>
          <w:pgMar w:left="240" w:top="303" w:right="239" w:bottom="1440" w:gutter="0" w:footer="0" w:header="0"/>
          <w:type w:val="continuous"/>
        </w:sectPr>
      </w:pPr>
    </w:p>
    <w:p>
      <w:pPr>
        <w:spacing w:after="0" w:line="170" w:lineRule="exact"/>
        <w:rPr>
          <w:sz w:val="20"/>
          <w:szCs w:val="20"/>
          <w:color w:val="auto"/>
        </w:rPr>
      </w:pPr>
    </w:p>
    <w:p>
      <w:pPr>
        <w:spacing w:after="0"/>
        <w:rPr>
          <w:sz w:val="20"/>
          <w:szCs w:val="20"/>
          <w:color w:val="auto"/>
        </w:rPr>
      </w:pPr>
      <w:r>
        <w:rPr>
          <w:rFonts w:ascii="Arial" w:cs="Arial" w:eastAsia="Arial" w:hAnsi="Arial"/>
          <w:sz w:val="22"/>
          <w:szCs w:val="22"/>
          <w:color w:val="828282"/>
        </w:rPr>
        <w:t>Procedures With Respect to Nominations of Directors</w:t>
      </w:r>
    </w:p>
    <w:p>
      <w:pPr>
        <w:spacing w:after="0" w:line="188" w:lineRule="exact"/>
        <w:rPr>
          <w:sz w:val="20"/>
          <w:szCs w:val="20"/>
          <w:color w:val="auto"/>
        </w:rPr>
      </w:pPr>
    </w:p>
    <w:p>
      <w:pPr>
        <w:spacing w:after="0" w:line="248" w:lineRule="auto"/>
        <w:rPr>
          <w:sz w:val="20"/>
          <w:szCs w:val="20"/>
          <w:color w:val="auto"/>
        </w:rPr>
      </w:pPr>
      <w:r>
        <w:rPr>
          <w:rFonts w:ascii="Arial" w:cs="Arial" w:eastAsia="Arial" w:hAnsi="Arial"/>
          <w:sz w:val="16"/>
          <w:szCs w:val="16"/>
          <w:color w:val="auto"/>
        </w:rPr>
        <w:t>The Nominating and Governance Committee will consider as a candidate any director who has indicated to the Nominating and Governance Committee that he or she is willing to stand for re-election, and who has not reached the age of 72 years prior to the date of re-election to the Board, as well as any other person who is appropriately recommended by any shareholder. The Nominating and Governance Committee may also undertake its own search process for candidates and may retain the services of professional search firms or other third parties to assist in identifying and evaluating potential nominees.</w:t>
      </w:r>
    </w:p>
    <w:p>
      <w:pPr>
        <w:spacing w:after="0" w:line="180" w:lineRule="exact"/>
        <w:rPr>
          <w:sz w:val="20"/>
          <w:szCs w:val="20"/>
          <w:color w:val="auto"/>
        </w:rPr>
      </w:pPr>
    </w:p>
    <w:p>
      <w:pPr>
        <w:jc w:val="both"/>
        <w:ind w:right="380"/>
        <w:spacing w:after="0" w:line="253" w:lineRule="auto"/>
        <w:rPr>
          <w:sz w:val="20"/>
          <w:szCs w:val="20"/>
          <w:color w:val="auto"/>
        </w:rPr>
      </w:pPr>
      <w:r>
        <w:rPr>
          <w:rFonts w:ascii="Arial" w:cs="Arial" w:eastAsia="Arial" w:hAnsi="Arial"/>
          <w:sz w:val="16"/>
          <w:szCs w:val="16"/>
          <w:color w:val="auto"/>
        </w:rPr>
        <w:t>In considering a potential nominee for the Board, candidates also will be assessed in the context of the then-current composition of the Board, the operating requirements of the</w:t>
      </w:r>
    </w:p>
    <w:p>
      <w:pPr>
        <w:spacing w:after="0" w:line="20" w:lineRule="exact"/>
        <w:rPr>
          <w:sz w:val="20"/>
          <w:szCs w:val="20"/>
          <w:color w:val="auto"/>
        </w:rPr>
      </w:pPr>
      <w:r>
        <w:rPr>
          <w:sz w:val="20"/>
          <w:szCs w:val="20"/>
          <w:color w:val="auto"/>
        </w:rPr>
        <w:br w:type="column"/>
      </w:r>
    </w:p>
    <w:p>
      <w:pPr>
        <w:spacing w:after="0" w:line="145" w:lineRule="exact"/>
        <w:rPr>
          <w:sz w:val="20"/>
          <w:szCs w:val="20"/>
          <w:color w:val="auto"/>
        </w:rPr>
      </w:pPr>
    </w:p>
    <w:p>
      <w:pPr>
        <w:ind w:left="160"/>
        <w:spacing w:after="0" w:line="247" w:lineRule="auto"/>
        <w:rPr>
          <w:sz w:val="20"/>
          <w:szCs w:val="20"/>
          <w:color w:val="auto"/>
        </w:rPr>
      </w:pPr>
      <w:r>
        <w:rPr>
          <w:rFonts w:ascii="Arial" w:cs="Arial" w:eastAsia="Arial" w:hAnsi="Arial"/>
          <w:sz w:val="16"/>
          <w:szCs w:val="16"/>
          <w:color w:val="auto"/>
        </w:rPr>
        <w:t>Company and the long-term interests of all shareholders. In conducting this assessment, the Nominating and Governance Committee will consider diversity (including, but not limited to, age, experience and skills) and such other factors as it deems appropriate given the then-current and anticipated future needs of the Board and the Company in order to maintain a balance of perspectives, qualifications, qualities and skills on the Board. Although the Nominating and Governance Committee may seek candidates that have different qualities and experiences at different times in order to maximize the aggregate experience, qualities and strengths of the Board members, nominees for each election or appointment of directors will be evaluated using a substantially similar process, without regard to race, religion, gender, national origin or other protected category, and under no circumstances will the Nominating and Governance Committee evaluate nominees recommended by a shareholder of the Company pursuant to a process substantially different than that used for other nominees for the same election or appointment of directors.</w:t>
      </w:r>
    </w:p>
    <w:p>
      <w:pPr>
        <w:spacing w:after="0" w:line="239" w:lineRule="exact"/>
        <w:rPr>
          <w:sz w:val="20"/>
          <w:szCs w:val="20"/>
          <w:color w:val="auto"/>
        </w:rPr>
      </w:pPr>
    </w:p>
    <w:p>
      <w:pPr>
        <w:spacing w:after="0"/>
        <w:rPr>
          <w:sz w:val="20"/>
          <w:szCs w:val="20"/>
          <w:color w:val="auto"/>
        </w:rPr>
      </w:pPr>
      <w:r>
        <w:rPr>
          <w:rFonts w:ascii="Arial" w:cs="Arial" w:eastAsia="Arial" w:hAnsi="Arial"/>
          <w:sz w:val="16"/>
          <w:szCs w:val="16"/>
          <w:color w:val="auto"/>
        </w:rPr>
        <w:t>6</w:t>
      </w:r>
    </w:p>
    <w:p>
      <w:pPr>
        <w:sectPr>
          <w:pgSz w:w="11900" w:h="16838" w:orient="portrait"/>
          <w:cols w:equalWidth="0" w:num="2">
            <w:col w:w="5600" w:space="60"/>
            <w:col w:w="5760"/>
          </w:cols>
          <w:pgMar w:left="240" w:top="303" w:right="239" w:bottom="1440" w:gutter="0" w:footer="0" w:header="0"/>
          <w:type w:val="continuous"/>
        </w:sectPr>
      </w:pPr>
    </w:p>
    <w:bookmarkStart w:id="10" w:name="page11"/>
    <w:bookmarkEnd w:id="10"/>
    <w:p>
      <w:pPr>
        <w:ind w:left="40"/>
        <w:spacing w:after="0"/>
        <w:rPr>
          <w:rFonts w:ascii="Arial" w:cs="Arial" w:eastAsia="Arial" w:hAnsi="Arial"/>
          <w:sz w:val="15"/>
          <w:szCs w:val="15"/>
          <w:u w:val="single" w:color="auto"/>
          <w:color w:val="0000EE"/>
        </w:rPr>
      </w:pPr>
      <w:r>
        <w:rPr>
          <w:rFonts w:ascii="Arial" w:cs="Arial" w:eastAsia="Arial" w:hAnsi="Arial"/>
          <w:sz w:val="15"/>
          <w:szCs w:val="15"/>
          <w:u w:val="single" w:color="auto"/>
          <w:color w:val="0000EE"/>
        </w:rPr>
        <w:drawing>
          <wp:anchor simplePos="0" relativeHeight="251657728" behindDoc="1" locked="0" layoutInCell="0" allowOverlap="1">
            <wp:simplePos x="0" y="0"/>
            <wp:positionH relativeFrom="page">
              <wp:posOffset>5946140</wp:posOffset>
            </wp:positionH>
            <wp:positionV relativeFrom="page">
              <wp:posOffset>191770</wp:posOffset>
            </wp:positionV>
            <wp:extent cx="1440815" cy="20574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clrChange>
                        <a:clrFrom>
                          <a:srgbClr val="FFFFFF"/>
                        </a:clrFrom>
                        <a:clrTo>
                          <a:srgbClr val="FFFFFF">
                            <a:alpha val="0"/>
                          </a:srgbClr>
                        </a:clrTo>
                      </a:clrChange>
                      <a:extLst>
                        <a:ext uri="{28A0092B-C50C-407E-A947-70E740481C1C}"/>
                      </a:extLst>
                    </a:blip>
                    <a:srcRect/>
                    <a:stretch>
                      <a:fillRect/>
                    </a:stretch>
                  </pic:blipFill>
                  <pic:spPr bwMode="auto">
                    <a:xfrm>
                      <a:off x="0" y="0"/>
                      <a:ext cx="1440815" cy="205740"/>
                    </a:xfrm>
                    <a:prstGeom prst="rect">
                      <a:avLst/>
                    </a:prstGeom>
                    <a:noFill/>
                  </pic:spPr>
                </pic:pic>
              </a:graphicData>
            </a:graphic>
          </wp:anchor>
        </w:drawing>
      </w:r>
      <w:hyperlink w:anchor="page4">
        <w:r>
          <w:rPr>
            <w:rFonts w:ascii="Arial" w:cs="Arial" w:eastAsia="Arial" w:hAnsi="Arial"/>
            <w:sz w:val="15"/>
            <w:szCs w:val="15"/>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112395</wp:posOffset>
            </wp:positionV>
            <wp:extent cx="7246620"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303" w:right="239" w:bottom="1440" w:gutter="0" w:footer="0" w:header="0"/>
        </w:sectPr>
      </w:pPr>
    </w:p>
    <w:p>
      <w:pPr>
        <w:spacing w:after="0" w:line="200" w:lineRule="exact"/>
        <w:rPr>
          <w:sz w:val="20"/>
          <w:szCs w:val="20"/>
          <w:color w:val="auto"/>
        </w:rPr>
      </w:pPr>
    </w:p>
    <w:p>
      <w:pPr>
        <w:spacing w:after="0" w:line="235" w:lineRule="exact"/>
        <w:rPr>
          <w:sz w:val="20"/>
          <w:szCs w:val="20"/>
          <w:color w:val="auto"/>
        </w:rPr>
      </w:pPr>
    </w:p>
    <w:p>
      <w:pPr>
        <w:ind w:right="200"/>
        <w:spacing w:after="0" w:line="249" w:lineRule="auto"/>
        <w:rPr>
          <w:sz w:val="20"/>
          <w:szCs w:val="20"/>
          <w:color w:val="auto"/>
        </w:rPr>
      </w:pPr>
      <w:r>
        <w:rPr>
          <w:rFonts w:ascii="Arial" w:cs="Arial" w:eastAsia="Arial" w:hAnsi="Arial"/>
          <w:sz w:val="16"/>
          <w:szCs w:val="16"/>
          <w:color w:val="auto"/>
        </w:rPr>
        <w:t>The Nominating and Governance Committee may also consider such other factors as it may deem are in the best interests of the Company and its shareholders. The Nominating and Governance Committee does, however, believe it appropriate for at least one member of the Board and Audit Committee to meet the criteria as an "audit committee financial expert" as defined by SEC rules.</w:t>
      </w:r>
    </w:p>
    <w:p>
      <w:pPr>
        <w:spacing w:after="0" w:line="178" w:lineRule="exact"/>
        <w:rPr>
          <w:sz w:val="20"/>
          <w:szCs w:val="20"/>
          <w:color w:val="auto"/>
        </w:rPr>
      </w:pPr>
    </w:p>
    <w:p>
      <w:pPr>
        <w:spacing w:after="0" w:line="248" w:lineRule="auto"/>
        <w:rPr>
          <w:sz w:val="20"/>
          <w:szCs w:val="20"/>
          <w:color w:val="auto"/>
        </w:rPr>
      </w:pPr>
      <w:r>
        <w:rPr>
          <w:rFonts w:ascii="Arial" w:cs="Arial" w:eastAsia="Arial" w:hAnsi="Arial"/>
          <w:sz w:val="16"/>
          <w:szCs w:val="16"/>
          <w:color w:val="auto"/>
        </w:rPr>
        <w:t>During a special Board meeting on September 24, 2018, Maria F. Blase was appointed as a Class I member of the Board of Directors, with her initial term expiring at the 2018 Annual Meeting. The Nominating and Governance Committee led the process for selecting the director nominee and recommending the selected nominee to the Board. A third-party search firm, James Drury Partners Ltd., assisted the Nominating and Governance Committee with its recruitment efforts and identified Ms. Blase as a candidate. The search firm recommended candidates that satisfied the Board’s criteria. The search firm also provided research and pertinent information regarding candidates, as the Committee requested.</w:t>
      </w:r>
    </w:p>
    <w:p>
      <w:pPr>
        <w:spacing w:after="0" w:line="251" w:lineRule="exact"/>
        <w:rPr>
          <w:sz w:val="20"/>
          <w:szCs w:val="20"/>
          <w:color w:val="auto"/>
        </w:rPr>
      </w:pPr>
    </w:p>
    <w:p>
      <w:pPr>
        <w:ind w:right="280"/>
        <w:spacing w:after="0" w:line="249" w:lineRule="auto"/>
        <w:rPr>
          <w:sz w:val="20"/>
          <w:szCs w:val="20"/>
          <w:color w:val="auto"/>
        </w:rPr>
      </w:pPr>
      <w:r>
        <w:rPr>
          <w:rFonts w:ascii="Arial" w:cs="Arial" w:eastAsia="Arial" w:hAnsi="Arial"/>
          <w:sz w:val="22"/>
          <w:szCs w:val="22"/>
          <w:color w:val="828282"/>
        </w:rPr>
        <w:t>Policy and Procedures With Respect to Related Person Transactions</w:t>
      </w:r>
    </w:p>
    <w:p>
      <w:pPr>
        <w:spacing w:after="0" w:line="172" w:lineRule="exact"/>
        <w:rPr>
          <w:sz w:val="20"/>
          <w:szCs w:val="20"/>
          <w:color w:val="auto"/>
        </w:rPr>
      </w:pPr>
    </w:p>
    <w:p>
      <w:pPr>
        <w:ind w:right="40"/>
        <w:spacing w:after="0" w:line="248" w:lineRule="auto"/>
        <w:rPr>
          <w:sz w:val="20"/>
          <w:szCs w:val="20"/>
          <w:color w:val="auto"/>
        </w:rPr>
      </w:pPr>
      <w:r>
        <w:rPr>
          <w:rFonts w:ascii="Arial" w:cs="Arial" w:eastAsia="Arial" w:hAnsi="Arial"/>
          <w:sz w:val="16"/>
          <w:szCs w:val="16"/>
          <w:color w:val="auto"/>
        </w:rPr>
        <w:t>The Board of Directors adopted the Winnebago Industries, Inc. Related Person Transaction Policy and Procedures, which provides that the Nominating and Governance Committee will review and approve Related Person Transactions (as defined below); provided that the Human Resources Committee will review and approve the compensation of each employee who is an immediate family member of a director or executive officer and whose compensation exceeds $120,000. The Nominating and Governance Committee has delegated authority to its Chair to act between committee meetings.</w:t>
      </w:r>
    </w:p>
    <w:p>
      <w:pPr>
        <w:spacing w:after="0" w:line="180" w:lineRule="exact"/>
        <w:rPr>
          <w:sz w:val="20"/>
          <w:szCs w:val="20"/>
          <w:color w:val="auto"/>
        </w:rPr>
      </w:pPr>
    </w:p>
    <w:p>
      <w:pPr>
        <w:ind w:right="20"/>
        <w:spacing w:after="0" w:line="249" w:lineRule="auto"/>
        <w:rPr>
          <w:sz w:val="20"/>
          <w:szCs w:val="20"/>
          <w:color w:val="auto"/>
        </w:rPr>
      </w:pPr>
      <w:r>
        <w:rPr>
          <w:rFonts w:ascii="Arial" w:cs="Arial" w:eastAsia="Arial" w:hAnsi="Arial"/>
          <w:sz w:val="16"/>
          <w:szCs w:val="16"/>
          <w:color w:val="auto"/>
        </w:rPr>
        <w:t>The policy defines a “Related Person Transaction” as a transaction, arrangement or relationship (or any series of similar transactions, arrangements or relationships) in which we were, are or will be a participant and the amount involved exceeds $120,000 and in which any Related Person (as defined below) had, has or will have a direct or indirect material interest, other than:</w:t>
      </w:r>
    </w:p>
    <w:p>
      <w:pPr>
        <w:spacing w:after="0" w:line="151" w:lineRule="exact"/>
        <w:rPr>
          <w:sz w:val="20"/>
          <w:szCs w:val="20"/>
          <w:color w:val="auto"/>
        </w:rPr>
      </w:pPr>
    </w:p>
    <w:p>
      <w:pPr>
        <w:ind w:left="340" w:hanging="332"/>
        <w:spacing w:after="0"/>
        <w:tabs>
          <w:tab w:leader="none" w:pos="340" w:val="left"/>
        </w:tabs>
        <w:numPr>
          <w:ilvl w:val="0"/>
          <w:numId w:val="11"/>
        </w:numPr>
        <w:rPr>
          <w:rFonts w:ascii="Arial" w:cs="Arial" w:eastAsia="Arial" w:hAnsi="Arial"/>
          <w:sz w:val="16"/>
          <w:szCs w:val="16"/>
          <w:color w:val="auto"/>
        </w:rPr>
      </w:pPr>
      <w:r>
        <w:rPr>
          <w:rFonts w:ascii="Arial" w:cs="Arial" w:eastAsia="Arial" w:hAnsi="Arial"/>
          <w:sz w:val="16"/>
          <w:szCs w:val="16"/>
          <w:color w:val="auto"/>
        </w:rPr>
        <w:t>competitively bid or regulated public utility services transactions,</w:t>
      </w:r>
    </w:p>
    <w:p>
      <w:pPr>
        <w:spacing w:after="0" w:line="5" w:lineRule="exact"/>
        <w:rPr>
          <w:rFonts w:ascii="Arial" w:cs="Arial" w:eastAsia="Arial" w:hAnsi="Arial"/>
          <w:sz w:val="16"/>
          <w:szCs w:val="16"/>
          <w:color w:val="auto"/>
        </w:rPr>
      </w:pPr>
    </w:p>
    <w:p>
      <w:pPr>
        <w:ind w:left="340" w:hanging="332"/>
        <w:spacing w:after="0"/>
        <w:tabs>
          <w:tab w:leader="none" w:pos="340" w:val="left"/>
        </w:tabs>
        <w:numPr>
          <w:ilvl w:val="0"/>
          <w:numId w:val="11"/>
        </w:numPr>
        <w:rPr>
          <w:rFonts w:ascii="Arial" w:cs="Arial" w:eastAsia="Arial" w:hAnsi="Arial"/>
          <w:sz w:val="16"/>
          <w:szCs w:val="16"/>
          <w:color w:val="auto"/>
        </w:rPr>
      </w:pPr>
      <w:r>
        <w:rPr>
          <w:rFonts w:ascii="Arial" w:cs="Arial" w:eastAsia="Arial" w:hAnsi="Arial"/>
          <w:sz w:val="16"/>
          <w:szCs w:val="16"/>
          <w:color w:val="auto"/>
        </w:rPr>
        <w:t>transactions involving trustee type services,</w:t>
      </w:r>
    </w:p>
    <w:p>
      <w:pPr>
        <w:spacing w:after="0" w:line="5" w:lineRule="exact"/>
        <w:rPr>
          <w:rFonts w:ascii="Arial" w:cs="Arial" w:eastAsia="Arial" w:hAnsi="Arial"/>
          <w:sz w:val="16"/>
          <w:szCs w:val="16"/>
          <w:color w:val="auto"/>
        </w:rPr>
      </w:pPr>
    </w:p>
    <w:p>
      <w:pPr>
        <w:ind w:left="340" w:hanging="332"/>
        <w:spacing w:after="0" w:line="246" w:lineRule="auto"/>
        <w:tabs>
          <w:tab w:leader="none" w:pos="340" w:val="left"/>
        </w:tabs>
        <w:numPr>
          <w:ilvl w:val="0"/>
          <w:numId w:val="11"/>
        </w:numPr>
        <w:rPr>
          <w:rFonts w:ascii="Arial" w:cs="Arial" w:eastAsia="Arial" w:hAnsi="Arial"/>
          <w:sz w:val="16"/>
          <w:szCs w:val="16"/>
          <w:color w:val="auto"/>
        </w:rPr>
      </w:pPr>
      <w:r>
        <w:rPr>
          <w:rFonts w:ascii="Arial" w:cs="Arial" w:eastAsia="Arial" w:hAnsi="Arial"/>
          <w:sz w:val="16"/>
          <w:szCs w:val="16"/>
          <w:color w:val="auto"/>
        </w:rPr>
        <w:t>transactions in which the Related Person's interest arises solely from ownership of our equity securities and all equity security holders received the same benefit on a pro rata basis,</w:t>
      </w:r>
    </w:p>
    <w:p>
      <w:pPr>
        <w:spacing w:after="0" w:line="1" w:lineRule="exact"/>
        <w:rPr>
          <w:rFonts w:ascii="Arial" w:cs="Arial" w:eastAsia="Arial" w:hAnsi="Arial"/>
          <w:sz w:val="16"/>
          <w:szCs w:val="16"/>
          <w:color w:val="auto"/>
        </w:rPr>
      </w:pPr>
    </w:p>
    <w:p>
      <w:pPr>
        <w:ind w:left="340" w:right="120" w:hanging="332"/>
        <w:spacing w:after="0" w:line="246" w:lineRule="auto"/>
        <w:tabs>
          <w:tab w:leader="none" w:pos="340" w:val="left"/>
        </w:tabs>
        <w:numPr>
          <w:ilvl w:val="0"/>
          <w:numId w:val="11"/>
        </w:numPr>
        <w:rPr>
          <w:rFonts w:ascii="Arial" w:cs="Arial" w:eastAsia="Arial" w:hAnsi="Arial"/>
          <w:sz w:val="16"/>
          <w:szCs w:val="16"/>
          <w:color w:val="auto"/>
        </w:rPr>
      </w:pPr>
      <w:r>
        <w:rPr>
          <w:rFonts w:ascii="Arial" w:cs="Arial" w:eastAsia="Arial" w:hAnsi="Arial"/>
          <w:sz w:val="16"/>
          <w:szCs w:val="16"/>
          <w:color w:val="auto"/>
        </w:rPr>
        <w:t>an employment relationship or transaction involving an executive officer and any related compensation solely resulting from that employment relationship or transaction if:</w:t>
      </w:r>
    </w:p>
    <w:p>
      <w:pPr>
        <w:spacing w:after="0" w:line="1" w:lineRule="exact"/>
        <w:rPr>
          <w:rFonts w:ascii="Arial" w:cs="Arial" w:eastAsia="Arial" w:hAnsi="Arial"/>
          <w:sz w:val="16"/>
          <w:szCs w:val="16"/>
          <w:color w:val="auto"/>
        </w:rPr>
      </w:pPr>
    </w:p>
    <w:p>
      <w:pPr>
        <w:ind w:left="660" w:right="240" w:hanging="328"/>
        <w:spacing w:after="0" w:line="246" w:lineRule="auto"/>
        <w:tabs>
          <w:tab w:leader="none" w:pos="660" w:val="left"/>
        </w:tabs>
        <w:numPr>
          <w:ilvl w:val="1"/>
          <w:numId w:val="11"/>
        </w:numPr>
        <w:rPr>
          <w:rFonts w:ascii="Arial" w:cs="Arial" w:eastAsia="Arial" w:hAnsi="Arial"/>
          <w:sz w:val="16"/>
          <w:szCs w:val="16"/>
          <w:color w:val="auto"/>
        </w:rPr>
      </w:pPr>
      <w:r>
        <w:rPr>
          <w:rFonts w:ascii="Arial" w:cs="Arial" w:eastAsia="Arial" w:hAnsi="Arial"/>
          <w:sz w:val="16"/>
          <w:szCs w:val="16"/>
          <w:color w:val="auto"/>
        </w:rPr>
        <w:t>the compensation arising from the relationship or transaction is or will be reported pursuant to the SEC's executive and director compensation proxy statement disclosure rules; or</w:t>
      </w:r>
    </w:p>
    <w:p>
      <w:pPr>
        <w:spacing w:after="0" w:line="1" w:lineRule="exact"/>
        <w:rPr>
          <w:rFonts w:ascii="Arial" w:cs="Arial" w:eastAsia="Arial" w:hAnsi="Arial"/>
          <w:sz w:val="16"/>
          <w:szCs w:val="16"/>
          <w:color w:val="auto"/>
        </w:rPr>
      </w:pPr>
    </w:p>
    <w:p>
      <w:pPr>
        <w:ind w:left="660" w:right="20" w:hanging="328"/>
        <w:spacing w:after="0" w:line="251" w:lineRule="auto"/>
        <w:tabs>
          <w:tab w:leader="none" w:pos="660" w:val="left"/>
        </w:tabs>
        <w:numPr>
          <w:ilvl w:val="1"/>
          <w:numId w:val="11"/>
        </w:numPr>
        <w:rPr>
          <w:rFonts w:ascii="Arial" w:cs="Arial" w:eastAsia="Arial" w:hAnsi="Arial"/>
          <w:sz w:val="16"/>
          <w:szCs w:val="16"/>
          <w:color w:val="auto"/>
        </w:rPr>
      </w:pPr>
      <w:r>
        <w:rPr>
          <w:rFonts w:ascii="Arial" w:cs="Arial" w:eastAsia="Arial" w:hAnsi="Arial"/>
          <w:sz w:val="16"/>
          <w:szCs w:val="16"/>
          <w:color w:val="auto"/>
        </w:rPr>
        <w:t>the executive officer is not an immediate family member of another executive officer or director and such compensation would have been reported under the SEC's executive and director compensation proxy statement disclosure rules as compensation earned</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42" w:lineRule="exact"/>
        <w:rPr>
          <w:sz w:val="20"/>
          <w:szCs w:val="20"/>
          <w:color w:val="auto"/>
        </w:rPr>
      </w:pPr>
    </w:p>
    <w:p>
      <w:pPr>
        <w:ind w:left="660" w:right="80"/>
        <w:spacing w:after="0" w:line="328" w:lineRule="auto"/>
        <w:rPr>
          <w:sz w:val="20"/>
          <w:szCs w:val="20"/>
          <w:color w:val="auto"/>
        </w:rPr>
      </w:pPr>
      <w:r>
        <w:rPr>
          <w:rFonts w:ascii="Arial" w:cs="Arial" w:eastAsia="Arial" w:hAnsi="Arial"/>
          <w:sz w:val="16"/>
          <w:szCs w:val="16"/>
          <w:color w:val="auto"/>
        </w:rPr>
        <w:t>for services if the executive officer was a NEO, as that term is defined in the SEC's executive and director compensation proxy statement disclosure rules, and such compensation has been or will be approved, or recommended to our Board of Directors for approval, by the Human Resources Committee of our Board of Directors, or</w:t>
      </w:r>
    </w:p>
    <w:p>
      <w:pPr>
        <w:spacing w:after="0" w:line="4" w:lineRule="exact"/>
        <w:rPr>
          <w:sz w:val="20"/>
          <w:szCs w:val="20"/>
          <w:color w:val="auto"/>
        </w:rPr>
      </w:pPr>
    </w:p>
    <w:p>
      <w:pPr>
        <w:ind w:left="340" w:right="100" w:hanging="332"/>
        <w:spacing w:after="0" w:line="253" w:lineRule="auto"/>
        <w:tabs>
          <w:tab w:leader="none" w:pos="340" w:val="left"/>
        </w:tabs>
        <w:numPr>
          <w:ilvl w:val="0"/>
          <w:numId w:val="12"/>
        </w:numPr>
        <w:rPr>
          <w:rFonts w:ascii="Arial" w:cs="Arial" w:eastAsia="Arial" w:hAnsi="Arial"/>
          <w:sz w:val="16"/>
          <w:szCs w:val="16"/>
          <w:color w:val="auto"/>
        </w:rPr>
      </w:pPr>
      <w:r>
        <w:rPr>
          <w:rFonts w:ascii="Arial" w:cs="Arial" w:eastAsia="Arial" w:hAnsi="Arial"/>
          <w:sz w:val="16"/>
          <w:szCs w:val="16"/>
          <w:color w:val="auto"/>
        </w:rPr>
        <w:t>if the compensation of or transaction with a director is or will be reported pursuant to the SEC's executive and director compensation proxy statement disclosure rules.</w:t>
      </w:r>
    </w:p>
    <w:p>
      <w:pPr>
        <w:spacing w:after="0" w:line="174" w:lineRule="exact"/>
        <w:rPr>
          <w:sz w:val="20"/>
          <w:szCs w:val="20"/>
          <w:color w:val="auto"/>
        </w:rPr>
      </w:pPr>
    </w:p>
    <w:p>
      <w:pPr>
        <w:ind w:right="80"/>
        <w:spacing w:after="0" w:line="253" w:lineRule="auto"/>
        <w:rPr>
          <w:sz w:val="20"/>
          <w:szCs w:val="20"/>
          <w:color w:val="auto"/>
        </w:rPr>
      </w:pPr>
      <w:r>
        <w:rPr>
          <w:rFonts w:ascii="Arial" w:cs="Arial" w:eastAsia="Arial" w:hAnsi="Arial"/>
          <w:sz w:val="16"/>
          <w:szCs w:val="16"/>
          <w:color w:val="auto"/>
        </w:rPr>
        <w:t>“Related Person” is defined as (1) each director, director nominee and executive officer, (2) 5% or greater beneficial owners, or (3) immediate family members of the foregoing persons.</w:t>
      </w:r>
    </w:p>
    <w:p>
      <w:pPr>
        <w:spacing w:after="0" w:line="174" w:lineRule="exact"/>
        <w:rPr>
          <w:sz w:val="20"/>
          <w:szCs w:val="20"/>
          <w:color w:val="auto"/>
        </w:rPr>
      </w:pPr>
    </w:p>
    <w:p>
      <w:pPr>
        <w:ind w:right="60"/>
        <w:spacing w:after="0" w:line="249" w:lineRule="auto"/>
        <w:rPr>
          <w:sz w:val="20"/>
          <w:szCs w:val="20"/>
          <w:color w:val="auto"/>
        </w:rPr>
      </w:pPr>
      <w:r>
        <w:rPr>
          <w:rFonts w:ascii="Arial" w:cs="Arial" w:eastAsia="Arial" w:hAnsi="Arial"/>
          <w:sz w:val="16"/>
          <w:szCs w:val="16"/>
          <w:color w:val="auto"/>
        </w:rPr>
        <w:t>The Nominating and Governance Committee will assess whether a proposed transaction is a Related Person Transaction for purposes of the policy. Under the policy, the Chair of the Nominating and Governance Committee has the authority to pre-approve or ratify (as applicable) any Related Person Transaction with a Related Person in which the aggregate amount involved is expected to be less than $500,000.</w:t>
      </w:r>
    </w:p>
    <w:p>
      <w:pPr>
        <w:spacing w:after="0" w:line="178" w:lineRule="exact"/>
        <w:rPr>
          <w:sz w:val="20"/>
          <w:szCs w:val="20"/>
          <w:color w:val="auto"/>
        </w:rPr>
      </w:pPr>
    </w:p>
    <w:p>
      <w:pPr>
        <w:spacing w:after="0" w:line="250" w:lineRule="auto"/>
        <w:rPr>
          <w:sz w:val="20"/>
          <w:szCs w:val="20"/>
          <w:color w:val="auto"/>
        </w:rPr>
      </w:pPr>
      <w:r>
        <w:rPr>
          <w:rFonts w:ascii="Arial" w:cs="Arial" w:eastAsia="Arial" w:hAnsi="Arial"/>
          <w:sz w:val="16"/>
          <w:szCs w:val="16"/>
          <w:color w:val="auto"/>
        </w:rPr>
        <w:t>The policy recognizes that certain Related Person Transactions are in our and our shareholders' best interests. Each of the following Related Person Transactions are deemed to be pre-approved by the Nominating and Governance Committee pursuant to the policy, even if the aggregate amount involved will exceed $120,000:</w:t>
      </w:r>
    </w:p>
    <w:p>
      <w:pPr>
        <w:spacing w:after="0" w:line="160" w:lineRule="exact"/>
        <w:rPr>
          <w:sz w:val="20"/>
          <w:szCs w:val="20"/>
          <w:color w:val="auto"/>
        </w:rPr>
      </w:pPr>
    </w:p>
    <w:p>
      <w:pPr>
        <w:ind w:left="340" w:right="20" w:hanging="332"/>
        <w:spacing w:after="0" w:line="253" w:lineRule="auto"/>
        <w:tabs>
          <w:tab w:leader="none" w:pos="340" w:val="left"/>
        </w:tabs>
        <w:numPr>
          <w:ilvl w:val="0"/>
          <w:numId w:val="13"/>
        </w:numPr>
        <w:rPr>
          <w:rFonts w:ascii="Arial" w:cs="Arial" w:eastAsia="Arial" w:hAnsi="Arial"/>
          <w:sz w:val="16"/>
          <w:szCs w:val="16"/>
          <w:color w:val="auto"/>
        </w:rPr>
      </w:pPr>
      <w:r>
        <w:rPr>
          <w:rFonts w:ascii="Arial" w:cs="Arial" w:eastAsia="Arial" w:hAnsi="Arial"/>
          <w:sz w:val="16"/>
          <w:szCs w:val="16"/>
          <w:color w:val="BF2115"/>
        </w:rPr>
        <w:t>Certain transactions with other companies</w:t>
      </w:r>
      <w:r>
        <w:rPr>
          <w:rFonts w:ascii="Arial" w:cs="Arial" w:eastAsia="Arial" w:hAnsi="Arial"/>
          <w:sz w:val="16"/>
          <w:szCs w:val="16"/>
          <w:i w:val="1"/>
          <w:iCs w:val="1"/>
          <w:color w:val="2C2C2C"/>
        </w:rPr>
        <w:t>.</w:t>
      </w:r>
      <w:r>
        <w:rPr>
          <w:rFonts w:ascii="Arial" w:cs="Arial" w:eastAsia="Arial" w:hAnsi="Arial"/>
          <w:sz w:val="16"/>
          <w:szCs w:val="16"/>
          <w:color w:val="BF2115"/>
        </w:rPr>
        <w:t xml:space="preserve"> </w:t>
      </w:r>
      <w:r>
        <w:rPr>
          <w:rFonts w:ascii="Arial" w:cs="Arial" w:eastAsia="Arial" w:hAnsi="Arial"/>
          <w:sz w:val="16"/>
          <w:szCs w:val="16"/>
          <w:color w:val="000000"/>
        </w:rPr>
        <w:t>Any transaction with another</w:t>
      </w:r>
      <w:r>
        <w:rPr>
          <w:rFonts w:ascii="Arial" w:cs="Arial" w:eastAsia="Arial" w:hAnsi="Arial"/>
          <w:sz w:val="16"/>
          <w:szCs w:val="16"/>
          <w:color w:val="BF2115"/>
        </w:rPr>
        <w:t xml:space="preserve"> </w:t>
      </w:r>
      <w:r>
        <w:rPr>
          <w:rFonts w:ascii="Arial" w:cs="Arial" w:eastAsia="Arial" w:hAnsi="Arial"/>
          <w:sz w:val="16"/>
          <w:szCs w:val="16"/>
          <w:color w:val="000000"/>
        </w:rPr>
        <w:t>company at which a Related Person's only relationship is as an employee (other than an executive officer), director or beneficial owner of less than 10% of that company's shares or other equity securities, if the aggregate amount involved does not exceed the greater of $1 million, or 2% of that company's total annual revenues.</w:t>
      </w:r>
    </w:p>
    <w:p>
      <w:pPr>
        <w:spacing w:after="0" w:line="159" w:lineRule="exact"/>
        <w:rPr>
          <w:rFonts w:ascii="Arial" w:cs="Arial" w:eastAsia="Arial" w:hAnsi="Arial"/>
          <w:sz w:val="16"/>
          <w:szCs w:val="16"/>
          <w:color w:val="auto"/>
        </w:rPr>
      </w:pPr>
    </w:p>
    <w:p>
      <w:pPr>
        <w:ind w:left="340" w:right="140" w:hanging="332"/>
        <w:spacing w:after="0" w:line="253" w:lineRule="auto"/>
        <w:tabs>
          <w:tab w:leader="none" w:pos="340" w:val="left"/>
        </w:tabs>
        <w:numPr>
          <w:ilvl w:val="0"/>
          <w:numId w:val="13"/>
        </w:numPr>
        <w:rPr>
          <w:rFonts w:ascii="Arial" w:cs="Arial" w:eastAsia="Arial" w:hAnsi="Arial"/>
          <w:sz w:val="16"/>
          <w:szCs w:val="16"/>
          <w:color w:val="auto"/>
        </w:rPr>
      </w:pPr>
      <w:r>
        <w:rPr>
          <w:rFonts w:ascii="Arial" w:cs="Arial" w:eastAsia="Arial" w:hAnsi="Arial"/>
          <w:sz w:val="16"/>
          <w:szCs w:val="16"/>
          <w:color w:val="BF2115"/>
        </w:rPr>
        <w:t>Certain Company charitable contributions</w:t>
      </w:r>
      <w:r>
        <w:rPr>
          <w:rFonts w:ascii="Arial" w:cs="Arial" w:eastAsia="Arial" w:hAnsi="Arial"/>
          <w:sz w:val="16"/>
          <w:szCs w:val="16"/>
          <w:i w:val="1"/>
          <w:iCs w:val="1"/>
          <w:color w:val="000000"/>
        </w:rPr>
        <w:t>.</w:t>
      </w:r>
      <w:r>
        <w:rPr>
          <w:rFonts w:ascii="Arial" w:cs="Arial" w:eastAsia="Arial" w:hAnsi="Arial"/>
          <w:sz w:val="16"/>
          <w:szCs w:val="16"/>
          <w:color w:val="BF2115"/>
        </w:rPr>
        <w:t xml:space="preserve"> </w:t>
      </w:r>
      <w:r>
        <w:rPr>
          <w:rFonts w:ascii="Arial" w:cs="Arial" w:eastAsia="Arial" w:hAnsi="Arial"/>
          <w:sz w:val="16"/>
          <w:szCs w:val="16"/>
          <w:color w:val="000000"/>
        </w:rPr>
        <w:t>Any charitable contribution,</w:t>
      </w:r>
      <w:r>
        <w:rPr>
          <w:rFonts w:ascii="Arial" w:cs="Arial" w:eastAsia="Arial" w:hAnsi="Arial"/>
          <w:sz w:val="16"/>
          <w:szCs w:val="16"/>
          <w:color w:val="BF2115"/>
        </w:rPr>
        <w:t xml:space="preserve"> </w:t>
      </w:r>
      <w:r>
        <w:rPr>
          <w:rFonts w:ascii="Arial" w:cs="Arial" w:eastAsia="Arial" w:hAnsi="Arial"/>
          <w:sz w:val="16"/>
          <w:szCs w:val="16"/>
          <w:color w:val="000000"/>
        </w:rPr>
        <w:t>grant or endowment by Winnebago Industries or the Winnebago Industries Foundation to a charitable organization, foundation or university at which a Related Person's only relationship is as an employee (other than an officer), if the aggregate amount involved does not exceed $100,000.</w:t>
      </w:r>
    </w:p>
    <w:p>
      <w:pPr>
        <w:spacing w:after="0" w:line="176" w:lineRule="exact"/>
        <w:rPr>
          <w:sz w:val="20"/>
          <w:szCs w:val="20"/>
          <w:color w:val="auto"/>
        </w:rPr>
      </w:pPr>
    </w:p>
    <w:p>
      <w:pPr>
        <w:spacing w:after="0" w:line="248" w:lineRule="auto"/>
        <w:rPr>
          <w:sz w:val="20"/>
          <w:szCs w:val="20"/>
          <w:color w:val="auto"/>
        </w:rPr>
      </w:pPr>
      <w:r>
        <w:rPr>
          <w:rFonts w:ascii="Arial" w:cs="Arial" w:eastAsia="Arial" w:hAnsi="Arial"/>
          <w:sz w:val="16"/>
          <w:szCs w:val="16"/>
          <w:color w:val="auto"/>
        </w:rPr>
        <w:t>The approval procedures in the policy identify the factors the Nominating and Governance Committee will consider in evaluating whether to approve or ratify Related Person Transactions or material amendments to pre-approved Related Person Transactions. The Nominating and Governance Committee will consider the relevant facts and circumstances, including (if applicable) but not limited to: whether the Related Person Transaction is on terms no less favorable than terms generally available to an unaffiliated third-party under the same or similar circumstances, the extent of the Related Person's interest in the transaction, and whether the proposed Related Person Transaction is in compliance with or would require disclosure under applicable SEC rules and regulations, NYSE listing requirements and our policies.</w:t>
      </w:r>
    </w:p>
    <w:p>
      <w:pPr>
        <w:spacing w:after="0" w:line="200" w:lineRule="exact"/>
        <w:rPr>
          <w:sz w:val="20"/>
          <w:szCs w:val="20"/>
          <w:color w:val="auto"/>
        </w:rPr>
      </w:pPr>
    </w:p>
    <w:p>
      <w:pPr>
        <w:sectPr>
          <w:pgSz w:w="11900" w:h="16838" w:orient="portrait"/>
          <w:cols w:equalWidth="0" w:num="2">
            <w:col w:w="5580" w:space="240"/>
            <w:col w:w="5600"/>
          </w:cols>
          <w:pgMar w:left="240" w:top="303" w:right="239" w:bottom="1440" w:gutter="0" w:footer="0" w:header="0"/>
          <w:type w:val="continuous"/>
        </w:sect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w:t>
      </w:r>
    </w:p>
    <w:p>
      <w:pPr>
        <w:sectPr>
          <w:pgSz w:w="11900" w:h="16838" w:orient="portrait"/>
          <w:cols w:equalWidth="0" w:num="1">
            <w:col w:w="11420"/>
          </w:cols>
          <w:pgMar w:left="240" w:top="303" w:right="239" w:bottom="1440" w:gutter="0" w:footer="0" w:header="0"/>
          <w:type w:val="continuous"/>
        </w:sectPr>
      </w:pPr>
    </w:p>
    <w:bookmarkStart w:id="11" w:name="page12"/>
    <w:bookmarkEnd w:id="11"/>
    <w:p>
      <w:pPr>
        <w:ind w:left="40"/>
        <w:spacing w:after="0"/>
        <w:rPr>
          <w:rFonts w:ascii="Arial" w:cs="Arial" w:eastAsia="Arial" w:hAnsi="Arial"/>
          <w:sz w:val="15"/>
          <w:szCs w:val="15"/>
          <w:u w:val="single" w:color="auto"/>
          <w:color w:val="0000EE"/>
        </w:rPr>
      </w:pPr>
      <w:r>
        <w:rPr>
          <w:rFonts w:ascii="Arial" w:cs="Arial" w:eastAsia="Arial" w:hAnsi="Arial"/>
          <w:sz w:val="15"/>
          <w:szCs w:val="15"/>
          <w:u w:val="single" w:color="auto"/>
          <w:color w:val="0000EE"/>
        </w:rPr>
        <w:drawing>
          <wp:anchor simplePos="0" relativeHeight="251657728" behindDoc="1" locked="0" layoutInCell="0" allowOverlap="1">
            <wp:simplePos x="0" y="0"/>
            <wp:positionH relativeFrom="page">
              <wp:posOffset>5946140</wp:posOffset>
            </wp:positionH>
            <wp:positionV relativeFrom="page">
              <wp:posOffset>191770</wp:posOffset>
            </wp:positionV>
            <wp:extent cx="1440815" cy="20574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clrChange>
                        <a:clrFrom>
                          <a:srgbClr val="FFFFFF"/>
                        </a:clrFrom>
                        <a:clrTo>
                          <a:srgbClr val="FFFFFF">
                            <a:alpha val="0"/>
                          </a:srgbClr>
                        </a:clrTo>
                      </a:clrChange>
                      <a:extLst>
                        <a:ext uri="{28A0092B-C50C-407E-A947-70E740481C1C}"/>
                      </a:extLst>
                    </a:blip>
                    <a:srcRect/>
                    <a:stretch>
                      <a:fillRect/>
                    </a:stretch>
                  </pic:blipFill>
                  <pic:spPr bwMode="auto">
                    <a:xfrm>
                      <a:off x="0" y="0"/>
                      <a:ext cx="1440815" cy="205740"/>
                    </a:xfrm>
                    <a:prstGeom prst="rect">
                      <a:avLst/>
                    </a:prstGeom>
                    <a:noFill/>
                  </pic:spPr>
                </pic:pic>
              </a:graphicData>
            </a:graphic>
          </wp:anchor>
        </w:drawing>
      </w:r>
      <w:hyperlink w:anchor="page4">
        <w:r>
          <w:rPr>
            <w:rFonts w:ascii="Arial" w:cs="Arial" w:eastAsia="Arial" w:hAnsi="Arial"/>
            <w:sz w:val="15"/>
            <w:szCs w:val="15"/>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112395</wp:posOffset>
            </wp:positionV>
            <wp:extent cx="7246620"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303" w:right="239" w:bottom="1440" w:gutter="0" w:footer="0" w:header="0"/>
        </w:sectPr>
      </w:pP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Arial" w:cs="Arial" w:eastAsia="Arial" w:hAnsi="Arial"/>
          <w:sz w:val="16"/>
          <w:szCs w:val="16"/>
          <w:color w:val="auto"/>
        </w:rPr>
        <w:t>The policy provides for the annual pre-approval by the Nominating and</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Governance Committee of certain Related Person Transactions that are</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identified in the policy, as the policy may be supplemented and amended.</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During Fiscal 2018, the only related party transactions involved Donald Clark,</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one of our executive officers, who has a 20% ownership interest in Three</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Oaks, LLC, an entity which owns the land and building that Grand Design RV,</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LLC ("Grand Design") leases in order to operate its business. These related</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party transactions consist of the following: (i) on February 7, 2018, the lease</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between Three Oaks, LLC and our wholly-owned subsidiary Grand Design,</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dated November 8, 2016 was amended to include two additional buildings,</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and (ii) on July 28, 2018, Grand Design entered into an agreement to</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purchase approximately 31.7 acres of land from Three Oaks, LLC, which</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purchase is expected to close in Fiscal 2019. Grand Design has paid</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$1,405,286 during Fiscal 2018 to Three Oaks, LLC under its amended lease</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with Three Oaks, LLC, in addition to $900,000 during Fiscal 2018 to Three</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Oaks, LLC under its other existing lease with them, which was entered into on</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November 8, 2016, for a total of $2,305,286 paid to Three Oaks, LLC during</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Fiscal 2018 under its leases with them. Since Grand Design has not closed</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on the land acquisition referred to above, no amounts have yet been paid for</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such property; the purchase price agreed to is $729,100. Each of these</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transactions with Three Oaks, LLC was approved by the Nominating and</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Governance Committee or the full Board. At the time we acquired Grand</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Design in 2016, the operating agreement of Three Oaks, LLC was amended</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to not allow Mr. Clark to vote on any matters relating to transactions with</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Grand Design. In connection with our acquisition of Grand Design in</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November 2016, we issued 764,426 shares of our Common Stock to Mr.</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Clark, which represented Mr. Clark’s 1/3 interest in RDB III, Inc. one of the</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sellers of Grand Design. As part of the issuance of these shares to Mr. Clark,</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we agreed to register Mr. Clark’s shares for resale under the Securities Act of</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1933 pursuant to a registration rights agreement. The Company filed an S-3</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registration statement for these shares that was declared effective by the SEC</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in January 2017. Mr. Clark also entered into a lock-up letter agreement, which</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expired on November 8, 2017, pursuant to which he agreed to not transfer his</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shares of Common Stock. Also, in connection with the issuance of shares of</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Common Stock, Mr. Clark entered into a standstill agreement, which expired</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on November 8, 2017, which prohibited him from taking any hostile actions</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with respect to the Company including, but not limited to, nominating any</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person for the Board of Directors, forming any group as defined under the</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Exchange Act with other former owners of Grand Design, soliciting proxies,</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calling a special meeting of shareholders, or otherwise taking any actions</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directly or indirectly that might facilitate a strategic transaction involving the</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Company. There were no other Related Person Transactions to disclose.</w:t>
      </w:r>
    </w:p>
    <w:p>
      <w:pPr>
        <w:spacing w:after="0" w:line="199" w:lineRule="exact"/>
        <w:rPr>
          <w:sz w:val="20"/>
          <w:szCs w:val="20"/>
          <w:color w:val="auto"/>
        </w:rPr>
      </w:pPr>
    </w:p>
    <w:p>
      <w:pPr>
        <w:spacing w:after="0"/>
        <w:rPr>
          <w:sz w:val="20"/>
          <w:szCs w:val="20"/>
          <w:color w:val="auto"/>
        </w:rPr>
      </w:pPr>
      <w:r>
        <w:rPr>
          <w:rFonts w:ascii="Arial" w:cs="Arial" w:eastAsia="Arial" w:hAnsi="Arial"/>
          <w:sz w:val="22"/>
          <w:szCs w:val="22"/>
          <w:color w:val="828282"/>
        </w:rPr>
        <w:t>Corporate Governance Policies and Code of Conduct</w:t>
      </w:r>
    </w:p>
    <w:p>
      <w:pPr>
        <w:spacing w:after="0" w:line="188" w:lineRule="exact"/>
        <w:rPr>
          <w:sz w:val="20"/>
          <w:szCs w:val="20"/>
          <w:color w:val="auto"/>
        </w:rPr>
      </w:pPr>
    </w:p>
    <w:p>
      <w:pPr>
        <w:ind w:right="400"/>
        <w:spacing w:after="0" w:line="253" w:lineRule="auto"/>
        <w:rPr>
          <w:sz w:val="20"/>
          <w:szCs w:val="20"/>
          <w:color w:val="auto"/>
        </w:rPr>
      </w:pPr>
      <w:r>
        <w:rPr>
          <w:rFonts w:ascii="Arial" w:cs="Arial" w:eastAsia="Arial" w:hAnsi="Arial"/>
          <w:sz w:val="16"/>
          <w:szCs w:val="16"/>
          <w:color w:val="auto"/>
        </w:rPr>
        <w:t>The Board of Directors has adopted a Corporate Governance Policy and written charters for its Audit Committee, Human Resources Committee, Nominating and Governance Committee and Finance Committee.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15" w:lineRule="exact"/>
        <w:rPr>
          <w:sz w:val="20"/>
          <w:szCs w:val="20"/>
          <w:color w:val="auto"/>
        </w:rPr>
      </w:pPr>
    </w:p>
    <w:p>
      <w:pPr>
        <w:ind w:right="60"/>
        <w:spacing w:after="0" w:line="249" w:lineRule="auto"/>
        <w:rPr>
          <w:sz w:val="20"/>
          <w:szCs w:val="20"/>
          <w:color w:val="auto"/>
        </w:rPr>
      </w:pPr>
      <w:r>
        <w:rPr>
          <w:rFonts w:ascii="Arial" w:cs="Arial" w:eastAsia="Arial" w:hAnsi="Arial"/>
          <w:sz w:val="16"/>
          <w:szCs w:val="16"/>
          <w:color w:val="auto"/>
        </w:rPr>
        <w:t>On August 15, 2018, the Board of Directors adopted a revised Code of Conduct applicable to all of our directors, officers, employees and business partners, which superseded the Company's previous Code of Ethics. The revised Code of Conduct incorporates a number of revisions intended to make the document more accessible, broadly applicable, comprehensive and current.</w:t>
      </w:r>
    </w:p>
    <w:p>
      <w:pPr>
        <w:spacing w:after="0" w:line="178" w:lineRule="exact"/>
        <w:rPr>
          <w:sz w:val="20"/>
          <w:szCs w:val="20"/>
          <w:color w:val="auto"/>
        </w:rPr>
      </w:pPr>
    </w:p>
    <w:p>
      <w:pPr>
        <w:ind w:right="20"/>
        <w:spacing w:after="0" w:line="248" w:lineRule="auto"/>
        <w:rPr>
          <w:sz w:val="20"/>
          <w:szCs w:val="20"/>
          <w:color w:val="auto"/>
        </w:rPr>
      </w:pPr>
      <w:r>
        <w:rPr>
          <w:rFonts w:ascii="Arial" w:cs="Arial" w:eastAsia="Arial" w:hAnsi="Arial"/>
          <w:sz w:val="16"/>
          <w:szCs w:val="16"/>
          <w:color w:val="auto"/>
        </w:rPr>
        <w:t>These policies, charters, codes and other items relating to our governance are available on the Corporate Governance portion of the Investor Relations section of our Web Site at http://www.winnebagoind.com. These documents are also available in print free of charge to any shareholder who requests them in writing from: Winnebago Industries, Inc., Attn: Vice President-General Counsel and Secretary, 13200 Pioneer Trail, Suite 150, Eden Prairie, MN 55347. Information contained on our Web Site is not incorporated into this Proxy Statement or other securities filings.</w:t>
      </w:r>
    </w:p>
    <w:p>
      <w:pPr>
        <w:spacing w:after="0" w:line="186" w:lineRule="exact"/>
        <w:rPr>
          <w:sz w:val="20"/>
          <w:szCs w:val="20"/>
          <w:color w:val="auto"/>
        </w:rPr>
      </w:pPr>
    </w:p>
    <w:p>
      <w:pPr>
        <w:spacing w:after="0"/>
        <w:rPr>
          <w:sz w:val="20"/>
          <w:szCs w:val="20"/>
          <w:color w:val="auto"/>
        </w:rPr>
      </w:pPr>
      <w:r>
        <w:rPr>
          <w:rFonts w:ascii="Arial" w:cs="Arial" w:eastAsia="Arial" w:hAnsi="Arial"/>
          <w:sz w:val="22"/>
          <w:szCs w:val="22"/>
          <w:color w:val="828282"/>
        </w:rPr>
        <w:t>Director Independence</w:t>
      </w:r>
    </w:p>
    <w:p>
      <w:pPr>
        <w:spacing w:after="0" w:line="188" w:lineRule="exact"/>
        <w:rPr>
          <w:sz w:val="20"/>
          <w:szCs w:val="20"/>
          <w:color w:val="auto"/>
        </w:rPr>
      </w:pPr>
    </w:p>
    <w:p>
      <w:pPr>
        <w:ind w:right="120"/>
        <w:spacing w:after="0" w:line="247" w:lineRule="auto"/>
        <w:rPr>
          <w:sz w:val="20"/>
          <w:szCs w:val="20"/>
          <w:color w:val="auto"/>
        </w:rPr>
      </w:pPr>
      <w:r>
        <w:rPr>
          <w:rFonts w:ascii="Arial" w:cs="Arial" w:eastAsia="Arial" w:hAnsi="Arial"/>
          <w:sz w:val="16"/>
          <w:szCs w:val="16"/>
          <w:color w:val="auto"/>
        </w:rPr>
        <w:t>Under our Corporate Governance Policy and NYSE rules, the Board must have a majority of directors who meet the standards for independence. The Board must determine, based on a review of all of the relevant facts and circumstances, whether each director satisfies the criteria for independence. The Board undertook an annual review of director and director nominee independence. During this review, the Board considered a variety of relevant facts and circumstances, including a review of all transactions and relationships between each director and director nominee or any member of his immediate family and the Company and its subsidiaries and affiliates known to the Company. The Board also considered whether there were any transactions or relationships between directors, nominees or any member of their immediate family (or any entity of which a director, director nominee or an immediate family member is an executive officer, general partner or significant equity holder).</w:t>
      </w:r>
    </w:p>
    <w:p>
      <w:pPr>
        <w:spacing w:after="0" w:line="185" w:lineRule="exact"/>
        <w:rPr>
          <w:sz w:val="20"/>
          <w:szCs w:val="20"/>
          <w:color w:val="auto"/>
        </w:rPr>
      </w:pPr>
    </w:p>
    <w:p>
      <w:pPr>
        <w:spacing w:after="0"/>
        <w:rPr>
          <w:sz w:val="20"/>
          <w:szCs w:val="20"/>
          <w:color w:val="auto"/>
        </w:rPr>
      </w:pPr>
      <w:r>
        <w:rPr>
          <w:rFonts w:ascii="Arial" w:cs="Arial" w:eastAsia="Arial" w:hAnsi="Arial"/>
          <w:sz w:val="16"/>
          <w:szCs w:val="16"/>
          <w:color w:val="auto"/>
        </w:rPr>
        <w:t>The purpose of this review was to determine whether any such relationships</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or transactions existed or exist that were inconsistent with a determination</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that the director or nominee is independent. As a result of this review, the</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Board, at its meeting in October 2018, affirmatively determined that each of</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Ms. Blase (Class I director), Mr. Braun (Class I director), Mr. Chiusano</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(Class II director), Mr. Moss (Class II director), Mr. Murabito (Class II director),</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Mr. Miles (Class I director), Ms. Rodamaker (Class I director), and Mr. Fisher</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(Class III director), are independent as defined by the relevant provisions of</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applicable law and the NYSE listing standards, and that each independent</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director and nominee has no material relationship with Winnebago Industries.</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As a result of this review, the Board determined that a majority of directors are</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independent.</w:t>
      </w:r>
    </w:p>
    <w:p>
      <w:pPr>
        <w:spacing w:after="0" w:line="194" w:lineRule="exact"/>
        <w:rPr>
          <w:sz w:val="20"/>
          <w:szCs w:val="20"/>
          <w:color w:val="auto"/>
        </w:rPr>
      </w:pPr>
    </w:p>
    <w:p>
      <w:pPr>
        <w:ind w:right="180"/>
        <w:spacing w:after="0" w:line="251" w:lineRule="auto"/>
        <w:rPr>
          <w:sz w:val="20"/>
          <w:szCs w:val="20"/>
          <w:color w:val="auto"/>
        </w:rPr>
      </w:pPr>
      <w:r>
        <w:rPr>
          <w:rFonts w:ascii="Arial" w:cs="Arial" w:eastAsia="Arial" w:hAnsi="Arial"/>
          <w:sz w:val="16"/>
          <w:szCs w:val="16"/>
          <w:color w:val="auto"/>
        </w:rPr>
        <w:t>All members of the Audit Committee, Human Resources Committee, Nominating and Governance Committee and Finance Committee are independent under any additional independence requirements applicable to such committees under the NYSE and SEC standards.</w:t>
      </w:r>
    </w:p>
    <w:p>
      <w:pPr>
        <w:spacing w:after="0" w:line="176" w:lineRule="exact"/>
        <w:rPr>
          <w:sz w:val="20"/>
          <w:szCs w:val="20"/>
          <w:color w:val="auto"/>
        </w:rPr>
      </w:pPr>
    </w:p>
    <w:p>
      <w:pPr>
        <w:ind w:right="140"/>
        <w:spacing w:after="0" w:line="260" w:lineRule="auto"/>
        <w:rPr>
          <w:sz w:val="20"/>
          <w:szCs w:val="20"/>
          <w:color w:val="auto"/>
        </w:rPr>
      </w:pPr>
      <w:r>
        <w:rPr>
          <w:rFonts w:ascii="Arial" w:cs="Arial" w:eastAsia="Arial" w:hAnsi="Arial"/>
          <w:sz w:val="16"/>
          <w:szCs w:val="16"/>
          <w:color w:val="auto"/>
        </w:rPr>
        <w:t>Mr. Happe (Class III director) is not independent because of his employment as CEO and President of the Company.</w:t>
      </w:r>
    </w:p>
    <w:p>
      <w:pPr>
        <w:spacing w:after="0" w:line="200" w:lineRule="exact"/>
        <w:rPr>
          <w:sz w:val="20"/>
          <w:szCs w:val="20"/>
          <w:color w:val="auto"/>
        </w:rPr>
      </w:pPr>
    </w:p>
    <w:p>
      <w:pPr>
        <w:sectPr>
          <w:pgSz w:w="11900" w:h="16838" w:orient="portrait"/>
          <w:cols w:equalWidth="0" w:num="2">
            <w:col w:w="5600" w:space="220"/>
            <w:col w:w="5600"/>
          </w:cols>
          <w:pgMar w:left="240" w:top="303" w:right="239" w:bottom="1440" w:gutter="0" w:footer="0" w:header="0"/>
          <w:type w:val="continuous"/>
        </w:sectPr>
      </w:pPr>
    </w:p>
    <w:p>
      <w:pPr>
        <w:spacing w:after="0" w:line="2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w:t>
      </w:r>
    </w:p>
    <w:p>
      <w:pPr>
        <w:sectPr>
          <w:pgSz w:w="11900" w:h="16838" w:orient="portrait"/>
          <w:cols w:equalWidth="0" w:num="1">
            <w:col w:w="11420"/>
          </w:cols>
          <w:pgMar w:left="240" w:top="303" w:right="239" w:bottom="1440" w:gutter="0" w:footer="0" w:header="0"/>
          <w:type w:val="continuous"/>
        </w:sectPr>
      </w:pPr>
    </w:p>
    <w:bookmarkStart w:id="12" w:name="page13"/>
    <w:bookmarkEnd w:id="12"/>
    <w:p>
      <w:pPr>
        <w:ind w:left="40"/>
        <w:spacing w:after="0"/>
        <w:rPr>
          <w:rFonts w:ascii="Arial" w:cs="Arial" w:eastAsia="Arial" w:hAnsi="Arial"/>
          <w:sz w:val="15"/>
          <w:szCs w:val="15"/>
          <w:u w:val="single" w:color="auto"/>
          <w:color w:val="0000EE"/>
        </w:rPr>
      </w:pPr>
      <w:r>
        <w:rPr>
          <w:rFonts w:ascii="Arial" w:cs="Arial" w:eastAsia="Arial" w:hAnsi="Arial"/>
          <w:sz w:val="15"/>
          <w:szCs w:val="15"/>
          <w:u w:val="single" w:color="auto"/>
          <w:color w:val="0000EE"/>
        </w:rPr>
        <w:drawing>
          <wp:anchor simplePos="0" relativeHeight="251657728" behindDoc="1" locked="0" layoutInCell="0" allowOverlap="1">
            <wp:simplePos x="0" y="0"/>
            <wp:positionH relativeFrom="page">
              <wp:posOffset>5946140</wp:posOffset>
            </wp:positionH>
            <wp:positionV relativeFrom="page">
              <wp:posOffset>191770</wp:posOffset>
            </wp:positionV>
            <wp:extent cx="1440815" cy="20574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clrChange>
                        <a:clrFrom>
                          <a:srgbClr val="FFFFFF"/>
                        </a:clrFrom>
                        <a:clrTo>
                          <a:srgbClr val="FFFFFF">
                            <a:alpha val="0"/>
                          </a:srgbClr>
                        </a:clrTo>
                      </a:clrChange>
                      <a:extLst>
                        <a:ext uri="{28A0092B-C50C-407E-A947-70E740481C1C}"/>
                      </a:extLst>
                    </a:blip>
                    <a:srcRect/>
                    <a:stretch>
                      <a:fillRect/>
                    </a:stretch>
                  </pic:blipFill>
                  <pic:spPr bwMode="auto">
                    <a:xfrm>
                      <a:off x="0" y="0"/>
                      <a:ext cx="1440815" cy="205740"/>
                    </a:xfrm>
                    <a:prstGeom prst="rect">
                      <a:avLst/>
                    </a:prstGeom>
                    <a:noFill/>
                  </pic:spPr>
                </pic:pic>
              </a:graphicData>
            </a:graphic>
          </wp:anchor>
        </w:drawing>
      </w:r>
      <w:hyperlink w:anchor="page4">
        <w:r>
          <w:rPr>
            <w:rFonts w:ascii="Arial" w:cs="Arial" w:eastAsia="Arial" w:hAnsi="Arial"/>
            <w:sz w:val="15"/>
            <w:szCs w:val="15"/>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112395</wp:posOffset>
            </wp:positionV>
            <wp:extent cx="7246620"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303" w:right="239" w:bottom="1440" w:gutter="0" w:footer="0" w:header="0"/>
        </w:sectPr>
      </w:pPr>
    </w:p>
    <w:p>
      <w:pPr>
        <w:spacing w:after="0" w:line="200" w:lineRule="exact"/>
        <w:rPr>
          <w:sz w:val="20"/>
          <w:szCs w:val="20"/>
          <w:color w:val="auto"/>
        </w:rPr>
      </w:pPr>
    </w:p>
    <w:p>
      <w:pPr>
        <w:spacing w:after="0" w:line="240" w:lineRule="exact"/>
        <w:rPr>
          <w:sz w:val="20"/>
          <w:szCs w:val="20"/>
          <w:color w:val="auto"/>
        </w:rPr>
      </w:pPr>
    </w:p>
    <w:p>
      <w:pPr>
        <w:ind w:right="120"/>
        <w:spacing w:after="0" w:line="249" w:lineRule="auto"/>
        <w:rPr>
          <w:sz w:val="20"/>
          <w:szCs w:val="20"/>
          <w:color w:val="auto"/>
        </w:rPr>
      </w:pPr>
      <w:r>
        <w:rPr>
          <w:rFonts w:ascii="Arial" w:cs="Arial" w:eastAsia="Arial" w:hAnsi="Arial"/>
          <w:sz w:val="22"/>
          <w:szCs w:val="22"/>
          <w:color w:val="828282"/>
        </w:rPr>
        <w:t>Shareholder and Other Interested Party Communications with Directors</w:t>
      </w:r>
    </w:p>
    <w:p>
      <w:pPr>
        <w:spacing w:after="0" w:line="172" w:lineRule="exact"/>
        <w:rPr>
          <w:sz w:val="20"/>
          <w:szCs w:val="20"/>
          <w:color w:val="auto"/>
        </w:rPr>
      </w:pPr>
    </w:p>
    <w:p>
      <w:pPr>
        <w:ind w:right="20"/>
        <w:spacing w:after="0" w:line="247" w:lineRule="auto"/>
        <w:rPr>
          <w:sz w:val="20"/>
          <w:szCs w:val="20"/>
          <w:color w:val="auto"/>
        </w:rPr>
      </w:pPr>
      <w:r>
        <w:rPr>
          <w:rFonts w:ascii="Arial" w:cs="Arial" w:eastAsia="Arial" w:hAnsi="Arial"/>
          <w:sz w:val="16"/>
          <w:szCs w:val="16"/>
          <w:color w:val="auto"/>
        </w:rPr>
        <w:t>Shareholders and other interested parties who desire to communicate with our directors or a particular director may write to: Winnebago Industries, Inc., Attn: Vice President-General Counsel and Secretary, 13200 Pioneer Trail, Suite 150, Eden Prairie, MN 55347; or e-mail: SLBogart@winnebagoind.com. All communications must be accompanied by the following information (i) if the person submitting the communication is a shareholder, a statement of the number of shares of Common Stock that the person holds; (ii) if the person submitting the communication is not a shareholder and is submitting the communication to the non-employee directors as an interested party, the nature of the person's interest in the Company; (iii) any special interest, meaning an interest not in the capacity of a shareholder, of the person in the subject matter of the communication; and (iv) the address, telephone number and e-mail address, if any, of the person submitting the communication. Communications received from shareholders and other interested parties to the Board of Directors will be reviewed by the Vice President-General Counsel and Secretary, or such other person designated by all non-employee directors of the Board, and if they are relevant and appropriate, they will be forwarded to the Board Chair or applicable Board member or members as expeditiously as reasonably practicable.</w:t>
      </w:r>
    </w:p>
    <w:p>
      <w:pPr>
        <w:spacing w:after="0" w:line="189" w:lineRule="exact"/>
        <w:rPr>
          <w:sz w:val="20"/>
          <w:szCs w:val="20"/>
          <w:color w:val="auto"/>
        </w:rPr>
      </w:pPr>
    </w:p>
    <w:p>
      <w:pPr>
        <w:spacing w:after="0"/>
        <w:rPr>
          <w:sz w:val="20"/>
          <w:szCs w:val="20"/>
          <w:color w:val="auto"/>
        </w:rPr>
      </w:pPr>
      <w:r>
        <w:rPr>
          <w:rFonts w:ascii="Arial" w:cs="Arial" w:eastAsia="Arial" w:hAnsi="Arial"/>
          <w:sz w:val="22"/>
          <w:szCs w:val="22"/>
          <w:color w:val="828282"/>
        </w:rPr>
        <w:t>Risk Management Oversight Process</w:t>
      </w:r>
    </w:p>
    <w:p>
      <w:pPr>
        <w:spacing w:after="0" w:line="188" w:lineRule="exact"/>
        <w:rPr>
          <w:sz w:val="20"/>
          <w:szCs w:val="20"/>
          <w:color w:val="auto"/>
        </w:rPr>
      </w:pPr>
    </w:p>
    <w:p>
      <w:pPr>
        <w:spacing w:after="0" w:line="248" w:lineRule="auto"/>
        <w:rPr>
          <w:sz w:val="20"/>
          <w:szCs w:val="20"/>
          <w:color w:val="auto"/>
        </w:rPr>
      </w:pPr>
      <w:r>
        <w:rPr>
          <w:rFonts w:ascii="Arial" w:cs="Arial" w:eastAsia="Arial" w:hAnsi="Arial"/>
          <w:sz w:val="16"/>
          <w:szCs w:val="16"/>
          <w:color w:val="auto"/>
        </w:rPr>
        <w:t>We face a number of risks, including financial, technological, operational, strategic and competitive risks. Management is responsible for the day-to-day management of risks we face, while the Board has responsibility for the oversight of risk management. In its risk oversight role, the Board reviews and monitors our processes for identification, management and mitigation of risk by our Management and assesses whether our processes are adequate and functioning as designed.</w:t>
      </w:r>
    </w:p>
    <w:p>
      <w:pPr>
        <w:spacing w:after="0" w:line="182" w:lineRule="exact"/>
        <w:rPr>
          <w:sz w:val="20"/>
          <w:szCs w:val="20"/>
          <w:color w:val="auto"/>
        </w:rPr>
      </w:pPr>
    </w:p>
    <w:p>
      <w:pPr>
        <w:ind w:right="80"/>
        <w:spacing w:after="0" w:line="247" w:lineRule="auto"/>
        <w:rPr>
          <w:sz w:val="20"/>
          <w:szCs w:val="20"/>
          <w:color w:val="auto"/>
        </w:rPr>
      </w:pPr>
      <w:r>
        <w:rPr>
          <w:rFonts w:ascii="Arial" w:cs="Arial" w:eastAsia="Arial" w:hAnsi="Arial"/>
          <w:sz w:val="16"/>
          <w:szCs w:val="16"/>
          <w:color w:val="auto"/>
        </w:rPr>
        <w:t>Our Board is actively involved in overseeing risk management and it exercises its oversight both through the full Board and through four of the standing committees of the Board: the Audit Committee, the Human Resources Committee, the Nominating and Governance Committee and the Finance Committee. These standing committees exercise oversight of the risks within their areas of responsibility, as disclosed in the descriptions of each of the committees above and in the charters of each of the committees. The Board and these committees receive information used in fulfilling their oversight responsibilities through our executive officers and other advisors, including our legal counsel, our independent registered public accounting firm, our consulting firm for internal controls over financial reporting, and the compensation consultants we have engaged from time to time.</w:t>
      </w:r>
    </w:p>
    <w:p>
      <w:pPr>
        <w:spacing w:after="0" w:line="186" w:lineRule="exact"/>
        <w:rPr>
          <w:sz w:val="20"/>
          <w:szCs w:val="20"/>
          <w:color w:val="auto"/>
        </w:rPr>
      </w:pPr>
    </w:p>
    <w:p>
      <w:pPr>
        <w:ind w:right="120"/>
        <w:spacing w:after="0" w:line="251" w:lineRule="auto"/>
        <w:rPr>
          <w:sz w:val="20"/>
          <w:szCs w:val="20"/>
          <w:color w:val="auto"/>
        </w:rPr>
      </w:pPr>
      <w:r>
        <w:rPr>
          <w:rFonts w:ascii="Arial" w:cs="Arial" w:eastAsia="Arial" w:hAnsi="Arial"/>
          <w:sz w:val="16"/>
          <w:szCs w:val="16"/>
          <w:color w:val="auto"/>
        </w:rPr>
        <w:t>At meetings of the Board, Management makes presentations to the Board regarding our business strategy, operations, financial performance, annual budgets, technology and other matters. Many of these presentations include information relating to the challenges and risks to our business and the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15" w:lineRule="exact"/>
        <w:rPr>
          <w:sz w:val="20"/>
          <w:szCs w:val="20"/>
          <w:color w:val="auto"/>
        </w:rPr>
      </w:pPr>
    </w:p>
    <w:p>
      <w:pPr>
        <w:ind w:right="80"/>
        <w:spacing w:after="0" w:line="248" w:lineRule="auto"/>
        <w:rPr>
          <w:sz w:val="20"/>
          <w:szCs w:val="20"/>
          <w:color w:val="auto"/>
        </w:rPr>
      </w:pPr>
      <w:r>
        <w:rPr>
          <w:rFonts w:ascii="Arial" w:cs="Arial" w:eastAsia="Arial" w:hAnsi="Arial"/>
          <w:sz w:val="16"/>
          <w:szCs w:val="16"/>
          <w:color w:val="auto"/>
        </w:rPr>
        <w:t>Board and Management actively engage in discussion on these topics. Each of the committees also receives reports from Management regarding matters relevant to the work of that committee. These Management reports are supplemented by information relating to risk from our advisors. Additionally, following committee meetings, the Board receives reports by each committee chair regarding the committee’s considerations and actions. In this way, the Board also receives additional information regarding the risk oversight functions performed by each of these committees.</w:t>
      </w:r>
    </w:p>
    <w:p>
      <w:pPr>
        <w:spacing w:after="0" w:line="186" w:lineRule="exact"/>
        <w:rPr>
          <w:sz w:val="20"/>
          <w:szCs w:val="20"/>
          <w:color w:val="auto"/>
        </w:rPr>
      </w:pPr>
    </w:p>
    <w:p>
      <w:pPr>
        <w:spacing w:after="0"/>
        <w:rPr>
          <w:sz w:val="20"/>
          <w:szCs w:val="20"/>
          <w:color w:val="auto"/>
        </w:rPr>
      </w:pPr>
      <w:r>
        <w:rPr>
          <w:rFonts w:ascii="Arial" w:cs="Arial" w:eastAsia="Arial" w:hAnsi="Arial"/>
          <w:sz w:val="22"/>
          <w:szCs w:val="22"/>
          <w:color w:val="828282"/>
        </w:rPr>
        <w:t>Hedging and Pledging</w:t>
      </w:r>
    </w:p>
    <w:p>
      <w:pPr>
        <w:spacing w:after="0" w:line="188" w:lineRule="exact"/>
        <w:rPr>
          <w:sz w:val="20"/>
          <w:szCs w:val="20"/>
          <w:color w:val="auto"/>
        </w:rPr>
      </w:pPr>
    </w:p>
    <w:p>
      <w:pPr>
        <w:spacing w:after="0" w:line="249" w:lineRule="auto"/>
        <w:rPr>
          <w:sz w:val="20"/>
          <w:szCs w:val="20"/>
          <w:color w:val="auto"/>
        </w:rPr>
      </w:pPr>
      <w:r>
        <w:rPr>
          <w:rFonts w:ascii="Arial" w:cs="Arial" w:eastAsia="Arial" w:hAnsi="Arial"/>
          <w:sz w:val="16"/>
          <w:szCs w:val="16"/>
          <w:color w:val="auto"/>
        </w:rPr>
        <w:t>Hedging transactions can reduce exposure to the risks of stock ownership and thereby affect alignment with the interests of our shareholders. Consequently, we do not permit directors or executive officers to engage in any transaction designed to hedge the market value of their Common Stock. Similarly, directors and executive officers may not pledge their Common Stock as collateral for any loan.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167640</wp:posOffset>
            </wp:positionV>
            <wp:extent cx="3575685"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3575685" cy="42545"/>
                    </a:xfrm>
                    <a:prstGeom prst="rect">
                      <a:avLst/>
                    </a:prstGeom>
                    <a:noFill/>
                  </pic:spPr>
                </pic:pic>
              </a:graphicData>
            </a:graphic>
          </wp:anchor>
        </w:drawing>
      </w:r>
    </w:p>
    <w:p>
      <w:pPr>
        <w:spacing w:after="0" w:line="200" w:lineRule="exact"/>
        <w:rPr>
          <w:sz w:val="20"/>
          <w:szCs w:val="20"/>
          <w:color w:val="auto"/>
        </w:rPr>
      </w:pPr>
    </w:p>
    <w:p>
      <w:pPr>
        <w:spacing w:after="0" w:line="267" w:lineRule="exact"/>
        <w:rPr>
          <w:sz w:val="20"/>
          <w:szCs w:val="20"/>
          <w:color w:val="auto"/>
        </w:rPr>
      </w:pPr>
    </w:p>
    <w:p>
      <w:pPr>
        <w:spacing w:after="0"/>
        <w:rPr>
          <w:sz w:val="20"/>
          <w:szCs w:val="20"/>
          <w:color w:val="auto"/>
        </w:rPr>
      </w:pPr>
      <w:r>
        <w:rPr>
          <w:rFonts w:ascii="Arial" w:cs="Arial" w:eastAsia="Arial" w:hAnsi="Arial"/>
          <w:sz w:val="29"/>
          <w:szCs w:val="29"/>
          <w:b w:val="1"/>
          <w:bCs w:val="1"/>
          <w:color w:val="BF2115"/>
        </w:rPr>
        <w:t>Director Compensation</w:t>
      </w:r>
    </w:p>
    <w:p>
      <w:pPr>
        <w:spacing w:after="0" w:line="316" w:lineRule="exact"/>
        <w:rPr>
          <w:sz w:val="20"/>
          <w:szCs w:val="20"/>
          <w:color w:val="auto"/>
        </w:rPr>
      </w:pPr>
    </w:p>
    <w:p>
      <w:pPr>
        <w:ind w:right="20"/>
        <w:spacing w:after="0" w:line="248" w:lineRule="auto"/>
        <w:rPr>
          <w:sz w:val="20"/>
          <w:szCs w:val="20"/>
          <w:color w:val="auto"/>
        </w:rPr>
      </w:pPr>
      <w:r>
        <w:rPr>
          <w:rFonts w:ascii="Arial" w:cs="Arial" w:eastAsia="Arial" w:hAnsi="Arial"/>
          <w:sz w:val="16"/>
          <w:szCs w:val="16"/>
          <w:color w:val="auto"/>
        </w:rPr>
        <w:t>In Fiscal 2017, the Human Resources Committee engaged an independent, outside compensation consultant, Willis Towers Watson, to update its analysis of the total compensation paid to the Board of Directors (hereinafter, the "2017 Compensation Analysis"). In May of Fiscal 2018, the Committee retained Semler Brossy to serve as outside compensation consultant going forward. Semler Brossy assisted the Committee in reviewing the 2017 Compensation Analysis and made recommendations regarding the types and amounts of compensation the Company pays its non-employee directors. The Committee approved increases to the non-employee directors' compensation beginning in Fiscal 2019 as described below.</w:t>
      </w:r>
    </w:p>
    <w:p>
      <w:pPr>
        <w:spacing w:after="0" w:line="98" w:lineRule="exact"/>
        <w:rPr>
          <w:sz w:val="20"/>
          <w:szCs w:val="20"/>
          <w:color w:val="auto"/>
        </w:rPr>
      </w:pPr>
    </w:p>
    <w:p>
      <w:pPr>
        <w:ind w:right="60"/>
        <w:spacing w:after="0" w:line="248" w:lineRule="auto"/>
        <w:rPr>
          <w:sz w:val="20"/>
          <w:szCs w:val="20"/>
          <w:color w:val="auto"/>
        </w:rPr>
      </w:pPr>
      <w:r>
        <w:rPr>
          <w:rFonts w:ascii="Arial" w:cs="Arial" w:eastAsia="Arial" w:hAnsi="Arial"/>
          <w:sz w:val="16"/>
          <w:szCs w:val="16"/>
          <w:color w:val="auto"/>
        </w:rPr>
        <w:t>Employee directors receive no additional compensation for serving on the Board or its committees. Each of our Non-Employee Directors receives an annual retainer of $75,000 payable monthly, a restricted stock award valued at $95,000, and reimbursement of expenses incurred in attending Board and committee meetings. Due to their increased responsibilities and duties, the Chair of the Board receives an additional annual retainer of $40,000, the Audit Committee Chair receives an additional annual retainer of $10,000, and the Chairs of the other Board committees also receive an additional annual retainer of $5,000.</w:t>
      </w:r>
    </w:p>
    <w:p>
      <w:pPr>
        <w:spacing w:after="0" w:line="99" w:lineRule="exact"/>
        <w:rPr>
          <w:sz w:val="20"/>
          <w:szCs w:val="20"/>
          <w:color w:val="auto"/>
        </w:rPr>
      </w:pPr>
    </w:p>
    <w:p>
      <w:pPr>
        <w:spacing w:after="0" w:line="249" w:lineRule="auto"/>
        <w:rPr>
          <w:sz w:val="20"/>
          <w:szCs w:val="20"/>
          <w:color w:val="auto"/>
        </w:rPr>
      </w:pPr>
      <w:r>
        <w:rPr>
          <w:rFonts w:ascii="Arial" w:cs="Arial" w:eastAsia="Arial" w:hAnsi="Arial"/>
          <w:sz w:val="16"/>
          <w:szCs w:val="16"/>
          <w:color w:val="auto"/>
        </w:rPr>
        <w:t>Commencing with the October 2018 RSU award, all director awards will be prospective for the upcoming year. This means that any new directors will receive a prorated award at the next regularly scheduled Board meeting, if the next regularly scheduled Board meeting is not the meeting at which annual awards are granted. Directors who joined prior to this time will receive an award of the annual grant prior to separation of service from the Board.</w:t>
      </w:r>
    </w:p>
    <w:p>
      <w:pPr>
        <w:spacing w:after="0" w:line="486" w:lineRule="exact"/>
        <w:rPr>
          <w:sz w:val="20"/>
          <w:szCs w:val="20"/>
          <w:color w:val="auto"/>
        </w:rPr>
      </w:pPr>
    </w:p>
    <w:p>
      <w:pPr>
        <w:sectPr>
          <w:pgSz w:w="11900" w:h="16838" w:orient="portrait"/>
          <w:cols w:equalWidth="0" w:num="2">
            <w:col w:w="5580" w:space="240"/>
            <w:col w:w="5600"/>
          </w:cols>
          <w:pgMar w:left="240" w:top="303" w:right="239" w:bottom="1440" w:gutter="0" w:footer="0" w:header="0"/>
          <w:type w:val="continuous"/>
        </w:sectPr>
      </w:pPr>
    </w:p>
    <w:p>
      <w:pPr>
        <w:spacing w:after="0" w:line="3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9</w:t>
      </w:r>
    </w:p>
    <w:p>
      <w:pPr>
        <w:sectPr>
          <w:pgSz w:w="11900" w:h="16838" w:orient="portrait"/>
          <w:cols w:equalWidth="0" w:num="1">
            <w:col w:w="11420"/>
          </w:cols>
          <w:pgMar w:left="240" w:top="303" w:right="239" w:bottom="1440" w:gutter="0" w:footer="0" w:header="0"/>
          <w:type w:val="continuous"/>
        </w:sectPr>
      </w:pPr>
    </w:p>
    <w:bookmarkStart w:id="13" w:name="page14"/>
    <w:bookmarkEnd w:id="13"/>
    <w:p>
      <w:pPr>
        <w:ind w:left="40"/>
        <w:spacing w:after="0"/>
        <w:rPr>
          <w:rFonts w:ascii="Arial" w:cs="Arial" w:eastAsia="Arial" w:hAnsi="Arial"/>
          <w:sz w:val="16"/>
          <w:szCs w:val="16"/>
          <w:u w:val="single" w:color="auto"/>
          <w:color w:val="0000EE"/>
        </w:rPr>
      </w:pPr>
      <w:r>
        <w:rPr>
          <w:rFonts w:ascii="Arial" w:cs="Arial" w:eastAsia="Arial" w:hAnsi="Arial"/>
          <w:sz w:val="16"/>
          <w:szCs w:val="16"/>
          <w:u w:val="single" w:color="auto"/>
          <w:color w:val="0000EE"/>
        </w:rPr>
        <w:drawing>
          <wp:anchor simplePos="0" relativeHeight="251657728" behindDoc="1" locked="0" layoutInCell="0" allowOverlap="1">
            <wp:simplePos x="0" y="0"/>
            <wp:positionH relativeFrom="page">
              <wp:posOffset>5946140</wp:posOffset>
            </wp:positionH>
            <wp:positionV relativeFrom="page">
              <wp:posOffset>191770</wp:posOffset>
            </wp:positionV>
            <wp:extent cx="1440815" cy="20574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clrChange>
                        <a:clrFrom>
                          <a:srgbClr val="FFFFFF"/>
                        </a:clrFrom>
                        <a:clrTo>
                          <a:srgbClr val="FFFFFF">
                            <a:alpha val="0"/>
                          </a:srgbClr>
                        </a:clrTo>
                      </a:clrChange>
                      <a:extLst>
                        <a:ext uri="{28A0092B-C50C-407E-A947-70E740481C1C}"/>
                      </a:extLst>
                    </a:blip>
                    <a:srcRect/>
                    <a:stretch>
                      <a:fillRect/>
                    </a:stretch>
                  </pic:blipFill>
                  <pic:spPr bwMode="auto">
                    <a:xfrm>
                      <a:off x="0" y="0"/>
                      <a:ext cx="1440815" cy="205740"/>
                    </a:xfrm>
                    <a:prstGeom prst="rect">
                      <a:avLst/>
                    </a:prstGeom>
                    <a:noFill/>
                  </pic:spPr>
                </pic:pic>
              </a:graphicData>
            </a:graphic>
          </wp:anchor>
        </w:drawing>
      </w:r>
      <w:hyperlink w:anchor="page4">
        <w:r>
          <w:rPr>
            <w:rFonts w:ascii="Arial" w:cs="Arial" w:eastAsia="Arial" w:hAnsi="Arial"/>
            <w:sz w:val="16"/>
            <w:szCs w:val="16"/>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104775</wp:posOffset>
            </wp:positionV>
            <wp:extent cx="7246620"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spacing w:after="0"/>
        <w:rPr>
          <w:sz w:val="20"/>
          <w:szCs w:val="20"/>
          <w:color w:val="auto"/>
        </w:rPr>
      </w:pPr>
      <w:r>
        <w:rPr>
          <w:rFonts w:ascii="Arial" w:cs="Arial" w:eastAsia="Arial" w:hAnsi="Arial"/>
          <w:sz w:val="22"/>
          <w:szCs w:val="22"/>
          <w:color w:val="828282"/>
        </w:rPr>
        <w:t>Director Compensation Table</w:t>
      </w:r>
    </w:p>
    <w:p>
      <w:pPr>
        <w:spacing w:after="0" w:line="188"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sets forth the total compensation paid to each Non-Employee Director for Fiscal 2018, other than reimbursement for travel expenses:</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198"/>
        </w:trPr>
        <w:tc>
          <w:tcPr>
            <w:tcW w:w="3040" w:type="dxa"/>
            <w:vAlign w:val="bottom"/>
            <w:shd w:val="clear" w:color="auto" w:fill="BF2115"/>
          </w:tcPr>
          <w:p>
            <w:pPr>
              <w:spacing w:after="0"/>
              <w:rPr>
                <w:sz w:val="17"/>
                <w:szCs w:val="17"/>
                <w:color w:val="auto"/>
              </w:rPr>
            </w:pPr>
          </w:p>
        </w:tc>
        <w:tc>
          <w:tcPr>
            <w:tcW w:w="3180" w:type="dxa"/>
            <w:vAlign w:val="bottom"/>
            <w:shd w:val="clear" w:color="auto" w:fill="BF2115"/>
          </w:tcPr>
          <w:p>
            <w:pPr>
              <w:jc w:val="center"/>
              <w:ind w:left="859"/>
              <w:spacing w:after="0"/>
              <w:rPr>
                <w:sz w:val="20"/>
                <w:szCs w:val="20"/>
                <w:color w:val="auto"/>
              </w:rPr>
            </w:pPr>
            <w:r>
              <w:rPr>
                <w:rFonts w:ascii="Arial" w:cs="Arial" w:eastAsia="Arial" w:hAnsi="Arial"/>
                <w:sz w:val="16"/>
                <w:szCs w:val="16"/>
                <w:b w:val="1"/>
                <w:bCs w:val="1"/>
                <w:color w:val="FFFFFF"/>
              </w:rPr>
              <w:t>Fees Earned or</w:t>
            </w:r>
          </w:p>
        </w:tc>
        <w:tc>
          <w:tcPr>
            <w:tcW w:w="1700" w:type="dxa"/>
            <w:vAlign w:val="bottom"/>
            <w:shd w:val="clear" w:color="auto" w:fill="BF2115"/>
          </w:tcPr>
          <w:p>
            <w:pPr>
              <w:jc w:val="center"/>
              <w:ind w:right="179"/>
              <w:spacing w:after="0"/>
              <w:rPr>
                <w:sz w:val="20"/>
                <w:szCs w:val="20"/>
                <w:color w:val="auto"/>
              </w:rPr>
            </w:pPr>
            <w:r>
              <w:rPr>
                <w:rFonts w:ascii="Arial" w:cs="Arial" w:eastAsia="Arial" w:hAnsi="Arial"/>
                <w:sz w:val="16"/>
                <w:szCs w:val="16"/>
                <w:b w:val="1"/>
                <w:bCs w:val="1"/>
                <w:color w:val="FFFFFF"/>
              </w:rPr>
              <w:t>Stock</w:t>
            </w:r>
          </w:p>
        </w:tc>
        <w:tc>
          <w:tcPr>
            <w:tcW w:w="1900" w:type="dxa"/>
            <w:vAlign w:val="bottom"/>
            <w:shd w:val="clear" w:color="auto" w:fill="BF2115"/>
          </w:tcPr>
          <w:p>
            <w:pPr>
              <w:jc w:val="center"/>
              <w:ind w:right="139"/>
              <w:spacing w:after="0"/>
              <w:rPr>
                <w:sz w:val="20"/>
                <w:szCs w:val="20"/>
                <w:color w:val="auto"/>
              </w:rPr>
            </w:pPr>
            <w:r>
              <w:rPr>
                <w:rFonts w:ascii="Arial" w:cs="Arial" w:eastAsia="Arial" w:hAnsi="Arial"/>
                <w:sz w:val="16"/>
                <w:szCs w:val="16"/>
                <w:b w:val="1"/>
                <w:bCs w:val="1"/>
                <w:color w:val="FFFFFF"/>
              </w:rPr>
              <w:t>All Other</w:t>
            </w:r>
          </w:p>
        </w:tc>
        <w:tc>
          <w:tcPr>
            <w:tcW w:w="1600" w:type="dxa"/>
            <w:vAlign w:val="bottom"/>
            <w:shd w:val="clear" w:color="auto" w:fill="BF2115"/>
          </w:tcPr>
          <w:p>
            <w:pPr>
              <w:spacing w:after="0"/>
              <w:rPr>
                <w:sz w:val="17"/>
                <w:szCs w:val="17"/>
                <w:color w:val="auto"/>
              </w:rPr>
            </w:pPr>
          </w:p>
        </w:tc>
      </w:tr>
      <w:tr>
        <w:trPr>
          <w:trHeight w:val="189"/>
        </w:trPr>
        <w:tc>
          <w:tcPr>
            <w:tcW w:w="3040" w:type="dxa"/>
            <w:vAlign w:val="bottom"/>
            <w:shd w:val="clear" w:color="auto" w:fill="BF2115"/>
          </w:tcPr>
          <w:p>
            <w:pPr>
              <w:spacing w:after="0"/>
              <w:rPr>
                <w:sz w:val="16"/>
                <w:szCs w:val="16"/>
                <w:color w:val="auto"/>
              </w:rPr>
            </w:pPr>
          </w:p>
        </w:tc>
        <w:tc>
          <w:tcPr>
            <w:tcW w:w="3180" w:type="dxa"/>
            <w:vAlign w:val="bottom"/>
            <w:shd w:val="clear" w:color="auto" w:fill="BF2115"/>
          </w:tcPr>
          <w:p>
            <w:pPr>
              <w:jc w:val="center"/>
              <w:ind w:left="859"/>
              <w:spacing w:after="0" w:line="189" w:lineRule="exact"/>
              <w:rPr>
                <w:sz w:val="20"/>
                <w:szCs w:val="20"/>
                <w:color w:val="auto"/>
              </w:rPr>
            </w:pPr>
            <w:r>
              <w:rPr>
                <w:rFonts w:ascii="Arial" w:cs="Arial" w:eastAsia="Arial" w:hAnsi="Arial"/>
                <w:sz w:val="16"/>
                <w:szCs w:val="16"/>
                <w:b w:val="1"/>
                <w:bCs w:val="1"/>
                <w:color w:val="FFFFFF"/>
                <w:w w:val="95"/>
              </w:rPr>
              <w:t>Paid in Cash</w:t>
            </w:r>
            <w:r>
              <w:rPr>
                <w:rFonts w:ascii="Arial" w:cs="Arial" w:eastAsia="Arial" w:hAnsi="Arial"/>
                <w:sz w:val="21"/>
                <w:szCs w:val="21"/>
                <w:b w:val="1"/>
                <w:bCs w:val="1"/>
                <w:color w:val="FFFFFF"/>
                <w:w w:val="95"/>
                <w:vertAlign w:val="superscript"/>
              </w:rPr>
              <w:t>(1)(2)</w:t>
            </w:r>
          </w:p>
        </w:tc>
        <w:tc>
          <w:tcPr>
            <w:tcW w:w="1700" w:type="dxa"/>
            <w:vAlign w:val="bottom"/>
            <w:shd w:val="clear" w:color="auto" w:fill="BF2115"/>
          </w:tcPr>
          <w:p>
            <w:pPr>
              <w:jc w:val="center"/>
              <w:ind w:right="139"/>
              <w:spacing w:after="0" w:line="189" w:lineRule="exact"/>
              <w:rPr>
                <w:sz w:val="20"/>
                <w:szCs w:val="20"/>
                <w:color w:val="auto"/>
              </w:rPr>
            </w:pPr>
            <w:r>
              <w:rPr>
                <w:rFonts w:ascii="Arial" w:cs="Arial" w:eastAsia="Arial" w:hAnsi="Arial"/>
                <w:sz w:val="16"/>
                <w:szCs w:val="16"/>
                <w:b w:val="1"/>
                <w:bCs w:val="1"/>
                <w:color w:val="FFFFFF"/>
                <w:w w:val="96"/>
              </w:rPr>
              <w:t>Awards</w:t>
            </w:r>
            <w:r>
              <w:rPr>
                <w:rFonts w:ascii="Arial" w:cs="Arial" w:eastAsia="Arial" w:hAnsi="Arial"/>
                <w:sz w:val="21"/>
                <w:szCs w:val="21"/>
                <w:b w:val="1"/>
                <w:bCs w:val="1"/>
                <w:color w:val="FFFFFF"/>
                <w:w w:val="96"/>
                <w:vertAlign w:val="superscript"/>
              </w:rPr>
              <w:t>(3)</w:t>
            </w:r>
          </w:p>
        </w:tc>
        <w:tc>
          <w:tcPr>
            <w:tcW w:w="1900" w:type="dxa"/>
            <w:vAlign w:val="bottom"/>
            <w:shd w:val="clear" w:color="auto" w:fill="BF2115"/>
          </w:tcPr>
          <w:p>
            <w:pPr>
              <w:jc w:val="center"/>
              <w:ind w:right="139"/>
              <w:spacing w:after="0" w:line="189" w:lineRule="exact"/>
              <w:rPr>
                <w:sz w:val="20"/>
                <w:szCs w:val="20"/>
                <w:color w:val="auto"/>
              </w:rPr>
            </w:pPr>
            <w:r>
              <w:rPr>
                <w:rFonts w:ascii="Arial" w:cs="Arial" w:eastAsia="Arial" w:hAnsi="Arial"/>
                <w:sz w:val="16"/>
                <w:szCs w:val="16"/>
                <w:b w:val="1"/>
                <w:bCs w:val="1"/>
                <w:color w:val="FFFFFF"/>
                <w:w w:val="96"/>
              </w:rPr>
              <w:t>Compensation</w:t>
            </w:r>
            <w:r>
              <w:rPr>
                <w:rFonts w:ascii="Arial" w:cs="Arial" w:eastAsia="Arial" w:hAnsi="Arial"/>
                <w:sz w:val="21"/>
                <w:szCs w:val="21"/>
                <w:b w:val="1"/>
                <w:bCs w:val="1"/>
                <w:color w:val="FFFFFF"/>
                <w:w w:val="96"/>
                <w:vertAlign w:val="superscript"/>
              </w:rPr>
              <w:t>(4)</w:t>
            </w:r>
          </w:p>
        </w:tc>
        <w:tc>
          <w:tcPr>
            <w:tcW w:w="1600" w:type="dxa"/>
            <w:vAlign w:val="bottom"/>
            <w:shd w:val="clear" w:color="auto" w:fill="BF2115"/>
          </w:tcPr>
          <w:p>
            <w:pPr>
              <w:spacing w:after="0"/>
              <w:rPr>
                <w:sz w:val="16"/>
                <w:szCs w:val="16"/>
                <w:color w:val="auto"/>
              </w:rPr>
            </w:pPr>
          </w:p>
        </w:tc>
      </w:tr>
      <w:tr>
        <w:trPr>
          <w:trHeight w:val="234"/>
        </w:trPr>
        <w:tc>
          <w:tcPr>
            <w:tcW w:w="3040" w:type="dxa"/>
            <w:vAlign w:val="bottom"/>
            <w:shd w:val="clear" w:color="auto" w:fill="BF2115"/>
          </w:tcPr>
          <w:p>
            <w:pPr>
              <w:ind w:left="40"/>
              <w:spacing w:after="0"/>
              <w:rPr>
                <w:sz w:val="20"/>
                <w:szCs w:val="20"/>
                <w:color w:val="auto"/>
              </w:rPr>
            </w:pPr>
            <w:r>
              <w:rPr>
                <w:rFonts w:ascii="Arial" w:cs="Arial" w:eastAsia="Arial" w:hAnsi="Arial"/>
                <w:sz w:val="16"/>
                <w:szCs w:val="16"/>
                <w:b w:val="1"/>
                <w:bCs w:val="1"/>
                <w:color w:val="FFFFFF"/>
              </w:rPr>
              <w:t>Director</w:t>
            </w:r>
          </w:p>
        </w:tc>
        <w:tc>
          <w:tcPr>
            <w:tcW w:w="3180" w:type="dxa"/>
            <w:vAlign w:val="bottom"/>
            <w:shd w:val="clear" w:color="auto" w:fill="BF2115"/>
          </w:tcPr>
          <w:p>
            <w:pPr>
              <w:jc w:val="center"/>
              <w:ind w:left="859"/>
              <w:spacing w:after="0"/>
              <w:rPr>
                <w:sz w:val="20"/>
                <w:szCs w:val="20"/>
                <w:color w:val="auto"/>
              </w:rPr>
            </w:pPr>
            <w:r>
              <w:rPr>
                <w:rFonts w:ascii="Arial" w:cs="Arial" w:eastAsia="Arial" w:hAnsi="Arial"/>
                <w:sz w:val="16"/>
                <w:szCs w:val="16"/>
                <w:b w:val="1"/>
                <w:bCs w:val="1"/>
                <w:color w:val="FFFFFF"/>
              </w:rPr>
              <w:t>($)</w:t>
            </w:r>
          </w:p>
        </w:tc>
        <w:tc>
          <w:tcPr>
            <w:tcW w:w="1700" w:type="dxa"/>
            <w:vAlign w:val="bottom"/>
            <w:shd w:val="clear" w:color="auto" w:fill="BF2115"/>
          </w:tcPr>
          <w:p>
            <w:pPr>
              <w:jc w:val="center"/>
              <w:ind w:right="179"/>
              <w:spacing w:after="0"/>
              <w:rPr>
                <w:sz w:val="20"/>
                <w:szCs w:val="20"/>
                <w:color w:val="auto"/>
              </w:rPr>
            </w:pPr>
            <w:r>
              <w:rPr>
                <w:rFonts w:ascii="Arial" w:cs="Arial" w:eastAsia="Arial" w:hAnsi="Arial"/>
                <w:sz w:val="16"/>
                <w:szCs w:val="16"/>
                <w:b w:val="1"/>
                <w:bCs w:val="1"/>
                <w:color w:val="FFFFFF"/>
              </w:rPr>
              <w:t>($)</w:t>
            </w:r>
          </w:p>
        </w:tc>
        <w:tc>
          <w:tcPr>
            <w:tcW w:w="1900" w:type="dxa"/>
            <w:vAlign w:val="bottom"/>
            <w:shd w:val="clear" w:color="auto" w:fill="BF2115"/>
          </w:tcPr>
          <w:p>
            <w:pPr>
              <w:jc w:val="center"/>
              <w:ind w:right="139"/>
              <w:spacing w:after="0"/>
              <w:rPr>
                <w:sz w:val="20"/>
                <w:szCs w:val="20"/>
                <w:color w:val="auto"/>
              </w:rPr>
            </w:pPr>
            <w:r>
              <w:rPr>
                <w:rFonts w:ascii="Arial" w:cs="Arial" w:eastAsia="Arial" w:hAnsi="Arial"/>
                <w:sz w:val="16"/>
                <w:szCs w:val="16"/>
                <w:b w:val="1"/>
                <w:bCs w:val="1"/>
                <w:color w:val="FFFFFF"/>
              </w:rPr>
              <w:t>($)</w:t>
            </w:r>
          </w:p>
        </w:tc>
        <w:tc>
          <w:tcPr>
            <w:tcW w:w="1600" w:type="dxa"/>
            <w:vAlign w:val="bottom"/>
            <w:shd w:val="clear" w:color="auto" w:fill="BF2115"/>
          </w:tcPr>
          <w:p>
            <w:pPr>
              <w:jc w:val="right"/>
              <w:ind w:right="459"/>
              <w:spacing w:after="0"/>
              <w:rPr>
                <w:sz w:val="20"/>
                <w:szCs w:val="20"/>
                <w:color w:val="auto"/>
              </w:rPr>
            </w:pPr>
            <w:r>
              <w:rPr>
                <w:rFonts w:ascii="Arial" w:cs="Arial" w:eastAsia="Arial" w:hAnsi="Arial"/>
                <w:sz w:val="16"/>
                <w:szCs w:val="16"/>
                <w:b w:val="1"/>
                <w:bCs w:val="1"/>
                <w:color w:val="FFFFFF"/>
              </w:rPr>
              <w:t>Total ($)</w:t>
            </w:r>
          </w:p>
        </w:tc>
      </w:tr>
      <w:tr>
        <w:trPr>
          <w:trHeight w:val="270"/>
        </w:trPr>
        <w:tc>
          <w:tcPr>
            <w:tcW w:w="3040" w:type="dxa"/>
            <w:vAlign w:val="bottom"/>
            <w:shd w:val="clear" w:color="auto" w:fill="ACACAC"/>
          </w:tcPr>
          <w:p>
            <w:pPr>
              <w:ind w:left="40"/>
              <w:spacing w:after="0"/>
              <w:rPr>
                <w:sz w:val="20"/>
                <w:szCs w:val="20"/>
                <w:color w:val="auto"/>
              </w:rPr>
            </w:pPr>
            <w:r>
              <w:rPr>
                <w:rFonts w:ascii="Arial" w:cs="Arial" w:eastAsia="Arial" w:hAnsi="Arial"/>
                <w:sz w:val="16"/>
                <w:szCs w:val="16"/>
                <w:color w:val="auto"/>
              </w:rPr>
              <w:t>Christopher J. Braun</w:t>
            </w:r>
          </w:p>
        </w:tc>
        <w:tc>
          <w:tcPr>
            <w:tcW w:w="3180" w:type="dxa"/>
            <w:vAlign w:val="bottom"/>
            <w:shd w:val="clear" w:color="auto" w:fill="ACACAC"/>
          </w:tcPr>
          <w:p>
            <w:pPr>
              <w:jc w:val="right"/>
              <w:ind w:right="299"/>
              <w:spacing w:after="0"/>
              <w:rPr>
                <w:sz w:val="20"/>
                <w:szCs w:val="20"/>
                <w:color w:val="auto"/>
              </w:rPr>
            </w:pPr>
            <w:r>
              <w:rPr>
                <w:rFonts w:ascii="Arial" w:cs="Arial" w:eastAsia="Arial" w:hAnsi="Arial"/>
                <w:sz w:val="16"/>
                <w:szCs w:val="16"/>
                <w:color w:val="auto"/>
              </w:rPr>
              <w:t>75,000</w:t>
            </w:r>
          </w:p>
        </w:tc>
        <w:tc>
          <w:tcPr>
            <w:tcW w:w="1700" w:type="dxa"/>
            <w:vAlign w:val="bottom"/>
            <w:shd w:val="clear" w:color="auto" w:fill="ACACAC"/>
          </w:tcPr>
          <w:p>
            <w:pPr>
              <w:jc w:val="right"/>
              <w:ind w:right="139"/>
              <w:spacing w:after="0"/>
              <w:rPr>
                <w:sz w:val="20"/>
                <w:szCs w:val="20"/>
                <w:color w:val="auto"/>
              </w:rPr>
            </w:pPr>
            <w:r>
              <w:rPr>
                <w:rFonts w:ascii="Arial" w:cs="Arial" w:eastAsia="Arial" w:hAnsi="Arial"/>
                <w:sz w:val="16"/>
                <w:szCs w:val="16"/>
                <w:color w:val="auto"/>
              </w:rPr>
              <w:t>95,016</w:t>
            </w:r>
          </w:p>
        </w:tc>
        <w:tc>
          <w:tcPr>
            <w:tcW w:w="1900" w:type="dxa"/>
            <w:vAlign w:val="bottom"/>
            <w:shd w:val="clear" w:color="auto" w:fill="ACACAC"/>
          </w:tcPr>
          <w:p>
            <w:pPr>
              <w:jc w:val="center"/>
              <w:ind w:right="139"/>
              <w:spacing w:after="0"/>
              <w:rPr>
                <w:sz w:val="20"/>
                <w:szCs w:val="20"/>
                <w:color w:val="auto"/>
              </w:rPr>
            </w:pPr>
            <w:r>
              <w:rPr>
                <w:rFonts w:ascii="Arial" w:cs="Arial" w:eastAsia="Arial" w:hAnsi="Arial"/>
                <w:sz w:val="16"/>
                <w:szCs w:val="16"/>
                <w:color w:val="auto"/>
                <w:w w:val="99"/>
              </w:rPr>
              <w:t>—</w:t>
            </w:r>
          </w:p>
        </w:tc>
        <w:tc>
          <w:tcPr>
            <w:tcW w:w="1600" w:type="dxa"/>
            <w:vAlign w:val="bottom"/>
            <w:shd w:val="clear" w:color="auto" w:fill="ACACAC"/>
          </w:tcPr>
          <w:p>
            <w:pPr>
              <w:jc w:val="right"/>
              <w:ind w:right="19"/>
              <w:spacing w:after="0"/>
              <w:rPr>
                <w:sz w:val="20"/>
                <w:szCs w:val="20"/>
                <w:color w:val="auto"/>
              </w:rPr>
            </w:pPr>
            <w:r>
              <w:rPr>
                <w:rFonts w:ascii="Arial" w:cs="Arial" w:eastAsia="Arial" w:hAnsi="Arial"/>
                <w:sz w:val="16"/>
                <w:szCs w:val="16"/>
                <w:color w:val="auto"/>
              </w:rPr>
              <w:t>170,016</w:t>
            </w:r>
          </w:p>
        </w:tc>
      </w:tr>
      <w:tr>
        <w:trPr>
          <w:trHeight w:val="260"/>
        </w:trPr>
        <w:tc>
          <w:tcPr>
            <w:tcW w:w="3040" w:type="dxa"/>
            <w:vAlign w:val="bottom"/>
          </w:tcPr>
          <w:p>
            <w:pPr>
              <w:ind w:left="40"/>
              <w:spacing w:after="0"/>
              <w:rPr>
                <w:sz w:val="20"/>
                <w:szCs w:val="20"/>
                <w:color w:val="auto"/>
              </w:rPr>
            </w:pPr>
            <w:r>
              <w:rPr>
                <w:rFonts w:ascii="Arial" w:cs="Arial" w:eastAsia="Arial" w:hAnsi="Arial"/>
                <w:sz w:val="16"/>
                <w:szCs w:val="16"/>
                <w:color w:val="auto"/>
              </w:rPr>
              <w:t>Robert M. Chiusano</w:t>
            </w:r>
          </w:p>
        </w:tc>
        <w:tc>
          <w:tcPr>
            <w:tcW w:w="3180" w:type="dxa"/>
            <w:vAlign w:val="bottom"/>
          </w:tcPr>
          <w:p>
            <w:pPr>
              <w:jc w:val="right"/>
              <w:ind w:right="299"/>
              <w:spacing w:after="0"/>
              <w:rPr>
                <w:sz w:val="20"/>
                <w:szCs w:val="20"/>
                <w:color w:val="auto"/>
              </w:rPr>
            </w:pPr>
            <w:r>
              <w:rPr>
                <w:rFonts w:ascii="Arial" w:cs="Arial" w:eastAsia="Arial" w:hAnsi="Arial"/>
                <w:sz w:val="16"/>
                <w:szCs w:val="16"/>
                <w:color w:val="auto"/>
              </w:rPr>
              <w:t>115,000</w:t>
            </w:r>
          </w:p>
        </w:tc>
        <w:tc>
          <w:tcPr>
            <w:tcW w:w="1700" w:type="dxa"/>
            <w:vAlign w:val="bottom"/>
          </w:tcPr>
          <w:p>
            <w:pPr>
              <w:jc w:val="right"/>
              <w:ind w:right="139"/>
              <w:spacing w:after="0"/>
              <w:rPr>
                <w:sz w:val="20"/>
                <w:szCs w:val="20"/>
                <w:color w:val="auto"/>
              </w:rPr>
            </w:pPr>
            <w:r>
              <w:rPr>
                <w:rFonts w:ascii="Arial" w:cs="Arial" w:eastAsia="Arial" w:hAnsi="Arial"/>
                <w:sz w:val="16"/>
                <w:szCs w:val="16"/>
                <w:color w:val="auto"/>
              </w:rPr>
              <w:t>95,016</w:t>
            </w:r>
          </w:p>
        </w:tc>
        <w:tc>
          <w:tcPr>
            <w:tcW w:w="1900" w:type="dxa"/>
            <w:vAlign w:val="bottom"/>
          </w:tcPr>
          <w:p>
            <w:pPr>
              <w:jc w:val="center"/>
              <w:ind w:right="139"/>
              <w:spacing w:after="0"/>
              <w:rPr>
                <w:sz w:val="20"/>
                <w:szCs w:val="20"/>
                <w:color w:val="auto"/>
              </w:rPr>
            </w:pPr>
            <w:r>
              <w:rPr>
                <w:rFonts w:ascii="Arial" w:cs="Arial" w:eastAsia="Arial" w:hAnsi="Arial"/>
                <w:sz w:val="16"/>
                <w:szCs w:val="16"/>
                <w:color w:val="auto"/>
                <w:w w:val="99"/>
              </w:rPr>
              <w:t>—</w:t>
            </w:r>
          </w:p>
        </w:tc>
        <w:tc>
          <w:tcPr>
            <w:tcW w:w="1600" w:type="dxa"/>
            <w:vAlign w:val="bottom"/>
          </w:tcPr>
          <w:p>
            <w:pPr>
              <w:jc w:val="right"/>
              <w:ind w:right="19"/>
              <w:spacing w:after="0"/>
              <w:rPr>
                <w:sz w:val="20"/>
                <w:szCs w:val="20"/>
                <w:color w:val="auto"/>
              </w:rPr>
            </w:pPr>
            <w:r>
              <w:rPr>
                <w:rFonts w:ascii="Arial" w:cs="Arial" w:eastAsia="Arial" w:hAnsi="Arial"/>
                <w:sz w:val="16"/>
                <w:szCs w:val="16"/>
                <w:color w:val="auto"/>
              </w:rPr>
              <w:t>210,016</w:t>
            </w:r>
          </w:p>
        </w:tc>
      </w:tr>
      <w:tr>
        <w:trPr>
          <w:trHeight w:val="280"/>
        </w:trPr>
        <w:tc>
          <w:tcPr>
            <w:tcW w:w="3040" w:type="dxa"/>
            <w:vAlign w:val="bottom"/>
            <w:shd w:val="clear" w:color="auto" w:fill="ACACAC"/>
          </w:tcPr>
          <w:p>
            <w:pPr>
              <w:ind w:left="40"/>
              <w:spacing w:after="0"/>
              <w:rPr>
                <w:sz w:val="20"/>
                <w:szCs w:val="20"/>
                <w:color w:val="auto"/>
              </w:rPr>
            </w:pPr>
            <w:r>
              <w:rPr>
                <w:rFonts w:ascii="Arial" w:cs="Arial" w:eastAsia="Arial" w:hAnsi="Arial"/>
                <w:sz w:val="16"/>
                <w:szCs w:val="16"/>
                <w:color w:val="auto"/>
              </w:rPr>
              <w:t>William C. Fisher</w:t>
            </w:r>
          </w:p>
        </w:tc>
        <w:tc>
          <w:tcPr>
            <w:tcW w:w="3180" w:type="dxa"/>
            <w:vAlign w:val="bottom"/>
            <w:shd w:val="clear" w:color="auto" w:fill="ACACAC"/>
          </w:tcPr>
          <w:p>
            <w:pPr>
              <w:jc w:val="right"/>
              <w:ind w:right="299"/>
              <w:spacing w:after="0"/>
              <w:rPr>
                <w:sz w:val="20"/>
                <w:szCs w:val="20"/>
                <w:color w:val="auto"/>
              </w:rPr>
            </w:pPr>
            <w:r>
              <w:rPr>
                <w:rFonts w:ascii="Arial" w:cs="Arial" w:eastAsia="Arial" w:hAnsi="Arial"/>
                <w:sz w:val="16"/>
                <w:szCs w:val="16"/>
                <w:color w:val="auto"/>
              </w:rPr>
              <w:t>80,000</w:t>
            </w:r>
          </w:p>
        </w:tc>
        <w:tc>
          <w:tcPr>
            <w:tcW w:w="1700" w:type="dxa"/>
            <w:vAlign w:val="bottom"/>
            <w:shd w:val="clear" w:color="auto" w:fill="ACACAC"/>
          </w:tcPr>
          <w:p>
            <w:pPr>
              <w:jc w:val="right"/>
              <w:ind w:right="139"/>
              <w:spacing w:after="0"/>
              <w:rPr>
                <w:sz w:val="20"/>
                <w:szCs w:val="20"/>
                <w:color w:val="auto"/>
              </w:rPr>
            </w:pPr>
            <w:r>
              <w:rPr>
                <w:rFonts w:ascii="Arial" w:cs="Arial" w:eastAsia="Arial" w:hAnsi="Arial"/>
                <w:sz w:val="16"/>
                <w:szCs w:val="16"/>
                <w:color w:val="auto"/>
              </w:rPr>
              <w:t>95,016</w:t>
            </w:r>
          </w:p>
        </w:tc>
        <w:tc>
          <w:tcPr>
            <w:tcW w:w="1900" w:type="dxa"/>
            <w:vAlign w:val="bottom"/>
            <w:shd w:val="clear" w:color="auto" w:fill="ACACAC"/>
          </w:tcPr>
          <w:p>
            <w:pPr>
              <w:jc w:val="center"/>
              <w:ind w:right="139"/>
              <w:spacing w:after="0"/>
              <w:rPr>
                <w:sz w:val="20"/>
                <w:szCs w:val="20"/>
                <w:color w:val="auto"/>
              </w:rPr>
            </w:pPr>
            <w:r>
              <w:rPr>
                <w:rFonts w:ascii="Arial" w:cs="Arial" w:eastAsia="Arial" w:hAnsi="Arial"/>
                <w:sz w:val="16"/>
                <w:szCs w:val="16"/>
                <w:color w:val="auto"/>
                <w:w w:val="99"/>
              </w:rPr>
              <w:t>—</w:t>
            </w:r>
          </w:p>
        </w:tc>
        <w:tc>
          <w:tcPr>
            <w:tcW w:w="1600" w:type="dxa"/>
            <w:vAlign w:val="bottom"/>
            <w:shd w:val="clear" w:color="auto" w:fill="ACACAC"/>
          </w:tcPr>
          <w:p>
            <w:pPr>
              <w:jc w:val="right"/>
              <w:ind w:right="19"/>
              <w:spacing w:after="0"/>
              <w:rPr>
                <w:sz w:val="20"/>
                <w:szCs w:val="20"/>
                <w:color w:val="auto"/>
              </w:rPr>
            </w:pPr>
            <w:r>
              <w:rPr>
                <w:rFonts w:ascii="Arial" w:cs="Arial" w:eastAsia="Arial" w:hAnsi="Arial"/>
                <w:sz w:val="16"/>
                <w:szCs w:val="16"/>
                <w:color w:val="auto"/>
              </w:rPr>
              <w:t>175,016</w:t>
            </w:r>
          </w:p>
        </w:tc>
      </w:tr>
      <w:tr>
        <w:trPr>
          <w:trHeight w:val="260"/>
        </w:trPr>
        <w:tc>
          <w:tcPr>
            <w:tcW w:w="3040" w:type="dxa"/>
            <w:vAlign w:val="bottom"/>
          </w:tcPr>
          <w:p>
            <w:pPr>
              <w:ind w:left="40"/>
              <w:spacing w:after="0"/>
              <w:rPr>
                <w:sz w:val="20"/>
                <w:szCs w:val="20"/>
                <w:color w:val="auto"/>
              </w:rPr>
            </w:pPr>
            <w:r>
              <w:rPr>
                <w:rFonts w:ascii="Arial" w:cs="Arial" w:eastAsia="Arial" w:hAnsi="Arial"/>
                <w:sz w:val="16"/>
                <w:szCs w:val="16"/>
                <w:color w:val="auto"/>
              </w:rPr>
              <w:t>David W. Miles</w:t>
            </w:r>
          </w:p>
        </w:tc>
        <w:tc>
          <w:tcPr>
            <w:tcW w:w="3180" w:type="dxa"/>
            <w:vAlign w:val="bottom"/>
          </w:tcPr>
          <w:p>
            <w:pPr>
              <w:jc w:val="right"/>
              <w:ind w:right="299"/>
              <w:spacing w:after="0"/>
              <w:rPr>
                <w:sz w:val="20"/>
                <w:szCs w:val="20"/>
                <w:color w:val="auto"/>
              </w:rPr>
            </w:pPr>
            <w:r>
              <w:rPr>
                <w:rFonts w:ascii="Arial" w:cs="Arial" w:eastAsia="Arial" w:hAnsi="Arial"/>
                <w:sz w:val="16"/>
                <w:szCs w:val="16"/>
                <w:color w:val="auto"/>
              </w:rPr>
              <w:t>80,000</w:t>
            </w:r>
          </w:p>
        </w:tc>
        <w:tc>
          <w:tcPr>
            <w:tcW w:w="1700" w:type="dxa"/>
            <w:vAlign w:val="bottom"/>
          </w:tcPr>
          <w:p>
            <w:pPr>
              <w:jc w:val="right"/>
              <w:ind w:right="139"/>
              <w:spacing w:after="0"/>
              <w:rPr>
                <w:sz w:val="20"/>
                <w:szCs w:val="20"/>
                <w:color w:val="auto"/>
              </w:rPr>
            </w:pPr>
            <w:r>
              <w:rPr>
                <w:rFonts w:ascii="Arial" w:cs="Arial" w:eastAsia="Arial" w:hAnsi="Arial"/>
                <w:sz w:val="16"/>
                <w:szCs w:val="16"/>
                <w:color w:val="auto"/>
              </w:rPr>
              <w:t>95,016</w:t>
            </w:r>
          </w:p>
        </w:tc>
        <w:tc>
          <w:tcPr>
            <w:tcW w:w="1900" w:type="dxa"/>
            <w:vAlign w:val="bottom"/>
          </w:tcPr>
          <w:p>
            <w:pPr>
              <w:jc w:val="center"/>
              <w:ind w:right="139"/>
              <w:spacing w:after="0"/>
              <w:rPr>
                <w:sz w:val="20"/>
                <w:szCs w:val="20"/>
                <w:color w:val="auto"/>
              </w:rPr>
            </w:pPr>
            <w:r>
              <w:rPr>
                <w:rFonts w:ascii="Arial" w:cs="Arial" w:eastAsia="Arial" w:hAnsi="Arial"/>
                <w:sz w:val="16"/>
                <w:szCs w:val="16"/>
                <w:color w:val="auto"/>
                <w:w w:val="99"/>
              </w:rPr>
              <w:t>—</w:t>
            </w:r>
          </w:p>
        </w:tc>
        <w:tc>
          <w:tcPr>
            <w:tcW w:w="1600" w:type="dxa"/>
            <w:vAlign w:val="bottom"/>
          </w:tcPr>
          <w:p>
            <w:pPr>
              <w:jc w:val="right"/>
              <w:ind w:right="19"/>
              <w:spacing w:after="0"/>
              <w:rPr>
                <w:sz w:val="20"/>
                <w:szCs w:val="20"/>
                <w:color w:val="auto"/>
              </w:rPr>
            </w:pPr>
            <w:r>
              <w:rPr>
                <w:rFonts w:ascii="Arial" w:cs="Arial" w:eastAsia="Arial" w:hAnsi="Arial"/>
                <w:sz w:val="16"/>
                <w:szCs w:val="16"/>
                <w:color w:val="auto"/>
              </w:rPr>
              <w:t>175,016</w:t>
            </w:r>
          </w:p>
        </w:tc>
      </w:tr>
      <w:tr>
        <w:trPr>
          <w:trHeight w:val="280"/>
        </w:trPr>
        <w:tc>
          <w:tcPr>
            <w:tcW w:w="3040" w:type="dxa"/>
            <w:vAlign w:val="bottom"/>
            <w:shd w:val="clear" w:color="auto" w:fill="ACACAC"/>
          </w:tcPr>
          <w:p>
            <w:pPr>
              <w:ind w:left="40"/>
              <w:spacing w:after="0"/>
              <w:rPr>
                <w:sz w:val="20"/>
                <w:szCs w:val="20"/>
                <w:color w:val="auto"/>
              </w:rPr>
            </w:pPr>
            <w:r>
              <w:rPr>
                <w:rFonts w:ascii="Arial" w:cs="Arial" w:eastAsia="Arial" w:hAnsi="Arial"/>
                <w:sz w:val="16"/>
                <w:szCs w:val="16"/>
                <w:color w:val="auto"/>
              </w:rPr>
              <w:t>Richard D. Moss</w:t>
            </w:r>
          </w:p>
        </w:tc>
        <w:tc>
          <w:tcPr>
            <w:tcW w:w="3180" w:type="dxa"/>
            <w:vAlign w:val="bottom"/>
            <w:shd w:val="clear" w:color="auto" w:fill="ACACAC"/>
          </w:tcPr>
          <w:p>
            <w:pPr>
              <w:jc w:val="right"/>
              <w:ind w:right="299"/>
              <w:spacing w:after="0"/>
              <w:rPr>
                <w:sz w:val="20"/>
                <w:szCs w:val="20"/>
                <w:color w:val="auto"/>
              </w:rPr>
            </w:pPr>
            <w:r>
              <w:rPr>
                <w:rFonts w:ascii="Arial" w:cs="Arial" w:eastAsia="Arial" w:hAnsi="Arial"/>
                <w:sz w:val="16"/>
                <w:szCs w:val="16"/>
                <w:color w:val="auto"/>
              </w:rPr>
              <w:t>82,500</w:t>
            </w:r>
          </w:p>
        </w:tc>
        <w:tc>
          <w:tcPr>
            <w:tcW w:w="1700" w:type="dxa"/>
            <w:vAlign w:val="bottom"/>
            <w:shd w:val="clear" w:color="auto" w:fill="ACACAC"/>
          </w:tcPr>
          <w:p>
            <w:pPr>
              <w:jc w:val="right"/>
              <w:ind w:right="139"/>
              <w:spacing w:after="0"/>
              <w:rPr>
                <w:sz w:val="20"/>
                <w:szCs w:val="20"/>
                <w:color w:val="auto"/>
              </w:rPr>
            </w:pPr>
            <w:r>
              <w:rPr>
                <w:rFonts w:ascii="Arial" w:cs="Arial" w:eastAsia="Arial" w:hAnsi="Arial"/>
                <w:sz w:val="16"/>
                <w:szCs w:val="16"/>
                <w:color w:val="auto"/>
              </w:rPr>
              <w:t>95,016</w:t>
            </w:r>
          </w:p>
        </w:tc>
        <w:tc>
          <w:tcPr>
            <w:tcW w:w="1900" w:type="dxa"/>
            <w:vAlign w:val="bottom"/>
            <w:shd w:val="clear" w:color="auto" w:fill="ACACAC"/>
          </w:tcPr>
          <w:p>
            <w:pPr>
              <w:jc w:val="center"/>
              <w:ind w:right="139"/>
              <w:spacing w:after="0"/>
              <w:rPr>
                <w:sz w:val="20"/>
                <w:szCs w:val="20"/>
                <w:color w:val="auto"/>
              </w:rPr>
            </w:pPr>
            <w:r>
              <w:rPr>
                <w:rFonts w:ascii="Arial" w:cs="Arial" w:eastAsia="Arial" w:hAnsi="Arial"/>
                <w:sz w:val="16"/>
                <w:szCs w:val="16"/>
                <w:color w:val="auto"/>
                <w:w w:val="99"/>
              </w:rPr>
              <w:t>—</w:t>
            </w:r>
          </w:p>
        </w:tc>
        <w:tc>
          <w:tcPr>
            <w:tcW w:w="1600" w:type="dxa"/>
            <w:vAlign w:val="bottom"/>
            <w:shd w:val="clear" w:color="auto" w:fill="ACACAC"/>
          </w:tcPr>
          <w:p>
            <w:pPr>
              <w:jc w:val="right"/>
              <w:ind w:right="19"/>
              <w:spacing w:after="0"/>
              <w:rPr>
                <w:sz w:val="20"/>
                <w:szCs w:val="20"/>
                <w:color w:val="auto"/>
              </w:rPr>
            </w:pPr>
            <w:r>
              <w:rPr>
                <w:rFonts w:ascii="Arial" w:cs="Arial" w:eastAsia="Arial" w:hAnsi="Arial"/>
                <w:sz w:val="16"/>
                <w:szCs w:val="16"/>
                <w:color w:val="auto"/>
              </w:rPr>
              <w:t>177,516</w:t>
            </w:r>
          </w:p>
        </w:tc>
      </w:tr>
      <w:tr>
        <w:trPr>
          <w:trHeight w:val="260"/>
        </w:trPr>
        <w:tc>
          <w:tcPr>
            <w:tcW w:w="3040" w:type="dxa"/>
            <w:vAlign w:val="bottom"/>
          </w:tcPr>
          <w:p>
            <w:pPr>
              <w:ind w:left="40"/>
              <w:spacing w:after="0"/>
              <w:rPr>
                <w:sz w:val="20"/>
                <w:szCs w:val="20"/>
                <w:color w:val="auto"/>
              </w:rPr>
            </w:pPr>
            <w:r>
              <w:rPr>
                <w:rFonts w:ascii="Arial" w:cs="Arial" w:eastAsia="Arial" w:hAnsi="Arial"/>
                <w:sz w:val="16"/>
                <w:szCs w:val="16"/>
                <w:color w:val="auto"/>
              </w:rPr>
              <w:t>John M. Murabito</w:t>
            </w:r>
          </w:p>
        </w:tc>
        <w:tc>
          <w:tcPr>
            <w:tcW w:w="3180" w:type="dxa"/>
            <w:vAlign w:val="bottom"/>
          </w:tcPr>
          <w:p>
            <w:pPr>
              <w:jc w:val="right"/>
              <w:ind w:right="299"/>
              <w:spacing w:after="0"/>
              <w:rPr>
                <w:sz w:val="20"/>
                <w:szCs w:val="20"/>
                <w:color w:val="auto"/>
              </w:rPr>
            </w:pPr>
            <w:r>
              <w:rPr>
                <w:rFonts w:ascii="Arial" w:cs="Arial" w:eastAsia="Arial" w:hAnsi="Arial"/>
                <w:sz w:val="16"/>
                <w:szCs w:val="16"/>
                <w:color w:val="auto"/>
              </w:rPr>
              <w:t>78,750</w:t>
            </w:r>
          </w:p>
        </w:tc>
        <w:tc>
          <w:tcPr>
            <w:tcW w:w="1700" w:type="dxa"/>
            <w:vAlign w:val="bottom"/>
          </w:tcPr>
          <w:p>
            <w:pPr>
              <w:jc w:val="right"/>
              <w:ind w:right="139"/>
              <w:spacing w:after="0"/>
              <w:rPr>
                <w:sz w:val="20"/>
                <w:szCs w:val="20"/>
                <w:color w:val="auto"/>
              </w:rPr>
            </w:pPr>
            <w:r>
              <w:rPr>
                <w:rFonts w:ascii="Arial" w:cs="Arial" w:eastAsia="Arial" w:hAnsi="Arial"/>
                <w:sz w:val="16"/>
                <w:szCs w:val="16"/>
                <w:color w:val="auto"/>
              </w:rPr>
              <w:t>95,016</w:t>
            </w:r>
          </w:p>
        </w:tc>
        <w:tc>
          <w:tcPr>
            <w:tcW w:w="1900" w:type="dxa"/>
            <w:vAlign w:val="bottom"/>
          </w:tcPr>
          <w:p>
            <w:pPr>
              <w:jc w:val="center"/>
              <w:ind w:right="139"/>
              <w:spacing w:after="0"/>
              <w:rPr>
                <w:sz w:val="20"/>
                <w:szCs w:val="20"/>
                <w:color w:val="auto"/>
              </w:rPr>
            </w:pPr>
            <w:r>
              <w:rPr>
                <w:rFonts w:ascii="Arial" w:cs="Arial" w:eastAsia="Arial" w:hAnsi="Arial"/>
                <w:sz w:val="16"/>
                <w:szCs w:val="16"/>
                <w:color w:val="auto"/>
                <w:w w:val="99"/>
              </w:rPr>
              <w:t>—</w:t>
            </w:r>
          </w:p>
        </w:tc>
        <w:tc>
          <w:tcPr>
            <w:tcW w:w="1600" w:type="dxa"/>
            <w:vAlign w:val="bottom"/>
          </w:tcPr>
          <w:p>
            <w:pPr>
              <w:jc w:val="right"/>
              <w:ind w:right="19"/>
              <w:spacing w:after="0"/>
              <w:rPr>
                <w:sz w:val="20"/>
                <w:szCs w:val="20"/>
                <w:color w:val="auto"/>
              </w:rPr>
            </w:pPr>
            <w:r>
              <w:rPr>
                <w:rFonts w:ascii="Arial" w:cs="Arial" w:eastAsia="Arial" w:hAnsi="Arial"/>
                <w:sz w:val="16"/>
                <w:szCs w:val="16"/>
                <w:color w:val="auto"/>
              </w:rPr>
              <w:t>173,766</w:t>
            </w:r>
          </w:p>
        </w:tc>
      </w:tr>
      <w:tr>
        <w:trPr>
          <w:trHeight w:val="280"/>
        </w:trPr>
        <w:tc>
          <w:tcPr>
            <w:tcW w:w="3040" w:type="dxa"/>
            <w:vAlign w:val="bottom"/>
            <w:shd w:val="clear" w:color="auto" w:fill="ACACAC"/>
          </w:tcPr>
          <w:p>
            <w:pPr>
              <w:ind w:left="40"/>
              <w:spacing w:after="0"/>
              <w:rPr>
                <w:sz w:val="20"/>
                <w:szCs w:val="20"/>
                <w:color w:val="auto"/>
              </w:rPr>
            </w:pPr>
            <w:r>
              <w:rPr>
                <w:rFonts w:ascii="Arial" w:cs="Arial" w:eastAsia="Arial" w:hAnsi="Arial"/>
                <w:sz w:val="16"/>
                <w:szCs w:val="16"/>
                <w:color w:val="auto"/>
              </w:rPr>
              <w:t>Martha T. Rodamaker</w:t>
            </w:r>
          </w:p>
        </w:tc>
        <w:tc>
          <w:tcPr>
            <w:tcW w:w="3180" w:type="dxa"/>
            <w:vAlign w:val="bottom"/>
            <w:shd w:val="clear" w:color="auto" w:fill="ACACAC"/>
          </w:tcPr>
          <w:p>
            <w:pPr>
              <w:jc w:val="right"/>
              <w:ind w:right="299"/>
              <w:spacing w:after="0"/>
              <w:rPr>
                <w:sz w:val="20"/>
                <w:szCs w:val="20"/>
                <w:color w:val="auto"/>
              </w:rPr>
            </w:pPr>
            <w:r>
              <w:rPr>
                <w:rFonts w:ascii="Arial" w:cs="Arial" w:eastAsia="Arial" w:hAnsi="Arial"/>
                <w:sz w:val="16"/>
                <w:szCs w:val="16"/>
                <w:color w:val="auto"/>
              </w:rPr>
              <w:t>76,250</w:t>
            </w:r>
          </w:p>
        </w:tc>
        <w:tc>
          <w:tcPr>
            <w:tcW w:w="1700" w:type="dxa"/>
            <w:vAlign w:val="bottom"/>
            <w:shd w:val="clear" w:color="auto" w:fill="ACACAC"/>
          </w:tcPr>
          <w:p>
            <w:pPr>
              <w:jc w:val="right"/>
              <w:ind w:right="139"/>
              <w:spacing w:after="0"/>
              <w:rPr>
                <w:sz w:val="20"/>
                <w:szCs w:val="20"/>
                <w:color w:val="auto"/>
              </w:rPr>
            </w:pPr>
            <w:r>
              <w:rPr>
                <w:rFonts w:ascii="Arial" w:cs="Arial" w:eastAsia="Arial" w:hAnsi="Arial"/>
                <w:sz w:val="16"/>
                <w:szCs w:val="16"/>
                <w:color w:val="auto"/>
              </w:rPr>
              <w:t>95,016</w:t>
            </w:r>
          </w:p>
        </w:tc>
        <w:tc>
          <w:tcPr>
            <w:tcW w:w="1900" w:type="dxa"/>
            <w:vAlign w:val="bottom"/>
            <w:shd w:val="clear" w:color="auto" w:fill="ACACAC"/>
          </w:tcPr>
          <w:p>
            <w:pPr>
              <w:jc w:val="center"/>
              <w:ind w:right="139"/>
              <w:spacing w:after="0"/>
              <w:rPr>
                <w:sz w:val="20"/>
                <w:szCs w:val="20"/>
                <w:color w:val="auto"/>
              </w:rPr>
            </w:pPr>
            <w:r>
              <w:rPr>
                <w:rFonts w:ascii="Arial" w:cs="Arial" w:eastAsia="Arial" w:hAnsi="Arial"/>
                <w:sz w:val="16"/>
                <w:szCs w:val="16"/>
                <w:color w:val="auto"/>
                <w:w w:val="99"/>
              </w:rPr>
              <w:t>—</w:t>
            </w:r>
          </w:p>
        </w:tc>
        <w:tc>
          <w:tcPr>
            <w:tcW w:w="1600" w:type="dxa"/>
            <w:vAlign w:val="bottom"/>
            <w:shd w:val="clear" w:color="auto" w:fill="ACACAC"/>
          </w:tcPr>
          <w:p>
            <w:pPr>
              <w:jc w:val="right"/>
              <w:ind w:right="19"/>
              <w:spacing w:after="0"/>
              <w:rPr>
                <w:sz w:val="20"/>
                <w:szCs w:val="20"/>
                <w:color w:val="auto"/>
              </w:rPr>
            </w:pPr>
            <w:r>
              <w:rPr>
                <w:rFonts w:ascii="Arial" w:cs="Arial" w:eastAsia="Arial" w:hAnsi="Arial"/>
                <w:sz w:val="16"/>
                <w:szCs w:val="16"/>
                <w:color w:val="auto"/>
              </w:rPr>
              <w:t>171,266</w:t>
            </w:r>
          </w:p>
        </w:tc>
      </w:tr>
      <w:tr>
        <w:trPr>
          <w:trHeight w:val="275"/>
        </w:trPr>
        <w:tc>
          <w:tcPr>
            <w:tcW w:w="3040" w:type="dxa"/>
            <w:vAlign w:val="bottom"/>
          </w:tcPr>
          <w:p>
            <w:pPr>
              <w:ind w:left="40"/>
              <w:spacing w:after="0"/>
              <w:rPr>
                <w:sz w:val="20"/>
                <w:szCs w:val="20"/>
                <w:color w:val="auto"/>
              </w:rPr>
            </w:pPr>
            <w:r>
              <w:rPr>
                <w:rFonts w:ascii="Arial" w:cs="Arial" w:eastAsia="Arial" w:hAnsi="Arial"/>
                <w:sz w:val="16"/>
                <w:szCs w:val="16"/>
                <w:color w:val="auto"/>
              </w:rPr>
              <w:t>Mark T. Schroepfer</w:t>
            </w:r>
            <w:r>
              <w:rPr>
                <w:rFonts w:ascii="Arial" w:cs="Arial" w:eastAsia="Arial" w:hAnsi="Arial"/>
                <w:sz w:val="21"/>
                <w:szCs w:val="21"/>
                <w:color w:val="auto"/>
                <w:vertAlign w:val="superscript"/>
              </w:rPr>
              <w:t>(5)</w:t>
            </w:r>
          </w:p>
        </w:tc>
        <w:tc>
          <w:tcPr>
            <w:tcW w:w="3180" w:type="dxa"/>
            <w:vAlign w:val="bottom"/>
          </w:tcPr>
          <w:p>
            <w:pPr>
              <w:jc w:val="right"/>
              <w:ind w:right="299"/>
              <w:spacing w:after="0"/>
              <w:rPr>
                <w:sz w:val="20"/>
                <w:szCs w:val="20"/>
                <w:color w:val="auto"/>
              </w:rPr>
            </w:pPr>
            <w:r>
              <w:rPr>
                <w:rFonts w:ascii="Arial" w:cs="Arial" w:eastAsia="Arial" w:hAnsi="Arial"/>
                <w:sz w:val="16"/>
                <w:szCs w:val="16"/>
                <w:color w:val="auto"/>
              </w:rPr>
              <w:t>23,669</w:t>
            </w:r>
          </w:p>
        </w:tc>
        <w:tc>
          <w:tcPr>
            <w:tcW w:w="1700" w:type="dxa"/>
            <w:vAlign w:val="bottom"/>
          </w:tcPr>
          <w:p>
            <w:pPr>
              <w:jc w:val="right"/>
              <w:ind w:right="139"/>
              <w:spacing w:after="0"/>
              <w:rPr>
                <w:sz w:val="20"/>
                <w:szCs w:val="20"/>
                <w:color w:val="auto"/>
              </w:rPr>
            </w:pPr>
            <w:r>
              <w:rPr>
                <w:rFonts w:ascii="Arial" w:cs="Arial" w:eastAsia="Arial" w:hAnsi="Arial"/>
                <w:sz w:val="16"/>
                <w:szCs w:val="16"/>
                <w:color w:val="auto"/>
              </w:rPr>
              <w:t>113,634</w:t>
            </w:r>
          </w:p>
        </w:tc>
        <w:tc>
          <w:tcPr>
            <w:tcW w:w="1900" w:type="dxa"/>
            <w:vAlign w:val="bottom"/>
          </w:tcPr>
          <w:p>
            <w:pPr>
              <w:jc w:val="center"/>
              <w:ind w:right="139"/>
              <w:spacing w:after="0"/>
              <w:rPr>
                <w:sz w:val="20"/>
                <w:szCs w:val="20"/>
                <w:color w:val="auto"/>
              </w:rPr>
            </w:pPr>
            <w:r>
              <w:rPr>
                <w:rFonts w:ascii="Arial" w:cs="Arial" w:eastAsia="Arial" w:hAnsi="Arial"/>
                <w:sz w:val="16"/>
                <w:szCs w:val="16"/>
                <w:color w:val="auto"/>
                <w:w w:val="98"/>
              </w:rPr>
              <w:t>17,593</w:t>
            </w:r>
          </w:p>
        </w:tc>
        <w:tc>
          <w:tcPr>
            <w:tcW w:w="1600" w:type="dxa"/>
            <w:vAlign w:val="bottom"/>
          </w:tcPr>
          <w:p>
            <w:pPr>
              <w:jc w:val="right"/>
              <w:ind w:right="19"/>
              <w:spacing w:after="0"/>
              <w:rPr>
                <w:sz w:val="20"/>
                <w:szCs w:val="20"/>
                <w:color w:val="auto"/>
              </w:rPr>
            </w:pPr>
            <w:r>
              <w:rPr>
                <w:rFonts w:ascii="Arial" w:cs="Arial" w:eastAsia="Arial" w:hAnsi="Arial"/>
                <w:sz w:val="16"/>
                <w:szCs w:val="16"/>
                <w:color w:val="auto"/>
              </w:rPr>
              <w:t>154,896</w:t>
            </w:r>
          </w:p>
        </w:tc>
      </w:tr>
    </w:tbl>
    <w:p>
      <w:pPr>
        <w:ind w:left="340" w:hanging="332"/>
        <w:spacing w:after="0"/>
        <w:tabs>
          <w:tab w:leader="none" w:pos="340" w:val="left"/>
        </w:tabs>
        <w:numPr>
          <w:ilvl w:val="0"/>
          <w:numId w:val="14"/>
        </w:numPr>
        <w:rPr>
          <w:rFonts w:ascii="Arial" w:cs="Arial" w:eastAsia="Arial" w:hAnsi="Arial"/>
          <w:sz w:val="13"/>
          <w:szCs w:val="13"/>
          <w:color w:val="auto"/>
        </w:rPr>
      </w:pPr>
      <w:r>
        <w:rPr>
          <w:rFonts w:ascii="Arial" w:cs="Arial" w:eastAsia="Arial" w:hAnsi="Arial"/>
          <w:sz w:val="14"/>
          <w:szCs w:val="14"/>
          <w:color w:val="auto"/>
        </w:rPr>
        <w:t>Our directors may elect to receive retainer fees in cash or may defer their retainer fees into the Directors' Deferred Compensation Plan.</w:t>
      </w:r>
    </w:p>
    <w:p>
      <w:pPr>
        <w:spacing w:after="0" w:line="55" w:lineRule="exact"/>
        <w:rPr>
          <w:rFonts w:ascii="Arial" w:cs="Arial" w:eastAsia="Arial" w:hAnsi="Arial"/>
          <w:sz w:val="13"/>
          <w:szCs w:val="13"/>
          <w:color w:val="auto"/>
        </w:rPr>
      </w:pPr>
    </w:p>
    <w:p>
      <w:pPr>
        <w:ind w:left="340" w:right="280" w:hanging="332"/>
        <w:spacing w:after="0" w:line="258" w:lineRule="auto"/>
        <w:tabs>
          <w:tab w:leader="none" w:pos="340" w:val="left"/>
        </w:tabs>
        <w:numPr>
          <w:ilvl w:val="0"/>
          <w:numId w:val="14"/>
        </w:numPr>
        <w:rPr>
          <w:rFonts w:ascii="Arial" w:cs="Arial" w:eastAsia="Arial" w:hAnsi="Arial"/>
          <w:sz w:val="14"/>
          <w:szCs w:val="14"/>
          <w:color w:val="auto"/>
        </w:rPr>
      </w:pPr>
      <w:r>
        <w:rPr>
          <w:rFonts w:ascii="Arial" w:cs="Arial" w:eastAsia="Arial" w:hAnsi="Arial"/>
          <w:sz w:val="14"/>
          <w:szCs w:val="14"/>
          <w:color w:val="auto"/>
        </w:rPr>
        <w:t>The Chair of the Board receives an additional $40,000 retainer per year, the Audit Committee Chair receives an additional $10,000 retainer per year, and the Chairs of the other Board committees receive an additional $5,000 retainer per year, each of which are reflected in these figures.</w:t>
      </w:r>
    </w:p>
    <w:p>
      <w:pPr>
        <w:spacing w:after="0" w:line="86" w:lineRule="exact"/>
        <w:rPr>
          <w:rFonts w:ascii="Arial" w:cs="Arial" w:eastAsia="Arial" w:hAnsi="Arial"/>
          <w:sz w:val="14"/>
          <w:szCs w:val="14"/>
          <w:color w:val="auto"/>
        </w:rPr>
      </w:pPr>
    </w:p>
    <w:p>
      <w:pPr>
        <w:ind w:left="340" w:right="180" w:hanging="332"/>
        <w:spacing w:after="0" w:line="258" w:lineRule="auto"/>
        <w:tabs>
          <w:tab w:leader="none" w:pos="340" w:val="left"/>
        </w:tabs>
        <w:numPr>
          <w:ilvl w:val="0"/>
          <w:numId w:val="14"/>
        </w:numPr>
        <w:rPr>
          <w:rFonts w:ascii="Arial" w:cs="Arial" w:eastAsia="Arial" w:hAnsi="Arial"/>
          <w:sz w:val="13"/>
          <w:szCs w:val="13"/>
          <w:color w:val="auto"/>
        </w:rPr>
      </w:pPr>
      <w:r>
        <w:rPr>
          <w:rFonts w:ascii="Arial" w:cs="Arial" w:eastAsia="Arial" w:hAnsi="Arial"/>
          <w:sz w:val="14"/>
          <w:szCs w:val="14"/>
          <w:color w:val="auto"/>
        </w:rPr>
        <w:t>Other than the grant for Mr. Schroepfer, these awards are valued at $44.40 per share, the closing stock price on October 18, 2017, the date of the restricted stock grant. Mr. Schroepfer received 2,140 shares on December 6, 2017. These shares were granted at $53.10, which was the closing stock price on this date.</w:t>
      </w:r>
    </w:p>
    <w:p>
      <w:pPr>
        <w:spacing w:after="0" w:line="32" w:lineRule="exact"/>
        <w:rPr>
          <w:rFonts w:ascii="Arial" w:cs="Arial" w:eastAsia="Arial" w:hAnsi="Arial"/>
          <w:sz w:val="13"/>
          <w:szCs w:val="13"/>
          <w:color w:val="auto"/>
        </w:rPr>
      </w:pPr>
    </w:p>
    <w:p>
      <w:pPr>
        <w:ind w:left="340" w:right="140" w:hanging="332"/>
        <w:spacing w:after="0" w:line="250" w:lineRule="auto"/>
        <w:tabs>
          <w:tab w:leader="none" w:pos="340" w:val="left"/>
        </w:tabs>
        <w:numPr>
          <w:ilvl w:val="0"/>
          <w:numId w:val="14"/>
        </w:numPr>
        <w:rPr>
          <w:rFonts w:ascii="Arial" w:cs="Arial" w:eastAsia="Arial" w:hAnsi="Arial"/>
          <w:sz w:val="13"/>
          <w:szCs w:val="13"/>
          <w:color w:val="auto"/>
        </w:rPr>
      </w:pPr>
      <w:r>
        <w:rPr>
          <w:rFonts w:ascii="Arial" w:cs="Arial" w:eastAsia="Arial" w:hAnsi="Arial"/>
          <w:sz w:val="14"/>
          <w:szCs w:val="14"/>
          <w:color w:val="auto"/>
        </w:rPr>
        <w:t>Other than Mr. Schroepfer, none of the directors received perquisites and other personal benefits in an aggregate amount of $10,000 or more. Mr. Schroepfer received his award on December 6, 2017 and he received a cash payment of $17,593 in December 2017 to offset lost income related to the delay in receiving his stock award (due to an inability to make an 83(b) tax election at the time he should have received his grant in October of 2017).</w:t>
      </w:r>
    </w:p>
    <w:p>
      <w:pPr>
        <w:spacing w:after="0" w:line="37" w:lineRule="exact"/>
        <w:rPr>
          <w:rFonts w:ascii="Arial" w:cs="Arial" w:eastAsia="Arial" w:hAnsi="Arial"/>
          <w:sz w:val="13"/>
          <w:szCs w:val="13"/>
          <w:color w:val="auto"/>
        </w:rPr>
      </w:pPr>
    </w:p>
    <w:p>
      <w:pPr>
        <w:ind w:left="340" w:hanging="332"/>
        <w:spacing w:after="0"/>
        <w:tabs>
          <w:tab w:leader="none" w:pos="340" w:val="left"/>
        </w:tabs>
        <w:numPr>
          <w:ilvl w:val="0"/>
          <w:numId w:val="14"/>
        </w:numPr>
        <w:rPr>
          <w:rFonts w:ascii="Arial" w:cs="Arial" w:eastAsia="Arial" w:hAnsi="Arial"/>
          <w:sz w:val="14"/>
          <w:szCs w:val="14"/>
          <w:color w:val="auto"/>
        </w:rPr>
      </w:pPr>
      <w:r>
        <w:rPr>
          <w:rFonts w:ascii="Arial" w:cs="Arial" w:eastAsia="Arial" w:hAnsi="Arial"/>
          <w:sz w:val="14"/>
          <w:szCs w:val="14"/>
          <w:color w:val="auto"/>
        </w:rPr>
        <w:t>Mr. Schroepfer's service on the Board terminated upon the expiration of his term on December 12, 2017.</w:t>
      </w:r>
    </w:p>
    <w:p>
      <w:pPr>
        <w:sectPr>
          <w:pgSz w:w="11900" w:h="16838" w:orient="portrait"/>
          <w:cols w:equalWidth="0" w:num="1">
            <w:col w:w="11420"/>
          </w:cols>
          <w:pgMar w:left="240" w:top="303" w:right="239" w:bottom="1440" w:gutter="0" w:footer="0" w:header="0"/>
        </w:sectPr>
      </w:pPr>
    </w:p>
    <w:p>
      <w:pPr>
        <w:spacing w:after="0" w:line="219" w:lineRule="exact"/>
        <w:rPr>
          <w:sz w:val="20"/>
          <w:szCs w:val="20"/>
          <w:color w:val="auto"/>
        </w:rPr>
      </w:pPr>
    </w:p>
    <w:p>
      <w:pPr>
        <w:ind w:right="140"/>
        <w:spacing w:after="0" w:line="249" w:lineRule="auto"/>
        <w:rPr>
          <w:sz w:val="20"/>
          <w:szCs w:val="20"/>
          <w:color w:val="auto"/>
        </w:rPr>
      </w:pPr>
      <w:r>
        <w:rPr>
          <w:rFonts w:ascii="Arial" w:cs="Arial" w:eastAsia="Arial" w:hAnsi="Arial"/>
          <w:sz w:val="22"/>
          <w:szCs w:val="22"/>
          <w:color w:val="828282"/>
        </w:rPr>
        <w:t>Non-Employee Director Equity Awards Outstanding as of August 25, 2018</w:t>
      </w:r>
    </w:p>
    <w:p>
      <w:pPr>
        <w:spacing w:after="0" w:line="172" w:lineRule="exact"/>
        <w:rPr>
          <w:sz w:val="20"/>
          <w:szCs w:val="20"/>
          <w:color w:val="auto"/>
        </w:rPr>
      </w:pPr>
    </w:p>
    <w:p>
      <w:pPr>
        <w:jc w:val="both"/>
        <w:ind w:right="160"/>
        <w:spacing w:after="0" w:line="253" w:lineRule="auto"/>
        <w:rPr>
          <w:sz w:val="20"/>
          <w:szCs w:val="20"/>
          <w:color w:val="auto"/>
        </w:rPr>
      </w:pPr>
      <w:r>
        <w:rPr>
          <w:rFonts w:ascii="Arial" w:cs="Arial" w:eastAsia="Arial" w:hAnsi="Arial"/>
          <w:sz w:val="16"/>
          <w:szCs w:val="16"/>
          <w:color w:val="auto"/>
        </w:rPr>
        <w:t>As of August 25, 2018, our non-employee directors held the restricted stock awards and stock units set forth below. The stock units were granted under the Directors' Deferred Compensation Plan described below.</w:t>
      </w:r>
    </w:p>
    <w:p>
      <w:pPr>
        <w:spacing w:after="0" w:line="308" w:lineRule="exact"/>
        <w:rPr>
          <w:sz w:val="20"/>
          <w:szCs w:val="20"/>
          <w:color w:val="auto"/>
        </w:rPr>
      </w:pPr>
    </w:p>
    <w:tbl>
      <w:tblPr>
        <w:tblLayout w:type="fixed"/>
        <w:tblInd w:w="80" w:type="dxa"/>
        <w:tblCellMar>
          <w:top w:w="0" w:type="dxa"/>
          <w:left w:w="0" w:type="dxa"/>
          <w:bottom w:w="0" w:type="dxa"/>
          <w:right w:w="0" w:type="dxa"/>
        </w:tblCellMar>
      </w:tblPr>
      <w:tr>
        <w:trPr>
          <w:trHeight w:val="198"/>
        </w:trPr>
        <w:tc>
          <w:tcPr>
            <w:tcW w:w="1940" w:type="dxa"/>
            <w:vAlign w:val="bottom"/>
            <w:shd w:val="clear" w:color="auto" w:fill="BF2115"/>
          </w:tcPr>
          <w:p>
            <w:pPr>
              <w:spacing w:after="0"/>
              <w:rPr>
                <w:sz w:val="17"/>
                <w:szCs w:val="17"/>
                <w:color w:val="auto"/>
              </w:rPr>
            </w:pPr>
          </w:p>
        </w:tc>
        <w:tc>
          <w:tcPr>
            <w:tcW w:w="1920" w:type="dxa"/>
            <w:vAlign w:val="bottom"/>
            <w:shd w:val="clear" w:color="auto" w:fill="BF2115"/>
          </w:tcPr>
          <w:p>
            <w:pPr>
              <w:jc w:val="right"/>
              <w:ind w:right="219"/>
              <w:spacing w:after="0"/>
              <w:rPr>
                <w:sz w:val="20"/>
                <w:szCs w:val="20"/>
                <w:color w:val="auto"/>
              </w:rPr>
            </w:pPr>
            <w:r>
              <w:rPr>
                <w:rFonts w:ascii="Arial" w:cs="Arial" w:eastAsia="Arial" w:hAnsi="Arial"/>
                <w:sz w:val="16"/>
                <w:szCs w:val="16"/>
                <w:b w:val="1"/>
                <w:bCs w:val="1"/>
                <w:color w:val="FFFFFF"/>
              </w:rPr>
              <w:t>Restricted Stock</w:t>
            </w:r>
          </w:p>
        </w:tc>
        <w:tc>
          <w:tcPr>
            <w:tcW w:w="1580" w:type="dxa"/>
            <w:vAlign w:val="bottom"/>
            <w:shd w:val="clear" w:color="auto" w:fill="BF2115"/>
          </w:tcPr>
          <w:p>
            <w:pPr>
              <w:spacing w:after="0"/>
              <w:rPr>
                <w:sz w:val="17"/>
                <w:szCs w:val="17"/>
                <w:color w:val="auto"/>
              </w:rPr>
            </w:pPr>
          </w:p>
        </w:tc>
      </w:tr>
      <w:tr>
        <w:trPr>
          <w:trHeight w:val="234"/>
        </w:trPr>
        <w:tc>
          <w:tcPr>
            <w:tcW w:w="1940" w:type="dxa"/>
            <w:vAlign w:val="bottom"/>
            <w:shd w:val="clear" w:color="auto" w:fill="BF2115"/>
          </w:tcPr>
          <w:p>
            <w:pPr>
              <w:ind w:left="40"/>
              <w:spacing w:after="0"/>
              <w:rPr>
                <w:sz w:val="20"/>
                <w:szCs w:val="20"/>
                <w:color w:val="auto"/>
              </w:rPr>
            </w:pPr>
            <w:r>
              <w:rPr>
                <w:rFonts w:ascii="Arial" w:cs="Arial" w:eastAsia="Arial" w:hAnsi="Arial"/>
                <w:sz w:val="16"/>
                <w:szCs w:val="16"/>
                <w:b w:val="1"/>
                <w:bCs w:val="1"/>
                <w:color w:val="FFFFFF"/>
              </w:rPr>
              <w:t>Director</w:t>
            </w:r>
          </w:p>
        </w:tc>
        <w:tc>
          <w:tcPr>
            <w:tcW w:w="1920" w:type="dxa"/>
            <w:vAlign w:val="bottom"/>
            <w:shd w:val="clear" w:color="auto" w:fill="BF2115"/>
          </w:tcPr>
          <w:p>
            <w:pPr>
              <w:jc w:val="right"/>
              <w:ind w:right="559"/>
              <w:spacing w:after="0"/>
              <w:rPr>
                <w:sz w:val="20"/>
                <w:szCs w:val="20"/>
                <w:color w:val="auto"/>
              </w:rPr>
            </w:pPr>
            <w:r>
              <w:rPr>
                <w:rFonts w:ascii="Arial" w:cs="Arial" w:eastAsia="Arial" w:hAnsi="Arial"/>
                <w:sz w:val="16"/>
                <w:szCs w:val="16"/>
                <w:b w:val="1"/>
                <w:bCs w:val="1"/>
                <w:color w:val="FFFFFF"/>
              </w:rPr>
              <w:t>Awards</w:t>
            </w:r>
          </w:p>
        </w:tc>
        <w:tc>
          <w:tcPr>
            <w:tcW w:w="1580" w:type="dxa"/>
            <w:vAlign w:val="bottom"/>
            <w:shd w:val="clear" w:color="auto" w:fill="BF2115"/>
          </w:tcPr>
          <w:p>
            <w:pPr>
              <w:jc w:val="right"/>
              <w:ind w:right="319"/>
              <w:spacing w:after="0"/>
              <w:rPr>
                <w:sz w:val="20"/>
                <w:szCs w:val="20"/>
                <w:color w:val="auto"/>
              </w:rPr>
            </w:pPr>
            <w:r>
              <w:rPr>
                <w:rFonts w:ascii="Arial" w:cs="Arial" w:eastAsia="Arial" w:hAnsi="Arial"/>
                <w:sz w:val="16"/>
                <w:szCs w:val="16"/>
                <w:b w:val="1"/>
                <w:bCs w:val="1"/>
                <w:color w:val="FFFFFF"/>
              </w:rPr>
              <w:t>Stock Units</w:t>
            </w:r>
          </w:p>
        </w:tc>
      </w:tr>
      <w:tr>
        <w:trPr>
          <w:trHeight w:val="243"/>
        </w:trPr>
        <w:tc>
          <w:tcPr>
            <w:tcW w:w="1940" w:type="dxa"/>
            <w:vAlign w:val="bottom"/>
            <w:shd w:val="clear" w:color="auto" w:fill="ACACAC"/>
          </w:tcPr>
          <w:p>
            <w:pPr>
              <w:ind w:left="40"/>
              <w:spacing w:after="0"/>
              <w:rPr>
                <w:sz w:val="20"/>
                <w:szCs w:val="20"/>
                <w:color w:val="auto"/>
              </w:rPr>
            </w:pPr>
            <w:r>
              <w:rPr>
                <w:rFonts w:ascii="Arial" w:cs="Arial" w:eastAsia="Arial" w:hAnsi="Arial"/>
                <w:sz w:val="16"/>
                <w:szCs w:val="16"/>
                <w:color w:val="auto"/>
              </w:rPr>
              <w:t>Christopher J. Braun</w:t>
            </w:r>
          </w:p>
        </w:tc>
        <w:tc>
          <w:tcPr>
            <w:tcW w:w="1920" w:type="dxa"/>
            <w:vAlign w:val="bottom"/>
            <w:shd w:val="clear" w:color="auto" w:fill="ACACAC"/>
          </w:tcPr>
          <w:p>
            <w:pPr>
              <w:jc w:val="right"/>
              <w:ind w:right="399"/>
              <w:spacing w:after="0"/>
              <w:rPr>
                <w:sz w:val="20"/>
                <w:szCs w:val="20"/>
                <w:color w:val="auto"/>
              </w:rPr>
            </w:pPr>
            <w:r>
              <w:rPr>
                <w:rFonts w:ascii="Arial" w:cs="Arial" w:eastAsia="Arial" w:hAnsi="Arial"/>
                <w:sz w:val="16"/>
                <w:szCs w:val="16"/>
                <w:color w:val="auto"/>
              </w:rPr>
              <w:t>4,740</w:t>
            </w:r>
          </w:p>
        </w:tc>
        <w:tc>
          <w:tcPr>
            <w:tcW w:w="1580" w:type="dxa"/>
            <w:vAlign w:val="bottom"/>
            <w:shd w:val="clear" w:color="auto" w:fill="ACACAC"/>
          </w:tcPr>
          <w:p>
            <w:pPr>
              <w:jc w:val="right"/>
              <w:spacing w:after="0"/>
              <w:rPr>
                <w:sz w:val="20"/>
                <w:szCs w:val="20"/>
                <w:color w:val="auto"/>
              </w:rPr>
            </w:pPr>
            <w:r>
              <w:rPr>
                <w:rFonts w:ascii="Arial" w:cs="Arial" w:eastAsia="Arial" w:hAnsi="Arial"/>
                <w:sz w:val="16"/>
                <w:szCs w:val="16"/>
                <w:color w:val="auto"/>
              </w:rPr>
              <w:t>0</w:t>
            </w:r>
          </w:p>
        </w:tc>
      </w:tr>
      <w:tr>
        <w:trPr>
          <w:trHeight w:val="233"/>
        </w:trPr>
        <w:tc>
          <w:tcPr>
            <w:tcW w:w="1940" w:type="dxa"/>
            <w:vAlign w:val="bottom"/>
          </w:tcPr>
          <w:p>
            <w:pPr>
              <w:ind w:left="40"/>
              <w:spacing w:after="0"/>
              <w:rPr>
                <w:sz w:val="20"/>
                <w:szCs w:val="20"/>
                <w:color w:val="auto"/>
              </w:rPr>
            </w:pPr>
            <w:r>
              <w:rPr>
                <w:rFonts w:ascii="Arial" w:cs="Arial" w:eastAsia="Arial" w:hAnsi="Arial"/>
                <w:sz w:val="16"/>
                <w:szCs w:val="16"/>
                <w:color w:val="auto"/>
              </w:rPr>
              <w:t>Robert M. Chiusano</w:t>
            </w:r>
          </w:p>
        </w:tc>
        <w:tc>
          <w:tcPr>
            <w:tcW w:w="1920" w:type="dxa"/>
            <w:vAlign w:val="bottom"/>
          </w:tcPr>
          <w:p>
            <w:pPr>
              <w:jc w:val="right"/>
              <w:ind w:right="399"/>
              <w:spacing w:after="0"/>
              <w:rPr>
                <w:sz w:val="20"/>
                <w:szCs w:val="20"/>
                <w:color w:val="auto"/>
              </w:rPr>
            </w:pPr>
            <w:r>
              <w:rPr>
                <w:rFonts w:ascii="Arial" w:cs="Arial" w:eastAsia="Arial" w:hAnsi="Arial"/>
                <w:sz w:val="16"/>
                <w:szCs w:val="16"/>
                <w:color w:val="auto"/>
              </w:rPr>
              <w:t>20,240</w:t>
            </w:r>
          </w:p>
        </w:tc>
        <w:tc>
          <w:tcPr>
            <w:tcW w:w="1580" w:type="dxa"/>
            <w:vAlign w:val="bottom"/>
          </w:tcPr>
          <w:p>
            <w:pPr>
              <w:jc w:val="right"/>
              <w:spacing w:after="0"/>
              <w:rPr>
                <w:sz w:val="20"/>
                <w:szCs w:val="20"/>
                <w:color w:val="auto"/>
              </w:rPr>
            </w:pPr>
            <w:r>
              <w:rPr>
                <w:rFonts w:ascii="Arial" w:cs="Arial" w:eastAsia="Arial" w:hAnsi="Arial"/>
                <w:sz w:val="16"/>
                <w:szCs w:val="16"/>
                <w:color w:val="auto"/>
              </w:rPr>
              <w:t>24,605</w:t>
            </w:r>
          </w:p>
        </w:tc>
      </w:tr>
      <w:tr>
        <w:trPr>
          <w:trHeight w:val="253"/>
        </w:trPr>
        <w:tc>
          <w:tcPr>
            <w:tcW w:w="1940" w:type="dxa"/>
            <w:vAlign w:val="bottom"/>
            <w:shd w:val="clear" w:color="auto" w:fill="ACACAC"/>
          </w:tcPr>
          <w:p>
            <w:pPr>
              <w:ind w:left="40"/>
              <w:spacing w:after="0"/>
              <w:rPr>
                <w:sz w:val="20"/>
                <w:szCs w:val="20"/>
                <w:color w:val="auto"/>
              </w:rPr>
            </w:pPr>
            <w:r>
              <w:rPr>
                <w:rFonts w:ascii="Arial" w:cs="Arial" w:eastAsia="Arial" w:hAnsi="Arial"/>
                <w:sz w:val="16"/>
                <w:szCs w:val="16"/>
                <w:color w:val="auto"/>
              </w:rPr>
              <w:t>William C. Fisher</w:t>
            </w:r>
          </w:p>
        </w:tc>
        <w:tc>
          <w:tcPr>
            <w:tcW w:w="1920" w:type="dxa"/>
            <w:vAlign w:val="bottom"/>
            <w:shd w:val="clear" w:color="auto" w:fill="ACACAC"/>
          </w:tcPr>
          <w:p>
            <w:pPr>
              <w:jc w:val="right"/>
              <w:ind w:right="399"/>
              <w:spacing w:after="0"/>
              <w:rPr>
                <w:sz w:val="20"/>
                <w:szCs w:val="20"/>
                <w:color w:val="auto"/>
              </w:rPr>
            </w:pPr>
            <w:r>
              <w:rPr>
                <w:rFonts w:ascii="Arial" w:cs="Arial" w:eastAsia="Arial" w:hAnsi="Arial"/>
                <w:sz w:val="16"/>
                <w:szCs w:val="16"/>
                <w:color w:val="auto"/>
              </w:rPr>
              <w:t>16,740</w:t>
            </w:r>
          </w:p>
        </w:tc>
        <w:tc>
          <w:tcPr>
            <w:tcW w:w="1580" w:type="dxa"/>
            <w:vAlign w:val="bottom"/>
            <w:shd w:val="clear" w:color="auto" w:fill="ACACAC"/>
          </w:tcPr>
          <w:p>
            <w:pPr>
              <w:jc w:val="right"/>
              <w:spacing w:after="0"/>
              <w:rPr>
                <w:sz w:val="20"/>
                <w:szCs w:val="20"/>
                <w:color w:val="auto"/>
              </w:rPr>
            </w:pPr>
            <w:r>
              <w:rPr>
                <w:rFonts w:ascii="Arial" w:cs="Arial" w:eastAsia="Arial" w:hAnsi="Arial"/>
                <w:sz w:val="16"/>
                <w:szCs w:val="16"/>
                <w:color w:val="auto"/>
              </w:rPr>
              <w:t>6,751</w:t>
            </w:r>
          </w:p>
        </w:tc>
      </w:tr>
      <w:tr>
        <w:trPr>
          <w:trHeight w:val="233"/>
        </w:trPr>
        <w:tc>
          <w:tcPr>
            <w:tcW w:w="1940" w:type="dxa"/>
            <w:vAlign w:val="bottom"/>
          </w:tcPr>
          <w:p>
            <w:pPr>
              <w:ind w:left="40"/>
              <w:spacing w:after="0"/>
              <w:rPr>
                <w:sz w:val="20"/>
                <w:szCs w:val="20"/>
                <w:color w:val="auto"/>
              </w:rPr>
            </w:pPr>
            <w:r>
              <w:rPr>
                <w:rFonts w:ascii="Arial" w:cs="Arial" w:eastAsia="Arial" w:hAnsi="Arial"/>
                <w:sz w:val="16"/>
                <w:szCs w:val="16"/>
                <w:color w:val="auto"/>
              </w:rPr>
              <w:t>David W. Miles</w:t>
            </w:r>
          </w:p>
        </w:tc>
        <w:tc>
          <w:tcPr>
            <w:tcW w:w="1920" w:type="dxa"/>
            <w:vAlign w:val="bottom"/>
          </w:tcPr>
          <w:p>
            <w:pPr>
              <w:jc w:val="right"/>
              <w:ind w:right="399"/>
              <w:spacing w:after="0"/>
              <w:rPr>
                <w:sz w:val="20"/>
                <w:szCs w:val="20"/>
                <w:color w:val="auto"/>
              </w:rPr>
            </w:pPr>
            <w:r>
              <w:rPr>
                <w:rFonts w:ascii="Arial" w:cs="Arial" w:eastAsia="Arial" w:hAnsi="Arial"/>
                <w:sz w:val="16"/>
                <w:szCs w:val="16"/>
                <w:color w:val="auto"/>
              </w:rPr>
              <w:t>4,740</w:t>
            </w:r>
          </w:p>
        </w:tc>
        <w:tc>
          <w:tcPr>
            <w:tcW w:w="1580" w:type="dxa"/>
            <w:vAlign w:val="bottom"/>
          </w:tcPr>
          <w:p>
            <w:pPr>
              <w:jc w:val="right"/>
              <w:spacing w:after="0"/>
              <w:rPr>
                <w:sz w:val="20"/>
                <w:szCs w:val="20"/>
                <w:color w:val="auto"/>
              </w:rPr>
            </w:pPr>
            <w:r>
              <w:rPr>
                <w:rFonts w:ascii="Arial" w:cs="Arial" w:eastAsia="Arial" w:hAnsi="Arial"/>
                <w:sz w:val="16"/>
                <w:szCs w:val="16"/>
                <w:color w:val="auto"/>
              </w:rPr>
              <w:t>0</w:t>
            </w:r>
          </w:p>
        </w:tc>
      </w:tr>
      <w:tr>
        <w:trPr>
          <w:trHeight w:val="253"/>
        </w:trPr>
        <w:tc>
          <w:tcPr>
            <w:tcW w:w="1940" w:type="dxa"/>
            <w:vAlign w:val="bottom"/>
            <w:shd w:val="clear" w:color="auto" w:fill="ACACAC"/>
          </w:tcPr>
          <w:p>
            <w:pPr>
              <w:ind w:left="40"/>
              <w:spacing w:after="0"/>
              <w:rPr>
                <w:sz w:val="20"/>
                <w:szCs w:val="20"/>
                <w:color w:val="auto"/>
              </w:rPr>
            </w:pPr>
            <w:r>
              <w:rPr>
                <w:rFonts w:ascii="Arial" w:cs="Arial" w:eastAsia="Arial" w:hAnsi="Arial"/>
                <w:sz w:val="16"/>
                <w:szCs w:val="16"/>
                <w:color w:val="auto"/>
              </w:rPr>
              <w:t>Richard D. Moss</w:t>
            </w:r>
          </w:p>
        </w:tc>
        <w:tc>
          <w:tcPr>
            <w:tcW w:w="1920" w:type="dxa"/>
            <w:vAlign w:val="bottom"/>
            <w:shd w:val="clear" w:color="auto" w:fill="ACACAC"/>
          </w:tcPr>
          <w:p>
            <w:pPr>
              <w:jc w:val="right"/>
              <w:ind w:right="399"/>
              <w:spacing w:after="0"/>
              <w:rPr>
                <w:sz w:val="20"/>
                <w:szCs w:val="20"/>
                <w:color w:val="auto"/>
              </w:rPr>
            </w:pPr>
            <w:r>
              <w:rPr>
                <w:rFonts w:ascii="Arial" w:cs="Arial" w:eastAsia="Arial" w:hAnsi="Arial"/>
                <w:sz w:val="16"/>
                <w:szCs w:val="16"/>
                <w:color w:val="auto"/>
              </w:rPr>
              <w:t>2,140</w:t>
            </w:r>
          </w:p>
        </w:tc>
        <w:tc>
          <w:tcPr>
            <w:tcW w:w="1580" w:type="dxa"/>
            <w:vAlign w:val="bottom"/>
            <w:shd w:val="clear" w:color="auto" w:fill="ACACAC"/>
          </w:tcPr>
          <w:p>
            <w:pPr>
              <w:jc w:val="right"/>
              <w:spacing w:after="0"/>
              <w:rPr>
                <w:sz w:val="20"/>
                <w:szCs w:val="20"/>
                <w:color w:val="auto"/>
              </w:rPr>
            </w:pPr>
            <w:r>
              <w:rPr>
                <w:rFonts w:ascii="Arial" w:cs="Arial" w:eastAsia="Arial" w:hAnsi="Arial"/>
                <w:sz w:val="16"/>
                <w:szCs w:val="16"/>
                <w:color w:val="auto"/>
              </w:rPr>
              <w:t>0</w:t>
            </w:r>
          </w:p>
        </w:tc>
      </w:tr>
      <w:tr>
        <w:trPr>
          <w:trHeight w:val="233"/>
        </w:trPr>
        <w:tc>
          <w:tcPr>
            <w:tcW w:w="1940" w:type="dxa"/>
            <w:vAlign w:val="bottom"/>
          </w:tcPr>
          <w:p>
            <w:pPr>
              <w:ind w:left="40"/>
              <w:spacing w:after="0"/>
              <w:rPr>
                <w:sz w:val="20"/>
                <w:szCs w:val="20"/>
                <w:color w:val="auto"/>
              </w:rPr>
            </w:pPr>
            <w:r>
              <w:rPr>
                <w:rFonts w:ascii="Arial" w:cs="Arial" w:eastAsia="Arial" w:hAnsi="Arial"/>
                <w:sz w:val="16"/>
                <w:szCs w:val="16"/>
                <w:color w:val="auto"/>
              </w:rPr>
              <w:t>John M. Murabito</w:t>
            </w:r>
          </w:p>
        </w:tc>
        <w:tc>
          <w:tcPr>
            <w:tcW w:w="1920" w:type="dxa"/>
            <w:vAlign w:val="bottom"/>
          </w:tcPr>
          <w:p>
            <w:pPr>
              <w:jc w:val="right"/>
              <w:ind w:right="399"/>
              <w:spacing w:after="0"/>
              <w:rPr>
                <w:sz w:val="20"/>
                <w:szCs w:val="20"/>
                <w:color w:val="auto"/>
              </w:rPr>
            </w:pPr>
            <w:r>
              <w:rPr>
                <w:rFonts w:ascii="Arial" w:cs="Arial" w:eastAsia="Arial" w:hAnsi="Arial"/>
                <w:sz w:val="16"/>
                <w:szCs w:val="16"/>
                <w:color w:val="auto"/>
              </w:rPr>
              <w:t>2,140</w:t>
            </w:r>
          </w:p>
        </w:tc>
        <w:tc>
          <w:tcPr>
            <w:tcW w:w="1580" w:type="dxa"/>
            <w:vAlign w:val="bottom"/>
          </w:tcPr>
          <w:p>
            <w:pPr>
              <w:jc w:val="right"/>
              <w:spacing w:after="0"/>
              <w:rPr>
                <w:sz w:val="20"/>
                <w:szCs w:val="20"/>
                <w:color w:val="auto"/>
              </w:rPr>
            </w:pPr>
            <w:r>
              <w:rPr>
                <w:rFonts w:ascii="Arial" w:cs="Arial" w:eastAsia="Arial" w:hAnsi="Arial"/>
                <w:sz w:val="16"/>
                <w:szCs w:val="16"/>
                <w:color w:val="auto"/>
              </w:rPr>
              <w:t>0</w:t>
            </w:r>
          </w:p>
        </w:tc>
      </w:tr>
      <w:tr>
        <w:trPr>
          <w:trHeight w:val="253"/>
        </w:trPr>
        <w:tc>
          <w:tcPr>
            <w:tcW w:w="1940" w:type="dxa"/>
            <w:vAlign w:val="bottom"/>
            <w:shd w:val="clear" w:color="auto" w:fill="ACACAC"/>
          </w:tcPr>
          <w:p>
            <w:pPr>
              <w:ind w:left="40"/>
              <w:spacing w:after="0"/>
              <w:rPr>
                <w:sz w:val="20"/>
                <w:szCs w:val="20"/>
                <w:color w:val="auto"/>
              </w:rPr>
            </w:pPr>
            <w:r>
              <w:rPr>
                <w:rFonts w:ascii="Arial" w:cs="Arial" w:eastAsia="Arial" w:hAnsi="Arial"/>
                <w:sz w:val="16"/>
                <w:szCs w:val="16"/>
                <w:color w:val="auto"/>
              </w:rPr>
              <w:t>Martha T. Rodamaker</w:t>
            </w:r>
          </w:p>
        </w:tc>
        <w:tc>
          <w:tcPr>
            <w:tcW w:w="1920" w:type="dxa"/>
            <w:vAlign w:val="bottom"/>
            <w:shd w:val="clear" w:color="auto" w:fill="ACACAC"/>
          </w:tcPr>
          <w:p>
            <w:pPr>
              <w:jc w:val="right"/>
              <w:ind w:right="399"/>
              <w:spacing w:after="0"/>
              <w:rPr>
                <w:sz w:val="20"/>
                <w:szCs w:val="20"/>
                <w:color w:val="auto"/>
              </w:rPr>
            </w:pPr>
            <w:r>
              <w:rPr>
                <w:rFonts w:ascii="Arial" w:cs="Arial" w:eastAsia="Arial" w:hAnsi="Arial"/>
                <w:sz w:val="16"/>
                <w:szCs w:val="16"/>
                <w:color w:val="auto"/>
              </w:rPr>
              <w:t>16,240</w:t>
            </w:r>
          </w:p>
        </w:tc>
        <w:tc>
          <w:tcPr>
            <w:tcW w:w="1580" w:type="dxa"/>
            <w:vAlign w:val="bottom"/>
            <w:shd w:val="clear" w:color="auto" w:fill="ACACAC"/>
          </w:tcPr>
          <w:p>
            <w:pPr>
              <w:jc w:val="right"/>
              <w:spacing w:after="0"/>
              <w:rPr>
                <w:sz w:val="20"/>
                <w:szCs w:val="20"/>
                <w:color w:val="auto"/>
              </w:rPr>
            </w:pPr>
            <w:r>
              <w:rPr>
                <w:rFonts w:ascii="Arial" w:cs="Arial" w:eastAsia="Arial" w:hAnsi="Arial"/>
                <w:sz w:val="16"/>
                <w:szCs w:val="16"/>
                <w:color w:val="auto"/>
              </w:rPr>
              <w:t>11,692</w:t>
            </w:r>
          </w:p>
        </w:tc>
      </w:tr>
    </w:tbl>
    <w:p>
      <w:pPr>
        <w:spacing w:after="0" w:line="385" w:lineRule="exact"/>
        <w:rPr>
          <w:sz w:val="20"/>
          <w:szCs w:val="20"/>
          <w:color w:val="auto"/>
        </w:rPr>
      </w:pPr>
    </w:p>
    <w:p>
      <w:pPr>
        <w:spacing w:after="0"/>
        <w:rPr>
          <w:sz w:val="20"/>
          <w:szCs w:val="20"/>
          <w:color w:val="auto"/>
        </w:rPr>
      </w:pPr>
      <w:r>
        <w:rPr>
          <w:rFonts w:ascii="Arial" w:cs="Arial" w:eastAsia="Arial" w:hAnsi="Arial"/>
          <w:sz w:val="22"/>
          <w:szCs w:val="22"/>
          <w:color w:val="828282"/>
        </w:rPr>
        <w:t>Director Ownership Guidelines</w:t>
      </w:r>
    </w:p>
    <w:p>
      <w:pPr>
        <w:spacing w:after="0" w:line="188" w:lineRule="exact"/>
        <w:rPr>
          <w:sz w:val="20"/>
          <w:szCs w:val="20"/>
          <w:color w:val="auto"/>
        </w:rPr>
      </w:pPr>
    </w:p>
    <w:p>
      <w:pPr>
        <w:spacing w:after="0" w:line="248" w:lineRule="auto"/>
        <w:rPr>
          <w:sz w:val="20"/>
          <w:szCs w:val="20"/>
          <w:color w:val="auto"/>
        </w:rPr>
      </w:pPr>
      <w:r>
        <w:rPr>
          <w:rFonts w:ascii="Arial" w:cs="Arial" w:eastAsia="Arial" w:hAnsi="Arial"/>
          <w:sz w:val="16"/>
          <w:szCs w:val="16"/>
          <w:color w:val="auto"/>
        </w:rPr>
        <w:t>Our Corporate Governance Policy requires us to maintain guidelines encouraging non-employee director stock ownership. The guidelines currently in effect require non-employee directors to hold Common Stock, stock units or other equity equivalents having a market value of at least 500% of their annual retainer of $75,000, and that they attain this level of stock ownership within five years of becoming a director. Based on the holdings noted above, all non-employee directors</w:t>
      </w:r>
    </w:p>
    <w:p>
      <w:pPr>
        <w:spacing w:after="0" w:line="20" w:lineRule="exact"/>
        <w:rPr>
          <w:sz w:val="20"/>
          <w:szCs w:val="20"/>
          <w:color w:val="auto"/>
        </w:rPr>
      </w:pPr>
      <w:r>
        <w:rPr>
          <w:sz w:val="20"/>
          <w:szCs w:val="20"/>
          <w:color w:val="auto"/>
        </w:rPr>
        <w:br w:type="column"/>
      </w:r>
    </w:p>
    <w:p>
      <w:pPr>
        <w:spacing w:after="0" w:line="194" w:lineRule="exact"/>
        <w:rPr>
          <w:sz w:val="20"/>
          <w:szCs w:val="20"/>
          <w:color w:val="auto"/>
        </w:rPr>
      </w:pPr>
    </w:p>
    <w:p>
      <w:pPr>
        <w:ind w:right="340"/>
        <w:spacing w:after="0" w:line="260" w:lineRule="auto"/>
        <w:rPr>
          <w:sz w:val="20"/>
          <w:szCs w:val="20"/>
          <w:color w:val="auto"/>
        </w:rPr>
      </w:pPr>
      <w:r>
        <w:rPr>
          <w:rFonts w:ascii="Arial" w:cs="Arial" w:eastAsia="Arial" w:hAnsi="Arial"/>
          <w:sz w:val="16"/>
          <w:szCs w:val="16"/>
          <w:color w:val="auto"/>
        </w:rPr>
        <w:t>have met this goal, or are on track to meet this goal, within the prescribed five-year time frame.</w:t>
      </w:r>
    </w:p>
    <w:p>
      <w:pPr>
        <w:spacing w:after="0" w:line="241" w:lineRule="exact"/>
        <w:rPr>
          <w:sz w:val="20"/>
          <w:szCs w:val="20"/>
          <w:color w:val="auto"/>
        </w:rPr>
      </w:pPr>
    </w:p>
    <w:p>
      <w:pPr>
        <w:spacing w:after="0"/>
        <w:rPr>
          <w:sz w:val="20"/>
          <w:szCs w:val="20"/>
          <w:color w:val="auto"/>
        </w:rPr>
      </w:pPr>
      <w:r>
        <w:rPr>
          <w:rFonts w:ascii="Arial" w:cs="Arial" w:eastAsia="Arial" w:hAnsi="Arial"/>
          <w:sz w:val="22"/>
          <w:szCs w:val="22"/>
          <w:color w:val="828282"/>
        </w:rPr>
        <w:t>Directors' Deferred Compensation Plan</w:t>
      </w:r>
    </w:p>
    <w:p>
      <w:pPr>
        <w:spacing w:after="0" w:line="188" w:lineRule="exact"/>
        <w:rPr>
          <w:sz w:val="20"/>
          <w:szCs w:val="20"/>
          <w:color w:val="auto"/>
        </w:rPr>
      </w:pPr>
    </w:p>
    <w:p>
      <w:pPr>
        <w:ind w:right="80"/>
        <w:spacing w:after="0" w:line="249" w:lineRule="auto"/>
        <w:rPr>
          <w:sz w:val="20"/>
          <w:szCs w:val="20"/>
          <w:color w:val="auto"/>
        </w:rPr>
      </w:pPr>
      <w:r>
        <w:rPr>
          <w:rFonts w:ascii="Arial" w:cs="Arial" w:eastAsia="Arial" w:hAnsi="Arial"/>
          <w:sz w:val="16"/>
          <w:szCs w:val="16"/>
          <w:color w:val="auto"/>
        </w:rPr>
        <w:t>Effective April 1, 1997, the Board of Directors adopted the Winnebago Industries, Inc. Directors' Deferred Compensation Plan (as amended, the “Directors' Deferred Compensation Plan”). The purpose of the Directors' Deferred Compensation Plan is to enable Non-Employee Directors (the “Participants”) to receive compensation for board service in a form other than as direct payments and to defer taxes on such compensation.</w:t>
      </w:r>
    </w:p>
    <w:p>
      <w:pPr>
        <w:spacing w:after="0" w:line="178" w:lineRule="exact"/>
        <w:rPr>
          <w:sz w:val="20"/>
          <w:szCs w:val="20"/>
          <w:color w:val="auto"/>
        </w:rPr>
      </w:pPr>
    </w:p>
    <w:p>
      <w:pPr>
        <w:ind w:right="20"/>
        <w:spacing w:after="0" w:line="250" w:lineRule="auto"/>
        <w:rPr>
          <w:sz w:val="20"/>
          <w:szCs w:val="20"/>
          <w:color w:val="auto"/>
        </w:rPr>
      </w:pPr>
      <w:r>
        <w:rPr>
          <w:rFonts w:ascii="Arial" w:cs="Arial" w:eastAsia="Arial" w:hAnsi="Arial"/>
          <w:sz w:val="16"/>
          <w:szCs w:val="16"/>
          <w:color w:val="auto"/>
        </w:rPr>
        <w:t>A participant may elect to apply either 50% or 100% of his or her annual cash retainer amounts to either, but not both, of the following forms: “Money Credits” or “Winnebago Stock Units,” and beginning in October of 2018, may elect to defer 100% of his or her stock award as deferred compensation in the form of "Winnebago Stock Units."</w:t>
      </w:r>
    </w:p>
    <w:p>
      <w:pPr>
        <w:spacing w:after="0" w:line="176" w:lineRule="exact"/>
        <w:rPr>
          <w:sz w:val="20"/>
          <w:szCs w:val="20"/>
          <w:color w:val="auto"/>
        </w:rPr>
      </w:pPr>
    </w:p>
    <w:p>
      <w:pPr>
        <w:ind w:right="20"/>
        <w:spacing w:after="0" w:line="250" w:lineRule="auto"/>
        <w:rPr>
          <w:sz w:val="20"/>
          <w:szCs w:val="20"/>
          <w:color w:val="auto"/>
        </w:rPr>
      </w:pPr>
      <w:r>
        <w:rPr>
          <w:rFonts w:ascii="Arial" w:cs="Arial" w:eastAsia="Arial" w:hAnsi="Arial"/>
          <w:sz w:val="16"/>
          <w:szCs w:val="16"/>
          <w:color w:val="auto"/>
        </w:rPr>
        <w:t>Money Credits are units credited in the form of dollars in accordance with the participant's election to such participant's account established by the Company. The Money Credits accrue interest from the credit date. Presently, the interest rate to be applied to the participant's Money Credits is the 30-year Treasury bond yield as of the first business day of the plan year.</w:t>
      </w:r>
    </w:p>
    <w:p>
      <w:pPr>
        <w:spacing w:after="0" w:line="176" w:lineRule="exact"/>
        <w:rPr>
          <w:sz w:val="20"/>
          <w:szCs w:val="20"/>
          <w:color w:val="auto"/>
        </w:rPr>
      </w:pPr>
    </w:p>
    <w:p>
      <w:pPr>
        <w:ind w:right="20"/>
        <w:spacing w:after="0" w:line="251" w:lineRule="auto"/>
        <w:rPr>
          <w:sz w:val="20"/>
          <w:szCs w:val="20"/>
          <w:color w:val="auto"/>
        </w:rPr>
      </w:pPr>
      <w:r>
        <w:rPr>
          <w:rFonts w:ascii="Arial" w:cs="Arial" w:eastAsia="Arial" w:hAnsi="Arial"/>
          <w:sz w:val="16"/>
          <w:szCs w:val="16"/>
          <w:color w:val="auto"/>
        </w:rPr>
        <w:t>Winnebago Stock Units are units credited in the form of Common Stock of the Company in accordance with the participant's annual deferral election. The shares of our Common Stock issued in connection with our Directors' Deferred Compensation Plan consists of our treasury shares</w:t>
      </w:r>
    </w:p>
    <w:p>
      <w:pPr>
        <w:spacing w:after="0" w:line="639" w:lineRule="exact"/>
        <w:rPr>
          <w:sz w:val="20"/>
          <w:szCs w:val="20"/>
          <w:color w:val="auto"/>
        </w:rPr>
      </w:pPr>
    </w:p>
    <w:p>
      <w:pPr>
        <w:sectPr>
          <w:pgSz w:w="11900" w:h="16838" w:orient="portrait"/>
          <w:cols w:equalWidth="0" w:num="2">
            <w:col w:w="5580" w:space="240"/>
            <w:col w:w="5600"/>
          </w:cols>
          <w:pgMar w:left="240" w:top="303" w:right="239" w:bottom="1440" w:gutter="0" w:footer="0" w:header="0"/>
          <w:type w:val="continuous"/>
        </w:sectPr>
      </w:pPr>
    </w:p>
    <w:p>
      <w:pPr>
        <w:spacing w:after="0" w:line="3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10</w:t>
      </w:r>
    </w:p>
    <w:p>
      <w:pPr>
        <w:sectPr>
          <w:pgSz w:w="11900" w:h="16838" w:orient="portrait"/>
          <w:cols w:equalWidth="0" w:num="1">
            <w:col w:w="11420"/>
          </w:cols>
          <w:pgMar w:left="240" w:top="303" w:right="239" w:bottom="1440" w:gutter="0" w:footer="0" w:header="0"/>
          <w:type w:val="continuous"/>
        </w:sectPr>
      </w:pPr>
    </w:p>
    <w:bookmarkStart w:id="14" w:name="page15"/>
    <w:bookmarkEnd w:id="14"/>
    <w:p>
      <w:pPr>
        <w:ind w:left="40"/>
        <w:spacing w:after="0"/>
        <w:rPr>
          <w:rFonts w:ascii="Arial" w:cs="Arial" w:eastAsia="Arial" w:hAnsi="Arial"/>
          <w:sz w:val="15"/>
          <w:szCs w:val="15"/>
          <w:u w:val="single" w:color="auto"/>
          <w:color w:val="0000EE"/>
        </w:rPr>
      </w:pPr>
      <w:r>
        <w:rPr>
          <w:rFonts w:ascii="Arial" w:cs="Arial" w:eastAsia="Arial" w:hAnsi="Arial"/>
          <w:sz w:val="15"/>
          <w:szCs w:val="15"/>
          <w:u w:val="single" w:color="auto"/>
          <w:color w:val="0000EE"/>
        </w:rPr>
        <w:drawing>
          <wp:anchor simplePos="0" relativeHeight="251657728" behindDoc="1" locked="0" layoutInCell="0" allowOverlap="1">
            <wp:simplePos x="0" y="0"/>
            <wp:positionH relativeFrom="page">
              <wp:posOffset>5946140</wp:posOffset>
            </wp:positionH>
            <wp:positionV relativeFrom="page">
              <wp:posOffset>191770</wp:posOffset>
            </wp:positionV>
            <wp:extent cx="1440815" cy="20574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clrChange>
                        <a:clrFrom>
                          <a:srgbClr val="FFFFFF"/>
                        </a:clrFrom>
                        <a:clrTo>
                          <a:srgbClr val="FFFFFF">
                            <a:alpha val="0"/>
                          </a:srgbClr>
                        </a:clrTo>
                      </a:clrChange>
                      <a:extLst>
                        <a:ext uri="{28A0092B-C50C-407E-A947-70E740481C1C}"/>
                      </a:extLst>
                    </a:blip>
                    <a:srcRect/>
                    <a:stretch>
                      <a:fillRect/>
                    </a:stretch>
                  </pic:blipFill>
                  <pic:spPr bwMode="auto">
                    <a:xfrm>
                      <a:off x="0" y="0"/>
                      <a:ext cx="1440815" cy="205740"/>
                    </a:xfrm>
                    <a:prstGeom prst="rect">
                      <a:avLst/>
                    </a:prstGeom>
                    <a:noFill/>
                  </pic:spPr>
                </pic:pic>
              </a:graphicData>
            </a:graphic>
          </wp:anchor>
        </w:drawing>
      </w:r>
      <w:hyperlink w:anchor="page4">
        <w:r>
          <w:rPr>
            <w:rFonts w:ascii="Arial" w:cs="Arial" w:eastAsia="Arial" w:hAnsi="Arial"/>
            <w:sz w:val="15"/>
            <w:szCs w:val="15"/>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112395</wp:posOffset>
            </wp:positionV>
            <wp:extent cx="7246620"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303" w:right="259" w:bottom="1440" w:gutter="0" w:footer="0" w:header="0"/>
        </w:sectPr>
      </w:pPr>
    </w:p>
    <w:p>
      <w:pPr>
        <w:spacing w:after="0" w:line="200" w:lineRule="exact"/>
        <w:rPr>
          <w:sz w:val="20"/>
          <w:szCs w:val="20"/>
          <w:color w:val="auto"/>
        </w:rPr>
      </w:pPr>
    </w:p>
    <w:p>
      <w:pPr>
        <w:spacing w:after="0" w:line="235" w:lineRule="exact"/>
        <w:rPr>
          <w:sz w:val="20"/>
          <w:szCs w:val="20"/>
          <w:color w:val="auto"/>
        </w:rPr>
      </w:pPr>
    </w:p>
    <w:p>
      <w:pPr>
        <w:ind w:right="40"/>
        <w:spacing w:after="0" w:line="251" w:lineRule="auto"/>
        <w:rPr>
          <w:sz w:val="20"/>
          <w:szCs w:val="20"/>
          <w:color w:val="auto"/>
        </w:rPr>
      </w:pPr>
      <w:r>
        <w:rPr>
          <w:rFonts w:ascii="Arial" w:cs="Arial" w:eastAsia="Arial" w:hAnsi="Arial"/>
          <w:sz w:val="16"/>
          <w:szCs w:val="16"/>
          <w:color w:val="auto"/>
        </w:rPr>
        <w:t>and like all of our Common Stock, generally, will accrue dividends, if any, paid by us on our Common Stock. Winnebago Stock Units will be recorded in such participant's account on the basis of the closing price of a share of our Common Stock on the NYSE on the date upon which the account is credited.</w:t>
      </w:r>
    </w:p>
    <w:p>
      <w:pPr>
        <w:spacing w:after="0" w:line="68" w:lineRule="exact"/>
        <w:rPr>
          <w:sz w:val="20"/>
          <w:szCs w:val="20"/>
          <w:color w:val="auto"/>
        </w:rPr>
      </w:pPr>
    </w:p>
    <w:p>
      <w:pPr>
        <w:ind w:right="60"/>
        <w:spacing w:after="0" w:line="249" w:lineRule="auto"/>
        <w:rPr>
          <w:sz w:val="20"/>
          <w:szCs w:val="20"/>
          <w:color w:val="auto"/>
        </w:rPr>
      </w:pPr>
      <w:r>
        <w:rPr>
          <w:rFonts w:ascii="Arial" w:cs="Arial" w:eastAsia="Arial" w:hAnsi="Arial"/>
          <w:sz w:val="16"/>
          <w:szCs w:val="16"/>
          <w:color w:val="auto"/>
        </w:rPr>
        <w:t>The Winnebago stock units credited to participant's accounts are included in the Common Stock ownership table under the caption “Voting Securities and Principal Holders Thereof.” The directors, however, do not have any rights to vote or dispose of any shares of Common Stock underlying the stock units until their service as director ends or upon his or her attainment of age 69-1/2 while serving as a director.</w:t>
      </w:r>
    </w:p>
    <w:p>
      <w:pPr>
        <w:spacing w:after="0" w:line="70" w:lineRule="exact"/>
        <w:rPr>
          <w:sz w:val="20"/>
          <w:szCs w:val="20"/>
          <w:color w:val="auto"/>
        </w:rPr>
      </w:pPr>
    </w:p>
    <w:p>
      <w:pPr>
        <w:ind w:right="80"/>
        <w:spacing w:after="0" w:line="251" w:lineRule="auto"/>
        <w:rPr>
          <w:sz w:val="20"/>
          <w:szCs w:val="20"/>
          <w:color w:val="auto"/>
        </w:rPr>
      </w:pPr>
      <w:r>
        <w:rPr>
          <w:rFonts w:ascii="Arial" w:cs="Arial" w:eastAsia="Arial" w:hAnsi="Arial"/>
          <w:sz w:val="16"/>
          <w:szCs w:val="16"/>
          <w:color w:val="auto"/>
        </w:rPr>
        <w:t>In the event of a “change of control" of the Company, as defined in the Directors' Deferred Compensation Plan, a participant generally will receive a lump-sum distribution of his or her account within 30 days following his or her termination of service as a director after such change in control.</w:t>
      </w:r>
    </w:p>
    <w:p>
      <w:pPr>
        <w:spacing w:after="0" w:line="262" w:lineRule="exact"/>
        <w:rPr>
          <w:sz w:val="20"/>
          <w:szCs w:val="20"/>
          <w:color w:val="auto"/>
        </w:rPr>
      </w:pPr>
    </w:p>
    <w:p>
      <w:pPr>
        <w:spacing w:after="0"/>
        <w:rPr>
          <w:sz w:val="20"/>
          <w:szCs w:val="20"/>
          <w:color w:val="auto"/>
        </w:rPr>
      </w:pPr>
      <w:r>
        <w:rPr>
          <w:rFonts w:ascii="Arial" w:cs="Arial" w:eastAsia="Arial" w:hAnsi="Arial"/>
          <w:sz w:val="22"/>
          <w:szCs w:val="22"/>
          <w:color w:val="828282"/>
        </w:rPr>
        <w:t>Director Annual Equity Grants</w:t>
      </w:r>
    </w:p>
    <w:p>
      <w:pPr>
        <w:spacing w:after="0" w:line="188" w:lineRule="exact"/>
        <w:rPr>
          <w:sz w:val="20"/>
          <w:szCs w:val="20"/>
          <w:color w:val="auto"/>
        </w:rPr>
      </w:pPr>
    </w:p>
    <w:p>
      <w:pPr>
        <w:ind w:right="80"/>
        <w:spacing w:after="0" w:line="249" w:lineRule="auto"/>
        <w:rPr>
          <w:sz w:val="20"/>
          <w:szCs w:val="20"/>
          <w:color w:val="auto"/>
        </w:rPr>
      </w:pPr>
      <w:r>
        <w:rPr>
          <w:rFonts w:ascii="Arial" w:cs="Arial" w:eastAsia="Arial" w:hAnsi="Arial"/>
          <w:sz w:val="16"/>
          <w:szCs w:val="16"/>
          <w:color w:val="auto"/>
        </w:rPr>
        <w:t>Under the Winnebago Industries, Inc. 2014 Omnibus Equity, Performance Award and Incentive Compensation Plan, no non-employee director may be granted, during any fiscal year, awards consisting of stock awards or performance awards covering or relating to more than 10,000 shares of Common Stock or non-qualified stock options for more than 20,000 shares of Common Stock during any fiscal year.</w:t>
      </w:r>
    </w:p>
    <w:p>
      <w:pPr>
        <w:spacing w:after="0" w:line="70" w:lineRule="exact"/>
        <w:rPr>
          <w:sz w:val="20"/>
          <w:szCs w:val="20"/>
          <w:color w:val="auto"/>
        </w:rPr>
      </w:pPr>
    </w:p>
    <w:p>
      <w:pPr>
        <w:spacing w:after="0" w:line="247" w:lineRule="auto"/>
        <w:rPr>
          <w:sz w:val="20"/>
          <w:szCs w:val="20"/>
          <w:color w:val="auto"/>
        </w:rPr>
      </w:pPr>
      <w:r>
        <w:rPr>
          <w:rFonts w:ascii="Arial" w:cs="Arial" w:eastAsia="Arial" w:hAnsi="Arial"/>
          <w:sz w:val="16"/>
          <w:szCs w:val="16"/>
          <w:color w:val="auto"/>
        </w:rPr>
        <w:t>Beginning with the Fiscal 2019 annual stock awards, we began to grant restricted stock units rather than restricted stock to our non-employee directors. Also, each director stock award, awarded in the form of restricted stock units, will vest approximately one year from the date of the applicable grant (or, approximately 13 months in the case of the October 2018 grant only), provided that participants are restricted from selling, pledging or transferring the Common Stock underlying the vested restricted stock units until the date the participant separates from service on the Board. In the event that a participant terminates his or her service as a director prior to the vesting of the underlying restricted stock unit award, the award will be forfeited by the director. Directors also may elect to defer settlement of their vested restricted stock units until the director's service to the Company terminates.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Arial" w:cs="Arial" w:eastAsia="Arial" w:hAnsi="Arial"/>
          <w:sz w:val="29"/>
          <w:szCs w:val="29"/>
          <w:b w:val="1"/>
          <w:bCs w:val="1"/>
          <w:color w:val="BF2115"/>
        </w:rPr>
        <w:t>Item 1: Election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-404495</wp:posOffset>
            </wp:positionV>
            <wp:extent cx="3575685"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3575685" cy="42545"/>
                    </a:xfrm>
                    <a:prstGeom prst="rect">
                      <a:avLst/>
                    </a:prstGeom>
                    <a:noFill/>
                  </pic:spPr>
                </pic:pic>
              </a:graphicData>
            </a:graphic>
          </wp:anchor>
        </w:drawing>
      </w:r>
    </w:p>
    <w:p>
      <w:pPr>
        <w:spacing w:after="0" w:line="296" w:lineRule="exact"/>
        <w:rPr>
          <w:sz w:val="20"/>
          <w:szCs w:val="20"/>
          <w:color w:val="auto"/>
        </w:rPr>
      </w:pPr>
    </w:p>
    <w:p>
      <w:pPr>
        <w:ind w:right="100"/>
        <w:spacing w:after="0" w:line="248" w:lineRule="auto"/>
        <w:rPr>
          <w:sz w:val="20"/>
          <w:szCs w:val="20"/>
          <w:color w:val="auto"/>
        </w:rPr>
      </w:pPr>
      <w:r>
        <w:rPr>
          <w:rFonts w:ascii="Arial" w:cs="Arial" w:eastAsia="Arial" w:hAnsi="Arial"/>
          <w:sz w:val="16"/>
          <w:szCs w:val="16"/>
          <w:color w:val="auto"/>
        </w:rPr>
        <w:t>Our Board of Directors is divided into three classes with staggered terms, as nearly equal in number as possible. Our bylaws provide that our Board is comprised of between three and fifteen directors. The number of directors to be elected at the Annual Meeting has been set at eight. The Board regularly reviews its composition and the mix of skills and experience of the directors. In the future, the Board may determine it is appropriate to increase its size in order to add a director or directors that would add value to the Company.</w:t>
      </w:r>
    </w:p>
    <w:p>
      <w:pPr>
        <w:spacing w:after="0" w:line="182" w:lineRule="exact"/>
        <w:rPr>
          <w:sz w:val="20"/>
          <w:szCs w:val="20"/>
          <w:color w:val="auto"/>
        </w:rPr>
      </w:pPr>
    </w:p>
    <w:p>
      <w:pPr>
        <w:spacing w:after="0" w:line="247" w:lineRule="auto"/>
        <w:rPr>
          <w:sz w:val="20"/>
          <w:szCs w:val="20"/>
          <w:color w:val="auto"/>
        </w:rPr>
      </w:pPr>
      <w:r>
        <w:rPr>
          <w:rFonts w:ascii="Arial" w:cs="Arial" w:eastAsia="Arial" w:hAnsi="Arial"/>
          <w:sz w:val="16"/>
          <w:szCs w:val="16"/>
          <w:color w:val="auto"/>
        </w:rPr>
        <w:t>The Board of Directors of the Company adopted a majority voting policy for the election of directors in uncontested elections. Under this policy, in any uncontested election of directors of the Company, if any nominee receives less than a majority of the votes cast for the nominee, that nominee shall still be elected, but must tender their resignation to the full Board of Directors for consideration at the next regularly scheduled meeting of the Board of Directors. The Board of Directors shall only not accept the tendered resignation for, in their judgment, a compelling reason. If the Board of Directors</w:t>
      </w:r>
      <w:r>
        <w:rPr>
          <w:rFonts w:ascii="Arial" w:cs="Arial" w:eastAsia="Arial" w:hAnsi="Arial"/>
          <w:sz w:val="16"/>
          <w:szCs w:val="16"/>
          <w:b w:val="1"/>
          <w:bCs w:val="1"/>
          <w:color w:val="auto"/>
        </w:rPr>
        <w:t>,</w:t>
      </w:r>
      <w:r>
        <w:rPr>
          <w:rFonts w:ascii="Arial" w:cs="Arial" w:eastAsia="Arial" w:hAnsi="Arial"/>
          <w:sz w:val="16"/>
          <w:szCs w:val="16"/>
          <w:color w:val="auto"/>
        </w:rPr>
        <w:t xml:space="preserve"> with the affected director not participating, does not accept the resignation at the regularly scheduled meeting following the election, then the nominee shall be considered elected and may serve out the term to which they were elected. In any contested election of directors where the number of nominees exceeds the number of available positions, strict plurality voting shall apply.</w:t>
      </w:r>
    </w:p>
    <w:p>
      <w:pPr>
        <w:spacing w:after="0" w:line="172" w:lineRule="exact"/>
        <w:rPr>
          <w:sz w:val="20"/>
          <w:szCs w:val="20"/>
          <w:color w:val="auto"/>
        </w:rPr>
      </w:pPr>
    </w:p>
    <w:p>
      <w:pPr>
        <w:spacing w:after="0" w:line="248" w:lineRule="auto"/>
        <w:rPr>
          <w:sz w:val="20"/>
          <w:szCs w:val="20"/>
          <w:color w:val="auto"/>
        </w:rPr>
      </w:pPr>
      <w:r>
        <w:rPr>
          <w:rFonts w:ascii="Arial" w:cs="Arial" w:eastAsia="Arial" w:hAnsi="Arial"/>
          <w:sz w:val="16"/>
          <w:szCs w:val="16"/>
          <w:color w:val="auto"/>
        </w:rPr>
        <w:t>Directors are elected for a term of three years. At the Annual Meeting, the term of office of the Class I directors (Mses. Blase and Rodamaker and Messrs. Braun and Miles) will expire. Ms. Rodamaker decided not to stand for re-election. Ms. Blase was elected as a Class I director at a special meeting of the Board on September 24, 2018, at which time the size of the Board was temporarily increased to nine. Ms. Blase and Messrs. Braun and Miles have been nominated as Class I directors. The Class I directors will be elected to serve in that class until the annual meeting following our Fiscal 2021 or until their respective successors are elected.</w:t>
      </w:r>
    </w:p>
    <w:p>
      <w:pPr>
        <w:spacing w:after="0" w:line="185" w:lineRule="exact"/>
        <w:rPr>
          <w:sz w:val="20"/>
          <w:szCs w:val="20"/>
          <w:color w:val="auto"/>
        </w:rPr>
      </w:pPr>
    </w:p>
    <w:p>
      <w:pPr>
        <w:sectPr>
          <w:pgSz w:w="11900" w:h="16838" w:orient="portrait"/>
          <w:cols w:equalWidth="0" w:num="2">
            <w:col w:w="5600" w:space="220"/>
            <w:col w:w="5580"/>
          </w:cols>
          <w:pgMar w:left="240" w:top="303" w:right="259" w:bottom="1440" w:gutter="0" w:footer="0" w:header="0"/>
          <w:type w:val="continuous"/>
        </w:sectPr>
      </w:pPr>
    </w:p>
    <w:p>
      <w:pPr>
        <w:ind w:left="5820"/>
        <w:spacing w:after="0"/>
        <w:rPr>
          <w:sz w:val="20"/>
          <w:szCs w:val="20"/>
          <w:color w:val="auto"/>
        </w:rPr>
      </w:pPr>
      <w:r>
        <w:rPr>
          <w:rFonts w:ascii="Arial" w:cs="Arial" w:eastAsia="Arial" w:hAnsi="Arial"/>
          <w:sz w:val="22"/>
          <w:szCs w:val="22"/>
          <w:color w:val="828282"/>
        </w:rPr>
        <w:t>YOUR BOARD OF DIRECTORS UNANIMOUSLY</w:t>
      </w:r>
    </w:p>
    <w:p>
      <w:pPr>
        <w:spacing w:after="0" w:line="4" w:lineRule="exact"/>
        <w:rPr>
          <w:sz w:val="20"/>
          <w:szCs w:val="20"/>
          <w:color w:val="auto"/>
        </w:rPr>
      </w:pPr>
    </w:p>
    <w:p>
      <w:pPr>
        <w:ind w:left="5820"/>
        <w:spacing w:after="0"/>
        <w:rPr>
          <w:sz w:val="20"/>
          <w:szCs w:val="20"/>
          <w:color w:val="auto"/>
        </w:rPr>
      </w:pPr>
      <w:r>
        <w:rPr>
          <w:rFonts w:ascii="Arial" w:cs="Arial" w:eastAsia="Arial" w:hAnsi="Arial"/>
          <w:sz w:val="21"/>
          <w:szCs w:val="21"/>
          <w:color w:val="828282"/>
        </w:rPr>
        <w:t>RECOMMENDS THAT YOU VOTE FOR THE ELECTION</w:t>
      </w:r>
    </w:p>
    <w:p>
      <w:pPr>
        <w:spacing w:after="0" w:line="15" w:lineRule="exact"/>
        <w:rPr>
          <w:sz w:val="20"/>
          <w:szCs w:val="20"/>
          <w:color w:val="auto"/>
        </w:rPr>
      </w:pPr>
    </w:p>
    <w:p>
      <w:pPr>
        <w:ind w:left="5820"/>
        <w:spacing w:after="0"/>
        <w:rPr>
          <w:sz w:val="20"/>
          <w:szCs w:val="20"/>
          <w:color w:val="auto"/>
        </w:rPr>
      </w:pPr>
      <w:r>
        <w:rPr>
          <w:rFonts w:ascii="Arial" w:cs="Arial" w:eastAsia="Arial" w:hAnsi="Arial"/>
          <w:sz w:val="22"/>
          <w:szCs w:val="22"/>
          <w:color w:val="828282"/>
        </w:rPr>
        <w:t>OF THE DIRECTOR NOMINEES.</w:t>
      </w:r>
    </w:p>
    <w:p>
      <w:pPr>
        <w:spacing w:after="0" w:line="200" w:lineRule="exact"/>
        <w:rPr>
          <w:sz w:val="20"/>
          <w:szCs w:val="20"/>
          <w:color w:val="auto"/>
        </w:rPr>
      </w:pPr>
    </w:p>
    <w:p>
      <w:pPr>
        <w:spacing w:after="0" w:line="25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11</w:t>
      </w:r>
    </w:p>
    <w:p>
      <w:pPr>
        <w:sectPr>
          <w:pgSz w:w="11900" w:h="16838" w:orient="portrait"/>
          <w:cols w:equalWidth="0" w:num="1">
            <w:col w:w="11400"/>
          </w:cols>
          <w:pgMar w:left="240" w:top="303" w:right="259" w:bottom="1440" w:gutter="0" w:footer="0" w:header="0"/>
          <w:type w:val="continuous"/>
        </w:sectPr>
      </w:pPr>
    </w:p>
    <w:bookmarkStart w:id="15" w:name="page16"/>
    <w:bookmarkEnd w:id="15"/>
    <w:p>
      <w:pPr>
        <w:spacing w:after="0"/>
        <w:rPr>
          <w:rFonts w:ascii="Arial" w:cs="Arial" w:eastAsia="Arial" w:hAnsi="Arial"/>
          <w:sz w:val="16"/>
          <w:szCs w:val="16"/>
          <w:u w:val="single" w:color="auto"/>
          <w:color w:val="0000EE"/>
        </w:rPr>
      </w:pPr>
      <w:r>
        <w:rPr>
          <w:rFonts w:ascii="Arial" w:cs="Arial" w:eastAsia="Arial" w:hAnsi="Arial"/>
          <w:sz w:val="16"/>
          <w:szCs w:val="16"/>
          <w:u w:val="single" w:color="auto"/>
          <w:color w:val="0000EE"/>
        </w:rPr>
        <w:drawing>
          <wp:anchor simplePos="0" relativeHeight="251657728" behindDoc="1" locked="0" layoutInCell="0" allowOverlap="1">
            <wp:simplePos x="0" y="0"/>
            <wp:positionH relativeFrom="page">
              <wp:posOffset>5946140</wp:posOffset>
            </wp:positionH>
            <wp:positionV relativeFrom="page">
              <wp:posOffset>191770</wp:posOffset>
            </wp:positionV>
            <wp:extent cx="1440815" cy="20574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clrChange>
                        <a:clrFrom>
                          <a:srgbClr val="FFFFFF"/>
                        </a:clrFrom>
                        <a:clrTo>
                          <a:srgbClr val="FFFFFF">
                            <a:alpha val="0"/>
                          </a:srgbClr>
                        </a:clrTo>
                      </a:clrChange>
                      <a:extLst>
                        <a:ext uri="{28A0092B-C50C-407E-A947-70E740481C1C}"/>
                      </a:extLst>
                    </a:blip>
                    <a:srcRect/>
                    <a:stretch>
                      <a:fillRect/>
                    </a:stretch>
                  </pic:blipFill>
                  <pic:spPr bwMode="auto">
                    <a:xfrm>
                      <a:off x="0" y="0"/>
                      <a:ext cx="1440815" cy="205740"/>
                    </a:xfrm>
                    <a:prstGeom prst="rect">
                      <a:avLst/>
                    </a:prstGeom>
                    <a:noFill/>
                  </pic:spPr>
                </pic:pic>
              </a:graphicData>
            </a:graphic>
          </wp:anchor>
        </w:drawing>
      </w:r>
      <w:hyperlink w:anchor="page4">
        <w:r>
          <w:rPr>
            <w:rFonts w:ascii="Arial" w:cs="Arial" w:eastAsia="Arial" w:hAnsi="Arial"/>
            <w:sz w:val="16"/>
            <w:szCs w:val="16"/>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104775</wp:posOffset>
            </wp:positionV>
            <wp:extent cx="7246620"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09"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828282"/>
        </w:rPr>
        <w:t>Nominees for Class I Director to be Elected to Serve Until the Annual Meeting Following Fiscal</w:t>
      </w:r>
    </w:p>
    <w:p>
      <w:pPr>
        <w:spacing w:after="0" w:line="4"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828282"/>
        </w:rPr>
        <w:t>2021:</w:t>
      </w: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Arial" w:cs="Arial" w:eastAsia="Arial" w:hAnsi="Arial"/>
          <w:sz w:val="22"/>
          <w:szCs w:val="22"/>
          <w:color w:val="828282"/>
        </w:rPr>
        <w:t>Maria F. Blase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15240</wp:posOffset>
            </wp:positionV>
            <wp:extent cx="7246620" cy="126047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46620" cy="1260475"/>
                    </a:xfrm>
                    <a:prstGeom prst="rect">
                      <a:avLst/>
                    </a:prstGeom>
                    <a:noFill/>
                  </pic:spPr>
                </pic:pic>
              </a:graphicData>
            </a:graphic>
          </wp:anchor>
        </w:drawing>
      </w:r>
    </w:p>
    <w:p>
      <w:pPr>
        <w:spacing w:after="0" w:line="200" w:lineRule="exact"/>
        <w:rPr>
          <w:sz w:val="20"/>
          <w:szCs w:val="20"/>
          <w:color w:val="auto"/>
        </w:rPr>
      </w:pPr>
    </w:p>
    <w:p>
      <w:pPr>
        <w:spacing w:after="0" w:line="282" w:lineRule="exact"/>
        <w:rPr>
          <w:sz w:val="20"/>
          <w:szCs w:val="20"/>
          <w:color w:val="auto"/>
        </w:rPr>
      </w:pPr>
    </w:p>
    <w:p>
      <w:pPr>
        <w:ind w:left="2400"/>
        <w:spacing w:after="0"/>
        <w:rPr>
          <w:sz w:val="20"/>
          <w:szCs w:val="20"/>
          <w:color w:val="auto"/>
        </w:rPr>
      </w:pPr>
      <w:r>
        <w:rPr>
          <w:rFonts w:ascii="Arial" w:cs="Arial" w:eastAsia="Arial" w:hAnsi="Arial"/>
          <w:sz w:val="22"/>
          <w:szCs w:val="22"/>
          <w:color w:val="828282"/>
        </w:rPr>
        <w:t>Committees</w:t>
      </w:r>
    </w:p>
    <w:p>
      <w:pPr>
        <w:ind w:left="2560" w:hanging="161"/>
        <w:spacing w:after="0"/>
        <w:tabs>
          <w:tab w:leader="none" w:pos="2560" w:val="left"/>
        </w:tabs>
        <w:numPr>
          <w:ilvl w:val="0"/>
          <w:numId w:val="15"/>
        </w:numPr>
        <w:rPr>
          <w:rFonts w:ascii="Arial" w:cs="Arial" w:eastAsia="Arial" w:hAnsi="Arial"/>
          <w:sz w:val="16"/>
          <w:szCs w:val="16"/>
          <w:color w:val="auto"/>
        </w:rPr>
      </w:pPr>
      <w:r>
        <w:rPr>
          <w:rFonts w:ascii="Arial" w:cs="Arial" w:eastAsia="Arial" w:hAnsi="Arial"/>
          <w:sz w:val="16"/>
          <w:szCs w:val="16"/>
          <w:color w:val="auto"/>
        </w:rPr>
        <w:t>Audit</w:t>
      </w:r>
    </w:p>
    <w:p>
      <w:pPr>
        <w:spacing w:after="0" w:line="18" w:lineRule="exact"/>
        <w:rPr>
          <w:rFonts w:ascii="Arial" w:cs="Arial" w:eastAsia="Arial" w:hAnsi="Arial"/>
          <w:sz w:val="16"/>
          <w:szCs w:val="16"/>
          <w:color w:val="auto"/>
        </w:rPr>
      </w:pPr>
    </w:p>
    <w:p>
      <w:pPr>
        <w:ind w:left="2560" w:hanging="161"/>
        <w:spacing w:after="0"/>
        <w:tabs>
          <w:tab w:leader="none" w:pos="2560" w:val="left"/>
        </w:tabs>
        <w:numPr>
          <w:ilvl w:val="0"/>
          <w:numId w:val="15"/>
        </w:numPr>
        <w:rPr>
          <w:rFonts w:ascii="Arial" w:cs="Arial" w:eastAsia="Arial" w:hAnsi="Arial"/>
          <w:sz w:val="16"/>
          <w:szCs w:val="16"/>
          <w:color w:val="auto"/>
        </w:rPr>
      </w:pPr>
      <w:r>
        <w:rPr>
          <w:rFonts w:ascii="Arial" w:cs="Arial" w:eastAsia="Arial" w:hAnsi="Arial"/>
          <w:sz w:val="16"/>
          <w:szCs w:val="16"/>
          <w:color w:val="auto"/>
        </w:rPr>
        <w:t>Nominating and Governance</w:t>
      </w:r>
    </w:p>
    <w:p>
      <w:pPr>
        <w:spacing w:after="0" w:line="378" w:lineRule="exact"/>
        <w:rPr>
          <w:sz w:val="20"/>
          <w:szCs w:val="20"/>
          <w:color w:val="auto"/>
        </w:rPr>
      </w:pPr>
    </w:p>
    <w:p>
      <w:pPr>
        <w:ind w:left="2400"/>
        <w:spacing w:after="0"/>
        <w:rPr>
          <w:sz w:val="20"/>
          <w:szCs w:val="20"/>
          <w:color w:val="auto"/>
        </w:rPr>
      </w:pPr>
      <w:r>
        <w:rPr>
          <w:rFonts w:ascii="Arial" w:cs="Arial" w:eastAsia="Arial" w:hAnsi="Arial"/>
          <w:sz w:val="22"/>
          <w:szCs w:val="22"/>
          <w:color w:val="828282"/>
        </w:rPr>
        <w:t xml:space="preserve">Age: </w:t>
      </w:r>
      <w:r>
        <w:rPr>
          <w:rFonts w:ascii="Arial" w:cs="Arial" w:eastAsia="Arial" w:hAnsi="Arial"/>
          <w:sz w:val="22"/>
          <w:szCs w:val="22"/>
          <w:color w:val="000000"/>
        </w:rPr>
        <w:t>51</w:t>
      </w:r>
    </w:p>
    <w:p>
      <w:pPr>
        <w:ind w:left="2400"/>
        <w:spacing w:after="0"/>
        <w:rPr>
          <w:sz w:val="20"/>
          <w:szCs w:val="20"/>
          <w:color w:val="auto"/>
        </w:rPr>
      </w:pPr>
      <w:r>
        <w:rPr>
          <w:rFonts w:ascii="Arial" w:cs="Arial" w:eastAsia="Arial" w:hAnsi="Arial"/>
          <w:sz w:val="22"/>
          <w:szCs w:val="22"/>
          <w:color w:val="828282"/>
        </w:rPr>
        <w:t xml:space="preserve">Director Since: </w:t>
      </w:r>
      <w:r>
        <w:rPr>
          <w:rFonts w:ascii="Arial" w:cs="Arial" w:eastAsia="Arial" w:hAnsi="Arial"/>
          <w:sz w:val="22"/>
          <w:szCs w:val="22"/>
          <w:color w:val="000000"/>
        </w:rPr>
        <w:t>2018</w:t>
      </w:r>
    </w:p>
    <w:p>
      <w:pPr>
        <w:spacing w:after="0" w:line="33" w:lineRule="exact"/>
        <w:rPr>
          <w:sz w:val="20"/>
          <w:szCs w:val="20"/>
          <w:color w:val="auto"/>
        </w:rPr>
      </w:pPr>
    </w:p>
    <w:p>
      <w:pPr>
        <w:ind w:left="340" w:right="220"/>
        <w:spacing w:after="0" w:line="256" w:lineRule="auto"/>
        <w:rPr>
          <w:sz w:val="20"/>
          <w:szCs w:val="20"/>
          <w:color w:val="auto"/>
        </w:rPr>
      </w:pPr>
      <w:r>
        <w:rPr>
          <w:rFonts w:ascii="Arial" w:cs="Arial" w:eastAsia="Arial" w:hAnsi="Arial"/>
          <w:sz w:val="16"/>
          <w:szCs w:val="16"/>
          <w:b w:val="1"/>
          <w:bCs w:val="1"/>
          <w:color w:val="auto"/>
        </w:rPr>
        <w:t>Maria F. Blase</w:t>
      </w:r>
      <w:r>
        <w:rPr>
          <w:rFonts w:ascii="Arial" w:cs="Arial" w:eastAsia="Arial" w:hAnsi="Arial"/>
          <w:sz w:val="16"/>
          <w:szCs w:val="16"/>
          <w:color w:val="auto"/>
        </w:rPr>
        <w:t>, 51, currently serves as President of the Fluid Management, Material Handling and Power Tools businesses of Ingersoll Rand, a global</w:t>
      </w:r>
      <w:r>
        <w:rPr>
          <w:rFonts w:ascii="Arial" w:cs="Arial" w:eastAsia="Arial" w:hAnsi="Arial"/>
          <w:sz w:val="16"/>
          <w:szCs w:val="16"/>
          <w:b w:val="1"/>
          <w:bCs w:val="1"/>
          <w:color w:val="auto"/>
        </w:rPr>
        <w:t xml:space="preserve"> </w:t>
      </w:r>
      <w:r>
        <w:rPr>
          <w:rFonts w:ascii="Arial" w:cs="Arial" w:eastAsia="Arial" w:hAnsi="Arial"/>
          <w:sz w:val="16"/>
          <w:szCs w:val="16"/>
          <w:color w:val="auto"/>
        </w:rPr>
        <w:t>industrial manufacturing company. Maria has 25 years of experience with diverse industries, including transport, buildings, services, manufacturing, pharmaceuticals and mining. After joining Ingersoll Rand in 1999, she was promoted to global financial roles of increasing importance, including chief financial officer of the $8 billion Climate Solutions sector. In 2013, she was named President of the HVAC and Transport Latin America business of Ingersoll Rand, and in late 2017 assumed her most recent role.</w:t>
      </w:r>
    </w:p>
    <w:p>
      <w:pPr>
        <w:spacing w:after="0" w:line="173" w:lineRule="exact"/>
        <w:rPr>
          <w:sz w:val="20"/>
          <w:szCs w:val="20"/>
          <w:color w:val="auto"/>
        </w:rPr>
      </w:pPr>
    </w:p>
    <w:p>
      <w:pPr>
        <w:ind w:left="340" w:right="80"/>
        <w:spacing w:after="0" w:line="260" w:lineRule="auto"/>
        <w:rPr>
          <w:sz w:val="20"/>
          <w:szCs w:val="20"/>
          <w:color w:val="auto"/>
        </w:rPr>
      </w:pPr>
      <w:r>
        <w:rPr>
          <w:rFonts w:ascii="Arial" w:cs="Arial" w:eastAsia="Arial" w:hAnsi="Arial"/>
          <w:sz w:val="16"/>
          <w:szCs w:val="16"/>
          <w:color w:val="auto"/>
        </w:rPr>
        <w:t>Ms. Blase is a CPA and her previous experience includes various positions at KPMG LLP from 1993 to 1999 in increasing scope and complexity. Due to Ms. Blase's relevant experience in finance, accounting and controls, the Board determined that she is an audit committee financial expert.</w:t>
      </w:r>
    </w:p>
    <w:p>
      <w:pPr>
        <w:spacing w:after="0" w:line="214" w:lineRule="exact"/>
        <w:rPr>
          <w:sz w:val="20"/>
          <w:szCs w:val="20"/>
          <w:color w:val="auto"/>
        </w:rPr>
      </w:pPr>
    </w:p>
    <w:p>
      <w:pPr>
        <w:ind w:left="340"/>
        <w:spacing w:after="0"/>
        <w:rPr>
          <w:sz w:val="20"/>
          <w:szCs w:val="20"/>
          <w:color w:val="auto"/>
        </w:rPr>
      </w:pPr>
      <w:r>
        <w:rPr>
          <w:rFonts w:ascii="Arial" w:cs="Arial" w:eastAsia="Arial" w:hAnsi="Arial"/>
          <w:sz w:val="22"/>
          <w:szCs w:val="22"/>
          <w:color w:val="828282"/>
        </w:rPr>
        <w:t>Skills and Qualifications:</w:t>
      </w:r>
    </w:p>
    <w:p>
      <w:pPr>
        <w:spacing w:after="0" w:line="53" w:lineRule="exact"/>
        <w:rPr>
          <w:sz w:val="20"/>
          <w:szCs w:val="20"/>
          <w:color w:val="auto"/>
        </w:rPr>
      </w:pPr>
    </w:p>
    <w:p>
      <w:pPr>
        <w:ind w:left="340" w:right="40"/>
        <w:spacing w:after="0" w:line="260" w:lineRule="auto"/>
        <w:rPr>
          <w:sz w:val="20"/>
          <w:szCs w:val="20"/>
          <w:color w:val="auto"/>
        </w:rPr>
      </w:pPr>
      <w:r>
        <w:rPr>
          <w:rFonts w:ascii="Arial" w:cs="Arial" w:eastAsia="Arial" w:hAnsi="Arial"/>
          <w:sz w:val="16"/>
          <w:szCs w:val="16"/>
          <w:color w:val="auto"/>
        </w:rPr>
        <w:t>Ms. Blase brings to the Board extensive experience in international, strategic planning, acquisitions and driving business growth. The Board believes her financial and business expertise will add valuable insights to the Board.</w:t>
      </w:r>
    </w:p>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Arial" w:cs="Arial" w:eastAsia="Arial" w:hAnsi="Arial"/>
          <w:sz w:val="22"/>
          <w:szCs w:val="22"/>
          <w:color w:val="828282"/>
        </w:rPr>
        <w:t>Christopher J. Braun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15240</wp:posOffset>
            </wp:positionV>
            <wp:extent cx="7246620" cy="127762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46620" cy="1277620"/>
                    </a:xfrm>
                    <a:prstGeom prst="rect">
                      <a:avLst/>
                    </a:prstGeom>
                    <a:noFill/>
                  </pic:spPr>
                </pic:pic>
              </a:graphicData>
            </a:graphic>
          </wp:anchor>
        </w:drawing>
      </w:r>
    </w:p>
    <w:p>
      <w:pPr>
        <w:spacing w:after="0" w:line="200" w:lineRule="exact"/>
        <w:rPr>
          <w:sz w:val="20"/>
          <w:szCs w:val="20"/>
          <w:color w:val="auto"/>
        </w:rPr>
      </w:pPr>
    </w:p>
    <w:p>
      <w:pPr>
        <w:spacing w:after="0" w:line="282" w:lineRule="exact"/>
        <w:rPr>
          <w:sz w:val="20"/>
          <w:szCs w:val="20"/>
          <w:color w:val="auto"/>
        </w:rPr>
      </w:pPr>
    </w:p>
    <w:p>
      <w:pPr>
        <w:ind w:left="2400"/>
        <w:spacing w:after="0"/>
        <w:rPr>
          <w:sz w:val="20"/>
          <w:szCs w:val="20"/>
          <w:color w:val="auto"/>
        </w:rPr>
      </w:pPr>
      <w:r>
        <w:rPr>
          <w:rFonts w:ascii="Arial" w:cs="Arial" w:eastAsia="Arial" w:hAnsi="Arial"/>
          <w:sz w:val="22"/>
          <w:szCs w:val="22"/>
          <w:color w:val="828282"/>
        </w:rPr>
        <w:t>Committees</w:t>
      </w:r>
    </w:p>
    <w:p>
      <w:pPr>
        <w:ind w:left="2560" w:hanging="161"/>
        <w:spacing w:after="0"/>
        <w:tabs>
          <w:tab w:leader="none" w:pos="2560" w:val="left"/>
        </w:tabs>
        <w:numPr>
          <w:ilvl w:val="0"/>
          <w:numId w:val="16"/>
        </w:numPr>
        <w:rPr>
          <w:rFonts w:ascii="Arial" w:cs="Arial" w:eastAsia="Arial" w:hAnsi="Arial"/>
          <w:sz w:val="16"/>
          <w:szCs w:val="16"/>
          <w:color w:val="auto"/>
        </w:rPr>
      </w:pPr>
      <w:r>
        <w:rPr>
          <w:rFonts w:ascii="Arial" w:cs="Arial" w:eastAsia="Arial" w:hAnsi="Arial"/>
          <w:sz w:val="16"/>
          <w:szCs w:val="16"/>
          <w:color w:val="auto"/>
        </w:rPr>
        <w:t>Human Resources</w:t>
      </w:r>
    </w:p>
    <w:p>
      <w:pPr>
        <w:spacing w:after="0" w:line="18" w:lineRule="exact"/>
        <w:rPr>
          <w:rFonts w:ascii="Arial" w:cs="Arial" w:eastAsia="Arial" w:hAnsi="Arial"/>
          <w:sz w:val="16"/>
          <w:szCs w:val="16"/>
          <w:color w:val="auto"/>
        </w:rPr>
      </w:pPr>
    </w:p>
    <w:p>
      <w:pPr>
        <w:ind w:left="2560" w:hanging="161"/>
        <w:spacing w:after="0"/>
        <w:tabs>
          <w:tab w:leader="none" w:pos="2560" w:val="left"/>
        </w:tabs>
        <w:numPr>
          <w:ilvl w:val="0"/>
          <w:numId w:val="16"/>
        </w:numPr>
        <w:rPr>
          <w:rFonts w:ascii="Arial" w:cs="Arial" w:eastAsia="Arial" w:hAnsi="Arial"/>
          <w:sz w:val="16"/>
          <w:szCs w:val="16"/>
          <w:color w:val="auto"/>
        </w:rPr>
      </w:pPr>
      <w:r>
        <w:rPr>
          <w:rFonts w:ascii="Arial" w:cs="Arial" w:eastAsia="Arial" w:hAnsi="Arial"/>
          <w:sz w:val="16"/>
          <w:szCs w:val="16"/>
          <w:color w:val="auto"/>
        </w:rPr>
        <w:t>Nominating and Governance</w:t>
      </w:r>
    </w:p>
    <w:p>
      <w:pPr>
        <w:spacing w:after="0" w:line="189" w:lineRule="exact"/>
        <w:rPr>
          <w:sz w:val="20"/>
          <w:szCs w:val="20"/>
          <w:color w:val="auto"/>
        </w:rPr>
      </w:pPr>
    </w:p>
    <w:p>
      <w:pPr>
        <w:ind w:left="2400"/>
        <w:spacing w:after="0"/>
        <w:rPr>
          <w:sz w:val="20"/>
          <w:szCs w:val="20"/>
          <w:color w:val="auto"/>
        </w:rPr>
      </w:pPr>
      <w:r>
        <w:rPr>
          <w:rFonts w:ascii="Arial" w:cs="Arial" w:eastAsia="Arial" w:hAnsi="Arial"/>
          <w:sz w:val="22"/>
          <w:szCs w:val="22"/>
          <w:color w:val="828282"/>
        </w:rPr>
        <w:t xml:space="preserve">Age: </w:t>
      </w:r>
      <w:r>
        <w:rPr>
          <w:rFonts w:ascii="Arial" w:cs="Arial" w:eastAsia="Arial" w:hAnsi="Arial"/>
          <w:sz w:val="22"/>
          <w:szCs w:val="22"/>
          <w:color w:val="000000"/>
        </w:rPr>
        <w:t>58</w:t>
      </w:r>
    </w:p>
    <w:p>
      <w:pPr>
        <w:ind w:left="2400"/>
        <w:spacing w:after="0"/>
        <w:rPr>
          <w:sz w:val="20"/>
          <w:szCs w:val="20"/>
          <w:color w:val="auto"/>
        </w:rPr>
      </w:pPr>
      <w:r>
        <w:rPr>
          <w:rFonts w:ascii="Arial" w:cs="Arial" w:eastAsia="Arial" w:hAnsi="Arial"/>
          <w:sz w:val="22"/>
          <w:szCs w:val="22"/>
          <w:color w:val="828282"/>
        </w:rPr>
        <w:t xml:space="preserve">Director Since: </w:t>
      </w:r>
      <w:r>
        <w:rPr>
          <w:rFonts w:ascii="Arial" w:cs="Arial" w:eastAsia="Arial" w:hAnsi="Arial"/>
          <w:sz w:val="22"/>
          <w:szCs w:val="22"/>
          <w:color w:val="000000"/>
        </w:rPr>
        <w:t>2015</w:t>
      </w:r>
    </w:p>
    <w:p>
      <w:pPr>
        <w:spacing w:after="0" w:line="296" w:lineRule="exact"/>
        <w:rPr>
          <w:sz w:val="20"/>
          <w:szCs w:val="20"/>
          <w:color w:val="auto"/>
        </w:rPr>
      </w:pPr>
    </w:p>
    <w:p>
      <w:pPr>
        <w:ind w:left="340" w:right="140"/>
        <w:spacing w:after="0" w:line="251" w:lineRule="auto"/>
        <w:rPr>
          <w:sz w:val="20"/>
          <w:szCs w:val="20"/>
          <w:color w:val="auto"/>
        </w:rPr>
      </w:pPr>
      <w:r>
        <w:rPr>
          <w:rFonts w:ascii="Arial" w:cs="Arial" w:eastAsia="Arial" w:hAnsi="Arial"/>
          <w:sz w:val="16"/>
          <w:szCs w:val="16"/>
          <w:color w:val="auto"/>
        </w:rPr>
        <w:t>Christopher J. Braun, 58, has been a director since 2015. Mr. Braun has over 30 years of leadership experience encompassing manufacturing, finance and sales. He founded Teton Buildings in 2008 and held the position of CEO through 2013. His previous experience includes CEO of Teton Homes, Executive Vice President - RV Group at Fleetwood Enterprises and various senior management positions within PACCAR Corporation, manufacturer of Kenworth and Peterbilt trucks.</w:t>
      </w:r>
    </w:p>
    <w:p>
      <w:pPr>
        <w:spacing w:after="0" w:line="32" w:lineRule="exact"/>
        <w:rPr>
          <w:sz w:val="20"/>
          <w:szCs w:val="20"/>
          <w:color w:val="auto"/>
        </w:rPr>
      </w:pPr>
    </w:p>
    <w:p>
      <w:pPr>
        <w:ind w:left="340"/>
        <w:spacing w:after="0"/>
        <w:rPr>
          <w:sz w:val="20"/>
          <w:szCs w:val="20"/>
          <w:color w:val="auto"/>
        </w:rPr>
      </w:pPr>
      <w:r>
        <w:rPr>
          <w:rFonts w:ascii="Arial" w:cs="Arial" w:eastAsia="Arial" w:hAnsi="Arial"/>
          <w:sz w:val="22"/>
          <w:szCs w:val="22"/>
          <w:color w:val="828282"/>
        </w:rPr>
        <w:t>Skills and Qualifications:</w:t>
      </w:r>
    </w:p>
    <w:p>
      <w:pPr>
        <w:spacing w:after="0" w:line="53" w:lineRule="exact"/>
        <w:rPr>
          <w:sz w:val="20"/>
          <w:szCs w:val="20"/>
          <w:color w:val="auto"/>
        </w:rPr>
      </w:pPr>
    </w:p>
    <w:p>
      <w:pPr>
        <w:ind w:left="340"/>
        <w:spacing w:after="0" w:line="260" w:lineRule="auto"/>
        <w:rPr>
          <w:sz w:val="20"/>
          <w:szCs w:val="20"/>
          <w:color w:val="auto"/>
        </w:rPr>
      </w:pPr>
      <w:r>
        <w:rPr>
          <w:rFonts w:ascii="Arial" w:cs="Arial" w:eastAsia="Arial" w:hAnsi="Arial"/>
          <w:sz w:val="16"/>
          <w:szCs w:val="16"/>
          <w:color w:val="auto"/>
        </w:rPr>
        <w:t>As a recognized leader in the RV industry, Mr. Braun provides keen insights to the Board. His prior experience in the RV industry, combined with his vast manufacturing background and his role as a former CEO make him well-positioned to critically and thoughtfully review and guide the Company's strategy.</w:t>
      </w:r>
    </w:p>
    <w:p>
      <w:pPr>
        <w:spacing w:after="0" w:line="250"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12</w:t>
      </w:r>
    </w:p>
    <w:p>
      <w:pPr>
        <w:sectPr>
          <w:pgSz w:w="11900" w:h="16838" w:orient="portrait"/>
          <w:cols w:equalWidth="0" w:num="1">
            <w:col w:w="11300"/>
          </w:cols>
          <w:pgMar w:left="280" w:top="303" w:right="319" w:bottom="1440" w:gutter="0" w:footer="0" w:header="0"/>
        </w:sectPr>
      </w:pPr>
    </w:p>
    <w:bookmarkStart w:id="16" w:name="page17"/>
    <w:bookmarkEnd w:id="16"/>
    <w:p>
      <w:pPr>
        <w:spacing w:after="0"/>
        <w:rPr>
          <w:rFonts w:ascii="Arial" w:cs="Arial" w:eastAsia="Arial" w:hAnsi="Arial"/>
          <w:sz w:val="16"/>
          <w:szCs w:val="16"/>
          <w:u w:val="single" w:color="auto"/>
          <w:color w:val="0000EE"/>
        </w:rPr>
      </w:pPr>
      <w:r>
        <w:rPr>
          <w:rFonts w:ascii="Arial" w:cs="Arial" w:eastAsia="Arial" w:hAnsi="Arial"/>
          <w:sz w:val="16"/>
          <w:szCs w:val="16"/>
          <w:u w:val="single" w:color="auto"/>
          <w:color w:val="0000EE"/>
        </w:rPr>
        <w:drawing>
          <wp:anchor simplePos="0" relativeHeight="251657728" behindDoc="1" locked="0" layoutInCell="0" allowOverlap="1">
            <wp:simplePos x="0" y="0"/>
            <wp:positionH relativeFrom="page">
              <wp:posOffset>5946140</wp:posOffset>
            </wp:positionH>
            <wp:positionV relativeFrom="page">
              <wp:posOffset>191770</wp:posOffset>
            </wp:positionV>
            <wp:extent cx="1440815" cy="20574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clrChange>
                        <a:clrFrom>
                          <a:srgbClr val="FFFFFF"/>
                        </a:clrFrom>
                        <a:clrTo>
                          <a:srgbClr val="FFFFFF">
                            <a:alpha val="0"/>
                          </a:srgbClr>
                        </a:clrTo>
                      </a:clrChange>
                      <a:extLst>
                        <a:ext uri="{28A0092B-C50C-407E-A947-70E740481C1C}"/>
                      </a:extLst>
                    </a:blip>
                    <a:srcRect/>
                    <a:stretch>
                      <a:fillRect/>
                    </a:stretch>
                  </pic:blipFill>
                  <pic:spPr bwMode="auto">
                    <a:xfrm>
                      <a:off x="0" y="0"/>
                      <a:ext cx="1440815" cy="205740"/>
                    </a:xfrm>
                    <a:prstGeom prst="rect">
                      <a:avLst/>
                    </a:prstGeom>
                    <a:noFill/>
                  </pic:spPr>
                </pic:pic>
              </a:graphicData>
            </a:graphic>
          </wp:anchor>
        </w:drawing>
      </w:r>
      <w:hyperlink w:anchor="page4">
        <w:r>
          <w:rPr>
            <w:rFonts w:ascii="Arial" w:cs="Arial" w:eastAsia="Arial" w:hAnsi="Arial"/>
            <w:sz w:val="16"/>
            <w:szCs w:val="16"/>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104775</wp:posOffset>
            </wp:positionV>
            <wp:extent cx="7246620"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357" w:lineRule="exact"/>
        <w:rPr>
          <w:sz w:val="20"/>
          <w:szCs w:val="20"/>
          <w:color w:val="auto"/>
        </w:rPr>
      </w:pPr>
    </w:p>
    <w:p>
      <w:pPr>
        <w:spacing w:after="0"/>
        <w:rPr>
          <w:sz w:val="20"/>
          <w:szCs w:val="20"/>
          <w:color w:val="auto"/>
        </w:rPr>
      </w:pPr>
      <w:r>
        <w:rPr>
          <w:rFonts w:ascii="Arial" w:cs="Arial" w:eastAsia="Arial" w:hAnsi="Arial"/>
          <w:sz w:val="22"/>
          <w:szCs w:val="22"/>
          <w:color w:val="828282"/>
        </w:rPr>
        <w:t>David W. Miles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15240</wp:posOffset>
            </wp:positionV>
            <wp:extent cx="7246620" cy="127762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46620" cy="1277620"/>
                    </a:xfrm>
                    <a:prstGeom prst="rect">
                      <a:avLst/>
                    </a:prstGeom>
                    <a:noFill/>
                  </pic:spPr>
                </pic:pic>
              </a:graphicData>
            </a:graphic>
          </wp:anchor>
        </w:drawing>
      </w:r>
    </w:p>
    <w:p>
      <w:pPr>
        <w:spacing w:after="0" w:line="200" w:lineRule="exact"/>
        <w:rPr>
          <w:sz w:val="20"/>
          <w:szCs w:val="20"/>
          <w:color w:val="auto"/>
        </w:rPr>
      </w:pPr>
    </w:p>
    <w:p>
      <w:pPr>
        <w:spacing w:after="0" w:line="282" w:lineRule="exact"/>
        <w:rPr>
          <w:sz w:val="20"/>
          <w:szCs w:val="20"/>
          <w:color w:val="auto"/>
        </w:rPr>
      </w:pPr>
    </w:p>
    <w:p>
      <w:pPr>
        <w:ind w:left="2400"/>
        <w:spacing w:after="0"/>
        <w:rPr>
          <w:sz w:val="20"/>
          <w:szCs w:val="20"/>
          <w:color w:val="auto"/>
        </w:rPr>
      </w:pPr>
      <w:r>
        <w:rPr>
          <w:rFonts w:ascii="Arial" w:cs="Arial" w:eastAsia="Arial" w:hAnsi="Arial"/>
          <w:sz w:val="22"/>
          <w:szCs w:val="22"/>
          <w:color w:val="828282"/>
        </w:rPr>
        <w:t>Committees</w:t>
      </w:r>
    </w:p>
    <w:p>
      <w:pPr>
        <w:ind w:left="2560" w:hanging="161"/>
        <w:spacing w:after="0"/>
        <w:tabs>
          <w:tab w:leader="none" w:pos="2560" w:val="left"/>
        </w:tabs>
        <w:numPr>
          <w:ilvl w:val="0"/>
          <w:numId w:val="17"/>
        </w:numPr>
        <w:rPr>
          <w:rFonts w:ascii="Arial" w:cs="Arial" w:eastAsia="Arial" w:hAnsi="Arial"/>
          <w:sz w:val="16"/>
          <w:szCs w:val="16"/>
          <w:color w:val="auto"/>
        </w:rPr>
      </w:pPr>
      <w:r>
        <w:rPr>
          <w:rFonts w:ascii="Arial" w:cs="Arial" w:eastAsia="Arial" w:hAnsi="Arial"/>
          <w:sz w:val="16"/>
          <w:szCs w:val="16"/>
          <w:color w:val="auto"/>
        </w:rPr>
        <w:t>Audit</w:t>
      </w:r>
    </w:p>
    <w:p>
      <w:pPr>
        <w:spacing w:after="0" w:line="18" w:lineRule="exact"/>
        <w:rPr>
          <w:rFonts w:ascii="Arial" w:cs="Arial" w:eastAsia="Arial" w:hAnsi="Arial"/>
          <w:sz w:val="16"/>
          <w:szCs w:val="16"/>
          <w:color w:val="auto"/>
        </w:rPr>
      </w:pPr>
    </w:p>
    <w:p>
      <w:pPr>
        <w:ind w:left="2560" w:hanging="161"/>
        <w:spacing w:after="0"/>
        <w:tabs>
          <w:tab w:leader="none" w:pos="2560" w:val="left"/>
        </w:tabs>
        <w:numPr>
          <w:ilvl w:val="0"/>
          <w:numId w:val="17"/>
        </w:numPr>
        <w:rPr>
          <w:rFonts w:ascii="Arial" w:cs="Arial" w:eastAsia="Arial" w:hAnsi="Arial"/>
          <w:sz w:val="16"/>
          <w:szCs w:val="16"/>
          <w:color w:val="auto"/>
        </w:rPr>
      </w:pPr>
      <w:r>
        <w:rPr>
          <w:rFonts w:ascii="Arial" w:cs="Arial" w:eastAsia="Arial" w:hAnsi="Arial"/>
          <w:sz w:val="16"/>
          <w:szCs w:val="16"/>
          <w:color w:val="auto"/>
        </w:rPr>
        <w:t>Finance (Chair)</w:t>
      </w:r>
    </w:p>
    <w:p>
      <w:pPr>
        <w:spacing w:after="0" w:line="189" w:lineRule="exact"/>
        <w:rPr>
          <w:sz w:val="20"/>
          <w:szCs w:val="20"/>
          <w:color w:val="auto"/>
        </w:rPr>
      </w:pPr>
    </w:p>
    <w:p>
      <w:pPr>
        <w:ind w:left="2400"/>
        <w:spacing w:after="0"/>
        <w:rPr>
          <w:sz w:val="20"/>
          <w:szCs w:val="20"/>
          <w:color w:val="auto"/>
        </w:rPr>
      </w:pPr>
      <w:r>
        <w:rPr>
          <w:rFonts w:ascii="Arial" w:cs="Arial" w:eastAsia="Arial" w:hAnsi="Arial"/>
          <w:sz w:val="22"/>
          <w:szCs w:val="22"/>
          <w:color w:val="828282"/>
        </w:rPr>
        <w:t xml:space="preserve">Age: </w:t>
      </w:r>
      <w:r>
        <w:rPr>
          <w:rFonts w:ascii="Arial" w:cs="Arial" w:eastAsia="Arial" w:hAnsi="Arial"/>
          <w:sz w:val="22"/>
          <w:szCs w:val="22"/>
          <w:color w:val="000000"/>
        </w:rPr>
        <w:t>61</w:t>
      </w:r>
    </w:p>
    <w:p>
      <w:pPr>
        <w:ind w:left="2400"/>
        <w:spacing w:after="0"/>
        <w:rPr>
          <w:sz w:val="20"/>
          <w:szCs w:val="20"/>
          <w:color w:val="auto"/>
        </w:rPr>
      </w:pPr>
      <w:r>
        <w:rPr>
          <w:rFonts w:ascii="Arial" w:cs="Arial" w:eastAsia="Arial" w:hAnsi="Arial"/>
          <w:sz w:val="22"/>
          <w:szCs w:val="22"/>
          <w:color w:val="828282"/>
        </w:rPr>
        <w:t xml:space="preserve">Director Since: </w:t>
      </w:r>
      <w:r>
        <w:rPr>
          <w:rFonts w:ascii="Arial" w:cs="Arial" w:eastAsia="Arial" w:hAnsi="Arial"/>
          <w:sz w:val="22"/>
          <w:szCs w:val="22"/>
          <w:color w:val="000000"/>
        </w:rPr>
        <w:t>2015</w:t>
      </w:r>
    </w:p>
    <w:p>
      <w:pPr>
        <w:spacing w:after="0" w:line="296" w:lineRule="exact"/>
        <w:rPr>
          <w:sz w:val="20"/>
          <w:szCs w:val="20"/>
          <w:color w:val="auto"/>
        </w:rPr>
      </w:pPr>
    </w:p>
    <w:p>
      <w:pPr>
        <w:ind w:left="460"/>
        <w:spacing w:after="0" w:line="249" w:lineRule="auto"/>
        <w:rPr>
          <w:sz w:val="20"/>
          <w:szCs w:val="20"/>
          <w:color w:val="auto"/>
        </w:rPr>
      </w:pPr>
      <w:r>
        <w:rPr>
          <w:rFonts w:ascii="Arial" w:cs="Arial" w:eastAsia="Arial" w:hAnsi="Arial"/>
          <w:sz w:val="16"/>
          <w:szCs w:val="16"/>
          <w:color w:val="auto"/>
        </w:rPr>
        <w:t>David W. Miles, 61, a financial adviser, entrepreneur and investor, has been a director since 2015. Mr. Miles is co-founder and Managing Principal of ManchesterStory Group, an early-to-growth stage venture capital firm, chairman and principal owner of Miles Capital, Inc., a registered investment advisory firm managing investments in public equities, public debt and alternative asset classes to institutional investors, and founder and manager of The Miles Group, LLC, a firm focused on direct and indirect private equity investments. He is also a director of the Miles Funds, Inc., and a director and chair of the Audit Committee of Northwest Financial Corporation. Due to Mr. Miles' vast experience in finance and as an investment advisor, the Board determined that he is an audit committee financial expert.</w:t>
      </w:r>
    </w:p>
    <w:p>
      <w:pPr>
        <w:spacing w:after="0" w:line="35" w:lineRule="exact"/>
        <w:rPr>
          <w:sz w:val="20"/>
          <w:szCs w:val="20"/>
          <w:color w:val="auto"/>
        </w:rPr>
      </w:pPr>
    </w:p>
    <w:p>
      <w:pPr>
        <w:ind w:left="460"/>
        <w:spacing w:after="0"/>
        <w:rPr>
          <w:sz w:val="20"/>
          <w:szCs w:val="20"/>
          <w:color w:val="auto"/>
        </w:rPr>
      </w:pPr>
      <w:r>
        <w:rPr>
          <w:rFonts w:ascii="Arial" w:cs="Arial" w:eastAsia="Arial" w:hAnsi="Arial"/>
          <w:sz w:val="22"/>
          <w:szCs w:val="22"/>
          <w:color w:val="828282"/>
        </w:rPr>
        <w:t>Skills and Qualifications:</w:t>
      </w:r>
    </w:p>
    <w:p>
      <w:pPr>
        <w:spacing w:after="0" w:line="53" w:lineRule="exact"/>
        <w:rPr>
          <w:sz w:val="20"/>
          <w:szCs w:val="20"/>
          <w:color w:val="auto"/>
        </w:rPr>
      </w:pPr>
    </w:p>
    <w:p>
      <w:pPr>
        <w:ind w:left="460" w:right="620"/>
        <w:spacing w:after="0" w:line="260" w:lineRule="auto"/>
        <w:rPr>
          <w:sz w:val="20"/>
          <w:szCs w:val="20"/>
          <w:color w:val="auto"/>
        </w:rPr>
      </w:pPr>
      <w:r>
        <w:rPr>
          <w:rFonts w:ascii="Arial" w:cs="Arial" w:eastAsia="Arial" w:hAnsi="Arial"/>
          <w:sz w:val="16"/>
          <w:szCs w:val="16"/>
          <w:color w:val="auto"/>
        </w:rPr>
        <w:t>Mr. Miles brings legal and investment transaction experience to the Board. He also brings significant expertise in financial reporting and capital allocation strategy.</w:t>
      </w:r>
    </w:p>
    <w:p>
      <w:pPr>
        <w:spacing w:after="0" w:line="268" w:lineRule="exact"/>
        <w:rPr>
          <w:sz w:val="20"/>
          <w:szCs w:val="20"/>
          <w:color w:val="auto"/>
        </w:rPr>
      </w:pPr>
    </w:p>
    <w:p>
      <w:pPr>
        <w:ind w:left="1640"/>
        <w:spacing w:after="0"/>
        <w:rPr>
          <w:sz w:val="20"/>
          <w:szCs w:val="20"/>
          <w:color w:val="auto"/>
        </w:rPr>
      </w:pPr>
      <w:r>
        <w:rPr>
          <w:rFonts w:ascii="Arial" w:cs="Arial" w:eastAsia="Arial" w:hAnsi="Arial"/>
          <w:sz w:val="22"/>
          <w:szCs w:val="22"/>
          <w:color w:val="828282"/>
        </w:rPr>
        <w:t>Class II Directors Whose Term Expires at the Annual Meeting Following Fiscal 2019:</w:t>
      </w:r>
    </w:p>
    <w:p>
      <w:pPr>
        <w:spacing w:after="0" w:line="152" w:lineRule="exact"/>
        <w:rPr>
          <w:sz w:val="20"/>
          <w:szCs w:val="20"/>
          <w:color w:val="auto"/>
        </w:rPr>
      </w:pPr>
    </w:p>
    <w:p>
      <w:pPr>
        <w:spacing w:after="0"/>
        <w:rPr>
          <w:sz w:val="20"/>
          <w:szCs w:val="20"/>
          <w:color w:val="auto"/>
        </w:rPr>
      </w:pPr>
      <w:r>
        <w:rPr>
          <w:rFonts w:ascii="Arial" w:cs="Arial" w:eastAsia="Arial" w:hAnsi="Arial"/>
          <w:sz w:val="22"/>
          <w:szCs w:val="22"/>
          <w:color w:val="828282"/>
        </w:rPr>
        <w:t>Robert M. Chiusano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15240</wp:posOffset>
            </wp:positionV>
            <wp:extent cx="7246620" cy="13036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46620" cy="1303655"/>
                    </a:xfrm>
                    <a:prstGeom prst="rect">
                      <a:avLst/>
                    </a:prstGeom>
                    <a:noFill/>
                  </pic:spPr>
                </pic:pic>
              </a:graphicData>
            </a:graphic>
          </wp:anchor>
        </w:drawing>
      </w:r>
    </w:p>
    <w:p>
      <w:pPr>
        <w:spacing w:after="0" w:line="200" w:lineRule="exact"/>
        <w:rPr>
          <w:sz w:val="20"/>
          <w:szCs w:val="20"/>
          <w:color w:val="auto"/>
        </w:rPr>
      </w:pPr>
    </w:p>
    <w:p>
      <w:pPr>
        <w:spacing w:after="0" w:line="282" w:lineRule="exact"/>
        <w:rPr>
          <w:sz w:val="20"/>
          <w:szCs w:val="20"/>
          <w:color w:val="auto"/>
        </w:rPr>
      </w:pPr>
    </w:p>
    <w:p>
      <w:pPr>
        <w:ind w:left="2400"/>
        <w:spacing w:after="0"/>
        <w:rPr>
          <w:sz w:val="20"/>
          <w:szCs w:val="20"/>
          <w:color w:val="auto"/>
        </w:rPr>
      </w:pPr>
      <w:r>
        <w:rPr>
          <w:rFonts w:ascii="Arial" w:cs="Arial" w:eastAsia="Arial" w:hAnsi="Arial"/>
          <w:sz w:val="22"/>
          <w:szCs w:val="22"/>
          <w:color w:val="828282"/>
        </w:rPr>
        <w:t>Committees</w:t>
      </w:r>
    </w:p>
    <w:p>
      <w:pPr>
        <w:ind w:left="2560" w:hanging="161"/>
        <w:spacing w:after="0"/>
        <w:tabs>
          <w:tab w:leader="none" w:pos="2560" w:val="left"/>
        </w:tabs>
        <w:numPr>
          <w:ilvl w:val="0"/>
          <w:numId w:val="18"/>
        </w:numPr>
        <w:rPr>
          <w:rFonts w:ascii="Arial" w:cs="Arial" w:eastAsia="Arial" w:hAnsi="Arial"/>
          <w:sz w:val="16"/>
          <w:szCs w:val="16"/>
          <w:color w:val="auto"/>
        </w:rPr>
      </w:pPr>
      <w:r>
        <w:rPr>
          <w:rFonts w:ascii="Arial" w:cs="Arial" w:eastAsia="Arial" w:hAnsi="Arial"/>
          <w:sz w:val="16"/>
          <w:szCs w:val="16"/>
          <w:color w:val="auto"/>
        </w:rPr>
        <w:t>Human Resources</w:t>
      </w:r>
    </w:p>
    <w:p>
      <w:pPr>
        <w:spacing w:after="0" w:line="18" w:lineRule="exact"/>
        <w:rPr>
          <w:rFonts w:ascii="Arial" w:cs="Arial" w:eastAsia="Arial" w:hAnsi="Arial"/>
          <w:sz w:val="16"/>
          <w:szCs w:val="16"/>
          <w:color w:val="auto"/>
        </w:rPr>
      </w:pPr>
    </w:p>
    <w:p>
      <w:pPr>
        <w:ind w:left="2560" w:hanging="161"/>
        <w:spacing w:after="0"/>
        <w:tabs>
          <w:tab w:leader="none" w:pos="2560" w:val="left"/>
        </w:tabs>
        <w:numPr>
          <w:ilvl w:val="0"/>
          <w:numId w:val="18"/>
        </w:numPr>
        <w:rPr>
          <w:rFonts w:ascii="Arial" w:cs="Arial" w:eastAsia="Arial" w:hAnsi="Arial"/>
          <w:sz w:val="16"/>
          <w:szCs w:val="16"/>
          <w:color w:val="auto"/>
        </w:rPr>
      </w:pPr>
      <w:r>
        <w:rPr>
          <w:rFonts w:ascii="Arial" w:cs="Arial" w:eastAsia="Arial" w:hAnsi="Arial"/>
          <w:sz w:val="16"/>
          <w:szCs w:val="16"/>
          <w:color w:val="auto"/>
        </w:rPr>
        <w:t>Finance</w:t>
      </w:r>
    </w:p>
    <w:p>
      <w:pPr>
        <w:spacing w:after="0" w:line="189" w:lineRule="exact"/>
        <w:rPr>
          <w:sz w:val="20"/>
          <w:szCs w:val="20"/>
          <w:color w:val="auto"/>
        </w:rPr>
      </w:pPr>
    </w:p>
    <w:p>
      <w:pPr>
        <w:ind w:left="2400"/>
        <w:spacing w:after="0"/>
        <w:rPr>
          <w:sz w:val="20"/>
          <w:szCs w:val="20"/>
          <w:color w:val="auto"/>
        </w:rPr>
      </w:pPr>
      <w:r>
        <w:rPr>
          <w:rFonts w:ascii="Arial" w:cs="Arial" w:eastAsia="Arial" w:hAnsi="Arial"/>
          <w:sz w:val="22"/>
          <w:szCs w:val="22"/>
          <w:color w:val="828282"/>
        </w:rPr>
        <w:t xml:space="preserve">Age: </w:t>
      </w:r>
      <w:r>
        <w:rPr>
          <w:rFonts w:ascii="Arial" w:cs="Arial" w:eastAsia="Arial" w:hAnsi="Arial"/>
          <w:sz w:val="22"/>
          <w:szCs w:val="22"/>
          <w:color w:val="000000"/>
        </w:rPr>
        <w:t>67</w:t>
      </w:r>
    </w:p>
    <w:p>
      <w:pPr>
        <w:ind w:left="2400"/>
        <w:spacing w:after="0"/>
        <w:rPr>
          <w:sz w:val="20"/>
          <w:szCs w:val="20"/>
          <w:color w:val="auto"/>
        </w:rPr>
      </w:pPr>
      <w:r>
        <w:rPr>
          <w:rFonts w:ascii="Arial" w:cs="Arial" w:eastAsia="Arial" w:hAnsi="Arial"/>
          <w:sz w:val="22"/>
          <w:szCs w:val="22"/>
          <w:color w:val="828282"/>
        </w:rPr>
        <w:t xml:space="preserve">Director Since: </w:t>
      </w:r>
      <w:r>
        <w:rPr>
          <w:rFonts w:ascii="Arial" w:cs="Arial" w:eastAsia="Arial" w:hAnsi="Arial"/>
          <w:sz w:val="22"/>
          <w:szCs w:val="22"/>
          <w:color w:val="000000"/>
        </w:rPr>
        <w:t>2008</w:t>
      </w:r>
    </w:p>
    <w:p>
      <w:pPr>
        <w:spacing w:after="0" w:line="296" w:lineRule="exact"/>
        <w:rPr>
          <w:sz w:val="20"/>
          <w:szCs w:val="20"/>
          <w:color w:val="auto"/>
        </w:rPr>
      </w:pPr>
    </w:p>
    <w:p>
      <w:pPr>
        <w:ind w:left="340" w:right="80"/>
        <w:spacing w:after="0" w:line="249" w:lineRule="auto"/>
        <w:rPr>
          <w:sz w:val="20"/>
          <w:szCs w:val="20"/>
          <w:color w:val="auto"/>
        </w:rPr>
      </w:pPr>
      <w:r>
        <w:rPr>
          <w:rFonts w:ascii="Arial" w:cs="Arial" w:eastAsia="Arial" w:hAnsi="Arial"/>
          <w:sz w:val="16"/>
          <w:szCs w:val="16"/>
          <w:color w:val="auto"/>
        </w:rPr>
        <w:t>Robert M. Chiusano, 67, has been a director since 2008 and was elected as Chairman of the Board in 2016. Mr. Chiusano has served as a principal in RMC Consulting, LLC, a company focused on leadership development and operational excellence, since 2007. Mr. Chiusano previously served as Executive Vice President and Special Assistant to the CEO and a former Executive Vice President and Chief Operating Officer of both the Government and Commercial Systems business segments of Rockwell Collins, Inc. Mr. Chiusano also currently serves as an adjunct professor in the University of Iowa College of Engineering where he has served since 2001 and is a member of the Coe College Board of Trustees where he serves as the Chairman of the College Relations Committee.</w:t>
      </w:r>
    </w:p>
    <w:p>
      <w:pPr>
        <w:spacing w:after="0" w:line="35" w:lineRule="exact"/>
        <w:rPr>
          <w:sz w:val="20"/>
          <w:szCs w:val="20"/>
          <w:color w:val="auto"/>
        </w:rPr>
      </w:pPr>
    </w:p>
    <w:p>
      <w:pPr>
        <w:ind w:left="340"/>
        <w:spacing w:after="0"/>
        <w:rPr>
          <w:sz w:val="20"/>
          <w:szCs w:val="20"/>
          <w:color w:val="auto"/>
        </w:rPr>
      </w:pPr>
      <w:r>
        <w:rPr>
          <w:rFonts w:ascii="Arial" w:cs="Arial" w:eastAsia="Arial" w:hAnsi="Arial"/>
          <w:sz w:val="22"/>
          <w:szCs w:val="22"/>
          <w:color w:val="828282"/>
        </w:rPr>
        <w:t>Skills and Qualifications:</w:t>
      </w:r>
    </w:p>
    <w:p>
      <w:pPr>
        <w:spacing w:after="0" w:line="53" w:lineRule="exact"/>
        <w:rPr>
          <w:sz w:val="20"/>
          <w:szCs w:val="20"/>
          <w:color w:val="auto"/>
        </w:rPr>
      </w:pPr>
    </w:p>
    <w:p>
      <w:pPr>
        <w:ind w:left="340" w:right="40"/>
        <w:spacing w:after="0" w:line="253" w:lineRule="auto"/>
        <w:rPr>
          <w:sz w:val="20"/>
          <w:szCs w:val="20"/>
          <w:color w:val="auto"/>
        </w:rPr>
      </w:pPr>
      <w:r>
        <w:rPr>
          <w:rFonts w:ascii="Arial" w:cs="Arial" w:eastAsia="Arial" w:hAnsi="Arial"/>
          <w:sz w:val="16"/>
          <w:szCs w:val="16"/>
          <w:color w:val="auto"/>
        </w:rPr>
        <w:t>As the former Chief Operating Officer of both Government and Commercial Systems of Rockwell Collins, Inc., Mr. Chiusano brings senior level business leadership and strategic planning skills and an operating background to the Board. As principal of RMC Consulting, LLC, he also brings leadership development and operational excellence skills to the Board.</w:t>
      </w:r>
    </w:p>
    <w:p>
      <w:pPr>
        <w:spacing w:after="0" w:line="255" w:lineRule="exact"/>
        <w:rPr>
          <w:sz w:val="20"/>
          <w:szCs w:val="20"/>
          <w:color w:val="auto"/>
        </w:rPr>
      </w:pPr>
    </w:p>
    <w:p>
      <w:pPr>
        <w:jc w:val="center"/>
        <w:ind w:right="-99"/>
        <w:spacing w:after="0"/>
        <w:rPr>
          <w:sz w:val="20"/>
          <w:szCs w:val="20"/>
          <w:color w:val="auto"/>
        </w:rPr>
      </w:pPr>
      <w:r>
        <w:rPr>
          <w:rFonts w:ascii="Arial" w:cs="Arial" w:eastAsia="Arial" w:hAnsi="Arial"/>
          <w:sz w:val="16"/>
          <w:szCs w:val="16"/>
          <w:color w:val="auto"/>
        </w:rPr>
        <w:t>13</w:t>
      </w:r>
    </w:p>
    <w:p>
      <w:pPr>
        <w:sectPr>
          <w:pgSz w:w="11900" w:h="16838" w:orient="portrait"/>
          <w:cols w:equalWidth="0" w:num="1">
            <w:col w:w="11260"/>
          </w:cols>
          <w:pgMar w:left="280" w:top="303" w:right="359" w:bottom="1440" w:gutter="0" w:footer="0" w:header="0"/>
        </w:sectPr>
      </w:pPr>
    </w:p>
    <w:bookmarkStart w:id="17" w:name="page18"/>
    <w:bookmarkEnd w:id="17"/>
    <w:p>
      <w:pPr>
        <w:spacing w:after="0"/>
        <w:rPr>
          <w:rFonts w:ascii="Arial" w:cs="Arial" w:eastAsia="Arial" w:hAnsi="Arial"/>
          <w:sz w:val="16"/>
          <w:szCs w:val="16"/>
          <w:u w:val="single" w:color="auto"/>
          <w:color w:val="0000EE"/>
        </w:rPr>
      </w:pPr>
      <w:r>
        <w:rPr>
          <w:rFonts w:ascii="Arial" w:cs="Arial" w:eastAsia="Arial" w:hAnsi="Arial"/>
          <w:sz w:val="16"/>
          <w:szCs w:val="16"/>
          <w:u w:val="single" w:color="auto"/>
          <w:color w:val="0000EE"/>
        </w:rPr>
        <w:drawing>
          <wp:anchor simplePos="0" relativeHeight="251657728" behindDoc="1" locked="0" layoutInCell="0" allowOverlap="1">
            <wp:simplePos x="0" y="0"/>
            <wp:positionH relativeFrom="page">
              <wp:posOffset>5946140</wp:posOffset>
            </wp:positionH>
            <wp:positionV relativeFrom="page">
              <wp:posOffset>191770</wp:posOffset>
            </wp:positionV>
            <wp:extent cx="1440815" cy="20574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clrChange>
                        <a:clrFrom>
                          <a:srgbClr val="FFFFFF"/>
                        </a:clrFrom>
                        <a:clrTo>
                          <a:srgbClr val="FFFFFF">
                            <a:alpha val="0"/>
                          </a:srgbClr>
                        </a:clrTo>
                      </a:clrChange>
                      <a:extLst>
                        <a:ext uri="{28A0092B-C50C-407E-A947-70E740481C1C}"/>
                      </a:extLst>
                    </a:blip>
                    <a:srcRect/>
                    <a:stretch>
                      <a:fillRect/>
                    </a:stretch>
                  </pic:blipFill>
                  <pic:spPr bwMode="auto">
                    <a:xfrm>
                      <a:off x="0" y="0"/>
                      <a:ext cx="1440815" cy="205740"/>
                    </a:xfrm>
                    <a:prstGeom prst="rect">
                      <a:avLst/>
                    </a:prstGeom>
                    <a:noFill/>
                  </pic:spPr>
                </pic:pic>
              </a:graphicData>
            </a:graphic>
          </wp:anchor>
        </w:drawing>
      </w:r>
      <w:hyperlink w:anchor="page4">
        <w:r>
          <w:rPr>
            <w:rFonts w:ascii="Arial" w:cs="Arial" w:eastAsia="Arial" w:hAnsi="Arial"/>
            <w:sz w:val="16"/>
            <w:szCs w:val="16"/>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104775</wp:posOffset>
            </wp:positionV>
            <wp:extent cx="7246620" cy="88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22"/>
          <w:szCs w:val="22"/>
          <w:color w:val="828282"/>
        </w:rPr>
        <w:t>Richard (Rick) D. Moss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15240</wp:posOffset>
            </wp:positionV>
            <wp:extent cx="7246620" cy="127762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46620" cy="1277620"/>
                    </a:xfrm>
                    <a:prstGeom prst="rect">
                      <a:avLst/>
                    </a:prstGeom>
                    <a:noFill/>
                  </pic:spPr>
                </pic:pic>
              </a:graphicData>
            </a:graphic>
          </wp:anchor>
        </w:drawing>
      </w:r>
    </w:p>
    <w:p>
      <w:pPr>
        <w:spacing w:after="0" w:line="200" w:lineRule="exact"/>
        <w:rPr>
          <w:sz w:val="20"/>
          <w:szCs w:val="20"/>
          <w:color w:val="auto"/>
        </w:rPr>
      </w:pPr>
    </w:p>
    <w:p>
      <w:pPr>
        <w:spacing w:after="0" w:line="282" w:lineRule="exact"/>
        <w:rPr>
          <w:sz w:val="20"/>
          <w:szCs w:val="20"/>
          <w:color w:val="auto"/>
        </w:rPr>
      </w:pPr>
    </w:p>
    <w:p>
      <w:pPr>
        <w:ind w:left="2400"/>
        <w:spacing w:after="0"/>
        <w:rPr>
          <w:sz w:val="20"/>
          <w:szCs w:val="20"/>
          <w:color w:val="auto"/>
        </w:rPr>
      </w:pPr>
      <w:r>
        <w:rPr>
          <w:rFonts w:ascii="Arial" w:cs="Arial" w:eastAsia="Arial" w:hAnsi="Arial"/>
          <w:sz w:val="22"/>
          <w:szCs w:val="22"/>
          <w:color w:val="828282"/>
        </w:rPr>
        <w:t>Committees</w:t>
      </w:r>
    </w:p>
    <w:p>
      <w:pPr>
        <w:ind w:left="2560" w:hanging="161"/>
        <w:spacing w:after="0"/>
        <w:tabs>
          <w:tab w:leader="none" w:pos="2560" w:val="left"/>
        </w:tabs>
        <w:numPr>
          <w:ilvl w:val="0"/>
          <w:numId w:val="19"/>
        </w:numPr>
        <w:rPr>
          <w:rFonts w:ascii="Arial" w:cs="Arial" w:eastAsia="Arial" w:hAnsi="Arial"/>
          <w:sz w:val="16"/>
          <w:szCs w:val="16"/>
          <w:color w:val="auto"/>
        </w:rPr>
      </w:pPr>
      <w:r>
        <w:rPr>
          <w:rFonts w:ascii="Arial" w:cs="Arial" w:eastAsia="Arial" w:hAnsi="Arial"/>
          <w:sz w:val="16"/>
          <w:szCs w:val="16"/>
          <w:color w:val="auto"/>
        </w:rPr>
        <w:t>Audit (Chair)</w:t>
      </w:r>
    </w:p>
    <w:p>
      <w:pPr>
        <w:spacing w:after="0" w:line="18" w:lineRule="exact"/>
        <w:rPr>
          <w:rFonts w:ascii="Arial" w:cs="Arial" w:eastAsia="Arial" w:hAnsi="Arial"/>
          <w:sz w:val="16"/>
          <w:szCs w:val="16"/>
          <w:color w:val="auto"/>
        </w:rPr>
      </w:pPr>
    </w:p>
    <w:p>
      <w:pPr>
        <w:ind w:left="2560" w:hanging="161"/>
        <w:spacing w:after="0"/>
        <w:tabs>
          <w:tab w:leader="none" w:pos="2560" w:val="left"/>
        </w:tabs>
        <w:numPr>
          <w:ilvl w:val="0"/>
          <w:numId w:val="19"/>
        </w:numPr>
        <w:rPr>
          <w:rFonts w:ascii="Arial" w:cs="Arial" w:eastAsia="Arial" w:hAnsi="Arial"/>
          <w:sz w:val="16"/>
          <w:szCs w:val="16"/>
          <w:color w:val="auto"/>
        </w:rPr>
      </w:pPr>
      <w:r>
        <w:rPr>
          <w:rFonts w:ascii="Arial" w:cs="Arial" w:eastAsia="Arial" w:hAnsi="Arial"/>
          <w:sz w:val="16"/>
          <w:szCs w:val="16"/>
          <w:color w:val="auto"/>
        </w:rPr>
        <w:t>Finance</w:t>
      </w:r>
    </w:p>
    <w:p>
      <w:pPr>
        <w:spacing w:after="0" w:line="189" w:lineRule="exact"/>
        <w:rPr>
          <w:sz w:val="20"/>
          <w:szCs w:val="20"/>
          <w:color w:val="auto"/>
        </w:rPr>
      </w:pPr>
    </w:p>
    <w:p>
      <w:pPr>
        <w:ind w:left="2400"/>
        <w:spacing w:after="0"/>
        <w:rPr>
          <w:sz w:val="20"/>
          <w:szCs w:val="20"/>
          <w:color w:val="auto"/>
        </w:rPr>
      </w:pPr>
      <w:r>
        <w:rPr>
          <w:rFonts w:ascii="Arial" w:cs="Arial" w:eastAsia="Arial" w:hAnsi="Arial"/>
          <w:sz w:val="22"/>
          <w:szCs w:val="22"/>
          <w:color w:val="828282"/>
        </w:rPr>
        <w:t xml:space="preserve">Age: </w:t>
      </w:r>
      <w:r>
        <w:rPr>
          <w:rFonts w:ascii="Arial" w:cs="Arial" w:eastAsia="Arial" w:hAnsi="Arial"/>
          <w:sz w:val="22"/>
          <w:szCs w:val="22"/>
          <w:color w:val="000000"/>
        </w:rPr>
        <w:t>60</w:t>
      </w:r>
    </w:p>
    <w:p>
      <w:pPr>
        <w:ind w:left="2400"/>
        <w:spacing w:after="0"/>
        <w:rPr>
          <w:sz w:val="20"/>
          <w:szCs w:val="20"/>
          <w:color w:val="auto"/>
        </w:rPr>
      </w:pPr>
      <w:r>
        <w:rPr>
          <w:rFonts w:ascii="Arial" w:cs="Arial" w:eastAsia="Arial" w:hAnsi="Arial"/>
          <w:sz w:val="22"/>
          <w:szCs w:val="22"/>
          <w:color w:val="828282"/>
        </w:rPr>
        <w:t xml:space="preserve">Director Since: </w:t>
      </w:r>
      <w:r>
        <w:rPr>
          <w:rFonts w:ascii="Arial" w:cs="Arial" w:eastAsia="Arial" w:hAnsi="Arial"/>
          <w:sz w:val="22"/>
          <w:szCs w:val="22"/>
          <w:color w:val="000000"/>
        </w:rPr>
        <w:t>2017</w:t>
      </w:r>
    </w:p>
    <w:p>
      <w:pPr>
        <w:spacing w:after="0" w:line="296" w:lineRule="exact"/>
        <w:rPr>
          <w:sz w:val="20"/>
          <w:szCs w:val="20"/>
          <w:color w:val="auto"/>
        </w:rPr>
      </w:pPr>
    </w:p>
    <w:p>
      <w:pPr>
        <w:ind w:left="340"/>
        <w:spacing w:after="0" w:line="248" w:lineRule="auto"/>
        <w:rPr>
          <w:sz w:val="20"/>
          <w:szCs w:val="20"/>
          <w:color w:val="auto"/>
        </w:rPr>
      </w:pPr>
      <w:r>
        <w:rPr>
          <w:rFonts w:ascii="Arial" w:cs="Arial" w:eastAsia="Arial" w:hAnsi="Arial"/>
          <w:sz w:val="16"/>
          <w:szCs w:val="16"/>
          <w:color w:val="auto"/>
        </w:rPr>
        <w:t>Richard (Rick) D. Moss, 60, was appointed to the Board of Directors in February 2017. Most recently, Mr. Moss served as the Chief Financial Officer of Hanesbrands, Inc., a leading global basic apparel manufacturer, from 2011 until his retirement on December 31, 2017. Mr. Moss joined Hanesbrands as Senior Vice President - Finance and Treasurer and had several roles increasing in scope and complexity prior to becoming Chief Financial Officer. Prior to his roles at Hanesbrands, Mr. Moss served as CFO of Chattem Inc., a consumer products company. Mr. Moss has been a director of Nature's Sunshine Products, Inc. since May 2018, and also serves as a director for the Center for Creative Entrepreneurship and Chair of the Board of Trustees of The Arts Council of Winston-Salem/Forsyth County. Due to Mr. Moss' relevant experience in finance, accounting, and auditing, the Board determined he is an audit committee financial expert.</w:t>
      </w:r>
    </w:p>
    <w:p>
      <w:pPr>
        <w:spacing w:after="0" w:line="38" w:lineRule="exact"/>
        <w:rPr>
          <w:sz w:val="20"/>
          <w:szCs w:val="20"/>
          <w:color w:val="auto"/>
        </w:rPr>
      </w:pPr>
    </w:p>
    <w:p>
      <w:pPr>
        <w:ind w:left="340"/>
        <w:spacing w:after="0"/>
        <w:rPr>
          <w:sz w:val="20"/>
          <w:szCs w:val="20"/>
          <w:color w:val="auto"/>
        </w:rPr>
      </w:pPr>
      <w:r>
        <w:rPr>
          <w:rFonts w:ascii="Arial" w:cs="Arial" w:eastAsia="Arial" w:hAnsi="Arial"/>
          <w:sz w:val="22"/>
          <w:szCs w:val="22"/>
          <w:color w:val="828282"/>
        </w:rPr>
        <w:t>Skills and Qualifications:</w:t>
      </w:r>
    </w:p>
    <w:p>
      <w:pPr>
        <w:spacing w:after="0" w:line="53" w:lineRule="exact"/>
        <w:rPr>
          <w:sz w:val="20"/>
          <w:szCs w:val="20"/>
          <w:color w:val="auto"/>
        </w:rPr>
      </w:pPr>
    </w:p>
    <w:p>
      <w:pPr>
        <w:ind w:left="340" w:right="140"/>
        <w:spacing w:after="0" w:line="253" w:lineRule="auto"/>
        <w:rPr>
          <w:sz w:val="20"/>
          <w:szCs w:val="20"/>
          <w:color w:val="auto"/>
        </w:rPr>
      </w:pPr>
      <w:r>
        <w:rPr>
          <w:rFonts w:ascii="Arial" w:cs="Arial" w:eastAsia="Arial" w:hAnsi="Arial"/>
          <w:sz w:val="16"/>
          <w:szCs w:val="16"/>
          <w:color w:val="auto"/>
        </w:rPr>
        <w:t>With his many years of experience as a chief financial officer and executive at a public company, Mr. Moss provides the Board expertise in financial and strategic planning, mergers, acquisitions and integration of businesses following mergers and acquisitions, as well as capital allocation strategies and complex financial issues.</w:t>
      </w:r>
    </w:p>
    <w:p>
      <w:pPr>
        <w:spacing w:after="0" w:line="382" w:lineRule="exact"/>
        <w:rPr>
          <w:sz w:val="20"/>
          <w:szCs w:val="20"/>
          <w:color w:val="auto"/>
        </w:rPr>
      </w:pPr>
    </w:p>
    <w:p>
      <w:pPr>
        <w:spacing w:after="0"/>
        <w:rPr>
          <w:sz w:val="20"/>
          <w:szCs w:val="20"/>
          <w:color w:val="auto"/>
        </w:rPr>
      </w:pPr>
      <w:r>
        <w:rPr>
          <w:rFonts w:ascii="Arial" w:cs="Arial" w:eastAsia="Arial" w:hAnsi="Arial"/>
          <w:sz w:val="22"/>
          <w:szCs w:val="22"/>
          <w:color w:val="828282"/>
        </w:rPr>
        <w:t>John M. Murabito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15240</wp:posOffset>
            </wp:positionV>
            <wp:extent cx="7246620" cy="127762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46620" cy="1277620"/>
                    </a:xfrm>
                    <a:prstGeom prst="rect">
                      <a:avLst/>
                    </a:prstGeom>
                    <a:noFill/>
                  </pic:spPr>
                </pic:pic>
              </a:graphicData>
            </a:graphic>
          </wp:anchor>
        </w:drawing>
      </w:r>
    </w:p>
    <w:p>
      <w:pPr>
        <w:spacing w:after="0" w:line="200" w:lineRule="exact"/>
        <w:rPr>
          <w:sz w:val="20"/>
          <w:szCs w:val="20"/>
          <w:color w:val="auto"/>
        </w:rPr>
      </w:pPr>
    </w:p>
    <w:p>
      <w:pPr>
        <w:spacing w:after="0" w:line="282" w:lineRule="exact"/>
        <w:rPr>
          <w:sz w:val="20"/>
          <w:szCs w:val="20"/>
          <w:color w:val="auto"/>
        </w:rPr>
      </w:pPr>
    </w:p>
    <w:p>
      <w:pPr>
        <w:ind w:left="2400"/>
        <w:spacing w:after="0"/>
        <w:rPr>
          <w:sz w:val="20"/>
          <w:szCs w:val="20"/>
          <w:color w:val="auto"/>
        </w:rPr>
      </w:pPr>
      <w:r>
        <w:rPr>
          <w:rFonts w:ascii="Arial" w:cs="Arial" w:eastAsia="Arial" w:hAnsi="Arial"/>
          <w:sz w:val="22"/>
          <w:szCs w:val="22"/>
          <w:color w:val="828282"/>
        </w:rPr>
        <w:t>Committees</w:t>
      </w:r>
    </w:p>
    <w:p>
      <w:pPr>
        <w:ind w:left="2560" w:hanging="161"/>
        <w:spacing w:after="0"/>
        <w:tabs>
          <w:tab w:leader="none" w:pos="2560" w:val="left"/>
        </w:tabs>
        <w:numPr>
          <w:ilvl w:val="0"/>
          <w:numId w:val="20"/>
        </w:numPr>
        <w:rPr>
          <w:rFonts w:ascii="Arial" w:cs="Arial" w:eastAsia="Arial" w:hAnsi="Arial"/>
          <w:sz w:val="16"/>
          <w:szCs w:val="16"/>
          <w:color w:val="auto"/>
        </w:rPr>
      </w:pPr>
      <w:r>
        <w:rPr>
          <w:rFonts w:ascii="Arial" w:cs="Arial" w:eastAsia="Arial" w:hAnsi="Arial"/>
          <w:sz w:val="16"/>
          <w:szCs w:val="16"/>
          <w:color w:val="auto"/>
        </w:rPr>
        <w:t>Human Resources (Chair)</w:t>
      </w:r>
    </w:p>
    <w:p>
      <w:pPr>
        <w:spacing w:after="0" w:line="18" w:lineRule="exact"/>
        <w:rPr>
          <w:rFonts w:ascii="Arial" w:cs="Arial" w:eastAsia="Arial" w:hAnsi="Arial"/>
          <w:sz w:val="16"/>
          <w:szCs w:val="16"/>
          <w:color w:val="auto"/>
        </w:rPr>
      </w:pPr>
    </w:p>
    <w:p>
      <w:pPr>
        <w:ind w:left="2560" w:hanging="161"/>
        <w:spacing w:after="0"/>
        <w:tabs>
          <w:tab w:leader="none" w:pos="2560" w:val="left"/>
        </w:tabs>
        <w:numPr>
          <w:ilvl w:val="0"/>
          <w:numId w:val="20"/>
        </w:numPr>
        <w:rPr>
          <w:rFonts w:ascii="Arial" w:cs="Arial" w:eastAsia="Arial" w:hAnsi="Arial"/>
          <w:sz w:val="16"/>
          <w:szCs w:val="16"/>
          <w:color w:val="auto"/>
        </w:rPr>
      </w:pPr>
      <w:r>
        <w:rPr>
          <w:rFonts w:ascii="Arial" w:cs="Arial" w:eastAsia="Arial" w:hAnsi="Arial"/>
          <w:sz w:val="16"/>
          <w:szCs w:val="16"/>
          <w:color w:val="auto"/>
        </w:rPr>
        <w:t>Nominating and Governance</w:t>
      </w:r>
    </w:p>
    <w:p>
      <w:pPr>
        <w:spacing w:after="0" w:line="189" w:lineRule="exact"/>
        <w:rPr>
          <w:sz w:val="20"/>
          <w:szCs w:val="20"/>
          <w:color w:val="auto"/>
        </w:rPr>
      </w:pPr>
    </w:p>
    <w:p>
      <w:pPr>
        <w:ind w:left="2400"/>
        <w:spacing w:after="0"/>
        <w:rPr>
          <w:sz w:val="20"/>
          <w:szCs w:val="20"/>
          <w:color w:val="auto"/>
        </w:rPr>
      </w:pPr>
      <w:r>
        <w:rPr>
          <w:rFonts w:ascii="Arial" w:cs="Arial" w:eastAsia="Arial" w:hAnsi="Arial"/>
          <w:sz w:val="22"/>
          <w:szCs w:val="22"/>
          <w:color w:val="828282"/>
        </w:rPr>
        <w:t xml:space="preserve">Age: </w:t>
      </w:r>
      <w:r>
        <w:rPr>
          <w:rFonts w:ascii="Arial" w:cs="Arial" w:eastAsia="Arial" w:hAnsi="Arial"/>
          <w:sz w:val="22"/>
          <w:szCs w:val="22"/>
          <w:color w:val="000000"/>
        </w:rPr>
        <w:t>59</w:t>
      </w:r>
    </w:p>
    <w:p>
      <w:pPr>
        <w:ind w:left="2400"/>
        <w:spacing w:after="0"/>
        <w:rPr>
          <w:sz w:val="20"/>
          <w:szCs w:val="20"/>
          <w:color w:val="auto"/>
        </w:rPr>
      </w:pPr>
      <w:r>
        <w:rPr>
          <w:rFonts w:ascii="Arial" w:cs="Arial" w:eastAsia="Arial" w:hAnsi="Arial"/>
          <w:sz w:val="22"/>
          <w:szCs w:val="22"/>
          <w:color w:val="828282"/>
        </w:rPr>
        <w:t xml:space="preserve">Director Since: </w:t>
      </w:r>
      <w:r>
        <w:rPr>
          <w:rFonts w:ascii="Arial" w:cs="Arial" w:eastAsia="Arial" w:hAnsi="Arial"/>
          <w:sz w:val="22"/>
          <w:szCs w:val="22"/>
          <w:color w:val="000000"/>
        </w:rPr>
        <w:t>2017</w:t>
      </w:r>
    </w:p>
    <w:p>
      <w:pPr>
        <w:spacing w:after="0" w:line="296" w:lineRule="exact"/>
        <w:rPr>
          <w:sz w:val="20"/>
          <w:szCs w:val="20"/>
          <w:color w:val="auto"/>
        </w:rPr>
      </w:pPr>
    </w:p>
    <w:p>
      <w:pPr>
        <w:ind w:left="340" w:right="60"/>
        <w:spacing w:after="0" w:line="250" w:lineRule="auto"/>
        <w:rPr>
          <w:sz w:val="20"/>
          <w:szCs w:val="20"/>
          <w:color w:val="auto"/>
        </w:rPr>
      </w:pPr>
      <w:r>
        <w:rPr>
          <w:rFonts w:ascii="Arial" w:cs="Arial" w:eastAsia="Arial" w:hAnsi="Arial"/>
          <w:sz w:val="16"/>
          <w:szCs w:val="16"/>
          <w:color w:val="auto"/>
        </w:rPr>
        <w:t>John M. Murabito, age 59, was appointed to the Board of Directors in May 2017. He has served as the Executive Vice President and Chief Human Resources Officer of Cigna Corporation, a health insurance company, since 2003. His other Human Resource leadership roles have included Chief Human Resources Officer at Monsanto Company and Group Vice President, Human Resources for Frito-Lay, Inc., a division of PepsiCo. Mr. Murabito is a Fellow and Chair of the National Academy of Human Resources, a Member of the Boards of Trustees of the Human Resources Policy Association and the American Health Policy Association, and serves as Chair of the Board of Trustees for Augustana College in Rock Island, Illinois.</w:t>
      </w:r>
    </w:p>
    <w:p>
      <w:pPr>
        <w:spacing w:after="0" w:line="33" w:lineRule="exact"/>
        <w:rPr>
          <w:sz w:val="20"/>
          <w:szCs w:val="20"/>
          <w:color w:val="auto"/>
        </w:rPr>
      </w:pPr>
    </w:p>
    <w:p>
      <w:pPr>
        <w:ind w:left="340"/>
        <w:spacing w:after="0"/>
        <w:rPr>
          <w:sz w:val="20"/>
          <w:szCs w:val="20"/>
          <w:color w:val="auto"/>
        </w:rPr>
      </w:pPr>
      <w:r>
        <w:rPr>
          <w:rFonts w:ascii="Arial" w:cs="Arial" w:eastAsia="Arial" w:hAnsi="Arial"/>
          <w:sz w:val="22"/>
          <w:szCs w:val="22"/>
          <w:color w:val="828282"/>
        </w:rPr>
        <w:t>Skills and Qualifications:</w:t>
      </w:r>
    </w:p>
    <w:p>
      <w:pPr>
        <w:spacing w:after="0" w:line="53" w:lineRule="exact"/>
        <w:rPr>
          <w:sz w:val="20"/>
          <w:szCs w:val="20"/>
          <w:color w:val="auto"/>
        </w:rPr>
      </w:pPr>
    </w:p>
    <w:p>
      <w:pPr>
        <w:ind w:left="340" w:right="180"/>
        <w:spacing w:after="0" w:line="260" w:lineRule="auto"/>
        <w:rPr>
          <w:sz w:val="20"/>
          <w:szCs w:val="20"/>
          <w:color w:val="auto"/>
        </w:rPr>
      </w:pPr>
      <w:r>
        <w:rPr>
          <w:rFonts w:ascii="Arial" w:cs="Arial" w:eastAsia="Arial" w:hAnsi="Arial"/>
          <w:sz w:val="16"/>
          <w:szCs w:val="16"/>
          <w:color w:val="auto"/>
        </w:rPr>
        <w:t>Mr. Murabito brings strong executive leadership and talent management expertise to our Board as a senior executive of a public company. He provides valuable insights on human capital, executive compensation, leadership development and succession planning to the Board.</w:t>
      </w:r>
    </w:p>
    <w:p>
      <w:pPr>
        <w:spacing w:after="0" w:line="200" w:lineRule="exact"/>
        <w:rPr>
          <w:sz w:val="20"/>
          <w:szCs w:val="20"/>
          <w:color w:val="auto"/>
        </w:rPr>
      </w:pPr>
    </w:p>
    <w:p>
      <w:pPr>
        <w:spacing w:after="0" w:line="266"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14</w:t>
      </w:r>
    </w:p>
    <w:p>
      <w:pPr>
        <w:sectPr>
          <w:pgSz w:w="11900" w:h="16838" w:orient="portrait"/>
          <w:cols w:equalWidth="0" w:num="1">
            <w:col w:w="11320"/>
          </w:cols>
          <w:pgMar w:left="280" w:top="303" w:right="299" w:bottom="1440" w:gutter="0" w:footer="0" w:header="0"/>
        </w:sectPr>
      </w:pPr>
    </w:p>
    <w:bookmarkStart w:id="18" w:name="page19"/>
    <w:bookmarkEnd w:id="18"/>
    <w:p>
      <w:pPr>
        <w:ind w:left="40"/>
        <w:spacing w:after="0"/>
        <w:rPr>
          <w:rFonts w:ascii="Arial" w:cs="Arial" w:eastAsia="Arial" w:hAnsi="Arial"/>
          <w:sz w:val="16"/>
          <w:szCs w:val="16"/>
          <w:u w:val="single" w:color="auto"/>
          <w:color w:val="0000EE"/>
        </w:rPr>
      </w:pPr>
      <w:r>
        <w:rPr>
          <w:rFonts w:ascii="Arial" w:cs="Arial" w:eastAsia="Arial" w:hAnsi="Arial"/>
          <w:sz w:val="16"/>
          <w:szCs w:val="16"/>
          <w:u w:val="single" w:color="auto"/>
          <w:color w:val="0000EE"/>
        </w:rPr>
        <w:drawing>
          <wp:anchor simplePos="0" relativeHeight="251657728" behindDoc="1" locked="0" layoutInCell="0" allowOverlap="1">
            <wp:simplePos x="0" y="0"/>
            <wp:positionH relativeFrom="page">
              <wp:posOffset>5946140</wp:posOffset>
            </wp:positionH>
            <wp:positionV relativeFrom="page">
              <wp:posOffset>191770</wp:posOffset>
            </wp:positionV>
            <wp:extent cx="1440815" cy="20574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clrChange>
                        <a:clrFrom>
                          <a:srgbClr val="FFFFFF"/>
                        </a:clrFrom>
                        <a:clrTo>
                          <a:srgbClr val="FFFFFF">
                            <a:alpha val="0"/>
                          </a:srgbClr>
                        </a:clrTo>
                      </a:clrChange>
                      <a:extLst>
                        <a:ext uri="{28A0092B-C50C-407E-A947-70E740481C1C}"/>
                      </a:extLst>
                    </a:blip>
                    <a:srcRect/>
                    <a:stretch>
                      <a:fillRect/>
                    </a:stretch>
                  </pic:blipFill>
                  <pic:spPr bwMode="auto">
                    <a:xfrm>
                      <a:off x="0" y="0"/>
                      <a:ext cx="1440815" cy="205740"/>
                    </a:xfrm>
                    <a:prstGeom prst="rect">
                      <a:avLst/>
                    </a:prstGeom>
                    <a:noFill/>
                  </pic:spPr>
                </pic:pic>
              </a:graphicData>
            </a:graphic>
          </wp:anchor>
        </w:drawing>
      </w:r>
      <w:hyperlink w:anchor="page4">
        <w:r>
          <w:rPr>
            <w:rFonts w:ascii="Arial" w:cs="Arial" w:eastAsia="Arial" w:hAnsi="Arial"/>
            <w:sz w:val="16"/>
            <w:szCs w:val="16"/>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104775</wp:posOffset>
            </wp:positionV>
            <wp:extent cx="7246620" cy="88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398" w:lineRule="exact"/>
        <w:rPr>
          <w:sz w:val="20"/>
          <w:szCs w:val="20"/>
          <w:color w:val="auto"/>
        </w:rPr>
      </w:pPr>
    </w:p>
    <w:p>
      <w:pPr>
        <w:ind w:left="1660"/>
        <w:spacing w:after="0"/>
        <w:rPr>
          <w:sz w:val="20"/>
          <w:szCs w:val="20"/>
          <w:color w:val="auto"/>
        </w:rPr>
      </w:pPr>
      <w:r>
        <w:rPr>
          <w:rFonts w:ascii="Arial" w:cs="Arial" w:eastAsia="Arial" w:hAnsi="Arial"/>
          <w:sz w:val="22"/>
          <w:szCs w:val="22"/>
          <w:color w:val="828282"/>
        </w:rPr>
        <w:t>Class III Directors Whose Term Expires at the Annual Meeting Following Fiscal 2020:</w:t>
      </w:r>
    </w:p>
    <w:p>
      <w:pPr>
        <w:spacing w:after="0" w:line="152" w:lineRule="exact"/>
        <w:rPr>
          <w:sz w:val="20"/>
          <w:szCs w:val="20"/>
          <w:color w:val="auto"/>
        </w:rPr>
      </w:pPr>
    </w:p>
    <w:p>
      <w:pPr>
        <w:ind w:left="40"/>
        <w:spacing w:after="0"/>
        <w:rPr>
          <w:sz w:val="20"/>
          <w:szCs w:val="20"/>
          <w:color w:val="auto"/>
        </w:rPr>
      </w:pPr>
      <w:r>
        <w:rPr>
          <w:rFonts w:ascii="Arial" w:cs="Arial" w:eastAsia="Arial" w:hAnsi="Arial"/>
          <w:sz w:val="22"/>
          <w:szCs w:val="22"/>
          <w:color w:val="828282"/>
        </w:rPr>
        <w:t>Michael J. Happe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15240</wp:posOffset>
            </wp:positionV>
            <wp:extent cx="7246620" cy="127762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46620" cy="12776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left="2440"/>
        <w:spacing w:after="0"/>
        <w:rPr>
          <w:sz w:val="20"/>
          <w:szCs w:val="20"/>
          <w:color w:val="auto"/>
        </w:rPr>
      </w:pPr>
      <w:r>
        <w:rPr>
          <w:rFonts w:ascii="Arial" w:cs="Arial" w:eastAsia="Arial" w:hAnsi="Arial"/>
          <w:sz w:val="22"/>
          <w:szCs w:val="22"/>
          <w:color w:val="828282"/>
        </w:rPr>
        <w:t xml:space="preserve">Age: </w:t>
      </w:r>
      <w:r>
        <w:rPr>
          <w:rFonts w:ascii="Arial" w:cs="Arial" w:eastAsia="Arial" w:hAnsi="Arial"/>
          <w:sz w:val="22"/>
          <w:szCs w:val="22"/>
          <w:color w:val="000000"/>
        </w:rPr>
        <w:t>47</w:t>
      </w:r>
    </w:p>
    <w:p>
      <w:pPr>
        <w:ind w:left="2440"/>
        <w:spacing w:after="0"/>
        <w:rPr>
          <w:sz w:val="20"/>
          <w:szCs w:val="20"/>
          <w:color w:val="auto"/>
        </w:rPr>
      </w:pPr>
      <w:r>
        <w:rPr>
          <w:rFonts w:ascii="Arial" w:cs="Arial" w:eastAsia="Arial" w:hAnsi="Arial"/>
          <w:sz w:val="22"/>
          <w:szCs w:val="22"/>
          <w:color w:val="828282"/>
        </w:rPr>
        <w:t xml:space="preserve">Director Since: </w:t>
      </w:r>
      <w:r>
        <w:rPr>
          <w:rFonts w:ascii="Arial" w:cs="Arial" w:eastAsia="Arial" w:hAnsi="Arial"/>
          <w:sz w:val="22"/>
          <w:szCs w:val="22"/>
          <w:color w:val="000000"/>
        </w:rPr>
        <w:t>2016</w:t>
      </w:r>
    </w:p>
    <w:p>
      <w:pPr>
        <w:spacing w:after="0" w:line="296" w:lineRule="exact"/>
        <w:rPr>
          <w:sz w:val="20"/>
          <w:szCs w:val="20"/>
          <w:color w:val="auto"/>
        </w:rPr>
      </w:pPr>
    </w:p>
    <w:p>
      <w:pPr>
        <w:ind w:left="380" w:right="440"/>
        <w:spacing w:after="0" w:line="251" w:lineRule="auto"/>
        <w:rPr>
          <w:sz w:val="20"/>
          <w:szCs w:val="20"/>
          <w:color w:val="auto"/>
        </w:rPr>
      </w:pPr>
      <w:r>
        <w:rPr>
          <w:rFonts w:ascii="Arial" w:cs="Arial" w:eastAsia="Arial" w:hAnsi="Arial"/>
          <w:sz w:val="16"/>
          <w:szCs w:val="16"/>
          <w:color w:val="auto"/>
        </w:rPr>
        <w:t>Michael J. Happe, 47, joined Winnebago in January 2016, as the President, CEO and a director. He previously worked at The Toro Company, a manufacturer of turf maintenance equipment and irrigation system supplies, where he most recently served as an Executive Officer and Group Vice President of Toro’s Residential and Contractor businesses, until 2015. A 19-year veteran of Toro, he held a series of senior leadership positions throughout his career across a variety of the company’s domestic and international divisions.</w:t>
      </w:r>
    </w:p>
    <w:p>
      <w:pPr>
        <w:spacing w:after="0" w:line="32" w:lineRule="exact"/>
        <w:rPr>
          <w:sz w:val="20"/>
          <w:szCs w:val="20"/>
          <w:color w:val="auto"/>
        </w:rPr>
      </w:pPr>
    </w:p>
    <w:p>
      <w:pPr>
        <w:ind w:left="380"/>
        <w:spacing w:after="0"/>
        <w:rPr>
          <w:sz w:val="20"/>
          <w:szCs w:val="20"/>
          <w:color w:val="auto"/>
        </w:rPr>
      </w:pPr>
      <w:r>
        <w:rPr>
          <w:rFonts w:ascii="Arial" w:cs="Arial" w:eastAsia="Arial" w:hAnsi="Arial"/>
          <w:sz w:val="22"/>
          <w:szCs w:val="22"/>
          <w:color w:val="828282"/>
        </w:rPr>
        <w:t>Skills and Qualifications:</w:t>
      </w:r>
    </w:p>
    <w:p>
      <w:pPr>
        <w:spacing w:after="0" w:line="53" w:lineRule="exact"/>
        <w:rPr>
          <w:sz w:val="20"/>
          <w:szCs w:val="20"/>
          <w:color w:val="auto"/>
        </w:rPr>
      </w:pPr>
    </w:p>
    <w:p>
      <w:pPr>
        <w:ind w:left="380" w:right="180"/>
        <w:spacing w:after="0" w:line="253" w:lineRule="auto"/>
        <w:rPr>
          <w:sz w:val="20"/>
          <w:szCs w:val="20"/>
          <w:color w:val="auto"/>
        </w:rPr>
      </w:pPr>
      <w:r>
        <w:rPr>
          <w:rFonts w:ascii="Arial" w:cs="Arial" w:eastAsia="Arial" w:hAnsi="Arial"/>
          <w:sz w:val="16"/>
          <w:szCs w:val="16"/>
          <w:color w:val="auto"/>
        </w:rPr>
        <w:t>Mr. Happe's knowledge of all aspects of the business as CEO and his drive for excellence position him well to serve on the Board. His extensive experience and positions rising in complexity and breadth at Toro, including global business affairs, brings further expertise in corporate leadership and development and execution of business growth strategy.</w:t>
      </w:r>
    </w:p>
    <w:p>
      <w:pPr>
        <w:spacing w:after="0" w:line="166" w:lineRule="exact"/>
        <w:rPr>
          <w:sz w:val="20"/>
          <w:szCs w:val="20"/>
          <w:color w:val="auto"/>
        </w:rPr>
      </w:pPr>
    </w:p>
    <w:p>
      <w:pPr>
        <w:ind w:left="40"/>
        <w:spacing w:after="0"/>
        <w:rPr>
          <w:sz w:val="20"/>
          <w:szCs w:val="20"/>
          <w:color w:val="auto"/>
        </w:rPr>
      </w:pPr>
      <w:r>
        <w:rPr>
          <w:rFonts w:ascii="Arial" w:cs="Arial" w:eastAsia="Arial" w:hAnsi="Arial"/>
          <w:sz w:val="22"/>
          <w:szCs w:val="22"/>
          <w:color w:val="828282"/>
        </w:rPr>
        <w:t>William C. Fisher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15240</wp:posOffset>
            </wp:positionV>
            <wp:extent cx="7246620" cy="127762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46620" cy="1277620"/>
                    </a:xfrm>
                    <a:prstGeom prst="rect">
                      <a:avLst/>
                    </a:prstGeom>
                    <a:noFill/>
                  </pic:spPr>
                </pic:pic>
              </a:graphicData>
            </a:graphic>
          </wp:anchor>
        </w:drawing>
      </w:r>
    </w:p>
    <w:p>
      <w:pPr>
        <w:spacing w:after="0" w:line="200" w:lineRule="exact"/>
        <w:rPr>
          <w:sz w:val="20"/>
          <w:szCs w:val="20"/>
          <w:color w:val="auto"/>
        </w:rPr>
      </w:pPr>
    </w:p>
    <w:p>
      <w:pPr>
        <w:spacing w:after="0" w:line="282" w:lineRule="exact"/>
        <w:rPr>
          <w:sz w:val="20"/>
          <w:szCs w:val="20"/>
          <w:color w:val="auto"/>
        </w:rPr>
      </w:pPr>
    </w:p>
    <w:p>
      <w:pPr>
        <w:ind w:left="2440"/>
        <w:spacing w:after="0"/>
        <w:rPr>
          <w:sz w:val="20"/>
          <w:szCs w:val="20"/>
          <w:color w:val="auto"/>
        </w:rPr>
      </w:pPr>
      <w:r>
        <w:rPr>
          <w:rFonts w:ascii="Arial" w:cs="Arial" w:eastAsia="Arial" w:hAnsi="Arial"/>
          <w:sz w:val="22"/>
          <w:szCs w:val="22"/>
          <w:color w:val="828282"/>
        </w:rPr>
        <w:t>Committees</w:t>
      </w:r>
    </w:p>
    <w:p>
      <w:pPr>
        <w:ind w:left="2600" w:hanging="161"/>
        <w:spacing w:after="0"/>
        <w:tabs>
          <w:tab w:leader="none" w:pos="2600" w:val="left"/>
        </w:tabs>
        <w:numPr>
          <w:ilvl w:val="0"/>
          <w:numId w:val="21"/>
        </w:numPr>
        <w:rPr>
          <w:rFonts w:ascii="Arial" w:cs="Arial" w:eastAsia="Arial" w:hAnsi="Arial"/>
          <w:sz w:val="16"/>
          <w:szCs w:val="16"/>
          <w:color w:val="auto"/>
        </w:rPr>
      </w:pPr>
      <w:r>
        <w:rPr>
          <w:rFonts w:ascii="Arial" w:cs="Arial" w:eastAsia="Arial" w:hAnsi="Arial"/>
          <w:sz w:val="16"/>
          <w:szCs w:val="16"/>
          <w:color w:val="auto"/>
        </w:rPr>
        <w:t>Audit</w:t>
      </w:r>
    </w:p>
    <w:p>
      <w:pPr>
        <w:spacing w:after="0" w:line="18" w:lineRule="exact"/>
        <w:rPr>
          <w:rFonts w:ascii="Arial" w:cs="Arial" w:eastAsia="Arial" w:hAnsi="Arial"/>
          <w:sz w:val="16"/>
          <w:szCs w:val="16"/>
          <w:color w:val="auto"/>
        </w:rPr>
      </w:pPr>
    </w:p>
    <w:p>
      <w:pPr>
        <w:ind w:left="2600" w:hanging="161"/>
        <w:spacing w:after="0"/>
        <w:tabs>
          <w:tab w:leader="none" w:pos="2600" w:val="left"/>
        </w:tabs>
        <w:numPr>
          <w:ilvl w:val="0"/>
          <w:numId w:val="21"/>
        </w:numPr>
        <w:rPr>
          <w:rFonts w:ascii="Arial" w:cs="Arial" w:eastAsia="Arial" w:hAnsi="Arial"/>
          <w:sz w:val="16"/>
          <w:szCs w:val="16"/>
          <w:color w:val="auto"/>
        </w:rPr>
      </w:pPr>
      <w:r>
        <w:rPr>
          <w:rFonts w:ascii="Arial" w:cs="Arial" w:eastAsia="Arial" w:hAnsi="Arial"/>
          <w:sz w:val="16"/>
          <w:szCs w:val="16"/>
          <w:color w:val="auto"/>
        </w:rPr>
        <w:t>Nominating and Governance (Chair)</w:t>
      </w:r>
    </w:p>
    <w:p>
      <w:pPr>
        <w:spacing w:after="0" w:line="189" w:lineRule="exact"/>
        <w:rPr>
          <w:sz w:val="20"/>
          <w:szCs w:val="20"/>
          <w:color w:val="auto"/>
        </w:rPr>
      </w:pPr>
    </w:p>
    <w:p>
      <w:pPr>
        <w:ind w:left="2440"/>
        <w:spacing w:after="0"/>
        <w:rPr>
          <w:sz w:val="20"/>
          <w:szCs w:val="20"/>
          <w:color w:val="auto"/>
        </w:rPr>
      </w:pPr>
      <w:r>
        <w:rPr>
          <w:rFonts w:ascii="Arial" w:cs="Arial" w:eastAsia="Arial" w:hAnsi="Arial"/>
          <w:sz w:val="22"/>
          <w:szCs w:val="22"/>
          <w:color w:val="828282"/>
        </w:rPr>
        <w:t xml:space="preserve">Age: </w:t>
      </w:r>
      <w:r>
        <w:rPr>
          <w:rFonts w:ascii="Arial" w:cs="Arial" w:eastAsia="Arial" w:hAnsi="Arial"/>
          <w:sz w:val="22"/>
          <w:szCs w:val="22"/>
          <w:color w:val="000000"/>
        </w:rPr>
        <w:t>64</w:t>
      </w:r>
    </w:p>
    <w:p>
      <w:pPr>
        <w:ind w:left="2440"/>
        <w:spacing w:after="0"/>
        <w:rPr>
          <w:sz w:val="20"/>
          <w:szCs w:val="20"/>
          <w:color w:val="auto"/>
        </w:rPr>
      </w:pPr>
      <w:r>
        <w:rPr>
          <w:rFonts w:ascii="Arial" w:cs="Arial" w:eastAsia="Arial" w:hAnsi="Arial"/>
          <w:sz w:val="22"/>
          <w:szCs w:val="22"/>
          <w:color w:val="828282"/>
        </w:rPr>
        <w:t xml:space="preserve">Director Since: </w:t>
      </w:r>
      <w:r>
        <w:rPr>
          <w:rFonts w:ascii="Arial" w:cs="Arial" w:eastAsia="Arial" w:hAnsi="Arial"/>
          <w:sz w:val="22"/>
          <w:szCs w:val="22"/>
          <w:color w:val="000000"/>
        </w:rPr>
        <w:t>2015</w:t>
      </w:r>
    </w:p>
    <w:p>
      <w:pPr>
        <w:spacing w:after="0" w:line="296" w:lineRule="exact"/>
        <w:rPr>
          <w:sz w:val="20"/>
          <w:szCs w:val="20"/>
          <w:color w:val="auto"/>
        </w:rPr>
      </w:pPr>
    </w:p>
    <w:p>
      <w:pPr>
        <w:ind w:left="380" w:right="20"/>
        <w:spacing w:after="0" w:line="249" w:lineRule="auto"/>
        <w:rPr>
          <w:sz w:val="20"/>
          <w:szCs w:val="20"/>
          <w:color w:val="auto"/>
        </w:rPr>
      </w:pPr>
      <w:r>
        <w:rPr>
          <w:rFonts w:ascii="Arial" w:cs="Arial" w:eastAsia="Arial" w:hAnsi="Arial"/>
          <w:sz w:val="16"/>
          <w:szCs w:val="16"/>
          <w:color w:val="auto"/>
        </w:rPr>
        <w:t>William C. Fisher, 64, a retired business executive, has been a director since March 2015. Mr. Fisher was the Chief Information Officer from 1999 until 2007 of Polaris industries Inc., a manufacturer of power sports products. He was Vice President and CIO from November 2007 until his retirement in February 2015. During his tenure at Polaris, he also served as the General Manager of Service from 2005 until 2014 overseeing all technical, dealer, and consumer service operations. Prior to joining Polaris, Mr. Fisher was employed by MTS Systems for 15 years in various positions in information services, software engineering, control product development, and general management. Before that time, Mr. Fisher worked as a civil engineer for Anderson-Nichols and he later joined Autocon Industries, where he developed process control software.</w:t>
      </w:r>
    </w:p>
    <w:p>
      <w:pPr>
        <w:spacing w:after="0" w:line="35" w:lineRule="exact"/>
        <w:rPr>
          <w:sz w:val="20"/>
          <w:szCs w:val="20"/>
          <w:color w:val="auto"/>
        </w:rPr>
      </w:pPr>
    </w:p>
    <w:p>
      <w:pPr>
        <w:ind w:left="380"/>
        <w:spacing w:after="0"/>
        <w:rPr>
          <w:sz w:val="20"/>
          <w:szCs w:val="20"/>
          <w:color w:val="auto"/>
        </w:rPr>
      </w:pPr>
      <w:r>
        <w:rPr>
          <w:rFonts w:ascii="Arial" w:cs="Arial" w:eastAsia="Arial" w:hAnsi="Arial"/>
          <w:sz w:val="22"/>
          <w:szCs w:val="22"/>
          <w:color w:val="828282"/>
        </w:rPr>
        <w:t>Skills and Qualifications:</w:t>
      </w:r>
    </w:p>
    <w:p>
      <w:pPr>
        <w:spacing w:after="0" w:line="53" w:lineRule="exact"/>
        <w:rPr>
          <w:sz w:val="20"/>
          <w:szCs w:val="20"/>
          <w:color w:val="auto"/>
        </w:rPr>
      </w:pPr>
    </w:p>
    <w:p>
      <w:pPr>
        <w:jc w:val="both"/>
        <w:ind w:left="380"/>
        <w:spacing w:after="0" w:line="253" w:lineRule="auto"/>
        <w:rPr>
          <w:sz w:val="20"/>
          <w:szCs w:val="20"/>
          <w:color w:val="auto"/>
        </w:rPr>
      </w:pPr>
      <w:r>
        <w:rPr>
          <w:rFonts w:ascii="Arial" w:cs="Arial" w:eastAsia="Arial" w:hAnsi="Arial"/>
          <w:sz w:val="16"/>
          <w:szCs w:val="16"/>
          <w:color w:val="auto"/>
        </w:rPr>
        <w:t>Mr. Fisher's experience as CIO at Polaris Industries has provided substantial experience in information technology and security issues. His experience in service and consumer service operations and familiarity with highly discretionary consumer products are key assets as we focus on improved service and operational efficiency.</w:t>
      </w:r>
    </w:p>
    <w:p>
      <w:pPr>
        <w:spacing w:after="0" w:line="201" w:lineRule="exact"/>
        <w:rPr>
          <w:sz w:val="20"/>
          <w:szCs w:val="20"/>
          <w:color w:val="auto"/>
        </w:rPr>
      </w:pPr>
    </w:p>
    <w:p>
      <w:pPr>
        <w:ind w:right="240"/>
        <w:spacing w:after="0" w:line="260" w:lineRule="auto"/>
        <w:rPr>
          <w:sz w:val="20"/>
          <w:szCs w:val="20"/>
          <w:color w:val="auto"/>
        </w:rPr>
      </w:pPr>
      <w:r>
        <w:rPr>
          <w:rFonts w:ascii="Arial" w:cs="Arial" w:eastAsia="Arial" w:hAnsi="Arial"/>
          <w:sz w:val="16"/>
          <w:szCs w:val="16"/>
          <w:color w:val="auto"/>
        </w:rPr>
        <w:t>The Nominating and Governance Committee recommended, and the Board approved, the nomination of Ms. Blase and Messrs. Braun and Miles as Class I directors.</w:t>
      </w:r>
    </w:p>
    <w:p>
      <w:pPr>
        <w:spacing w:after="0" w:line="169" w:lineRule="exact"/>
        <w:rPr>
          <w:sz w:val="20"/>
          <w:szCs w:val="20"/>
          <w:color w:val="auto"/>
        </w:rPr>
      </w:pPr>
    </w:p>
    <w:p>
      <w:pPr>
        <w:spacing w:after="0" w:line="260" w:lineRule="auto"/>
        <w:rPr>
          <w:sz w:val="20"/>
          <w:szCs w:val="20"/>
          <w:color w:val="auto"/>
        </w:rPr>
      </w:pPr>
      <w:r>
        <w:rPr>
          <w:rFonts w:ascii="Arial" w:cs="Arial" w:eastAsia="Arial" w:hAnsi="Arial"/>
          <w:sz w:val="16"/>
          <w:szCs w:val="16"/>
          <w:color w:val="auto"/>
        </w:rPr>
        <w:t>Discretionary authority is solicited to vote for the election of a substitute for any of the Class I (Ms. Blase and Messrs. Braun and Miles) director nominees who, for any reason currently unknown, cannot be a candidate for election.</w:t>
      </w: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auto"/>
        </w:rPr>
        <w:t>15</w:t>
      </w:r>
    </w:p>
    <w:p>
      <w:pPr>
        <w:sectPr>
          <w:pgSz w:w="11900" w:h="16838" w:orient="portrait"/>
          <w:cols w:equalWidth="0" w:num="1">
            <w:col w:w="11360"/>
          </w:cols>
          <w:pgMar w:left="240" w:top="303" w:right="299" w:bottom="1440" w:gutter="0" w:footer="0" w:header="0"/>
        </w:sectPr>
      </w:pPr>
    </w:p>
    <w:bookmarkStart w:id="19" w:name="page20"/>
    <w:bookmarkEnd w:id="19"/>
    <w:p>
      <w:pPr>
        <w:ind w:left="40"/>
        <w:spacing w:after="0"/>
        <w:rPr>
          <w:rFonts w:ascii="Arial" w:cs="Arial" w:eastAsia="Arial" w:hAnsi="Arial"/>
          <w:sz w:val="15"/>
          <w:szCs w:val="15"/>
          <w:u w:val="single" w:color="auto"/>
          <w:color w:val="0000EE"/>
        </w:rPr>
      </w:pPr>
      <w:r>
        <w:rPr>
          <w:rFonts w:ascii="Arial" w:cs="Arial" w:eastAsia="Arial" w:hAnsi="Arial"/>
          <w:sz w:val="15"/>
          <w:szCs w:val="15"/>
          <w:u w:val="single" w:color="auto"/>
          <w:color w:val="0000EE"/>
        </w:rPr>
        <w:drawing>
          <wp:anchor simplePos="0" relativeHeight="251657728" behindDoc="1" locked="0" layoutInCell="0" allowOverlap="1">
            <wp:simplePos x="0" y="0"/>
            <wp:positionH relativeFrom="page">
              <wp:posOffset>5946140</wp:posOffset>
            </wp:positionH>
            <wp:positionV relativeFrom="page">
              <wp:posOffset>191770</wp:posOffset>
            </wp:positionV>
            <wp:extent cx="1440815" cy="20574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clrChange>
                        <a:clrFrom>
                          <a:srgbClr val="FFFFFF"/>
                        </a:clrFrom>
                        <a:clrTo>
                          <a:srgbClr val="FFFFFF">
                            <a:alpha val="0"/>
                          </a:srgbClr>
                        </a:clrTo>
                      </a:clrChange>
                      <a:extLst>
                        <a:ext uri="{28A0092B-C50C-407E-A947-70E740481C1C}"/>
                      </a:extLst>
                    </a:blip>
                    <a:srcRect/>
                    <a:stretch>
                      <a:fillRect/>
                    </a:stretch>
                  </pic:blipFill>
                  <pic:spPr bwMode="auto">
                    <a:xfrm>
                      <a:off x="0" y="0"/>
                      <a:ext cx="1440815" cy="205740"/>
                    </a:xfrm>
                    <a:prstGeom prst="rect">
                      <a:avLst/>
                    </a:prstGeom>
                    <a:noFill/>
                  </pic:spPr>
                </pic:pic>
              </a:graphicData>
            </a:graphic>
          </wp:anchor>
        </w:drawing>
      </w:r>
      <w:hyperlink w:anchor="page4">
        <w:r>
          <w:rPr>
            <w:rFonts w:ascii="Arial" w:cs="Arial" w:eastAsia="Arial" w:hAnsi="Arial"/>
            <w:sz w:val="15"/>
            <w:szCs w:val="15"/>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112395</wp:posOffset>
            </wp:positionV>
            <wp:extent cx="7246620" cy="88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303" w:right="239" w:bottom="1440" w:gutter="0" w:footer="0" w:header="0"/>
        </w:sectPr>
      </w:pPr>
    </w:p>
    <w:p>
      <w:pPr>
        <w:spacing w:after="0" w:line="200" w:lineRule="exact"/>
        <w:rPr>
          <w:sz w:val="20"/>
          <w:szCs w:val="20"/>
          <w:color w:val="auto"/>
        </w:rPr>
      </w:pPr>
    </w:p>
    <w:p>
      <w:pPr>
        <w:spacing w:after="0" w:line="382" w:lineRule="exact"/>
        <w:rPr>
          <w:sz w:val="20"/>
          <w:szCs w:val="20"/>
          <w:color w:val="auto"/>
        </w:rPr>
      </w:pPr>
    </w:p>
    <w:p>
      <w:pPr>
        <w:spacing w:after="0"/>
        <w:rPr>
          <w:sz w:val="20"/>
          <w:szCs w:val="20"/>
          <w:color w:val="auto"/>
        </w:rPr>
      </w:pPr>
      <w:r>
        <w:rPr>
          <w:rFonts w:ascii="Arial" w:cs="Arial" w:eastAsia="Arial" w:hAnsi="Arial"/>
          <w:sz w:val="29"/>
          <w:szCs w:val="29"/>
          <w:b w:val="1"/>
          <w:bCs w:val="1"/>
          <w:color w:val="BF2115"/>
        </w:rPr>
        <w:t>Executive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255270</wp:posOffset>
            </wp:positionV>
            <wp:extent cx="3575685"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3575685" cy="42545"/>
                    </a:xfrm>
                    <a:prstGeom prst="rect">
                      <a:avLst/>
                    </a:prstGeom>
                    <a:noFill/>
                  </pic:spPr>
                </pic:pic>
              </a:graphicData>
            </a:graphic>
          </wp:anchor>
        </w:drawing>
      </w:r>
    </w:p>
    <w:p>
      <w:pPr>
        <w:spacing w:after="0" w:line="200" w:lineRule="exact"/>
        <w:rPr>
          <w:sz w:val="20"/>
          <w:szCs w:val="20"/>
          <w:color w:val="auto"/>
        </w:rPr>
      </w:pPr>
    </w:p>
    <w:p>
      <w:pPr>
        <w:spacing w:after="0" w:line="333" w:lineRule="exact"/>
        <w:rPr>
          <w:sz w:val="20"/>
          <w:szCs w:val="20"/>
          <w:color w:val="auto"/>
        </w:rPr>
      </w:pPr>
    </w:p>
    <w:p>
      <w:pPr>
        <w:spacing w:after="0"/>
        <w:rPr>
          <w:sz w:val="20"/>
          <w:szCs w:val="20"/>
          <w:color w:val="auto"/>
        </w:rPr>
      </w:pPr>
      <w:r>
        <w:rPr>
          <w:rFonts w:ascii="Arial" w:cs="Arial" w:eastAsia="Arial" w:hAnsi="Arial"/>
          <w:sz w:val="28"/>
          <w:szCs w:val="28"/>
          <w:color w:val="BF2115"/>
        </w:rPr>
        <w:t>Compensation Discussion and Analysis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ind w:left="332" w:hanging="332"/>
        <w:spacing w:after="0"/>
        <w:tabs>
          <w:tab w:leader="none" w:pos="332" w:val="left"/>
        </w:tabs>
        <w:numPr>
          <w:ilvl w:val="0"/>
          <w:numId w:val="22"/>
        </w:numPr>
        <w:rPr>
          <w:rFonts w:ascii="Arial" w:cs="Arial" w:eastAsia="Arial" w:hAnsi="Arial"/>
          <w:sz w:val="16"/>
          <w:szCs w:val="16"/>
          <w:color w:val="auto"/>
        </w:rPr>
      </w:pPr>
      <w:r>
        <w:rPr>
          <w:rFonts w:ascii="Arial" w:cs="Arial" w:eastAsia="Arial" w:hAnsi="Arial"/>
          <w:sz w:val="16"/>
          <w:szCs w:val="16"/>
          <w:color w:val="auto"/>
        </w:rPr>
        <w:t>Michael J. Happe, CEO and President</w:t>
      </w:r>
    </w:p>
    <w:p>
      <w:pPr>
        <w:spacing w:after="0" w:line="5" w:lineRule="exact"/>
        <w:rPr>
          <w:rFonts w:ascii="Arial" w:cs="Arial" w:eastAsia="Arial" w:hAnsi="Arial"/>
          <w:sz w:val="16"/>
          <w:szCs w:val="16"/>
          <w:color w:val="auto"/>
        </w:rPr>
      </w:pPr>
    </w:p>
    <w:p>
      <w:pPr>
        <w:ind w:left="332" w:hanging="332"/>
        <w:spacing w:after="0"/>
        <w:tabs>
          <w:tab w:leader="none" w:pos="332" w:val="left"/>
        </w:tabs>
        <w:numPr>
          <w:ilvl w:val="0"/>
          <w:numId w:val="22"/>
        </w:numPr>
        <w:rPr>
          <w:rFonts w:ascii="Arial" w:cs="Arial" w:eastAsia="Arial" w:hAnsi="Arial"/>
          <w:sz w:val="16"/>
          <w:szCs w:val="16"/>
          <w:color w:val="auto"/>
        </w:rPr>
      </w:pPr>
      <w:r>
        <w:rPr>
          <w:rFonts w:ascii="Arial" w:cs="Arial" w:eastAsia="Arial" w:hAnsi="Arial"/>
          <w:sz w:val="16"/>
          <w:szCs w:val="16"/>
          <w:color w:val="auto"/>
        </w:rPr>
        <w:t>Bryan L. Hughes, Vice President, CFO</w:t>
      </w:r>
    </w:p>
    <w:p>
      <w:pPr>
        <w:spacing w:after="0" w:line="5" w:lineRule="exact"/>
        <w:rPr>
          <w:rFonts w:ascii="Arial" w:cs="Arial" w:eastAsia="Arial" w:hAnsi="Arial"/>
          <w:sz w:val="16"/>
          <w:szCs w:val="16"/>
          <w:color w:val="auto"/>
        </w:rPr>
      </w:pPr>
    </w:p>
    <w:p>
      <w:pPr>
        <w:ind w:left="332" w:hanging="332"/>
        <w:spacing w:after="0"/>
        <w:tabs>
          <w:tab w:leader="none" w:pos="332" w:val="left"/>
        </w:tabs>
        <w:numPr>
          <w:ilvl w:val="0"/>
          <w:numId w:val="22"/>
        </w:numPr>
        <w:rPr>
          <w:rFonts w:ascii="Arial" w:cs="Arial" w:eastAsia="Arial" w:hAnsi="Arial"/>
          <w:sz w:val="16"/>
          <w:szCs w:val="16"/>
          <w:color w:val="auto"/>
        </w:rPr>
      </w:pPr>
      <w:r>
        <w:rPr>
          <w:rFonts w:ascii="Arial" w:cs="Arial" w:eastAsia="Arial" w:hAnsi="Arial"/>
          <w:sz w:val="16"/>
          <w:szCs w:val="16"/>
          <w:color w:val="auto"/>
        </w:rPr>
        <w:t>Stacy L. Bogart, Vice President, General Counsel &amp; Secretary</w:t>
      </w:r>
    </w:p>
    <w:p>
      <w:pPr>
        <w:spacing w:after="0" w:line="5" w:lineRule="exact"/>
        <w:rPr>
          <w:rFonts w:ascii="Arial" w:cs="Arial" w:eastAsia="Arial" w:hAnsi="Arial"/>
          <w:sz w:val="16"/>
          <w:szCs w:val="16"/>
          <w:color w:val="auto"/>
        </w:rPr>
      </w:pPr>
    </w:p>
    <w:p>
      <w:pPr>
        <w:ind w:left="332" w:right="260" w:hanging="332"/>
        <w:spacing w:after="0" w:line="246" w:lineRule="auto"/>
        <w:tabs>
          <w:tab w:leader="none" w:pos="332" w:val="left"/>
        </w:tabs>
        <w:numPr>
          <w:ilvl w:val="0"/>
          <w:numId w:val="22"/>
        </w:numPr>
        <w:rPr>
          <w:rFonts w:ascii="Arial" w:cs="Arial" w:eastAsia="Arial" w:hAnsi="Arial"/>
          <w:sz w:val="16"/>
          <w:szCs w:val="16"/>
          <w:color w:val="auto"/>
        </w:rPr>
      </w:pPr>
      <w:r>
        <w:rPr>
          <w:rFonts w:ascii="Arial" w:cs="Arial" w:eastAsia="Arial" w:hAnsi="Arial"/>
          <w:sz w:val="16"/>
          <w:szCs w:val="16"/>
          <w:color w:val="auto"/>
        </w:rPr>
        <w:t>Donald J. Clark, President, Grand Design; Vice President, Winnebago Industries, Inc.</w:t>
      </w:r>
    </w:p>
    <w:p>
      <w:pPr>
        <w:ind w:left="332" w:hanging="332"/>
        <w:spacing w:after="0"/>
        <w:tabs>
          <w:tab w:leader="none" w:pos="332" w:val="left"/>
        </w:tabs>
        <w:numPr>
          <w:ilvl w:val="0"/>
          <w:numId w:val="22"/>
        </w:numPr>
        <w:rPr>
          <w:rFonts w:ascii="Arial" w:cs="Arial" w:eastAsia="Arial" w:hAnsi="Arial"/>
          <w:sz w:val="16"/>
          <w:szCs w:val="16"/>
          <w:color w:val="auto"/>
        </w:rPr>
      </w:pPr>
      <w:r>
        <w:rPr>
          <w:rFonts w:ascii="Arial" w:cs="Arial" w:eastAsia="Arial" w:hAnsi="Arial"/>
          <w:sz w:val="16"/>
          <w:szCs w:val="16"/>
          <w:color w:val="auto"/>
        </w:rPr>
        <w:t>Brian D. Hazelton, Vice President, Motorhome Business Unit</w:t>
      </w:r>
    </w:p>
    <w:p>
      <w:pPr>
        <w:spacing w:after="0" w:line="237" w:lineRule="exact"/>
        <w:rPr>
          <w:sz w:val="20"/>
          <w:szCs w:val="20"/>
          <w:color w:val="auto"/>
        </w:rPr>
      </w:pPr>
    </w:p>
    <w:p>
      <w:pPr>
        <w:sectPr>
          <w:pgSz w:w="11900" w:h="16838" w:orient="portrait"/>
          <w:cols w:equalWidth="0" w:num="2">
            <w:col w:w="5108" w:space="720"/>
            <w:col w:w="5592"/>
          </w:cols>
          <w:pgMar w:left="240" w:top="303" w:right="239" w:bottom="1440" w:gutter="0" w:footer="0" w:header="0"/>
          <w:type w:val="continuous"/>
        </w:sectPr>
      </w:pPr>
    </w:p>
    <w:p>
      <w:pPr>
        <w:spacing w:after="0" w:line="92" w:lineRule="exact"/>
        <w:rPr>
          <w:sz w:val="20"/>
          <w:szCs w:val="20"/>
          <w:color w:val="auto"/>
        </w:rPr>
      </w:pPr>
    </w:p>
    <w:p>
      <w:pPr>
        <w:spacing w:after="0" w:line="244" w:lineRule="auto"/>
        <w:rPr>
          <w:sz w:val="20"/>
          <w:szCs w:val="20"/>
          <w:color w:val="auto"/>
        </w:rPr>
      </w:pPr>
      <w:r>
        <w:rPr>
          <w:rFonts w:ascii="Arial" w:cs="Arial" w:eastAsia="Arial" w:hAnsi="Arial"/>
          <w:sz w:val="16"/>
          <w:szCs w:val="16"/>
          <w:color w:val="auto"/>
        </w:rPr>
        <w:t>The following Compensation Discussion and Analysis describes the material elements of our executive compensation program. Throughout this discussion, we refer to our NEOs. The following individuals are our NEOs for Fiscal 2018:</w:t>
      </w:r>
    </w:p>
    <w:p>
      <w:pPr>
        <w:spacing w:after="0" w:line="2" w:lineRule="exact"/>
        <w:rPr>
          <w:sz w:val="20"/>
          <w:szCs w:val="20"/>
          <w:color w:val="auto"/>
        </w:rPr>
      </w:pPr>
    </w:p>
    <w:p>
      <w:pPr>
        <w:spacing w:after="0"/>
        <w:rPr>
          <w:sz w:val="20"/>
          <w:szCs w:val="20"/>
          <w:color w:val="auto"/>
        </w:rPr>
      </w:pPr>
      <w:r>
        <w:rPr>
          <w:rFonts w:ascii="Arial" w:cs="Arial" w:eastAsia="Arial" w:hAnsi="Arial"/>
          <w:sz w:val="29"/>
          <w:szCs w:val="29"/>
          <w:color w:val="BF2115"/>
        </w:rPr>
        <w:t>Executive Summary</w:t>
      </w:r>
    </w:p>
    <w:p>
      <w:pPr>
        <w:spacing w:after="0" w:line="285" w:lineRule="exact"/>
        <w:rPr>
          <w:sz w:val="20"/>
          <w:szCs w:val="20"/>
          <w:color w:val="auto"/>
        </w:rPr>
      </w:pPr>
    </w:p>
    <w:p>
      <w:pPr>
        <w:ind w:right="680"/>
        <w:spacing w:after="0" w:line="249" w:lineRule="auto"/>
        <w:rPr>
          <w:sz w:val="20"/>
          <w:szCs w:val="20"/>
          <w:color w:val="auto"/>
        </w:rPr>
      </w:pPr>
      <w:r>
        <w:rPr>
          <w:rFonts w:ascii="Arial" w:cs="Arial" w:eastAsia="Arial" w:hAnsi="Arial"/>
          <w:sz w:val="22"/>
          <w:szCs w:val="22"/>
          <w:color w:val="828282"/>
        </w:rPr>
        <w:t>Executive Compensation Philosophy and Program Objectives</w:t>
      </w:r>
    </w:p>
    <w:p>
      <w:pPr>
        <w:spacing w:after="0" w:line="240" w:lineRule="exact"/>
        <w:rPr>
          <w:sz w:val="20"/>
          <w:szCs w:val="20"/>
          <w:color w:val="auto"/>
        </w:rPr>
      </w:pPr>
    </w:p>
    <w:p>
      <w:pPr>
        <w:jc w:val="both"/>
        <w:ind w:right="20"/>
        <w:spacing w:after="0" w:line="247" w:lineRule="auto"/>
        <w:rPr>
          <w:sz w:val="20"/>
          <w:szCs w:val="20"/>
          <w:color w:val="auto"/>
        </w:rPr>
      </w:pPr>
      <w:r>
        <w:rPr>
          <w:rFonts w:ascii="Arial" w:cs="Arial" w:eastAsia="Arial" w:hAnsi="Arial"/>
          <w:sz w:val="16"/>
          <w:szCs w:val="16"/>
          <w:color w:val="auto"/>
        </w:rPr>
        <w:t>The Human Resources Committee (the "Committee") believes that the most effective compensation program is one that is designed to reward the achievement of our specific annual, long-term and strategic goals, and which aligns executives' interests with those of the shareholders by rewarding performance above established thresholds, with the ultimate objective of improving shareholder value. The Committee evaluates both performance</w:t>
      </w:r>
    </w:p>
    <w:p>
      <w:pPr>
        <w:spacing w:after="0" w:line="187" w:lineRule="exact"/>
        <w:rPr>
          <w:sz w:val="20"/>
          <w:szCs w:val="20"/>
          <w:color w:val="auto"/>
        </w:rPr>
      </w:pPr>
    </w:p>
    <w:p>
      <w:pPr>
        <w:jc w:val="both"/>
        <w:ind w:right="20"/>
        <w:spacing w:after="0" w:line="248" w:lineRule="auto"/>
        <w:rPr>
          <w:sz w:val="20"/>
          <w:szCs w:val="20"/>
          <w:color w:val="auto"/>
        </w:rPr>
      </w:pPr>
      <w:r>
        <w:rPr>
          <w:rFonts w:ascii="Arial" w:cs="Arial" w:eastAsia="Arial" w:hAnsi="Arial"/>
          <w:sz w:val="16"/>
          <w:szCs w:val="16"/>
          <w:color w:val="auto"/>
        </w:rPr>
        <w:t>and compensation to ensure that we maintain our ability to attract and retain superior employees in key positions and that compensation provided to key employees remains competitive relative to the compensation paid to similarly situated executives of our Compensation Peers (as defined below). Accordingly, the Committee believes executive compensation packages provided to our executives, including the NEOs, should include both cash and stock-based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50165</wp:posOffset>
            </wp:positionV>
            <wp:extent cx="7272020"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auto"/>
        </w:rPr>
        <w:t>compensation that reward performance as measured against established goals.</w:t>
      </w:r>
    </w:p>
    <w:p>
      <w:pPr>
        <w:spacing w:after="0" w:line="74" w:lineRule="exact"/>
        <w:rPr>
          <w:sz w:val="20"/>
          <w:szCs w:val="20"/>
          <w:color w:val="auto"/>
        </w:rPr>
      </w:pPr>
    </w:p>
    <w:p>
      <w:pPr>
        <w:jc w:val="both"/>
        <w:spacing w:after="0" w:line="250" w:lineRule="auto"/>
        <w:rPr>
          <w:sz w:val="20"/>
          <w:szCs w:val="20"/>
          <w:color w:val="auto"/>
        </w:rPr>
      </w:pPr>
      <w:r>
        <w:rPr>
          <w:rFonts w:ascii="Arial" w:cs="Arial" w:eastAsia="Arial" w:hAnsi="Arial"/>
          <w:sz w:val="16"/>
          <w:szCs w:val="16"/>
          <w:color w:val="auto"/>
        </w:rPr>
        <w:t>The Committee has worked with management to design the current executive compensation programs, following the belief that compensation should reflect the value created for the shareholders while furthering our strategic goals. In doing so, we instituted our compensation programs to achieve the following goals:</w:t>
      </w:r>
    </w:p>
    <w:p>
      <w:pPr>
        <w:spacing w:after="0" w:line="271" w:lineRule="exact"/>
        <w:rPr>
          <w:sz w:val="20"/>
          <w:szCs w:val="20"/>
          <w:color w:val="auto"/>
        </w:rPr>
      </w:pPr>
    </w:p>
    <w:p>
      <w:pPr>
        <w:ind w:left="660" w:hanging="334"/>
        <w:spacing w:after="0"/>
        <w:tabs>
          <w:tab w:leader="none" w:pos="660" w:val="left"/>
        </w:tabs>
        <w:numPr>
          <w:ilvl w:val="0"/>
          <w:numId w:val="23"/>
        </w:numPr>
        <w:rPr>
          <w:rFonts w:ascii="Arial" w:cs="Arial" w:eastAsia="Arial" w:hAnsi="Arial"/>
          <w:sz w:val="16"/>
          <w:szCs w:val="16"/>
          <w:color w:val="auto"/>
        </w:rPr>
      </w:pPr>
      <w:r>
        <w:rPr>
          <w:rFonts w:ascii="Arial" w:cs="Arial" w:eastAsia="Arial" w:hAnsi="Arial"/>
          <w:sz w:val="16"/>
          <w:szCs w:val="16"/>
          <w:color w:val="auto"/>
        </w:rPr>
        <w:t>Align the interests of management with those of shareholders;</w:t>
      </w:r>
    </w:p>
    <w:p>
      <w:pPr>
        <w:spacing w:after="0" w:line="5" w:lineRule="exact"/>
        <w:rPr>
          <w:rFonts w:ascii="Arial" w:cs="Arial" w:eastAsia="Arial" w:hAnsi="Arial"/>
          <w:sz w:val="16"/>
          <w:szCs w:val="16"/>
          <w:color w:val="auto"/>
        </w:rPr>
      </w:pPr>
    </w:p>
    <w:p>
      <w:pPr>
        <w:ind w:left="660" w:hanging="334"/>
        <w:spacing w:after="0"/>
        <w:tabs>
          <w:tab w:leader="none" w:pos="660" w:val="left"/>
        </w:tabs>
        <w:numPr>
          <w:ilvl w:val="0"/>
          <w:numId w:val="23"/>
        </w:numPr>
        <w:rPr>
          <w:rFonts w:ascii="Arial" w:cs="Arial" w:eastAsia="Arial" w:hAnsi="Arial"/>
          <w:sz w:val="16"/>
          <w:szCs w:val="16"/>
          <w:color w:val="auto"/>
        </w:rPr>
      </w:pPr>
      <w:r>
        <w:rPr>
          <w:rFonts w:ascii="Arial" w:cs="Arial" w:eastAsia="Arial" w:hAnsi="Arial"/>
          <w:sz w:val="16"/>
          <w:szCs w:val="16"/>
          <w:color w:val="auto"/>
        </w:rPr>
        <w:t>Provide fair and competitive compensation;</w:t>
      </w:r>
    </w:p>
    <w:p>
      <w:pPr>
        <w:spacing w:after="0" w:line="5" w:lineRule="exact"/>
        <w:rPr>
          <w:rFonts w:ascii="Arial" w:cs="Arial" w:eastAsia="Arial" w:hAnsi="Arial"/>
          <w:sz w:val="16"/>
          <w:szCs w:val="16"/>
          <w:color w:val="auto"/>
        </w:rPr>
      </w:pPr>
    </w:p>
    <w:p>
      <w:pPr>
        <w:ind w:left="660" w:hanging="334"/>
        <w:spacing w:after="0"/>
        <w:tabs>
          <w:tab w:leader="none" w:pos="660" w:val="left"/>
        </w:tabs>
        <w:numPr>
          <w:ilvl w:val="0"/>
          <w:numId w:val="23"/>
        </w:numPr>
        <w:rPr>
          <w:rFonts w:ascii="Arial" w:cs="Arial" w:eastAsia="Arial" w:hAnsi="Arial"/>
          <w:sz w:val="16"/>
          <w:szCs w:val="16"/>
          <w:color w:val="auto"/>
        </w:rPr>
      </w:pPr>
      <w:r>
        <w:rPr>
          <w:rFonts w:ascii="Arial" w:cs="Arial" w:eastAsia="Arial" w:hAnsi="Arial"/>
          <w:sz w:val="16"/>
          <w:szCs w:val="16"/>
          <w:color w:val="auto"/>
        </w:rPr>
        <w:t>Integrate compensation with our business plans;</w:t>
      </w:r>
    </w:p>
    <w:p>
      <w:pPr>
        <w:spacing w:after="0" w:line="5" w:lineRule="exact"/>
        <w:rPr>
          <w:rFonts w:ascii="Arial" w:cs="Arial" w:eastAsia="Arial" w:hAnsi="Arial"/>
          <w:sz w:val="16"/>
          <w:szCs w:val="16"/>
          <w:color w:val="auto"/>
        </w:rPr>
      </w:pPr>
    </w:p>
    <w:p>
      <w:pPr>
        <w:ind w:left="660" w:hanging="334"/>
        <w:spacing w:after="0"/>
        <w:tabs>
          <w:tab w:leader="none" w:pos="660" w:val="left"/>
        </w:tabs>
        <w:numPr>
          <w:ilvl w:val="0"/>
          <w:numId w:val="23"/>
        </w:numPr>
        <w:rPr>
          <w:rFonts w:ascii="Arial" w:cs="Arial" w:eastAsia="Arial" w:hAnsi="Arial"/>
          <w:sz w:val="16"/>
          <w:szCs w:val="16"/>
          <w:color w:val="auto"/>
        </w:rPr>
      </w:pPr>
      <w:r>
        <w:rPr>
          <w:rFonts w:ascii="Arial" w:cs="Arial" w:eastAsia="Arial" w:hAnsi="Arial"/>
          <w:sz w:val="16"/>
          <w:szCs w:val="16"/>
          <w:color w:val="auto"/>
        </w:rPr>
        <w:t>Reward both business and individual performance; and</w:t>
      </w:r>
    </w:p>
    <w:p>
      <w:pPr>
        <w:spacing w:after="0" w:line="5" w:lineRule="exact"/>
        <w:rPr>
          <w:rFonts w:ascii="Arial" w:cs="Arial" w:eastAsia="Arial" w:hAnsi="Arial"/>
          <w:sz w:val="16"/>
          <w:szCs w:val="16"/>
          <w:color w:val="auto"/>
        </w:rPr>
      </w:pPr>
    </w:p>
    <w:p>
      <w:pPr>
        <w:ind w:left="660" w:hanging="334"/>
        <w:spacing w:after="0"/>
        <w:tabs>
          <w:tab w:leader="none" w:pos="660" w:val="left"/>
        </w:tabs>
        <w:numPr>
          <w:ilvl w:val="0"/>
          <w:numId w:val="23"/>
        </w:numPr>
        <w:rPr>
          <w:rFonts w:ascii="Arial" w:cs="Arial" w:eastAsia="Arial" w:hAnsi="Arial"/>
          <w:sz w:val="16"/>
          <w:szCs w:val="16"/>
          <w:color w:val="auto"/>
        </w:rPr>
      </w:pPr>
      <w:r>
        <w:rPr>
          <w:rFonts w:ascii="Arial" w:cs="Arial" w:eastAsia="Arial" w:hAnsi="Arial"/>
          <w:sz w:val="16"/>
          <w:szCs w:val="16"/>
          <w:color w:val="auto"/>
        </w:rPr>
        <w:t>Attract and retain key executives critical to our success.</w:t>
      </w:r>
    </w:p>
    <w:p>
      <w:pPr>
        <w:spacing w:after="0" w:line="194" w:lineRule="exact"/>
        <w:rPr>
          <w:sz w:val="20"/>
          <w:szCs w:val="20"/>
          <w:color w:val="auto"/>
        </w:rPr>
      </w:pPr>
    </w:p>
    <w:p>
      <w:pPr>
        <w:ind w:right="100"/>
        <w:spacing w:after="0" w:line="260" w:lineRule="auto"/>
        <w:rPr>
          <w:sz w:val="20"/>
          <w:szCs w:val="20"/>
          <w:color w:val="auto"/>
        </w:rPr>
      </w:pPr>
      <w:r>
        <w:rPr>
          <w:rFonts w:ascii="Arial" w:cs="Arial" w:eastAsia="Arial" w:hAnsi="Arial"/>
          <w:sz w:val="16"/>
          <w:szCs w:val="16"/>
          <w:color w:val="auto"/>
        </w:rPr>
        <w:t>These objectives emphasize pay for performance by providing an incentive opportunity for performance that meets or exceeds company objectives.</w:t>
      </w:r>
    </w:p>
    <w:p>
      <w:pPr>
        <w:spacing w:after="0" w:line="997" w:lineRule="exact"/>
        <w:rPr>
          <w:sz w:val="20"/>
          <w:szCs w:val="20"/>
          <w:color w:val="auto"/>
        </w:rPr>
      </w:pPr>
    </w:p>
    <w:p>
      <w:pPr>
        <w:sectPr>
          <w:pgSz w:w="11900" w:h="16838" w:orient="portrait"/>
          <w:cols w:equalWidth="0" w:num="2">
            <w:col w:w="5500" w:space="440"/>
            <w:col w:w="5480"/>
          </w:cols>
          <w:pgMar w:left="240" w:top="303" w:right="239" w:bottom="1440" w:gutter="0" w:footer="0" w:header="0"/>
          <w:type w:val="continuous"/>
        </w:sectPr>
      </w:pPr>
    </w:p>
    <w:p>
      <w:pPr>
        <w:spacing w:after="0" w:line="41" w:lineRule="exact"/>
        <w:rPr>
          <w:sz w:val="20"/>
          <w:szCs w:val="20"/>
          <w:color w:val="auto"/>
        </w:rPr>
      </w:pPr>
    </w:p>
    <w:p>
      <w:pPr>
        <w:spacing w:after="0"/>
        <w:rPr>
          <w:sz w:val="20"/>
          <w:szCs w:val="20"/>
          <w:color w:val="auto"/>
        </w:rPr>
      </w:pPr>
      <w:r>
        <w:rPr>
          <w:rFonts w:ascii="Arial" w:cs="Arial" w:eastAsia="Arial" w:hAnsi="Arial"/>
          <w:sz w:val="22"/>
          <w:szCs w:val="22"/>
          <w:color w:val="828282"/>
        </w:rPr>
        <w:t>Fiscal 2018 Performance Highlights</w:t>
      </w:r>
    </w:p>
    <w:p>
      <w:pPr>
        <w:spacing w:after="0" w:line="188" w:lineRule="exact"/>
        <w:rPr>
          <w:sz w:val="20"/>
          <w:szCs w:val="20"/>
          <w:color w:val="auto"/>
        </w:rPr>
      </w:pPr>
    </w:p>
    <w:p>
      <w:pPr>
        <w:ind w:right="400"/>
        <w:spacing w:after="0" w:line="253" w:lineRule="auto"/>
        <w:rPr>
          <w:sz w:val="20"/>
          <w:szCs w:val="20"/>
          <w:color w:val="auto"/>
        </w:rPr>
      </w:pPr>
      <w:r>
        <w:rPr>
          <w:rFonts w:ascii="Arial" w:cs="Arial" w:eastAsia="Arial" w:hAnsi="Arial"/>
          <w:sz w:val="16"/>
          <w:szCs w:val="16"/>
          <w:color w:val="auto"/>
        </w:rPr>
        <w:t>The following are highlights of the Company's financial performance in Fiscal 2018. Performance across each of these metrics were driven by organic and inorganic growth in the towables businesses, including the Company's acquisition of Grand Design (which exceeded net revenue and operating income expectations significantly in Fiscal 2018).</w:t>
      </w:r>
    </w:p>
    <w:p>
      <w:pPr>
        <w:spacing w:after="0" w:line="119" w:lineRule="exact"/>
        <w:rPr>
          <w:sz w:val="20"/>
          <w:szCs w:val="20"/>
          <w:color w:val="auto"/>
        </w:rPr>
      </w:pPr>
    </w:p>
    <w:tbl>
      <w:tblPr>
        <w:tblLayout w:type="fixed"/>
        <w:tblInd w:w="1500" w:type="dxa"/>
        <w:tblCellMar>
          <w:top w:w="0" w:type="dxa"/>
          <w:left w:w="0" w:type="dxa"/>
          <w:bottom w:w="0" w:type="dxa"/>
          <w:right w:w="0" w:type="dxa"/>
        </w:tblCellMar>
      </w:tblPr>
      <w:tr>
        <w:trPr>
          <w:trHeight w:val="270"/>
        </w:trPr>
        <w:tc>
          <w:tcPr>
            <w:tcW w:w="2380" w:type="dxa"/>
            <w:vAlign w:val="bottom"/>
            <w:shd w:val="clear" w:color="auto" w:fill="BF2115"/>
          </w:tcPr>
          <w:p>
            <w:pPr>
              <w:spacing w:after="0"/>
              <w:rPr>
                <w:sz w:val="23"/>
                <w:szCs w:val="23"/>
                <w:color w:val="auto"/>
              </w:rPr>
            </w:pPr>
          </w:p>
        </w:tc>
        <w:tc>
          <w:tcPr>
            <w:tcW w:w="3140" w:type="dxa"/>
            <w:vAlign w:val="bottom"/>
            <w:gridSpan w:val="2"/>
            <w:shd w:val="clear" w:color="auto" w:fill="BF2115"/>
          </w:tcPr>
          <w:p>
            <w:pPr>
              <w:ind w:left="1000"/>
              <w:spacing w:after="0"/>
              <w:rPr>
                <w:sz w:val="20"/>
                <w:szCs w:val="20"/>
                <w:color w:val="auto"/>
              </w:rPr>
            </w:pPr>
            <w:r>
              <w:rPr>
                <w:rFonts w:ascii="Arial" w:cs="Arial" w:eastAsia="Arial" w:hAnsi="Arial"/>
                <w:sz w:val="16"/>
                <w:szCs w:val="16"/>
                <w:color w:val="FFFFFF"/>
              </w:rPr>
              <w:t>Incentive Plan</w:t>
            </w:r>
          </w:p>
        </w:tc>
        <w:tc>
          <w:tcPr>
            <w:tcW w:w="2920" w:type="dxa"/>
            <w:vAlign w:val="bottom"/>
            <w:gridSpan w:val="2"/>
            <w:shd w:val="clear" w:color="auto" w:fill="BF2115"/>
          </w:tcPr>
          <w:p>
            <w:pPr>
              <w:jc w:val="right"/>
              <w:ind w:right="899"/>
              <w:spacing w:after="0"/>
              <w:rPr>
                <w:sz w:val="20"/>
                <w:szCs w:val="20"/>
                <w:color w:val="auto"/>
              </w:rPr>
            </w:pPr>
            <w:r>
              <w:rPr>
                <w:rFonts w:ascii="Arial" w:cs="Arial" w:eastAsia="Arial" w:hAnsi="Arial"/>
                <w:sz w:val="16"/>
                <w:szCs w:val="16"/>
                <w:color w:val="FFFFFF"/>
              </w:rPr>
              <w:t>Performance</w:t>
            </w:r>
            <w:r>
              <w:rPr>
                <w:rFonts w:ascii="Arial" w:cs="Arial" w:eastAsia="Arial" w:hAnsi="Arial"/>
                <w:sz w:val="21"/>
                <w:szCs w:val="21"/>
                <w:color w:val="FFFFFF"/>
                <w:vertAlign w:val="superscript"/>
              </w:rPr>
              <w:t>(1)</w:t>
            </w:r>
          </w:p>
        </w:tc>
      </w:tr>
      <w:tr>
        <w:trPr>
          <w:trHeight w:val="257"/>
        </w:trPr>
        <w:tc>
          <w:tcPr>
            <w:tcW w:w="2380" w:type="dxa"/>
            <w:vAlign w:val="bottom"/>
            <w:shd w:val="clear" w:color="auto" w:fill="BF2115"/>
          </w:tcPr>
          <w:p>
            <w:pPr>
              <w:ind w:left="20"/>
              <w:spacing w:after="0"/>
              <w:rPr>
                <w:sz w:val="20"/>
                <w:szCs w:val="20"/>
                <w:color w:val="auto"/>
              </w:rPr>
            </w:pPr>
            <w:r>
              <w:rPr>
                <w:rFonts w:ascii="Arial" w:cs="Arial" w:eastAsia="Arial" w:hAnsi="Arial"/>
                <w:sz w:val="16"/>
                <w:szCs w:val="16"/>
                <w:color w:val="FFFFFF"/>
              </w:rPr>
              <w:t>Measure</w:t>
            </w:r>
          </w:p>
        </w:tc>
        <w:tc>
          <w:tcPr>
            <w:tcW w:w="1420" w:type="dxa"/>
            <w:vAlign w:val="bottom"/>
            <w:shd w:val="clear" w:color="auto" w:fill="BF2115"/>
          </w:tcPr>
          <w:p>
            <w:pPr>
              <w:jc w:val="center"/>
              <w:ind w:left="19"/>
              <w:spacing w:after="0"/>
              <w:rPr>
                <w:sz w:val="20"/>
                <w:szCs w:val="20"/>
                <w:color w:val="auto"/>
              </w:rPr>
            </w:pPr>
            <w:r>
              <w:rPr>
                <w:rFonts w:ascii="Arial" w:cs="Arial" w:eastAsia="Arial" w:hAnsi="Arial"/>
                <w:sz w:val="16"/>
                <w:szCs w:val="16"/>
                <w:color w:val="FFFFFF"/>
              </w:rPr>
              <w:t>Annual</w:t>
            </w:r>
          </w:p>
        </w:tc>
        <w:tc>
          <w:tcPr>
            <w:tcW w:w="1720" w:type="dxa"/>
            <w:vAlign w:val="bottom"/>
            <w:shd w:val="clear" w:color="auto" w:fill="BF2115"/>
          </w:tcPr>
          <w:p>
            <w:pPr>
              <w:jc w:val="center"/>
              <w:spacing w:after="0"/>
              <w:rPr>
                <w:sz w:val="20"/>
                <w:szCs w:val="20"/>
                <w:color w:val="auto"/>
              </w:rPr>
            </w:pPr>
            <w:r>
              <w:rPr>
                <w:rFonts w:ascii="Arial" w:cs="Arial" w:eastAsia="Arial" w:hAnsi="Arial"/>
                <w:sz w:val="16"/>
                <w:szCs w:val="16"/>
                <w:color w:val="FFFFFF"/>
                <w:w w:val="96"/>
              </w:rPr>
              <w:t>Long-Term</w:t>
            </w:r>
            <w:r>
              <w:rPr>
                <w:rFonts w:ascii="Arial" w:cs="Arial" w:eastAsia="Arial" w:hAnsi="Arial"/>
                <w:sz w:val="21"/>
                <w:szCs w:val="21"/>
                <w:color w:val="FFFFFF"/>
                <w:w w:val="96"/>
                <w:vertAlign w:val="superscript"/>
              </w:rPr>
              <w:t>(2)</w:t>
            </w:r>
          </w:p>
        </w:tc>
        <w:tc>
          <w:tcPr>
            <w:tcW w:w="1620" w:type="dxa"/>
            <w:vAlign w:val="bottom"/>
            <w:shd w:val="clear" w:color="auto" w:fill="BF2115"/>
          </w:tcPr>
          <w:p>
            <w:pPr>
              <w:jc w:val="right"/>
              <w:ind w:right="659"/>
              <w:spacing w:after="0"/>
              <w:rPr>
                <w:sz w:val="20"/>
                <w:szCs w:val="20"/>
                <w:color w:val="auto"/>
              </w:rPr>
            </w:pPr>
            <w:r>
              <w:rPr>
                <w:rFonts w:ascii="Arial" w:cs="Arial" w:eastAsia="Arial" w:hAnsi="Arial"/>
                <w:sz w:val="16"/>
                <w:szCs w:val="16"/>
                <w:color w:val="FFFFFF"/>
              </w:rPr>
              <w:t>1-year</w:t>
            </w:r>
          </w:p>
        </w:tc>
        <w:tc>
          <w:tcPr>
            <w:tcW w:w="1300" w:type="dxa"/>
            <w:vAlign w:val="bottom"/>
            <w:shd w:val="clear" w:color="auto" w:fill="BF2115"/>
          </w:tcPr>
          <w:p>
            <w:pPr>
              <w:jc w:val="right"/>
              <w:ind w:right="379"/>
              <w:spacing w:after="0"/>
              <w:rPr>
                <w:sz w:val="20"/>
                <w:szCs w:val="20"/>
                <w:color w:val="auto"/>
              </w:rPr>
            </w:pPr>
            <w:r>
              <w:rPr>
                <w:rFonts w:ascii="Arial" w:cs="Arial" w:eastAsia="Arial" w:hAnsi="Arial"/>
                <w:sz w:val="16"/>
                <w:szCs w:val="16"/>
                <w:color w:val="FFFFFF"/>
              </w:rPr>
              <w:t>3-year</w:t>
            </w:r>
            <w:r>
              <w:rPr>
                <w:rFonts w:ascii="Arial" w:cs="Arial" w:eastAsia="Arial" w:hAnsi="Arial"/>
                <w:sz w:val="21"/>
                <w:szCs w:val="21"/>
                <w:color w:val="FFFFFF"/>
                <w:vertAlign w:val="superscript"/>
              </w:rPr>
              <w:t>(3)</w:t>
            </w:r>
          </w:p>
        </w:tc>
      </w:tr>
      <w:tr>
        <w:trPr>
          <w:trHeight w:val="270"/>
        </w:trPr>
        <w:tc>
          <w:tcPr>
            <w:tcW w:w="2380" w:type="dxa"/>
            <w:vAlign w:val="bottom"/>
            <w:shd w:val="clear" w:color="auto" w:fill="ACACAC"/>
          </w:tcPr>
          <w:p>
            <w:pPr>
              <w:ind w:left="20"/>
              <w:spacing w:after="0"/>
              <w:rPr>
                <w:sz w:val="20"/>
                <w:szCs w:val="20"/>
                <w:color w:val="auto"/>
              </w:rPr>
            </w:pPr>
            <w:r>
              <w:rPr>
                <w:rFonts w:ascii="Arial" w:cs="Arial" w:eastAsia="Arial" w:hAnsi="Arial"/>
                <w:sz w:val="16"/>
                <w:szCs w:val="16"/>
                <w:color w:val="auto"/>
              </w:rPr>
              <w:t>Net Sales Growth</w:t>
            </w:r>
          </w:p>
        </w:tc>
        <w:tc>
          <w:tcPr>
            <w:tcW w:w="1420" w:type="dxa"/>
            <w:vAlign w:val="bottom"/>
            <w:shd w:val="clear" w:color="auto" w:fill="ACACAC"/>
          </w:tcPr>
          <w:p>
            <w:pPr>
              <w:jc w:val="center"/>
              <w:ind w:left="19"/>
              <w:spacing w:after="0"/>
              <w:rPr>
                <w:sz w:val="20"/>
                <w:szCs w:val="20"/>
                <w:color w:val="auto"/>
              </w:rPr>
            </w:pPr>
            <w:r>
              <w:rPr>
                <w:rFonts w:ascii="Arial" w:cs="Arial" w:eastAsia="Arial" w:hAnsi="Arial"/>
                <w:sz w:val="16"/>
                <w:szCs w:val="16"/>
                <w:color w:val="auto"/>
              </w:rPr>
              <w:t>X</w:t>
            </w:r>
          </w:p>
        </w:tc>
        <w:tc>
          <w:tcPr>
            <w:tcW w:w="1720" w:type="dxa"/>
            <w:vAlign w:val="bottom"/>
            <w:shd w:val="clear" w:color="auto" w:fill="ACACAC"/>
          </w:tcPr>
          <w:p>
            <w:pPr>
              <w:spacing w:after="0"/>
              <w:rPr>
                <w:sz w:val="23"/>
                <w:szCs w:val="23"/>
                <w:color w:val="auto"/>
              </w:rPr>
            </w:pPr>
          </w:p>
        </w:tc>
        <w:tc>
          <w:tcPr>
            <w:tcW w:w="1620" w:type="dxa"/>
            <w:vAlign w:val="bottom"/>
            <w:shd w:val="clear" w:color="auto" w:fill="ACACAC"/>
          </w:tcPr>
          <w:p>
            <w:pPr>
              <w:jc w:val="right"/>
              <w:ind w:right="159"/>
              <w:spacing w:after="0"/>
              <w:rPr>
                <w:sz w:val="20"/>
                <w:szCs w:val="20"/>
                <w:color w:val="auto"/>
              </w:rPr>
            </w:pPr>
            <w:r>
              <w:rPr>
                <w:rFonts w:ascii="Arial" w:cs="Arial" w:eastAsia="Arial" w:hAnsi="Arial"/>
                <w:sz w:val="16"/>
                <w:szCs w:val="16"/>
                <w:color w:val="auto"/>
              </w:rPr>
              <w:t>29.3%</w:t>
            </w:r>
          </w:p>
        </w:tc>
        <w:tc>
          <w:tcPr>
            <w:tcW w:w="1300" w:type="dxa"/>
            <w:vAlign w:val="bottom"/>
            <w:shd w:val="clear" w:color="auto" w:fill="ACACAC"/>
          </w:tcPr>
          <w:p>
            <w:pPr>
              <w:spacing w:after="0"/>
              <w:rPr>
                <w:sz w:val="23"/>
                <w:szCs w:val="23"/>
                <w:color w:val="auto"/>
              </w:rPr>
            </w:pPr>
          </w:p>
        </w:tc>
      </w:tr>
      <w:tr>
        <w:trPr>
          <w:trHeight w:val="260"/>
        </w:trPr>
        <w:tc>
          <w:tcPr>
            <w:tcW w:w="2380" w:type="dxa"/>
            <w:vAlign w:val="bottom"/>
          </w:tcPr>
          <w:p>
            <w:pPr>
              <w:ind w:left="20"/>
              <w:spacing w:after="0"/>
              <w:rPr>
                <w:sz w:val="20"/>
                <w:szCs w:val="20"/>
                <w:color w:val="auto"/>
              </w:rPr>
            </w:pPr>
            <w:r>
              <w:rPr>
                <w:rFonts w:ascii="Arial" w:cs="Arial" w:eastAsia="Arial" w:hAnsi="Arial"/>
                <w:sz w:val="16"/>
                <w:szCs w:val="16"/>
                <w:color w:val="auto"/>
              </w:rPr>
              <w:t>Operating Income</w:t>
            </w:r>
          </w:p>
        </w:tc>
        <w:tc>
          <w:tcPr>
            <w:tcW w:w="1420" w:type="dxa"/>
            <w:vAlign w:val="bottom"/>
          </w:tcPr>
          <w:p>
            <w:pPr>
              <w:jc w:val="center"/>
              <w:spacing w:after="0"/>
              <w:rPr>
                <w:sz w:val="20"/>
                <w:szCs w:val="20"/>
                <w:color w:val="auto"/>
              </w:rPr>
            </w:pPr>
            <w:r>
              <w:rPr>
                <w:rFonts w:ascii="Arial" w:cs="Arial" w:eastAsia="Arial" w:hAnsi="Arial"/>
                <w:sz w:val="16"/>
                <w:szCs w:val="16"/>
                <w:color w:val="auto"/>
                <w:w w:val="93"/>
              </w:rPr>
              <w:t>X</w:t>
            </w:r>
          </w:p>
        </w:tc>
        <w:tc>
          <w:tcPr>
            <w:tcW w:w="1720" w:type="dxa"/>
            <w:vAlign w:val="bottom"/>
          </w:tcPr>
          <w:p>
            <w:pPr>
              <w:spacing w:after="0"/>
              <w:rPr>
                <w:sz w:val="22"/>
                <w:szCs w:val="22"/>
                <w:color w:val="auto"/>
              </w:rPr>
            </w:pPr>
          </w:p>
        </w:tc>
        <w:tc>
          <w:tcPr>
            <w:tcW w:w="1620" w:type="dxa"/>
            <w:vAlign w:val="bottom"/>
          </w:tcPr>
          <w:p>
            <w:pPr>
              <w:jc w:val="right"/>
              <w:ind w:right="159"/>
              <w:spacing w:after="0"/>
              <w:rPr>
                <w:sz w:val="20"/>
                <w:szCs w:val="20"/>
                <w:color w:val="auto"/>
              </w:rPr>
            </w:pPr>
            <w:r>
              <w:rPr>
                <w:rFonts w:ascii="Arial" w:cs="Arial" w:eastAsia="Arial" w:hAnsi="Arial"/>
                <w:sz w:val="16"/>
                <w:szCs w:val="16"/>
                <w:color w:val="auto"/>
              </w:rPr>
              <w:t>$166,596</w:t>
            </w:r>
          </w:p>
        </w:tc>
        <w:tc>
          <w:tcPr>
            <w:tcW w:w="1300" w:type="dxa"/>
            <w:vAlign w:val="bottom"/>
          </w:tcPr>
          <w:p>
            <w:pPr>
              <w:spacing w:after="0"/>
              <w:rPr>
                <w:sz w:val="22"/>
                <w:szCs w:val="22"/>
                <w:color w:val="auto"/>
              </w:rPr>
            </w:pPr>
          </w:p>
        </w:tc>
      </w:tr>
      <w:tr>
        <w:trPr>
          <w:trHeight w:val="280"/>
        </w:trPr>
        <w:tc>
          <w:tcPr>
            <w:tcW w:w="2380" w:type="dxa"/>
            <w:vAlign w:val="bottom"/>
            <w:shd w:val="clear" w:color="auto" w:fill="ACACAC"/>
          </w:tcPr>
          <w:p>
            <w:pPr>
              <w:ind w:left="20"/>
              <w:spacing w:after="0"/>
              <w:rPr>
                <w:sz w:val="20"/>
                <w:szCs w:val="20"/>
                <w:color w:val="auto"/>
              </w:rPr>
            </w:pPr>
            <w:r>
              <w:rPr>
                <w:rFonts w:ascii="Arial" w:cs="Arial" w:eastAsia="Arial" w:hAnsi="Arial"/>
                <w:sz w:val="16"/>
                <w:szCs w:val="16"/>
                <w:color w:val="auto"/>
              </w:rPr>
              <w:t>Net Working Capital</w:t>
            </w:r>
          </w:p>
        </w:tc>
        <w:tc>
          <w:tcPr>
            <w:tcW w:w="1420" w:type="dxa"/>
            <w:vAlign w:val="bottom"/>
            <w:shd w:val="clear" w:color="auto" w:fill="ACACAC"/>
          </w:tcPr>
          <w:p>
            <w:pPr>
              <w:jc w:val="center"/>
              <w:spacing w:after="0"/>
              <w:rPr>
                <w:sz w:val="20"/>
                <w:szCs w:val="20"/>
                <w:color w:val="auto"/>
              </w:rPr>
            </w:pPr>
            <w:r>
              <w:rPr>
                <w:rFonts w:ascii="Arial" w:cs="Arial" w:eastAsia="Arial" w:hAnsi="Arial"/>
                <w:sz w:val="16"/>
                <w:szCs w:val="16"/>
                <w:color w:val="auto"/>
                <w:w w:val="93"/>
              </w:rPr>
              <w:t>X</w:t>
            </w:r>
          </w:p>
        </w:tc>
        <w:tc>
          <w:tcPr>
            <w:tcW w:w="1720" w:type="dxa"/>
            <w:vAlign w:val="bottom"/>
            <w:shd w:val="clear" w:color="auto" w:fill="ACACAC"/>
          </w:tcPr>
          <w:p>
            <w:pPr>
              <w:spacing w:after="0"/>
              <w:rPr>
                <w:sz w:val="24"/>
                <w:szCs w:val="24"/>
                <w:color w:val="auto"/>
              </w:rPr>
            </w:pPr>
          </w:p>
        </w:tc>
        <w:tc>
          <w:tcPr>
            <w:tcW w:w="1620" w:type="dxa"/>
            <w:vAlign w:val="bottom"/>
            <w:shd w:val="clear" w:color="auto" w:fill="ACACAC"/>
          </w:tcPr>
          <w:p>
            <w:pPr>
              <w:jc w:val="right"/>
              <w:ind w:right="159"/>
              <w:spacing w:after="0"/>
              <w:rPr>
                <w:sz w:val="20"/>
                <w:szCs w:val="20"/>
                <w:color w:val="auto"/>
              </w:rPr>
            </w:pPr>
            <w:r>
              <w:rPr>
                <w:rFonts w:ascii="Arial" w:cs="Arial" w:eastAsia="Arial" w:hAnsi="Arial"/>
                <w:sz w:val="16"/>
                <w:szCs w:val="16"/>
                <w:color w:val="auto"/>
              </w:rPr>
              <w:t>13.4%</w:t>
            </w:r>
          </w:p>
        </w:tc>
        <w:tc>
          <w:tcPr>
            <w:tcW w:w="1300" w:type="dxa"/>
            <w:vAlign w:val="bottom"/>
            <w:shd w:val="clear" w:color="auto" w:fill="ACACAC"/>
          </w:tcPr>
          <w:p>
            <w:pPr>
              <w:spacing w:after="0"/>
              <w:rPr>
                <w:sz w:val="24"/>
                <w:szCs w:val="24"/>
                <w:color w:val="auto"/>
              </w:rPr>
            </w:pPr>
          </w:p>
        </w:tc>
      </w:tr>
      <w:tr>
        <w:trPr>
          <w:trHeight w:val="251"/>
        </w:trPr>
        <w:tc>
          <w:tcPr>
            <w:tcW w:w="2380" w:type="dxa"/>
            <w:vAlign w:val="bottom"/>
          </w:tcPr>
          <w:p>
            <w:pPr>
              <w:ind w:left="20"/>
              <w:spacing w:after="0"/>
              <w:rPr>
                <w:sz w:val="20"/>
                <w:szCs w:val="20"/>
                <w:color w:val="auto"/>
              </w:rPr>
            </w:pPr>
            <w:r>
              <w:rPr>
                <w:rFonts w:ascii="Arial" w:cs="Arial" w:eastAsia="Arial" w:hAnsi="Arial"/>
                <w:sz w:val="16"/>
                <w:szCs w:val="16"/>
                <w:color w:val="auto"/>
              </w:rPr>
              <w:t>Return on Equity (ROE)</w:t>
            </w:r>
          </w:p>
        </w:tc>
        <w:tc>
          <w:tcPr>
            <w:tcW w:w="1420" w:type="dxa"/>
            <w:vAlign w:val="bottom"/>
          </w:tcPr>
          <w:p>
            <w:pPr>
              <w:spacing w:after="0"/>
              <w:rPr>
                <w:sz w:val="21"/>
                <w:szCs w:val="21"/>
                <w:color w:val="auto"/>
              </w:rPr>
            </w:pPr>
          </w:p>
        </w:tc>
        <w:tc>
          <w:tcPr>
            <w:tcW w:w="1720" w:type="dxa"/>
            <w:vAlign w:val="bottom"/>
          </w:tcPr>
          <w:p>
            <w:pPr>
              <w:jc w:val="center"/>
              <w:spacing w:after="0"/>
              <w:rPr>
                <w:sz w:val="20"/>
                <w:szCs w:val="20"/>
                <w:color w:val="auto"/>
              </w:rPr>
            </w:pPr>
            <w:r>
              <w:rPr>
                <w:rFonts w:ascii="Arial" w:cs="Arial" w:eastAsia="Arial" w:hAnsi="Arial"/>
                <w:sz w:val="16"/>
                <w:szCs w:val="16"/>
                <w:color w:val="auto"/>
                <w:w w:val="93"/>
              </w:rPr>
              <w:t>X</w:t>
            </w:r>
          </w:p>
        </w:tc>
        <w:tc>
          <w:tcPr>
            <w:tcW w:w="162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19.7%</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948690</wp:posOffset>
            </wp:positionH>
            <wp:positionV relativeFrom="paragraph">
              <wp:posOffset>-835660</wp:posOffset>
            </wp:positionV>
            <wp:extent cx="5360035" cy="16319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5360035" cy="163195"/>
                    </a:xfrm>
                    <a:prstGeom prst="rect">
                      <a:avLst/>
                    </a:prstGeom>
                    <a:noFill/>
                  </pic:spPr>
                </pic:pic>
              </a:graphicData>
            </a:graphic>
          </wp:anchor>
        </w:drawing>
      </w:r>
    </w:p>
    <w:p>
      <w:pPr>
        <w:spacing w:after="0" w:line="4" w:lineRule="exact"/>
        <w:rPr>
          <w:sz w:val="20"/>
          <w:szCs w:val="20"/>
          <w:color w:val="auto"/>
        </w:rPr>
      </w:pPr>
    </w:p>
    <w:p>
      <w:pPr>
        <w:ind w:right="220" w:firstLine="8"/>
        <w:spacing w:after="0" w:line="241" w:lineRule="auto"/>
        <w:tabs>
          <w:tab w:leader="none" w:pos="216" w:val="left"/>
        </w:tabs>
        <w:numPr>
          <w:ilvl w:val="0"/>
          <w:numId w:val="24"/>
        </w:numPr>
        <w:rPr>
          <w:rFonts w:ascii="Arial" w:cs="Arial" w:eastAsia="Arial" w:hAnsi="Arial"/>
          <w:sz w:val="14"/>
          <w:szCs w:val="14"/>
          <w:color w:val="auto"/>
        </w:rPr>
      </w:pPr>
      <w:r>
        <w:rPr>
          <w:rFonts w:ascii="Arial" w:cs="Arial" w:eastAsia="Arial" w:hAnsi="Arial"/>
          <w:sz w:val="14"/>
          <w:szCs w:val="14"/>
          <w:color w:val="auto"/>
        </w:rPr>
        <w:t>Performance figures reflect adjustments approved by the Human Resources Committee for certain events not contemplated when creating initial targets, consisting of adjustments to each measure relating to: the Tax Cuts and Jobs Act enacted on December 22, 2017, the Company's acquisition of Chris-Craft, and transaction costs associated with the Company's acquisition of Grand Design.</w:t>
      </w:r>
    </w:p>
    <w:p>
      <w:pPr>
        <w:spacing w:after="0" w:line="1" w:lineRule="exact"/>
        <w:rPr>
          <w:rFonts w:ascii="Arial" w:cs="Arial" w:eastAsia="Arial" w:hAnsi="Arial"/>
          <w:sz w:val="14"/>
          <w:szCs w:val="14"/>
          <w:color w:val="auto"/>
        </w:rPr>
      </w:pPr>
    </w:p>
    <w:p>
      <w:pPr>
        <w:ind w:right="440" w:firstLine="8"/>
        <w:spacing w:after="0" w:line="241" w:lineRule="auto"/>
        <w:tabs>
          <w:tab w:leader="none" w:pos="216" w:val="left"/>
        </w:tabs>
        <w:numPr>
          <w:ilvl w:val="0"/>
          <w:numId w:val="24"/>
        </w:numPr>
        <w:rPr>
          <w:rFonts w:ascii="Arial" w:cs="Arial" w:eastAsia="Arial" w:hAnsi="Arial"/>
          <w:sz w:val="14"/>
          <w:szCs w:val="14"/>
          <w:color w:val="auto"/>
        </w:rPr>
      </w:pPr>
      <w:r>
        <w:rPr>
          <w:rFonts w:ascii="Arial" w:cs="Arial" w:eastAsia="Arial" w:hAnsi="Arial"/>
          <w:sz w:val="14"/>
          <w:szCs w:val="14"/>
          <w:color w:val="auto"/>
        </w:rPr>
        <w:t>This column shows the sole metric used for the 2016-2018 LTIP. Metrics for the 2017-2019 LTIP were expanded to include 40% return on invested capital, 30% operating income, and 30% net sales, while the metrics for the 2018-2020 LTIP include 40% ROE, 30% operating income and 30% net sales.</w:t>
      </w:r>
    </w:p>
    <w:p>
      <w:pPr>
        <w:ind w:left="220" w:hanging="212"/>
        <w:spacing w:after="0"/>
        <w:tabs>
          <w:tab w:leader="none" w:pos="220" w:val="left"/>
        </w:tabs>
        <w:numPr>
          <w:ilvl w:val="0"/>
          <w:numId w:val="24"/>
        </w:numPr>
        <w:rPr>
          <w:rFonts w:ascii="Arial" w:cs="Arial" w:eastAsia="Arial" w:hAnsi="Arial"/>
          <w:sz w:val="14"/>
          <w:szCs w:val="14"/>
          <w:color w:val="auto"/>
        </w:rPr>
      </w:pPr>
      <w:r>
        <w:rPr>
          <w:rFonts w:ascii="Arial" w:cs="Arial" w:eastAsia="Arial" w:hAnsi="Arial"/>
          <w:sz w:val="14"/>
          <w:szCs w:val="14"/>
          <w:color w:val="auto"/>
        </w:rPr>
        <w:t>This column shows performance for the period from Fiscal 2016-2018.</w:t>
      </w: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16</w:t>
      </w:r>
    </w:p>
    <w:p>
      <w:pPr>
        <w:sectPr>
          <w:pgSz w:w="11900" w:h="16838" w:orient="portrait"/>
          <w:cols w:equalWidth="0" w:num="1">
            <w:col w:w="11420"/>
          </w:cols>
          <w:pgMar w:left="240" w:top="303" w:right="239" w:bottom="1440" w:gutter="0" w:footer="0" w:header="0"/>
          <w:type w:val="continuous"/>
        </w:sectPr>
      </w:pPr>
    </w:p>
    <w:bookmarkStart w:id="20" w:name="page21"/>
    <w:bookmarkEnd w:id="20"/>
    <w:p>
      <w:pPr>
        <w:ind w:left="40"/>
        <w:spacing w:after="0"/>
        <w:rPr>
          <w:rFonts w:ascii="Arial" w:cs="Arial" w:eastAsia="Arial" w:hAnsi="Arial"/>
          <w:sz w:val="16"/>
          <w:szCs w:val="16"/>
          <w:u w:val="single" w:color="auto"/>
          <w:color w:val="0000EE"/>
        </w:rPr>
      </w:pPr>
      <w:r>
        <w:rPr>
          <w:rFonts w:ascii="Arial" w:cs="Arial" w:eastAsia="Arial" w:hAnsi="Arial"/>
          <w:sz w:val="16"/>
          <w:szCs w:val="16"/>
          <w:u w:val="single" w:color="auto"/>
          <w:color w:val="0000EE"/>
        </w:rPr>
        <w:drawing>
          <wp:anchor simplePos="0" relativeHeight="251657728" behindDoc="1" locked="0" layoutInCell="0" allowOverlap="1">
            <wp:simplePos x="0" y="0"/>
            <wp:positionH relativeFrom="page">
              <wp:posOffset>5946140</wp:posOffset>
            </wp:positionH>
            <wp:positionV relativeFrom="page">
              <wp:posOffset>191770</wp:posOffset>
            </wp:positionV>
            <wp:extent cx="1440815" cy="20574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clrChange>
                        <a:clrFrom>
                          <a:srgbClr val="FFFFFF"/>
                        </a:clrFrom>
                        <a:clrTo>
                          <a:srgbClr val="FFFFFF">
                            <a:alpha val="0"/>
                          </a:srgbClr>
                        </a:clrTo>
                      </a:clrChange>
                      <a:extLst>
                        <a:ext uri="{28A0092B-C50C-407E-A947-70E740481C1C}"/>
                      </a:extLst>
                    </a:blip>
                    <a:srcRect/>
                    <a:stretch>
                      <a:fillRect/>
                    </a:stretch>
                  </pic:blipFill>
                  <pic:spPr bwMode="auto">
                    <a:xfrm>
                      <a:off x="0" y="0"/>
                      <a:ext cx="1440815" cy="205740"/>
                    </a:xfrm>
                    <a:prstGeom prst="rect">
                      <a:avLst/>
                    </a:prstGeom>
                    <a:noFill/>
                  </pic:spPr>
                </pic:pic>
              </a:graphicData>
            </a:graphic>
          </wp:anchor>
        </w:drawing>
      </w:r>
      <w:hyperlink w:anchor="page4">
        <w:r>
          <w:rPr>
            <w:rFonts w:ascii="Arial" w:cs="Arial" w:eastAsia="Arial" w:hAnsi="Arial"/>
            <w:sz w:val="16"/>
            <w:szCs w:val="16"/>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104775</wp:posOffset>
            </wp:positionV>
            <wp:extent cx="7246620" cy="88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spacing w:after="0"/>
        <w:rPr>
          <w:sz w:val="20"/>
          <w:szCs w:val="20"/>
          <w:color w:val="auto"/>
        </w:rPr>
      </w:pPr>
      <w:r>
        <w:rPr>
          <w:rFonts w:ascii="Arial" w:cs="Arial" w:eastAsia="Arial" w:hAnsi="Arial"/>
          <w:sz w:val="22"/>
          <w:szCs w:val="22"/>
          <w:color w:val="828282"/>
        </w:rPr>
        <w:t>Impact of Performance on Fiscal 2018 Compensation</w:t>
      </w:r>
    </w:p>
    <w:p>
      <w:pPr>
        <w:spacing w:after="0" w:line="255" w:lineRule="exact"/>
        <w:rPr>
          <w:sz w:val="20"/>
          <w:szCs w:val="20"/>
          <w:color w:val="auto"/>
        </w:rPr>
      </w:pPr>
    </w:p>
    <w:p>
      <w:pPr>
        <w:spacing w:after="0"/>
        <w:rPr>
          <w:sz w:val="20"/>
          <w:szCs w:val="20"/>
          <w:color w:val="auto"/>
        </w:rPr>
      </w:pPr>
      <w:r>
        <w:rPr>
          <w:rFonts w:ascii="Arial" w:cs="Arial" w:eastAsia="Arial" w:hAnsi="Arial"/>
          <w:sz w:val="16"/>
          <w:szCs w:val="16"/>
          <w:color w:val="auto"/>
        </w:rPr>
        <w:t>The compensation of our NEOs in Fiscal 2018 was directly impacted by our financial performance and total shareholder returns:</w:t>
      </w:r>
    </w:p>
    <w:p>
      <w:pPr>
        <w:spacing w:after="0" w:line="327" w:lineRule="exact"/>
        <w:rPr>
          <w:sz w:val="20"/>
          <w:szCs w:val="20"/>
          <w:color w:val="auto"/>
        </w:rPr>
      </w:pPr>
    </w:p>
    <w:tbl>
      <w:tblPr>
        <w:tblLayout w:type="fixed"/>
        <w:tblInd w:w="400" w:type="dxa"/>
        <w:tblCellMar>
          <w:top w:w="0" w:type="dxa"/>
          <w:left w:w="0" w:type="dxa"/>
          <w:bottom w:w="0" w:type="dxa"/>
          <w:right w:w="0" w:type="dxa"/>
        </w:tblCellMar>
      </w:tblPr>
      <w:tr>
        <w:trPr>
          <w:trHeight w:val="243"/>
        </w:trPr>
        <w:tc>
          <w:tcPr>
            <w:tcW w:w="2560" w:type="dxa"/>
            <w:vAlign w:val="bottom"/>
            <w:shd w:val="clear" w:color="auto" w:fill="BF2115"/>
          </w:tcPr>
          <w:p>
            <w:pPr>
              <w:ind w:left="20"/>
              <w:spacing w:after="0"/>
              <w:rPr>
                <w:sz w:val="20"/>
                <w:szCs w:val="20"/>
                <w:color w:val="auto"/>
              </w:rPr>
            </w:pPr>
            <w:r>
              <w:rPr>
                <w:rFonts w:ascii="Arial" w:cs="Arial" w:eastAsia="Arial" w:hAnsi="Arial"/>
                <w:sz w:val="16"/>
                <w:szCs w:val="16"/>
                <w:color w:val="FFFFFF"/>
              </w:rPr>
              <w:t>Performance Objective</w:t>
            </w:r>
          </w:p>
        </w:tc>
        <w:tc>
          <w:tcPr>
            <w:tcW w:w="8080" w:type="dxa"/>
            <w:vAlign w:val="bottom"/>
            <w:shd w:val="clear" w:color="auto" w:fill="BF2115"/>
          </w:tcPr>
          <w:p>
            <w:pPr>
              <w:ind w:left="20"/>
              <w:spacing w:after="0"/>
              <w:rPr>
                <w:sz w:val="20"/>
                <w:szCs w:val="20"/>
                <w:color w:val="auto"/>
              </w:rPr>
            </w:pPr>
            <w:r>
              <w:rPr>
                <w:rFonts w:ascii="Arial" w:cs="Arial" w:eastAsia="Arial" w:hAnsi="Arial"/>
                <w:sz w:val="16"/>
                <w:szCs w:val="16"/>
                <w:color w:val="FFFFFF"/>
              </w:rPr>
              <w:t>Link to 2018 Compensation</w:t>
            </w:r>
          </w:p>
        </w:tc>
        <w:tc>
          <w:tcPr>
            <w:tcW w:w="20" w:type="dxa"/>
            <w:vAlign w:val="bottom"/>
          </w:tcPr>
          <w:p>
            <w:pPr>
              <w:spacing w:after="0"/>
              <w:rPr>
                <w:sz w:val="21"/>
                <w:szCs w:val="21"/>
                <w:color w:val="auto"/>
              </w:rPr>
            </w:pPr>
          </w:p>
        </w:tc>
      </w:tr>
      <w:tr>
        <w:trPr>
          <w:trHeight w:val="218"/>
        </w:trPr>
        <w:tc>
          <w:tcPr>
            <w:tcW w:w="2560" w:type="dxa"/>
            <w:vAlign w:val="bottom"/>
            <w:shd w:val="clear" w:color="auto" w:fill="ACACAC"/>
          </w:tcPr>
          <w:p>
            <w:pPr>
              <w:ind w:left="20"/>
              <w:spacing w:after="0"/>
              <w:rPr>
                <w:sz w:val="20"/>
                <w:szCs w:val="20"/>
                <w:color w:val="auto"/>
              </w:rPr>
            </w:pPr>
            <w:r>
              <w:rPr>
                <w:rFonts w:ascii="Arial" w:cs="Arial" w:eastAsia="Arial" w:hAnsi="Arial"/>
                <w:sz w:val="16"/>
                <w:szCs w:val="16"/>
                <w:color w:val="auto"/>
              </w:rPr>
              <w:t>Financial</w:t>
            </w:r>
          </w:p>
        </w:tc>
        <w:tc>
          <w:tcPr>
            <w:tcW w:w="8080" w:type="dxa"/>
            <w:vAlign w:val="bottom"/>
          </w:tcPr>
          <w:p>
            <w:pPr>
              <w:ind w:left="20"/>
              <w:spacing w:after="0"/>
              <w:rPr>
                <w:sz w:val="20"/>
                <w:szCs w:val="20"/>
                <w:color w:val="auto"/>
              </w:rPr>
            </w:pPr>
            <w:r>
              <w:rPr>
                <w:rFonts w:ascii="Arial" w:cs="Arial" w:eastAsia="Arial" w:hAnsi="Arial"/>
                <w:sz w:val="16"/>
                <w:szCs w:val="16"/>
                <w:color w:val="auto"/>
              </w:rPr>
              <w:t>Ÿ  For our CEO, Mr. Happe, 100% of 2018 annual incentive awards was based on achieving targeted levels of</w:t>
            </w:r>
          </w:p>
        </w:tc>
        <w:tc>
          <w:tcPr>
            <w:tcW w:w="20" w:type="dxa"/>
            <w:vAlign w:val="bottom"/>
            <w:shd w:val="clear" w:color="auto" w:fill="ACACAC"/>
          </w:tcPr>
          <w:p>
            <w:pPr>
              <w:spacing w:after="0"/>
              <w:rPr>
                <w:sz w:val="18"/>
                <w:szCs w:val="18"/>
                <w:color w:val="auto"/>
              </w:rPr>
            </w:pPr>
          </w:p>
        </w:tc>
      </w:tr>
      <w:tr>
        <w:trPr>
          <w:trHeight w:val="189"/>
        </w:trPr>
        <w:tc>
          <w:tcPr>
            <w:tcW w:w="2560" w:type="dxa"/>
            <w:vAlign w:val="bottom"/>
            <w:shd w:val="clear" w:color="auto" w:fill="ACACAC"/>
          </w:tcPr>
          <w:p>
            <w:pPr>
              <w:spacing w:after="0"/>
              <w:rPr>
                <w:sz w:val="16"/>
                <w:szCs w:val="16"/>
                <w:color w:val="auto"/>
              </w:rPr>
            </w:pPr>
          </w:p>
        </w:tc>
        <w:tc>
          <w:tcPr>
            <w:tcW w:w="8080" w:type="dxa"/>
            <w:vAlign w:val="bottom"/>
          </w:tcPr>
          <w:p>
            <w:pPr>
              <w:ind w:left="240"/>
              <w:spacing w:after="0"/>
              <w:rPr>
                <w:sz w:val="20"/>
                <w:szCs w:val="20"/>
                <w:color w:val="auto"/>
              </w:rPr>
            </w:pPr>
            <w:r>
              <w:rPr>
                <w:rFonts w:ascii="Arial" w:cs="Arial" w:eastAsia="Arial" w:hAnsi="Arial"/>
                <w:sz w:val="16"/>
                <w:szCs w:val="16"/>
                <w:color w:val="auto"/>
              </w:rPr>
              <w:t>net sales growth (50%), operating income (40%), and working capital (10%) at the company level. For all</w:t>
            </w:r>
          </w:p>
        </w:tc>
        <w:tc>
          <w:tcPr>
            <w:tcW w:w="20" w:type="dxa"/>
            <w:vAlign w:val="bottom"/>
            <w:shd w:val="clear" w:color="auto" w:fill="ACACAC"/>
          </w:tcPr>
          <w:p>
            <w:pPr>
              <w:spacing w:after="0"/>
              <w:rPr>
                <w:sz w:val="16"/>
                <w:szCs w:val="16"/>
                <w:color w:val="auto"/>
              </w:rPr>
            </w:pPr>
          </w:p>
        </w:tc>
      </w:tr>
      <w:tr>
        <w:trPr>
          <w:trHeight w:val="189"/>
        </w:trPr>
        <w:tc>
          <w:tcPr>
            <w:tcW w:w="2560" w:type="dxa"/>
            <w:vAlign w:val="bottom"/>
            <w:shd w:val="clear" w:color="auto" w:fill="ACACAC"/>
          </w:tcPr>
          <w:p>
            <w:pPr>
              <w:spacing w:after="0"/>
              <w:rPr>
                <w:sz w:val="16"/>
                <w:szCs w:val="16"/>
                <w:color w:val="auto"/>
              </w:rPr>
            </w:pPr>
          </w:p>
        </w:tc>
        <w:tc>
          <w:tcPr>
            <w:tcW w:w="8080" w:type="dxa"/>
            <w:vAlign w:val="bottom"/>
          </w:tcPr>
          <w:p>
            <w:pPr>
              <w:ind w:left="240"/>
              <w:spacing w:after="0"/>
              <w:rPr>
                <w:sz w:val="20"/>
                <w:szCs w:val="20"/>
                <w:color w:val="auto"/>
              </w:rPr>
            </w:pPr>
            <w:r>
              <w:rPr>
                <w:rFonts w:ascii="Arial" w:cs="Arial" w:eastAsia="Arial" w:hAnsi="Arial"/>
                <w:sz w:val="16"/>
                <w:szCs w:val="16"/>
                <w:color w:val="auto"/>
              </w:rPr>
              <w:t>NEOs other than Mr. Clark, 90% of 2018 annual incentive awards was tied to these metrics at either the</w:t>
            </w:r>
          </w:p>
        </w:tc>
        <w:tc>
          <w:tcPr>
            <w:tcW w:w="20" w:type="dxa"/>
            <w:vAlign w:val="bottom"/>
            <w:shd w:val="clear" w:color="auto" w:fill="ACACAC"/>
          </w:tcPr>
          <w:p>
            <w:pPr>
              <w:spacing w:after="0"/>
              <w:rPr>
                <w:sz w:val="16"/>
                <w:szCs w:val="16"/>
                <w:color w:val="auto"/>
              </w:rPr>
            </w:pPr>
          </w:p>
        </w:tc>
      </w:tr>
      <w:tr>
        <w:trPr>
          <w:trHeight w:val="189"/>
        </w:trPr>
        <w:tc>
          <w:tcPr>
            <w:tcW w:w="2560" w:type="dxa"/>
            <w:vAlign w:val="bottom"/>
            <w:shd w:val="clear" w:color="auto" w:fill="ACACAC"/>
          </w:tcPr>
          <w:p>
            <w:pPr>
              <w:spacing w:after="0"/>
              <w:rPr>
                <w:sz w:val="16"/>
                <w:szCs w:val="16"/>
                <w:color w:val="auto"/>
              </w:rPr>
            </w:pPr>
          </w:p>
        </w:tc>
        <w:tc>
          <w:tcPr>
            <w:tcW w:w="8080" w:type="dxa"/>
            <w:vAlign w:val="bottom"/>
          </w:tcPr>
          <w:p>
            <w:pPr>
              <w:ind w:left="240"/>
              <w:spacing w:after="0"/>
              <w:rPr>
                <w:sz w:val="20"/>
                <w:szCs w:val="20"/>
                <w:color w:val="auto"/>
              </w:rPr>
            </w:pPr>
            <w:r>
              <w:rPr>
                <w:rFonts w:ascii="Arial" w:cs="Arial" w:eastAsia="Arial" w:hAnsi="Arial"/>
                <w:sz w:val="16"/>
                <w:szCs w:val="16"/>
                <w:color w:val="auto"/>
              </w:rPr>
              <w:t>company or business unit level. The other 10% was tied to individual metrics aligned with goals deemed</w:t>
            </w:r>
          </w:p>
        </w:tc>
        <w:tc>
          <w:tcPr>
            <w:tcW w:w="20" w:type="dxa"/>
            <w:vAlign w:val="bottom"/>
            <w:shd w:val="clear" w:color="auto" w:fill="ACACAC"/>
          </w:tcPr>
          <w:p>
            <w:pPr>
              <w:spacing w:after="0"/>
              <w:rPr>
                <w:sz w:val="16"/>
                <w:szCs w:val="16"/>
                <w:color w:val="auto"/>
              </w:rPr>
            </w:pPr>
          </w:p>
        </w:tc>
      </w:tr>
      <w:tr>
        <w:trPr>
          <w:trHeight w:val="189"/>
        </w:trPr>
        <w:tc>
          <w:tcPr>
            <w:tcW w:w="2560" w:type="dxa"/>
            <w:vAlign w:val="bottom"/>
            <w:shd w:val="clear" w:color="auto" w:fill="ACACAC"/>
          </w:tcPr>
          <w:p>
            <w:pPr>
              <w:spacing w:after="0"/>
              <w:rPr>
                <w:sz w:val="16"/>
                <w:szCs w:val="16"/>
                <w:color w:val="auto"/>
              </w:rPr>
            </w:pPr>
          </w:p>
        </w:tc>
        <w:tc>
          <w:tcPr>
            <w:tcW w:w="8080" w:type="dxa"/>
            <w:vAlign w:val="bottom"/>
          </w:tcPr>
          <w:p>
            <w:pPr>
              <w:ind w:left="240"/>
              <w:spacing w:after="0"/>
              <w:rPr>
                <w:sz w:val="20"/>
                <w:szCs w:val="20"/>
                <w:color w:val="auto"/>
              </w:rPr>
            </w:pPr>
            <w:r>
              <w:rPr>
                <w:rFonts w:ascii="Arial" w:cs="Arial" w:eastAsia="Arial" w:hAnsi="Arial"/>
                <w:sz w:val="16"/>
                <w:szCs w:val="16"/>
                <w:color w:val="auto"/>
              </w:rPr>
              <w:t>important to advancing business objectives.</w:t>
            </w:r>
          </w:p>
        </w:tc>
        <w:tc>
          <w:tcPr>
            <w:tcW w:w="20" w:type="dxa"/>
            <w:vAlign w:val="bottom"/>
            <w:shd w:val="clear" w:color="auto" w:fill="ACACAC"/>
          </w:tcPr>
          <w:p>
            <w:pPr>
              <w:spacing w:after="0"/>
              <w:rPr>
                <w:sz w:val="16"/>
                <w:szCs w:val="16"/>
                <w:color w:val="auto"/>
              </w:rPr>
            </w:pPr>
          </w:p>
        </w:tc>
      </w:tr>
      <w:tr>
        <w:trPr>
          <w:trHeight w:val="189"/>
        </w:trPr>
        <w:tc>
          <w:tcPr>
            <w:tcW w:w="2560" w:type="dxa"/>
            <w:vAlign w:val="bottom"/>
            <w:shd w:val="clear" w:color="auto" w:fill="ACACAC"/>
          </w:tcPr>
          <w:p>
            <w:pPr>
              <w:spacing w:after="0"/>
              <w:rPr>
                <w:sz w:val="16"/>
                <w:szCs w:val="16"/>
                <w:color w:val="auto"/>
              </w:rPr>
            </w:pPr>
          </w:p>
        </w:tc>
        <w:tc>
          <w:tcPr>
            <w:tcW w:w="8080" w:type="dxa"/>
            <w:vAlign w:val="bottom"/>
          </w:tcPr>
          <w:p>
            <w:pPr>
              <w:ind w:left="240"/>
              <w:spacing w:after="0"/>
              <w:rPr>
                <w:sz w:val="20"/>
                <w:szCs w:val="20"/>
                <w:color w:val="auto"/>
              </w:rPr>
            </w:pPr>
            <w:r>
              <w:rPr>
                <w:rFonts w:ascii="Arial" w:cs="Arial" w:eastAsia="Arial" w:hAnsi="Arial"/>
                <w:sz w:val="16"/>
                <w:szCs w:val="16"/>
                <w:color w:val="auto"/>
              </w:rPr>
              <w:t>Pursuant to the terms of his employment agreement, Mr. Clark's incentive compensation is tied 100% to the</w:t>
            </w:r>
          </w:p>
        </w:tc>
        <w:tc>
          <w:tcPr>
            <w:tcW w:w="20" w:type="dxa"/>
            <w:vAlign w:val="bottom"/>
            <w:shd w:val="clear" w:color="auto" w:fill="ACACAC"/>
          </w:tcPr>
          <w:p>
            <w:pPr>
              <w:spacing w:after="0"/>
              <w:rPr>
                <w:sz w:val="16"/>
                <w:szCs w:val="16"/>
                <w:color w:val="auto"/>
              </w:rPr>
            </w:pPr>
          </w:p>
        </w:tc>
      </w:tr>
      <w:tr>
        <w:trPr>
          <w:trHeight w:val="189"/>
        </w:trPr>
        <w:tc>
          <w:tcPr>
            <w:tcW w:w="2560" w:type="dxa"/>
            <w:vAlign w:val="bottom"/>
            <w:shd w:val="clear" w:color="auto" w:fill="ACACAC"/>
          </w:tcPr>
          <w:p>
            <w:pPr>
              <w:spacing w:after="0"/>
              <w:rPr>
                <w:sz w:val="16"/>
                <w:szCs w:val="16"/>
                <w:color w:val="auto"/>
              </w:rPr>
            </w:pPr>
          </w:p>
        </w:tc>
        <w:tc>
          <w:tcPr>
            <w:tcW w:w="8080" w:type="dxa"/>
            <w:vAlign w:val="bottom"/>
          </w:tcPr>
          <w:p>
            <w:pPr>
              <w:ind w:left="20"/>
              <w:spacing w:after="0" w:line="189" w:lineRule="exact"/>
              <w:rPr>
                <w:sz w:val="20"/>
                <w:szCs w:val="20"/>
                <w:color w:val="auto"/>
              </w:rPr>
            </w:pPr>
            <w:r>
              <w:rPr>
                <w:rFonts w:ascii="Arial" w:cs="Arial" w:eastAsia="Arial" w:hAnsi="Arial"/>
                <w:sz w:val="21"/>
                <w:szCs w:val="21"/>
                <w:color w:val="auto"/>
                <w:vertAlign w:val="subscript"/>
              </w:rPr>
              <w:t>Ÿ</w:t>
            </w:r>
            <w:r>
              <w:rPr>
                <w:rFonts w:ascii="Arial" w:cs="Arial" w:eastAsia="Arial" w:hAnsi="Arial"/>
                <w:sz w:val="12"/>
                <w:szCs w:val="12"/>
                <w:color w:val="auto"/>
              </w:rPr>
              <w:t xml:space="preserve">  pretax net income of the Grand Design business that is part of our Towables segment.</w:t>
            </w:r>
          </w:p>
        </w:tc>
        <w:tc>
          <w:tcPr>
            <w:tcW w:w="20" w:type="dxa"/>
            <w:vAlign w:val="bottom"/>
            <w:shd w:val="clear" w:color="auto" w:fill="ACACAC"/>
          </w:tcPr>
          <w:p>
            <w:pPr>
              <w:spacing w:after="0"/>
              <w:rPr>
                <w:sz w:val="16"/>
                <w:szCs w:val="16"/>
                <w:color w:val="auto"/>
              </w:rPr>
            </w:pPr>
          </w:p>
        </w:tc>
      </w:tr>
      <w:tr>
        <w:trPr>
          <w:trHeight w:val="195"/>
        </w:trPr>
        <w:tc>
          <w:tcPr>
            <w:tcW w:w="2560" w:type="dxa"/>
            <w:vAlign w:val="bottom"/>
            <w:shd w:val="clear" w:color="auto" w:fill="ACACAC"/>
          </w:tcPr>
          <w:p>
            <w:pPr>
              <w:spacing w:after="0"/>
              <w:rPr>
                <w:sz w:val="16"/>
                <w:szCs w:val="16"/>
                <w:color w:val="auto"/>
              </w:rPr>
            </w:pPr>
          </w:p>
        </w:tc>
        <w:tc>
          <w:tcPr>
            <w:tcW w:w="8080" w:type="dxa"/>
            <w:vAlign w:val="bottom"/>
          </w:tcPr>
          <w:p>
            <w:pPr>
              <w:ind w:left="240"/>
              <w:spacing w:after="0"/>
              <w:rPr>
                <w:sz w:val="20"/>
                <w:szCs w:val="20"/>
                <w:color w:val="auto"/>
              </w:rPr>
            </w:pPr>
            <w:r>
              <w:rPr>
                <w:rFonts w:ascii="Arial" w:cs="Arial" w:eastAsia="Arial" w:hAnsi="Arial"/>
                <w:sz w:val="16"/>
                <w:szCs w:val="16"/>
                <w:color w:val="auto"/>
              </w:rPr>
              <w:t>In addition, vesting for the Fiscal 2016-2018 LTIP awards was tied 100% to our three-year average ROE.</w:t>
            </w:r>
          </w:p>
        </w:tc>
        <w:tc>
          <w:tcPr>
            <w:tcW w:w="20" w:type="dxa"/>
            <w:vAlign w:val="bottom"/>
            <w:shd w:val="clear" w:color="auto" w:fill="ACACAC"/>
          </w:tcPr>
          <w:p>
            <w:pPr>
              <w:spacing w:after="0"/>
              <w:rPr>
                <w:sz w:val="16"/>
                <w:szCs w:val="16"/>
                <w:color w:val="auto"/>
              </w:rPr>
            </w:pPr>
          </w:p>
        </w:tc>
      </w:tr>
      <w:tr>
        <w:trPr>
          <w:trHeight w:val="500"/>
        </w:trPr>
        <w:tc>
          <w:tcPr>
            <w:tcW w:w="2560" w:type="dxa"/>
            <w:vAlign w:val="bottom"/>
            <w:shd w:val="clear" w:color="auto" w:fill="ACACAC"/>
          </w:tcPr>
          <w:p>
            <w:pPr>
              <w:spacing w:after="0"/>
              <w:rPr>
                <w:sz w:val="24"/>
                <w:szCs w:val="24"/>
                <w:color w:val="auto"/>
              </w:rPr>
            </w:pPr>
          </w:p>
        </w:tc>
        <w:tc>
          <w:tcPr>
            <w:tcW w:w="8080" w:type="dxa"/>
            <w:vAlign w:val="bottom"/>
          </w:tcPr>
          <w:p>
            <w:pPr>
              <w:ind w:left="20"/>
              <w:spacing w:after="0"/>
              <w:rPr>
                <w:sz w:val="20"/>
                <w:szCs w:val="20"/>
                <w:color w:val="auto"/>
              </w:rPr>
            </w:pPr>
            <w:r>
              <w:rPr>
                <w:rFonts w:ascii="Arial" w:cs="Arial" w:eastAsia="Arial" w:hAnsi="Arial"/>
                <w:sz w:val="16"/>
                <w:szCs w:val="16"/>
                <w:color w:val="auto"/>
              </w:rPr>
              <w:t>Ÿ</w:t>
            </w:r>
          </w:p>
        </w:tc>
        <w:tc>
          <w:tcPr>
            <w:tcW w:w="20" w:type="dxa"/>
            <w:vAlign w:val="bottom"/>
            <w:shd w:val="clear" w:color="auto" w:fill="ACACAC"/>
          </w:tcPr>
          <w:p>
            <w:pPr>
              <w:spacing w:after="0"/>
              <w:rPr>
                <w:sz w:val="24"/>
                <w:szCs w:val="24"/>
                <w:color w:val="auto"/>
              </w:rPr>
            </w:pPr>
          </w:p>
        </w:tc>
      </w:tr>
      <w:tr>
        <w:trPr>
          <w:trHeight w:val="236"/>
        </w:trPr>
        <w:tc>
          <w:tcPr>
            <w:tcW w:w="2560" w:type="dxa"/>
            <w:vAlign w:val="bottom"/>
            <w:tcBorders>
              <w:bottom w:val="single" w:sz="8" w:color="ACACAC"/>
            </w:tcBorders>
            <w:shd w:val="clear" w:color="auto" w:fill="ACACAC"/>
          </w:tcPr>
          <w:p>
            <w:pPr>
              <w:spacing w:after="0"/>
              <w:rPr>
                <w:sz w:val="20"/>
                <w:szCs w:val="20"/>
                <w:color w:val="auto"/>
              </w:rPr>
            </w:pPr>
          </w:p>
        </w:tc>
        <w:tc>
          <w:tcPr>
            <w:tcW w:w="8080" w:type="dxa"/>
            <w:vAlign w:val="bottom"/>
            <w:tcBorders>
              <w:bottom w:val="single" w:sz="8" w:color="ACACAC"/>
            </w:tcBorders>
          </w:tcPr>
          <w:p>
            <w:pPr>
              <w:spacing w:after="0"/>
              <w:rPr>
                <w:sz w:val="20"/>
                <w:szCs w:val="20"/>
                <w:color w:val="auto"/>
              </w:rPr>
            </w:pPr>
          </w:p>
        </w:tc>
        <w:tc>
          <w:tcPr>
            <w:tcW w:w="20" w:type="dxa"/>
            <w:vAlign w:val="bottom"/>
            <w:tcBorders>
              <w:bottom w:val="single" w:sz="8" w:color="ACACAC"/>
            </w:tcBorders>
            <w:shd w:val="clear" w:color="auto" w:fill="ACACAC"/>
          </w:tcPr>
          <w:p>
            <w:pPr>
              <w:spacing w:after="0"/>
              <w:rPr>
                <w:sz w:val="20"/>
                <w:szCs w:val="20"/>
                <w:color w:val="auto"/>
              </w:rPr>
            </w:pPr>
          </w:p>
        </w:tc>
      </w:tr>
      <w:tr>
        <w:trPr>
          <w:trHeight w:val="211"/>
        </w:trPr>
        <w:tc>
          <w:tcPr>
            <w:tcW w:w="2560" w:type="dxa"/>
            <w:vAlign w:val="bottom"/>
            <w:shd w:val="clear" w:color="auto" w:fill="ACACAC"/>
          </w:tcPr>
          <w:p>
            <w:pPr>
              <w:ind w:left="20"/>
              <w:spacing w:after="0"/>
              <w:rPr>
                <w:sz w:val="20"/>
                <w:szCs w:val="20"/>
                <w:color w:val="auto"/>
              </w:rPr>
            </w:pPr>
            <w:r>
              <w:rPr>
                <w:rFonts w:ascii="Arial" w:cs="Arial" w:eastAsia="Arial" w:hAnsi="Arial"/>
                <w:sz w:val="16"/>
                <w:szCs w:val="16"/>
                <w:color w:val="auto"/>
              </w:rPr>
              <w:t>Total Shareholder Returns</w:t>
            </w:r>
          </w:p>
        </w:tc>
        <w:tc>
          <w:tcPr>
            <w:tcW w:w="8080" w:type="dxa"/>
            <w:vAlign w:val="bottom"/>
          </w:tcPr>
          <w:p>
            <w:pPr>
              <w:ind w:left="20"/>
              <w:spacing w:after="0"/>
              <w:rPr>
                <w:sz w:val="20"/>
                <w:szCs w:val="20"/>
                <w:color w:val="auto"/>
              </w:rPr>
            </w:pPr>
            <w:r>
              <w:rPr>
                <w:rFonts w:ascii="Arial" w:cs="Arial" w:eastAsia="Arial" w:hAnsi="Arial"/>
                <w:sz w:val="16"/>
                <w:szCs w:val="16"/>
                <w:color w:val="auto"/>
              </w:rPr>
              <w:t>Ÿ  With the exception of Mr. Clark, 46% of our NEO compensation on average was delivered in the form of</w:t>
            </w:r>
          </w:p>
        </w:tc>
        <w:tc>
          <w:tcPr>
            <w:tcW w:w="20" w:type="dxa"/>
            <w:vAlign w:val="bottom"/>
            <w:shd w:val="clear" w:color="auto" w:fill="ACACAC"/>
          </w:tcPr>
          <w:p>
            <w:pPr>
              <w:spacing w:after="0"/>
              <w:rPr>
                <w:sz w:val="18"/>
                <w:szCs w:val="18"/>
                <w:color w:val="auto"/>
              </w:rPr>
            </w:pPr>
          </w:p>
        </w:tc>
      </w:tr>
      <w:tr>
        <w:trPr>
          <w:trHeight w:val="189"/>
        </w:trPr>
        <w:tc>
          <w:tcPr>
            <w:tcW w:w="2560" w:type="dxa"/>
            <w:vAlign w:val="bottom"/>
            <w:shd w:val="clear" w:color="auto" w:fill="ACACAC"/>
          </w:tcPr>
          <w:p>
            <w:pPr>
              <w:spacing w:after="0"/>
              <w:rPr>
                <w:sz w:val="16"/>
                <w:szCs w:val="16"/>
                <w:color w:val="auto"/>
              </w:rPr>
            </w:pPr>
          </w:p>
        </w:tc>
        <w:tc>
          <w:tcPr>
            <w:tcW w:w="8080" w:type="dxa"/>
            <w:vAlign w:val="bottom"/>
          </w:tcPr>
          <w:p>
            <w:pPr>
              <w:ind w:left="240"/>
              <w:spacing w:after="0"/>
              <w:rPr>
                <w:sz w:val="20"/>
                <w:szCs w:val="20"/>
                <w:color w:val="auto"/>
              </w:rPr>
            </w:pPr>
            <w:r>
              <w:rPr>
                <w:rFonts w:ascii="Arial" w:cs="Arial" w:eastAsia="Arial" w:hAnsi="Arial"/>
                <w:sz w:val="16"/>
                <w:szCs w:val="16"/>
                <w:color w:val="auto"/>
              </w:rPr>
              <w:t>company equity awards (57% in the case of our CEO).</w:t>
            </w:r>
          </w:p>
        </w:tc>
        <w:tc>
          <w:tcPr>
            <w:tcW w:w="20" w:type="dxa"/>
            <w:vAlign w:val="bottom"/>
            <w:shd w:val="clear" w:color="auto" w:fill="ACACAC"/>
          </w:tcPr>
          <w:p>
            <w:pPr>
              <w:spacing w:after="0"/>
              <w:rPr>
                <w:sz w:val="16"/>
                <w:szCs w:val="16"/>
                <w:color w:val="auto"/>
              </w:rPr>
            </w:pPr>
          </w:p>
        </w:tc>
      </w:tr>
      <w:tr>
        <w:trPr>
          <w:trHeight w:val="189"/>
        </w:trPr>
        <w:tc>
          <w:tcPr>
            <w:tcW w:w="2560" w:type="dxa"/>
            <w:vAlign w:val="bottom"/>
            <w:shd w:val="clear" w:color="auto" w:fill="ACACAC"/>
          </w:tcPr>
          <w:p>
            <w:pPr>
              <w:spacing w:after="0"/>
              <w:rPr>
                <w:sz w:val="16"/>
                <w:szCs w:val="16"/>
                <w:color w:val="auto"/>
              </w:rPr>
            </w:pPr>
          </w:p>
        </w:tc>
        <w:tc>
          <w:tcPr>
            <w:tcW w:w="8080" w:type="dxa"/>
            <w:vAlign w:val="bottom"/>
          </w:tcPr>
          <w:p>
            <w:pPr>
              <w:ind w:left="20"/>
              <w:spacing w:after="0"/>
              <w:rPr>
                <w:sz w:val="20"/>
                <w:szCs w:val="20"/>
                <w:color w:val="auto"/>
              </w:rPr>
            </w:pPr>
            <w:r>
              <w:rPr>
                <w:rFonts w:ascii="Arial" w:cs="Arial" w:eastAsia="Arial" w:hAnsi="Arial"/>
                <w:sz w:val="16"/>
                <w:szCs w:val="16"/>
                <w:color w:val="auto"/>
              </w:rPr>
              <w:t>Ÿ  25% of the annual equity grants made in Fiscal 2018 were in the form of stock options, which only have</w:t>
            </w:r>
          </w:p>
        </w:tc>
        <w:tc>
          <w:tcPr>
            <w:tcW w:w="20" w:type="dxa"/>
            <w:vAlign w:val="bottom"/>
            <w:shd w:val="clear" w:color="auto" w:fill="ACACAC"/>
          </w:tcPr>
          <w:p>
            <w:pPr>
              <w:spacing w:after="0"/>
              <w:rPr>
                <w:sz w:val="16"/>
                <w:szCs w:val="16"/>
                <w:color w:val="auto"/>
              </w:rPr>
            </w:pPr>
          </w:p>
        </w:tc>
      </w:tr>
      <w:tr>
        <w:trPr>
          <w:trHeight w:val="208"/>
        </w:trPr>
        <w:tc>
          <w:tcPr>
            <w:tcW w:w="2560" w:type="dxa"/>
            <w:vAlign w:val="bottom"/>
            <w:shd w:val="clear" w:color="auto" w:fill="ACACAC"/>
          </w:tcPr>
          <w:p>
            <w:pPr>
              <w:spacing w:after="0"/>
              <w:rPr>
                <w:sz w:val="18"/>
                <w:szCs w:val="18"/>
                <w:color w:val="auto"/>
              </w:rPr>
            </w:pPr>
          </w:p>
        </w:tc>
        <w:tc>
          <w:tcPr>
            <w:tcW w:w="8080" w:type="dxa"/>
            <w:vAlign w:val="bottom"/>
            <w:tcBorders>
              <w:bottom w:val="single" w:sz="8" w:color="ACACAC"/>
            </w:tcBorders>
          </w:tcPr>
          <w:p>
            <w:pPr>
              <w:ind w:left="240"/>
              <w:spacing w:after="0"/>
              <w:rPr>
                <w:sz w:val="20"/>
                <w:szCs w:val="20"/>
                <w:color w:val="auto"/>
              </w:rPr>
            </w:pPr>
            <w:r>
              <w:rPr>
                <w:rFonts w:ascii="Arial" w:cs="Arial" w:eastAsia="Arial" w:hAnsi="Arial"/>
                <w:sz w:val="16"/>
                <w:szCs w:val="16"/>
                <w:color w:val="auto"/>
              </w:rPr>
              <w:t>value to the executive if the value of the Company grows for our shareholders.</w:t>
            </w:r>
          </w:p>
        </w:tc>
        <w:tc>
          <w:tcPr>
            <w:tcW w:w="20" w:type="dxa"/>
            <w:vAlign w:val="bottom"/>
            <w:tcBorders>
              <w:bottom w:val="single" w:sz="8" w:color="ACACAC"/>
            </w:tcBorders>
            <w:shd w:val="clear" w:color="auto" w:fill="ACACAC"/>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254000</wp:posOffset>
            </wp:positionH>
            <wp:positionV relativeFrom="paragraph">
              <wp:posOffset>-530860</wp:posOffset>
            </wp:positionV>
            <wp:extent cx="1629410" cy="88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1629410" cy="8890"/>
                    </a:xfrm>
                    <a:prstGeom prst="rect">
                      <a:avLst/>
                    </a:prstGeom>
                    <a:noFill/>
                  </pic:spPr>
                </pic:pic>
              </a:graphicData>
            </a:graphic>
          </wp:anchor>
        </w:drawing>
      </w:r>
    </w:p>
    <w:p>
      <w:pPr>
        <w:spacing w:after="0" w:line="171" w:lineRule="exact"/>
        <w:rPr>
          <w:sz w:val="20"/>
          <w:szCs w:val="20"/>
          <w:color w:val="auto"/>
        </w:rPr>
      </w:pPr>
    </w:p>
    <w:p>
      <w:pPr>
        <w:ind w:right="120"/>
        <w:spacing w:after="0" w:line="251" w:lineRule="auto"/>
        <w:rPr>
          <w:sz w:val="20"/>
          <w:szCs w:val="20"/>
          <w:color w:val="auto"/>
        </w:rPr>
      </w:pPr>
      <w:r>
        <w:rPr>
          <w:rFonts w:ascii="Arial" w:cs="Arial" w:eastAsia="Arial" w:hAnsi="Arial"/>
          <w:sz w:val="16"/>
          <w:szCs w:val="16"/>
          <w:color w:val="auto"/>
        </w:rPr>
        <w:t>The Company had strong financial performance for Fiscal 2018 as shown in the "Fiscal 2018 Performance Highlights" table on page 16. Based on our performance as measured against predefined goals, the 2016-2018 LTIP paid out at 150% of target, and the Fiscal 2018 annual incentive plan paid out as follows for all NEOs, except for Mr. Clark: 130.1% of target for Mr. Happe, 126.6% of target for Mr. Hughes, 130.1% of target for Ms. Bogart, and 56.3% of target for Mr. Hazelton.</w:t>
      </w:r>
    </w:p>
    <w:p>
      <w:pPr>
        <w:spacing w:after="0" w:line="176" w:lineRule="exact"/>
        <w:rPr>
          <w:sz w:val="20"/>
          <w:szCs w:val="20"/>
          <w:color w:val="auto"/>
        </w:rPr>
      </w:pPr>
    </w:p>
    <w:p>
      <w:pPr>
        <w:ind w:right="240"/>
        <w:spacing w:after="0" w:line="260" w:lineRule="auto"/>
        <w:rPr>
          <w:sz w:val="20"/>
          <w:szCs w:val="20"/>
          <w:color w:val="auto"/>
        </w:rPr>
      </w:pPr>
      <w:r>
        <w:rPr>
          <w:rFonts w:ascii="Arial" w:cs="Arial" w:eastAsia="Arial" w:hAnsi="Arial"/>
          <w:sz w:val="16"/>
          <w:szCs w:val="16"/>
          <w:color w:val="auto"/>
        </w:rPr>
        <w:t>Mr. Clark received a cash incentive award of $4,574,000 in Fiscal 2018, which is a 69% increase compared to 2017, based on the strong performance of Grand Design during 2018. This incentive was paid in four quarterly installments.</w:t>
      </w:r>
    </w:p>
    <w:p>
      <w:pPr>
        <w:spacing w:after="0" w:line="201" w:lineRule="exact"/>
        <w:rPr>
          <w:sz w:val="20"/>
          <w:szCs w:val="20"/>
          <w:color w:val="auto"/>
        </w:rPr>
      </w:pPr>
    </w:p>
    <w:p>
      <w:pPr>
        <w:spacing w:after="0"/>
        <w:rPr>
          <w:sz w:val="20"/>
          <w:szCs w:val="20"/>
          <w:color w:val="auto"/>
        </w:rPr>
      </w:pPr>
      <w:r>
        <w:rPr>
          <w:rFonts w:ascii="Arial" w:cs="Arial" w:eastAsia="Arial" w:hAnsi="Arial"/>
          <w:sz w:val="22"/>
          <w:szCs w:val="22"/>
          <w:color w:val="828282"/>
        </w:rPr>
        <w:t>Other Pay and Governance Practices</w:t>
      </w:r>
    </w:p>
    <w:p>
      <w:pPr>
        <w:spacing w:after="0" w:line="255" w:lineRule="exact"/>
        <w:rPr>
          <w:sz w:val="20"/>
          <w:szCs w:val="20"/>
          <w:color w:val="auto"/>
        </w:rPr>
      </w:pPr>
    </w:p>
    <w:p>
      <w:pPr>
        <w:spacing w:after="0" w:line="260" w:lineRule="auto"/>
        <w:rPr>
          <w:sz w:val="20"/>
          <w:szCs w:val="20"/>
          <w:color w:val="auto"/>
        </w:rPr>
      </w:pPr>
      <w:r>
        <w:rPr>
          <w:rFonts w:ascii="Arial" w:cs="Arial" w:eastAsia="Arial" w:hAnsi="Arial"/>
          <w:sz w:val="16"/>
          <w:szCs w:val="16"/>
          <w:color w:val="auto"/>
        </w:rPr>
        <w:t>The Company has adopted the following key programs, policies and practices to respond to evolving good governance practices in executive compensation and enhance the alignment of our executive compensation programs and shareholder interests: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279400</wp:posOffset>
            </wp:positionH>
            <wp:positionV relativeFrom="paragraph">
              <wp:posOffset>191770</wp:posOffset>
            </wp:positionV>
            <wp:extent cx="6715125" cy="253873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6715125" cy="2538730"/>
                    </a:xfrm>
                    <a:prstGeom prst="rect">
                      <a:avLst/>
                    </a:prstGeom>
                    <a:noFill/>
                  </pic:spPr>
                </pic:pic>
              </a:graphicData>
            </a:graphic>
          </wp:anchor>
        </w:drawing>
      </w:r>
    </w:p>
    <w:p>
      <w:pPr>
        <w:sectPr>
          <w:pgSz w:w="11900" w:h="16838" w:orient="portrait"/>
          <w:cols w:equalWidth="0" w:num="1">
            <w:col w:w="11160"/>
          </w:cols>
          <w:pgMar w:left="240" w:top="303" w:right="4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ind w:left="760"/>
        <w:spacing w:after="0"/>
        <w:rPr>
          <w:sz w:val="20"/>
          <w:szCs w:val="20"/>
          <w:color w:val="auto"/>
        </w:rPr>
      </w:pPr>
      <w:r>
        <w:rPr>
          <w:rFonts w:ascii="Arial" w:cs="Arial" w:eastAsia="Arial" w:hAnsi="Arial"/>
          <w:sz w:val="22"/>
          <w:szCs w:val="22"/>
          <w:color w:val="FFFFFF"/>
        </w:rPr>
        <w:t>What we do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ind w:left="500"/>
        <w:spacing w:after="0"/>
        <w:rPr>
          <w:sz w:val="20"/>
          <w:szCs w:val="20"/>
          <w:color w:val="auto"/>
        </w:rPr>
      </w:pPr>
      <w:r>
        <w:rPr>
          <w:rFonts w:ascii="Arial" w:cs="Arial" w:eastAsia="Arial" w:hAnsi="Arial"/>
          <w:sz w:val="21"/>
          <w:szCs w:val="21"/>
          <w:color w:val="FFFFFF"/>
        </w:rPr>
        <w:t>What we don't do</w:t>
      </w:r>
    </w:p>
    <w:p>
      <w:pPr>
        <w:spacing w:after="0" w:line="20" w:lineRule="exact"/>
        <w:rPr>
          <w:sz w:val="20"/>
          <w:szCs w:val="20"/>
          <w:color w:val="auto"/>
        </w:rPr>
      </w:pPr>
      <w:r>
        <w:rPr>
          <w:sz w:val="20"/>
          <w:szCs w:val="20"/>
          <w:color w:val="auto"/>
        </w:rPr>
        <w:br w:type="column"/>
      </w:r>
    </w:p>
    <w:p>
      <w:pPr>
        <w:spacing w:after="0" w:line="312" w:lineRule="exact"/>
        <w:rPr>
          <w:sz w:val="20"/>
          <w:szCs w:val="20"/>
          <w:color w:val="auto"/>
        </w:rPr>
      </w:pPr>
    </w:p>
    <w:p>
      <w:pPr>
        <w:ind w:left="3"/>
        <w:spacing w:after="0"/>
        <w:tabs>
          <w:tab w:leader="none" w:pos="303" w:val="left"/>
        </w:tabs>
        <w:rPr>
          <w:sz w:val="20"/>
          <w:szCs w:val="20"/>
          <w:color w:val="auto"/>
        </w:rPr>
      </w:pPr>
      <w:r>
        <w:rPr>
          <w:rFonts w:ascii="Arial" w:cs="Arial" w:eastAsia="Arial" w:hAnsi="Arial"/>
          <w:sz w:val="16"/>
          <w:szCs w:val="16"/>
          <w:color w:val="auto"/>
        </w:rPr>
        <w:t>ü</w:t>
      </w:r>
      <w:r>
        <w:rPr>
          <w:sz w:val="20"/>
          <w:szCs w:val="20"/>
          <w:color w:val="auto"/>
        </w:rPr>
        <w:tab/>
      </w:r>
      <w:r>
        <w:rPr>
          <w:rFonts w:ascii="Arial" w:cs="Arial" w:eastAsia="Arial" w:hAnsi="Arial"/>
          <w:sz w:val="16"/>
          <w:szCs w:val="16"/>
          <w:color w:val="auto"/>
        </w:rPr>
        <w:t>Tie the majority of target total compensation to performance</w:t>
      </w:r>
    </w:p>
    <w:p>
      <w:pPr>
        <w:spacing w:after="0" w:line="17" w:lineRule="exact"/>
        <w:rPr>
          <w:sz w:val="20"/>
          <w:szCs w:val="20"/>
          <w:color w:val="auto"/>
        </w:rPr>
      </w:pPr>
    </w:p>
    <w:p>
      <w:pPr>
        <w:ind w:left="3"/>
        <w:spacing w:after="0"/>
        <w:tabs>
          <w:tab w:leader="none" w:pos="303" w:val="left"/>
        </w:tabs>
        <w:rPr>
          <w:sz w:val="20"/>
          <w:szCs w:val="20"/>
          <w:color w:val="auto"/>
        </w:rPr>
      </w:pPr>
      <w:r>
        <w:rPr>
          <w:rFonts w:ascii="Arial" w:cs="Arial" w:eastAsia="Arial" w:hAnsi="Arial"/>
          <w:sz w:val="16"/>
          <w:szCs w:val="16"/>
          <w:color w:val="auto"/>
        </w:rPr>
        <w:t>ü</w:t>
      </w:r>
      <w:r>
        <w:rPr>
          <w:sz w:val="20"/>
          <w:szCs w:val="20"/>
          <w:color w:val="auto"/>
        </w:rPr>
        <w:tab/>
      </w:r>
      <w:r>
        <w:rPr>
          <w:rFonts w:ascii="Arial" w:cs="Arial" w:eastAsia="Arial" w:hAnsi="Arial"/>
          <w:sz w:val="16"/>
          <w:szCs w:val="16"/>
          <w:color w:val="auto"/>
        </w:rPr>
        <w:t>Provide appropriate mix of fixed and variable pay to reward company, line of business, and individual performance</w:t>
      </w:r>
    </w:p>
    <w:p>
      <w:pPr>
        <w:spacing w:after="0" w:line="5" w:lineRule="exact"/>
        <w:rPr>
          <w:sz w:val="20"/>
          <w:szCs w:val="20"/>
          <w:color w:val="auto"/>
        </w:rPr>
      </w:pPr>
    </w:p>
    <w:tbl>
      <w:tblPr>
        <w:tblLayout w:type="fixed"/>
        <w:tblInd w:w="3" w:type="dxa"/>
        <w:tblCellMar>
          <w:top w:w="0" w:type="dxa"/>
          <w:left w:w="0" w:type="dxa"/>
          <w:bottom w:w="0" w:type="dxa"/>
          <w:right w:w="0" w:type="dxa"/>
        </w:tblCellMar>
      </w:tblPr>
      <w:tr>
        <w:trPr>
          <w:trHeight w:val="189"/>
        </w:trPr>
        <w:tc>
          <w:tcPr>
            <w:tcW w:w="200" w:type="dxa"/>
            <w:vAlign w:val="bottom"/>
          </w:tcPr>
          <w:p>
            <w:pPr>
              <w:spacing w:after="0"/>
              <w:rPr>
                <w:sz w:val="16"/>
                <w:szCs w:val="16"/>
                <w:color w:val="auto"/>
              </w:rPr>
            </w:pPr>
          </w:p>
        </w:tc>
        <w:tc>
          <w:tcPr>
            <w:tcW w:w="8440" w:type="dxa"/>
            <w:vAlign w:val="bottom"/>
          </w:tcPr>
          <w:p>
            <w:pPr>
              <w:ind w:left="120"/>
              <w:spacing w:after="0"/>
              <w:rPr>
                <w:sz w:val="20"/>
                <w:szCs w:val="20"/>
                <w:color w:val="auto"/>
              </w:rPr>
            </w:pPr>
            <w:r>
              <w:rPr>
                <w:rFonts w:ascii="Arial" w:cs="Arial" w:eastAsia="Arial" w:hAnsi="Arial"/>
                <w:sz w:val="16"/>
                <w:szCs w:val="16"/>
                <w:color w:val="auto"/>
              </w:rPr>
              <w:t>Align executive interests with the interests of the shareholders through equity-based awards</w:t>
            </w:r>
          </w:p>
        </w:tc>
        <w:tc>
          <w:tcPr>
            <w:tcW w:w="0" w:type="dxa"/>
            <w:vAlign w:val="bottom"/>
          </w:tcPr>
          <w:p>
            <w:pPr>
              <w:spacing w:after="0"/>
              <w:rPr>
                <w:sz w:val="1"/>
                <w:szCs w:val="1"/>
                <w:color w:val="auto"/>
              </w:rPr>
            </w:pPr>
          </w:p>
        </w:tc>
      </w:tr>
      <w:tr>
        <w:trPr>
          <w:trHeight w:val="189"/>
        </w:trPr>
        <w:tc>
          <w:tcPr>
            <w:tcW w:w="200" w:type="dxa"/>
            <w:vAlign w:val="bottom"/>
          </w:tcPr>
          <w:p>
            <w:pPr>
              <w:spacing w:after="0"/>
              <w:rPr>
                <w:sz w:val="20"/>
                <w:szCs w:val="20"/>
                <w:color w:val="auto"/>
              </w:rPr>
            </w:pPr>
            <w:r>
              <w:rPr>
                <w:rFonts w:ascii="Arial" w:cs="Arial" w:eastAsia="Arial" w:hAnsi="Arial"/>
                <w:sz w:val="16"/>
                <w:szCs w:val="16"/>
                <w:color w:val="auto"/>
              </w:rPr>
              <w:t>ü</w:t>
            </w:r>
          </w:p>
        </w:tc>
        <w:tc>
          <w:tcPr>
            <w:tcW w:w="8440" w:type="dxa"/>
            <w:vAlign w:val="bottom"/>
          </w:tcPr>
          <w:p>
            <w:pPr>
              <w:ind w:left="120"/>
              <w:spacing w:after="0"/>
              <w:rPr>
                <w:sz w:val="20"/>
                <w:szCs w:val="20"/>
                <w:color w:val="auto"/>
              </w:rPr>
            </w:pPr>
            <w:r>
              <w:rPr>
                <w:rFonts w:ascii="Arial" w:cs="Arial" w:eastAsia="Arial" w:hAnsi="Arial"/>
                <w:sz w:val="16"/>
                <w:szCs w:val="16"/>
                <w:color w:val="auto"/>
              </w:rPr>
              <w:t>Include "clawback" provisions for each of the annual and long-term incentive programs, which provide for the</w:t>
            </w:r>
          </w:p>
        </w:tc>
        <w:tc>
          <w:tcPr>
            <w:tcW w:w="0" w:type="dxa"/>
            <w:vAlign w:val="bottom"/>
          </w:tcPr>
          <w:p>
            <w:pPr>
              <w:spacing w:after="0"/>
              <w:rPr>
                <w:sz w:val="1"/>
                <w:szCs w:val="1"/>
                <w:color w:val="auto"/>
              </w:rPr>
            </w:pPr>
          </w:p>
        </w:tc>
      </w:tr>
      <w:tr>
        <w:trPr>
          <w:trHeight w:val="189"/>
        </w:trPr>
        <w:tc>
          <w:tcPr>
            <w:tcW w:w="200" w:type="dxa"/>
            <w:vAlign w:val="bottom"/>
          </w:tcPr>
          <w:p>
            <w:pPr>
              <w:spacing w:after="0"/>
              <w:rPr>
                <w:sz w:val="20"/>
                <w:szCs w:val="20"/>
                <w:color w:val="auto"/>
              </w:rPr>
            </w:pPr>
            <w:r>
              <w:rPr>
                <w:rFonts w:ascii="Arial" w:cs="Arial" w:eastAsia="Arial" w:hAnsi="Arial"/>
                <w:sz w:val="16"/>
                <w:szCs w:val="16"/>
                <w:color w:val="auto"/>
              </w:rPr>
              <w:t>ü</w:t>
            </w:r>
          </w:p>
        </w:tc>
        <w:tc>
          <w:tcPr>
            <w:tcW w:w="8440" w:type="dxa"/>
            <w:vAlign w:val="bottom"/>
          </w:tcPr>
          <w:p>
            <w:pPr>
              <w:ind w:left="120"/>
              <w:spacing w:after="0"/>
              <w:rPr>
                <w:sz w:val="20"/>
                <w:szCs w:val="20"/>
                <w:color w:val="auto"/>
              </w:rPr>
            </w:pPr>
            <w:r>
              <w:rPr>
                <w:rFonts w:ascii="Arial" w:cs="Arial" w:eastAsia="Arial" w:hAnsi="Arial"/>
                <w:sz w:val="16"/>
                <w:szCs w:val="16"/>
                <w:color w:val="auto"/>
              </w:rPr>
              <w:t>recoupment of incentive compensation payouts following a restatement due to material noncompliance with financial</w:t>
            </w:r>
          </w:p>
        </w:tc>
        <w:tc>
          <w:tcPr>
            <w:tcW w:w="0" w:type="dxa"/>
            <w:vAlign w:val="bottom"/>
          </w:tcPr>
          <w:p>
            <w:pPr>
              <w:spacing w:after="0"/>
              <w:rPr>
                <w:sz w:val="1"/>
                <w:szCs w:val="1"/>
                <w:color w:val="auto"/>
              </w:rPr>
            </w:pPr>
          </w:p>
        </w:tc>
      </w:tr>
      <w:tr>
        <w:trPr>
          <w:trHeight w:val="189"/>
        </w:trPr>
        <w:tc>
          <w:tcPr>
            <w:tcW w:w="200" w:type="dxa"/>
            <w:vAlign w:val="bottom"/>
          </w:tcPr>
          <w:p>
            <w:pPr>
              <w:spacing w:after="0"/>
              <w:rPr>
                <w:sz w:val="16"/>
                <w:szCs w:val="16"/>
                <w:color w:val="auto"/>
              </w:rPr>
            </w:pPr>
          </w:p>
        </w:tc>
        <w:tc>
          <w:tcPr>
            <w:tcW w:w="8440" w:type="dxa"/>
            <w:vAlign w:val="bottom"/>
          </w:tcPr>
          <w:p>
            <w:pPr>
              <w:ind w:left="120"/>
              <w:spacing w:after="0"/>
              <w:rPr>
                <w:sz w:val="20"/>
                <w:szCs w:val="20"/>
                <w:color w:val="auto"/>
              </w:rPr>
            </w:pPr>
            <w:r>
              <w:rPr>
                <w:rFonts w:ascii="Arial" w:cs="Arial" w:eastAsia="Arial" w:hAnsi="Arial"/>
                <w:sz w:val="16"/>
                <w:szCs w:val="16"/>
                <w:color w:val="auto"/>
              </w:rPr>
              <w:t>reporting requirements</w:t>
            </w:r>
          </w:p>
        </w:tc>
        <w:tc>
          <w:tcPr>
            <w:tcW w:w="0" w:type="dxa"/>
            <w:vAlign w:val="bottom"/>
          </w:tcPr>
          <w:p>
            <w:pPr>
              <w:spacing w:after="0"/>
              <w:rPr>
                <w:sz w:val="1"/>
                <w:szCs w:val="1"/>
                <w:color w:val="auto"/>
              </w:rPr>
            </w:pPr>
          </w:p>
        </w:tc>
      </w:tr>
      <w:tr>
        <w:trPr>
          <w:trHeight w:val="189"/>
        </w:trPr>
        <w:tc>
          <w:tcPr>
            <w:tcW w:w="200" w:type="dxa"/>
            <w:vAlign w:val="bottom"/>
          </w:tcPr>
          <w:p>
            <w:pPr>
              <w:spacing w:after="0"/>
              <w:rPr>
                <w:sz w:val="16"/>
                <w:szCs w:val="16"/>
                <w:color w:val="auto"/>
              </w:rPr>
            </w:pPr>
          </w:p>
        </w:tc>
        <w:tc>
          <w:tcPr>
            <w:tcW w:w="8440" w:type="dxa"/>
            <w:vAlign w:val="bottom"/>
          </w:tcPr>
          <w:p>
            <w:pPr>
              <w:ind w:left="120"/>
              <w:spacing w:after="0"/>
              <w:rPr>
                <w:sz w:val="20"/>
                <w:szCs w:val="20"/>
                <w:color w:val="auto"/>
              </w:rPr>
            </w:pPr>
            <w:r>
              <w:rPr>
                <w:rFonts w:ascii="Arial" w:cs="Arial" w:eastAsia="Arial" w:hAnsi="Arial"/>
                <w:sz w:val="16"/>
                <w:szCs w:val="16"/>
                <w:color w:val="auto"/>
              </w:rPr>
              <w:t>Align our performance goals and measures with our strategy and operating plan</w:t>
            </w:r>
          </w:p>
        </w:tc>
        <w:tc>
          <w:tcPr>
            <w:tcW w:w="0" w:type="dxa"/>
            <w:vAlign w:val="bottom"/>
          </w:tcPr>
          <w:p>
            <w:pPr>
              <w:spacing w:after="0"/>
              <w:rPr>
                <w:sz w:val="1"/>
                <w:szCs w:val="1"/>
                <w:color w:val="auto"/>
              </w:rPr>
            </w:pPr>
          </w:p>
        </w:tc>
      </w:tr>
      <w:tr>
        <w:trPr>
          <w:trHeight w:val="189"/>
        </w:trPr>
        <w:tc>
          <w:tcPr>
            <w:tcW w:w="200" w:type="dxa"/>
            <w:vAlign w:val="bottom"/>
            <w:vMerge w:val="restart"/>
          </w:tcPr>
          <w:p>
            <w:pPr>
              <w:spacing w:after="0"/>
              <w:rPr>
                <w:sz w:val="20"/>
                <w:szCs w:val="20"/>
                <w:color w:val="auto"/>
              </w:rPr>
            </w:pPr>
            <w:r>
              <w:rPr>
                <w:rFonts w:ascii="Arial" w:cs="Arial" w:eastAsia="Arial" w:hAnsi="Arial"/>
                <w:sz w:val="16"/>
                <w:szCs w:val="16"/>
                <w:color w:val="auto"/>
              </w:rPr>
              <w:t>ü</w:t>
            </w:r>
          </w:p>
        </w:tc>
        <w:tc>
          <w:tcPr>
            <w:tcW w:w="8440" w:type="dxa"/>
            <w:vAlign w:val="bottom"/>
          </w:tcPr>
          <w:p>
            <w:pPr>
              <w:ind w:left="120"/>
              <w:spacing w:after="0"/>
              <w:rPr>
                <w:sz w:val="20"/>
                <w:szCs w:val="20"/>
                <w:color w:val="auto"/>
              </w:rPr>
            </w:pPr>
            <w:r>
              <w:rPr>
                <w:rFonts w:ascii="Arial" w:cs="Arial" w:eastAsia="Arial" w:hAnsi="Arial"/>
                <w:sz w:val="16"/>
                <w:szCs w:val="16"/>
                <w:color w:val="auto"/>
              </w:rPr>
              <w:t>Maintain meaningful executive and director stock ownership guidelines</w:t>
            </w:r>
          </w:p>
        </w:tc>
        <w:tc>
          <w:tcPr>
            <w:tcW w:w="0" w:type="dxa"/>
            <w:vAlign w:val="bottom"/>
          </w:tcPr>
          <w:p>
            <w:pPr>
              <w:spacing w:after="0"/>
              <w:rPr>
                <w:sz w:val="1"/>
                <w:szCs w:val="1"/>
                <w:color w:val="auto"/>
              </w:rPr>
            </w:pPr>
          </w:p>
        </w:tc>
      </w:tr>
      <w:tr>
        <w:trPr>
          <w:trHeight w:val="96"/>
        </w:trPr>
        <w:tc>
          <w:tcPr>
            <w:tcW w:w="200" w:type="dxa"/>
            <w:vAlign w:val="bottom"/>
            <w:vMerge w:val="continue"/>
          </w:tcPr>
          <w:p>
            <w:pPr>
              <w:spacing w:after="0"/>
              <w:rPr>
                <w:sz w:val="8"/>
                <w:szCs w:val="8"/>
                <w:color w:val="auto"/>
              </w:rPr>
            </w:pPr>
          </w:p>
        </w:tc>
        <w:tc>
          <w:tcPr>
            <w:tcW w:w="8440" w:type="dxa"/>
            <w:vAlign w:val="bottom"/>
            <w:vMerge w:val="restart"/>
          </w:tcPr>
          <w:p>
            <w:pPr>
              <w:ind w:left="120"/>
              <w:spacing w:after="0"/>
              <w:rPr>
                <w:sz w:val="20"/>
                <w:szCs w:val="20"/>
                <w:color w:val="auto"/>
              </w:rPr>
            </w:pPr>
            <w:r>
              <w:rPr>
                <w:rFonts w:ascii="Arial" w:cs="Arial" w:eastAsia="Arial" w:hAnsi="Arial"/>
                <w:sz w:val="16"/>
                <w:szCs w:val="16"/>
                <w:color w:val="auto"/>
              </w:rPr>
              <w:t>Conduct annual "say-on-pay" advisory votes</w:t>
            </w:r>
          </w:p>
        </w:tc>
        <w:tc>
          <w:tcPr>
            <w:tcW w:w="0" w:type="dxa"/>
            <w:vAlign w:val="bottom"/>
          </w:tcPr>
          <w:p>
            <w:pPr>
              <w:spacing w:after="0"/>
              <w:rPr>
                <w:sz w:val="1"/>
                <w:szCs w:val="1"/>
                <w:color w:val="auto"/>
              </w:rPr>
            </w:pPr>
          </w:p>
        </w:tc>
      </w:tr>
      <w:tr>
        <w:trPr>
          <w:trHeight w:val="93"/>
        </w:trPr>
        <w:tc>
          <w:tcPr>
            <w:tcW w:w="200" w:type="dxa"/>
            <w:vAlign w:val="bottom"/>
            <w:vMerge w:val="restart"/>
          </w:tcPr>
          <w:p>
            <w:pPr>
              <w:spacing w:after="0"/>
              <w:rPr>
                <w:sz w:val="20"/>
                <w:szCs w:val="20"/>
                <w:color w:val="auto"/>
              </w:rPr>
            </w:pPr>
            <w:r>
              <w:rPr>
                <w:rFonts w:ascii="Arial" w:cs="Arial" w:eastAsia="Arial" w:hAnsi="Arial"/>
                <w:sz w:val="16"/>
                <w:szCs w:val="16"/>
                <w:color w:val="auto"/>
              </w:rPr>
              <w:t>ü</w:t>
            </w:r>
          </w:p>
        </w:tc>
        <w:tc>
          <w:tcPr>
            <w:tcW w:w="844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10"/>
        </w:trPr>
        <w:tc>
          <w:tcPr>
            <w:tcW w:w="200" w:type="dxa"/>
            <w:vAlign w:val="bottom"/>
            <w:vMerge w:val="continue"/>
          </w:tcPr>
          <w:p>
            <w:pPr>
              <w:spacing w:after="0"/>
              <w:rPr>
                <w:sz w:val="9"/>
                <w:szCs w:val="9"/>
                <w:color w:val="auto"/>
              </w:rPr>
            </w:pPr>
          </w:p>
        </w:tc>
        <w:tc>
          <w:tcPr>
            <w:tcW w:w="8440" w:type="dxa"/>
            <w:vAlign w:val="bottom"/>
            <w:vMerge w:val="restart"/>
          </w:tcPr>
          <w:p>
            <w:pPr>
              <w:ind w:left="120"/>
              <w:spacing w:after="0"/>
              <w:rPr>
                <w:sz w:val="20"/>
                <w:szCs w:val="20"/>
                <w:color w:val="auto"/>
              </w:rPr>
            </w:pPr>
            <w:r>
              <w:rPr>
                <w:rFonts w:ascii="Arial" w:cs="Arial" w:eastAsia="Arial" w:hAnsi="Arial"/>
                <w:sz w:val="16"/>
                <w:szCs w:val="16"/>
                <w:color w:val="auto"/>
              </w:rPr>
              <w:t>Use an outside, independent third-party advisor to provide objective compensation advice</w:t>
            </w:r>
          </w:p>
        </w:tc>
        <w:tc>
          <w:tcPr>
            <w:tcW w:w="0" w:type="dxa"/>
            <w:vAlign w:val="bottom"/>
          </w:tcPr>
          <w:p>
            <w:pPr>
              <w:spacing w:after="0"/>
              <w:rPr>
                <w:sz w:val="1"/>
                <w:szCs w:val="1"/>
                <w:color w:val="auto"/>
              </w:rPr>
            </w:pPr>
          </w:p>
        </w:tc>
      </w:tr>
      <w:tr>
        <w:trPr>
          <w:trHeight w:val="85"/>
        </w:trPr>
        <w:tc>
          <w:tcPr>
            <w:tcW w:w="200" w:type="dxa"/>
            <w:vAlign w:val="bottom"/>
            <w:vMerge w:val="restart"/>
          </w:tcPr>
          <w:p>
            <w:pPr>
              <w:spacing w:after="0"/>
              <w:rPr>
                <w:sz w:val="20"/>
                <w:szCs w:val="20"/>
                <w:color w:val="auto"/>
              </w:rPr>
            </w:pPr>
            <w:r>
              <w:rPr>
                <w:rFonts w:ascii="Arial" w:cs="Arial" w:eastAsia="Arial" w:hAnsi="Arial"/>
                <w:sz w:val="16"/>
                <w:szCs w:val="16"/>
                <w:color w:val="auto"/>
              </w:rPr>
              <w:t>ü</w:t>
            </w:r>
          </w:p>
        </w:tc>
        <w:tc>
          <w:tcPr>
            <w:tcW w:w="84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18"/>
        </w:trPr>
        <w:tc>
          <w:tcPr>
            <w:tcW w:w="200" w:type="dxa"/>
            <w:vAlign w:val="bottom"/>
            <w:vMerge w:val="continue"/>
          </w:tcPr>
          <w:p>
            <w:pPr>
              <w:spacing w:after="0"/>
              <w:rPr>
                <w:sz w:val="10"/>
                <w:szCs w:val="10"/>
                <w:color w:val="auto"/>
              </w:rPr>
            </w:pPr>
          </w:p>
        </w:tc>
        <w:tc>
          <w:tcPr>
            <w:tcW w:w="84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06"/>
        </w:trPr>
        <w:tc>
          <w:tcPr>
            <w:tcW w:w="200" w:type="dxa"/>
            <w:vAlign w:val="bottom"/>
          </w:tcPr>
          <w:p>
            <w:pPr>
              <w:spacing w:after="0"/>
              <w:rPr>
                <w:sz w:val="20"/>
                <w:szCs w:val="20"/>
                <w:color w:val="auto"/>
              </w:rPr>
            </w:pPr>
            <w:r>
              <w:rPr>
                <w:rFonts w:ascii="Arial" w:cs="Arial" w:eastAsia="Arial" w:hAnsi="Arial"/>
                <w:sz w:val="16"/>
                <w:szCs w:val="16"/>
                <w:color w:val="auto"/>
              </w:rPr>
              <w:t>ü</w:t>
            </w:r>
          </w:p>
        </w:tc>
        <w:tc>
          <w:tcPr>
            <w:tcW w:w="844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75" w:lineRule="exact"/>
        <w:rPr>
          <w:sz w:val="20"/>
          <w:szCs w:val="20"/>
          <w:color w:val="auto"/>
        </w:rPr>
      </w:pPr>
    </w:p>
    <w:p>
      <w:pPr>
        <w:ind w:left="323" w:hanging="323"/>
        <w:spacing w:after="0"/>
        <w:tabs>
          <w:tab w:leader="none" w:pos="323" w:val="left"/>
        </w:tabs>
        <w:numPr>
          <w:ilvl w:val="0"/>
          <w:numId w:val="25"/>
        </w:numPr>
        <w:rPr>
          <w:rFonts w:ascii="Arial" w:cs="Arial" w:eastAsia="Arial" w:hAnsi="Arial"/>
          <w:sz w:val="16"/>
          <w:szCs w:val="16"/>
          <w:color w:val="auto"/>
        </w:rPr>
      </w:pPr>
      <w:r>
        <w:rPr>
          <w:rFonts w:ascii="Arial" w:cs="Arial" w:eastAsia="Arial" w:hAnsi="Arial"/>
          <w:sz w:val="16"/>
          <w:szCs w:val="16"/>
          <w:color w:val="auto"/>
        </w:rPr>
        <w:t>Provide excessive severance benefits to our executive officers</w:t>
      </w:r>
    </w:p>
    <w:p>
      <w:pPr>
        <w:spacing w:after="0" w:line="5" w:lineRule="exact"/>
        <w:rPr>
          <w:rFonts w:ascii="Arial" w:cs="Arial" w:eastAsia="Arial" w:hAnsi="Arial"/>
          <w:sz w:val="16"/>
          <w:szCs w:val="16"/>
          <w:color w:val="auto"/>
        </w:rPr>
      </w:pPr>
    </w:p>
    <w:p>
      <w:pPr>
        <w:ind w:left="323" w:hanging="323"/>
        <w:spacing w:after="0"/>
        <w:tabs>
          <w:tab w:leader="none" w:pos="323" w:val="left"/>
        </w:tabs>
        <w:numPr>
          <w:ilvl w:val="0"/>
          <w:numId w:val="25"/>
        </w:numPr>
        <w:rPr>
          <w:rFonts w:ascii="Arial" w:cs="Arial" w:eastAsia="Arial" w:hAnsi="Arial"/>
          <w:sz w:val="16"/>
          <w:szCs w:val="16"/>
          <w:color w:val="auto"/>
        </w:rPr>
      </w:pPr>
      <w:r>
        <w:rPr>
          <w:rFonts w:ascii="Arial" w:cs="Arial" w:eastAsia="Arial" w:hAnsi="Arial"/>
          <w:sz w:val="16"/>
          <w:szCs w:val="16"/>
          <w:color w:val="auto"/>
        </w:rPr>
        <w:t>Provide tax gross-ups, including excise tax gross-ups upon change in control</w:t>
      </w:r>
    </w:p>
    <w:p>
      <w:pPr>
        <w:spacing w:after="0" w:line="5" w:lineRule="exact"/>
        <w:rPr>
          <w:rFonts w:ascii="Arial" w:cs="Arial" w:eastAsia="Arial" w:hAnsi="Arial"/>
          <w:sz w:val="16"/>
          <w:szCs w:val="16"/>
          <w:color w:val="auto"/>
        </w:rPr>
      </w:pPr>
    </w:p>
    <w:p>
      <w:pPr>
        <w:ind w:left="323" w:right="340" w:hanging="323"/>
        <w:spacing w:after="0" w:line="246" w:lineRule="auto"/>
        <w:tabs>
          <w:tab w:leader="none" w:pos="323" w:val="left"/>
        </w:tabs>
        <w:numPr>
          <w:ilvl w:val="0"/>
          <w:numId w:val="25"/>
        </w:numPr>
        <w:rPr>
          <w:rFonts w:ascii="Arial" w:cs="Arial" w:eastAsia="Arial" w:hAnsi="Arial"/>
          <w:sz w:val="16"/>
          <w:szCs w:val="16"/>
          <w:color w:val="auto"/>
        </w:rPr>
      </w:pPr>
      <w:r>
        <w:rPr>
          <w:rFonts w:ascii="Arial" w:cs="Arial" w:eastAsia="Arial" w:hAnsi="Arial"/>
          <w:sz w:val="16"/>
          <w:szCs w:val="16"/>
          <w:color w:val="auto"/>
        </w:rPr>
        <w:t>Make equity awards subject to automatic acceleration of vesting (i.e., "single-trigger") upon change in control (as of Fiscal 2019)</w:t>
      </w:r>
    </w:p>
    <w:p>
      <w:pPr>
        <w:ind w:left="323" w:hanging="323"/>
        <w:spacing w:after="0" w:line="187" w:lineRule="auto"/>
        <w:tabs>
          <w:tab w:leader="none" w:pos="323" w:val="left"/>
        </w:tabs>
        <w:numPr>
          <w:ilvl w:val="0"/>
          <w:numId w:val="25"/>
        </w:numPr>
        <w:rPr>
          <w:rFonts w:ascii="Arial" w:cs="Arial" w:eastAsia="Arial" w:hAnsi="Arial"/>
          <w:sz w:val="21"/>
          <w:szCs w:val="21"/>
          <w:color w:val="auto"/>
          <w:vertAlign w:val="subscript"/>
        </w:rPr>
      </w:pPr>
      <w:r>
        <w:rPr>
          <w:rFonts w:ascii="Arial" w:cs="Arial" w:eastAsia="Arial" w:hAnsi="Arial"/>
          <w:sz w:val="12"/>
          <w:szCs w:val="12"/>
          <w:color w:val="auto"/>
        </w:rPr>
        <w:t>Allow for hedging or speculative trading of Company securities by executives or directors</w:t>
      </w:r>
    </w:p>
    <w:p>
      <w:pPr>
        <w:ind w:left="323" w:hanging="323"/>
        <w:spacing w:after="0" w:line="187" w:lineRule="auto"/>
        <w:tabs>
          <w:tab w:leader="none" w:pos="323" w:val="left"/>
        </w:tabs>
        <w:numPr>
          <w:ilvl w:val="0"/>
          <w:numId w:val="25"/>
        </w:numPr>
        <w:rPr>
          <w:rFonts w:ascii="Arial" w:cs="Arial" w:eastAsia="Arial" w:hAnsi="Arial"/>
          <w:sz w:val="21"/>
          <w:szCs w:val="21"/>
          <w:color w:val="auto"/>
          <w:vertAlign w:val="subscript"/>
        </w:rPr>
      </w:pPr>
      <w:r>
        <w:rPr>
          <w:rFonts w:ascii="Arial" w:cs="Arial" w:eastAsia="Arial" w:hAnsi="Arial"/>
          <w:sz w:val="12"/>
          <w:szCs w:val="12"/>
          <w:color w:val="auto"/>
        </w:rPr>
        <w:t>Reprice options without shareholder approval</w:t>
      </w:r>
    </w:p>
    <w:p>
      <w:pPr>
        <w:ind w:left="323" w:hanging="323"/>
        <w:spacing w:after="0" w:line="187" w:lineRule="auto"/>
        <w:tabs>
          <w:tab w:leader="none" w:pos="323" w:val="left"/>
        </w:tabs>
        <w:numPr>
          <w:ilvl w:val="0"/>
          <w:numId w:val="25"/>
        </w:numPr>
        <w:rPr>
          <w:rFonts w:ascii="Arial" w:cs="Arial" w:eastAsia="Arial" w:hAnsi="Arial"/>
          <w:sz w:val="21"/>
          <w:szCs w:val="21"/>
          <w:color w:val="auto"/>
          <w:vertAlign w:val="subscript"/>
        </w:rPr>
      </w:pPr>
      <w:r>
        <w:rPr>
          <w:rFonts w:ascii="Arial" w:cs="Arial" w:eastAsia="Arial" w:hAnsi="Arial"/>
          <w:sz w:val="12"/>
          <w:szCs w:val="12"/>
          <w:color w:val="auto"/>
        </w:rPr>
        <w:t>Provide significant perquisites</w:t>
      </w:r>
    </w:p>
    <w:p>
      <w:pPr>
        <w:ind w:left="323" w:hanging="323"/>
        <w:spacing w:after="0" w:line="184" w:lineRule="auto"/>
        <w:tabs>
          <w:tab w:leader="none" w:pos="323" w:val="left"/>
        </w:tabs>
        <w:numPr>
          <w:ilvl w:val="0"/>
          <w:numId w:val="25"/>
        </w:numPr>
        <w:rPr>
          <w:rFonts w:ascii="Arial" w:cs="Arial" w:eastAsia="Arial" w:hAnsi="Arial"/>
          <w:sz w:val="22"/>
          <w:szCs w:val="22"/>
          <w:color w:val="auto"/>
          <w:vertAlign w:val="subscript"/>
        </w:rPr>
      </w:pPr>
      <w:r>
        <w:rPr>
          <w:rFonts w:ascii="Arial" w:cs="Arial" w:eastAsia="Arial" w:hAnsi="Arial"/>
          <w:sz w:val="13"/>
          <w:szCs w:val="13"/>
          <w:color w:val="auto"/>
        </w:rPr>
        <w:t>Allow for pledging by our executives and directors</w:t>
      </w:r>
    </w:p>
    <w:p>
      <w:pPr>
        <w:spacing w:after="0" w:line="200" w:lineRule="exact"/>
        <w:rPr>
          <w:sz w:val="20"/>
          <w:szCs w:val="20"/>
          <w:color w:val="auto"/>
        </w:rPr>
      </w:pPr>
    </w:p>
    <w:p>
      <w:pPr>
        <w:sectPr>
          <w:pgSz w:w="11900" w:h="16838" w:orient="portrait"/>
          <w:cols w:equalWidth="0" w:num="2">
            <w:col w:w="2160" w:space="97"/>
            <w:col w:w="8903"/>
          </w:cols>
          <w:pgMar w:left="240" w:top="303" w:right="499" w:bottom="1440" w:gutter="0" w:footer="0" w:header="0"/>
          <w:type w:val="continuous"/>
        </w:sectPr>
      </w:pPr>
    </w:p>
    <w:p>
      <w:pPr>
        <w:spacing w:after="0" w:line="308" w:lineRule="exact"/>
        <w:rPr>
          <w:sz w:val="20"/>
          <w:szCs w:val="20"/>
          <w:color w:val="auto"/>
        </w:rPr>
      </w:pPr>
    </w:p>
    <w:p>
      <w:pPr>
        <w:spacing w:after="0"/>
        <w:rPr>
          <w:sz w:val="20"/>
          <w:szCs w:val="20"/>
          <w:color w:val="auto"/>
        </w:rPr>
      </w:pPr>
      <w:r>
        <w:rPr>
          <w:rFonts w:ascii="Arial" w:cs="Arial" w:eastAsia="Arial" w:hAnsi="Arial"/>
          <w:sz w:val="16"/>
          <w:szCs w:val="16"/>
          <w:color w:val="auto"/>
        </w:rPr>
        <w:t>The Committee has made three specific changes applicable in Fiscal 2019 based on a review of market standards for good governance:</w:t>
      </w:r>
    </w:p>
    <w:p>
      <w:pPr>
        <w:sectPr>
          <w:pgSz w:w="11900" w:h="16838" w:orient="portrait"/>
          <w:cols w:equalWidth="0" w:num="1">
            <w:col w:w="11160"/>
          </w:cols>
          <w:pgMar w:left="240" w:top="303" w:right="499" w:bottom="1440" w:gutter="0" w:footer="0" w:header="0"/>
          <w:type w:val="continuous"/>
        </w:sectPr>
      </w:pPr>
    </w:p>
    <w:p>
      <w:pPr>
        <w:spacing w:after="0" w:line="200" w:lineRule="exact"/>
        <w:rPr>
          <w:sz w:val="20"/>
          <w:szCs w:val="20"/>
          <w:color w:val="auto"/>
        </w:rPr>
      </w:pPr>
    </w:p>
    <w:p>
      <w:pPr>
        <w:spacing w:after="0" w:line="237" w:lineRule="exact"/>
        <w:rPr>
          <w:sz w:val="20"/>
          <w:szCs w:val="20"/>
          <w:color w:val="auto"/>
        </w:rPr>
      </w:pPr>
    </w:p>
    <w:p>
      <w:pPr>
        <w:jc w:val="center"/>
        <w:ind w:right="-259"/>
        <w:spacing w:after="0"/>
        <w:rPr>
          <w:sz w:val="20"/>
          <w:szCs w:val="20"/>
          <w:color w:val="auto"/>
        </w:rPr>
      </w:pPr>
      <w:r>
        <w:rPr>
          <w:rFonts w:ascii="Arial" w:cs="Arial" w:eastAsia="Arial" w:hAnsi="Arial"/>
          <w:sz w:val="16"/>
          <w:szCs w:val="16"/>
          <w:color w:val="auto"/>
        </w:rPr>
        <w:t>17</w:t>
      </w:r>
    </w:p>
    <w:p>
      <w:pPr>
        <w:sectPr>
          <w:pgSz w:w="11900" w:h="16838" w:orient="portrait"/>
          <w:cols w:equalWidth="0" w:num="1">
            <w:col w:w="11160"/>
          </w:cols>
          <w:pgMar w:left="240" w:top="303" w:right="499" w:bottom="1440" w:gutter="0" w:footer="0" w:header="0"/>
          <w:type w:val="continuous"/>
        </w:sectPr>
      </w:pPr>
    </w:p>
    <w:bookmarkStart w:id="21" w:name="page22"/>
    <w:bookmarkEnd w:id="21"/>
    <w:p>
      <w:pPr>
        <w:ind w:left="40"/>
        <w:spacing w:after="0"/>
        <w:rPr>
          <w:rFonts w:ascii="Arial" w:cs="Arial" w:eastAsia="Arial" w:hAnsi="Arial"/>
          <w:sz w:val="16"/>
          <w:szCs w:val="16"/>
          <w:u w:val="single" w:color="auto"/>
          <w:color w:val="0000EE"/>
        </w:rPr>
      </w:pPr>
      <w:r>
        <w:rPr>
          <w:rFonts w:ascii="Arial" w:cs="Arial" w:eastAsia="Arial" w:hAnsi="Arial"/>
          <w:sz w:val="16"/>
          <w:szCs w:val="16"/>
          <w:u w:val="single" w:color="auto"/>
          <w:color w:val="0000EE"/>
        </w:rPr>
        <w:drawing>
          <wp:anchor simplePos="0" relativeHeight="251657728" behindDoc="1" locked="0" layoutInCell="0" allowOverlap="1">
            <wp:simplePos x="0" y="0"/>
            <wp:positionH relativeFrom="page">
              <wp:posOffset>5946140</wp:posOffset>
            </wp:positionH>
            <wp:positionV relativeFrom="page">
              <wp:posOffset>191770</wp:posOffset>
            </wp:positionV>
            <wp:extent cx="1440815" cy="20574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clrChange>
                        <a:clrFrom>
                          <a:srgbClr val="FFFFFF"/>
                        </a:clrFrom>
                        <a:clrTo>
                          <a:srgbClr val="FFFFFF">
                            <a:alpha val="0"/>
                          </a:srgbClr>
                        </a:clrTo>
                      </a:clrChange>
                      <a:extLst>
                        <a:ext uri="{28A0092B-C50C-407E-A947-70E740481C1C}"/>
                      </a:extLst>
                    </a:blip>
                    <a:srcRect/>
                    <a:stretch>
                      <a:fillRect/>
                    </a:stretch>
                  </pic:blipFill>
                  <pic:spPr bwMode="auto">
                    <a:xfrm>
                      <a:off x="0" y="0"/>
                      <a:ext cx="1440815" cy="205740"/>
                    </a:xfrm>
                    <a:prstGeom prst="rect">
                      <a:avLst/>
                    </a:prstGeom>
                    <a:noFill/>
                  </pic:spPr>
                </pic:pic>
              </a:graphicData>
            </a:graphic>
          </wp:anchor>
        </w:drawing>
      </w:r>
      <w:hyperlink w:anchor="page4">
        <w:r>
          <w:rPr>
            <w:rFonts w:ascii="Arial" w:cs="Arial" w:eastAsia="Arial" w:hAnsi="Arial"/>
            <w:sz w:val="16"/>
            <w:szCs w:val="16"/>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104775</wp:posOffset>
            </wp:positionV>
            <wp:extent cx="7246620" cy="88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04" w:lineRule="exact"/>
        <w:rPr>
          <w:sz w:val="20"/>
          <w:szCs w:val="20"/>
          <w:color w:val="auto"/>
        </w:rPr>
      </w:pPr>
    </w:p>
    <w:p>
      <w:pPr>
        <w:jc w:val="both"/>
        <w:ind w:left="660" w:hanging="328"/>
        <w:spacing w:after="0" w:line="246" w:lineRule="auto"/>
        <w:tabs>
          <w:tab w:leader="none" w:pos="660" w:val="left"/>
        </w:tabs>
        <w:numPr>
          <w:ilvl w:val="0"/>
          <w:numId w:val="26"/>
        </w:numPr>
        <w:rPr>
          <w:rFonts w:ascii="Arial" w:cs="Arial" w:eastAsia="Arial" w:hAnsi="Arial"/>
          <w:sz w:val="16"/>
          <w:szCs w:val="16"/>
          <w:color w:val="auto"/>
        </w:rPr>
      </w:pPr>
      <w:r>
        <w:rPr>
          <w:rFonts w:ascii="Arial" w:cs="Arial" w:eastAsia="Arial" w:hAnsi="Arial"/>
          <w:sz w:val="16"/>
          <w:szCs w:val="16"/>
          <w:color w:val="auto"/>
        </w:rPr>
        <w:t>Revised executive change in control agreements to (1) reduce severance multiples (for executives other than the CEO and Mr. Clark), (2) make severance payable only as to salary and target annual incentives (previous severance agreements provided for severance on total taxable compensation, including equity awards), (3) adjust the definition of Change in Control to align with current market practices, and (4) reduce the amount of time after a Change in Control that a termination of employment can trigger a severance obligation from three years to two years.</w:t>
      </w:r>
    </w:p>
    <w:p>
      <w:pPr>
        <w:spacing w:after="0" w:line="1" w:lineRule="exact"/>
        <w:rPr>
          <w:rFonts w:ascii="Arial" w:cs="Arial" w:eastAsia="Arial" w:hAnsi="Arial"/>
          <w:sz w:val="16"/>
          <w:szCs w:val="16"/>
          <w:color w:val="auto"/>
        </w:rPr>
      </w:pPr>
    </w:p>
    <w:p>
      <w:pPr>
        <w:jc w:val="both"/>
        <w:ind w:left="660" w:hanging="328"/>
        <w:spacing w:after="0" w:line="246" w:lineRule="auto"/>
        <w:tabs>
          <w:tab w:leader="none" w:pos="660" w:val="left"/>
        </w:tabs>
        <w:numPr>
          <w:ilvl w:val="0"/>
          <w:numId w:val="26"/>
        </w:numPr>
        <w:rPr>
          <w:rFonts w:ascii="Arial" w:cs="Arial" w:eastAsia="Arial" w:hAnsi="Arial"/>
          <w:sz w:val="16"/>
          <w:szCs w:val="16"/>
          <w:color w:val="auto"/>
        </w:rPr>
      </w:pPr>
      <w:r>
        <w:rPr>
          <w:rFonts w:ascii="Arial" w:cs="Arial" w:eastAsia="Arial" w:hAnsi="Arial"/>
          <w:sz w:val="16"/>
          <w:szCs w:val="16"/>
          <w:color w:val="auto"/>
        </w:rPr>
        <w:t>Revised the equity award agreements so that all future equity awards will be subject to “double trigger” accelerated vesting following a change in control (i.e., vesting only accelerates following a change in control if the executive’s employment is also terminated) rather than the prior “single trigger” vesting provisions</w:t>
      </w:r>
    </w:p>
    <w:p>
      <w:pPr>
        <w:spacing w:after="0" w:line="1" w:lineRule="exact"/>
        <w:rPr>
          <w:rFonts w:ascii="Arial" w:cs="Arial" w:eastAsia="Arial" w:hAnsi="Arial"/>
          <w:sz w:val="16"/>
          <w:szCs w:val="16"/>
          <w:color w:val="auto"/>
        </w:rPr>
      </w:pPr>
    </w:p>
    <w:p>
      <w:pPr>
        <w:ind w:left="660" w:hanging="328"/>
        <w:spacing w:after="0"/>
        <w:tabs>
          <w:tab w:leader="none" w:pos="660" w:val="left"/>
        </w:tabs>
        <w:numPr>
          <w:ilvl w:val="0"/>
          <w:numId w:val="26"/>
        </w:numPr>
        <w:rPr>
          <w:rFonts w:ascii="Arial" w:cs="Arial" w:eastAsia="Arial" w:hAnsi="Arial"/>
          <w:sz w:val="16"/>
          <w:szCs w:val="16"/>
          <w:color w:val="auto"/>
        </w:rPr>
      </w:pPr>
      <w:r>
        <w:rPr>
          <w:rFonts w:ascii="Arial" w:cs="Arial" w:eastAsia="Arial" w:hAnsi="Arial"/>
          <w:sz w:val="16"/>
          <w:szCs w:val="16"/>
          <w:color w:val="auto"/>
        </w:rPr>
        <w:t>Increased the stock ownership guideline for our CEO from 4x salary to 5x salary</w:t>
      </w:r>
    </w:p>
    <w:p>
      <w:pPr>
        <w:spacing w:after="0" w:line="181" w:lineRule="exact"/>
        <w:rPr>
          <w:sz w:val="20"/>
          <w:szCs w:val="20"/>
          <w:color w:val="auto"/>
        </w:rPr>
      </w:pPr>
    </w:p>
    <w:p>
      <w:pPr>
        <w:ind w:right="980"/>
        <w:spacing w:after="0" w:line="260" w:lineRule="auto"/>
        <w:rPr>
          <w:sz w:val="20"/>
          <w:szCs w:val="20"/>
          <w:color w:val="auto"/>
        </w:rPr>
      </w:pPr>
      <w:r>
        <w:rPr>
          <w:rFonts w:ascii="Arial" w:cs="Arial" w:eastAsia="Arial" w:hAnsi="Arial"/>
          <w:sz w:val="16"/>
          <w:szCs w:val="16"/>
          <w:color w:val="auto"/>
        </w:rPr>
        <w:t>The Committee did not make any changes to Mr. Clark’s employment or change in control agreements given the unique nature of his employment arrangements with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161925</wp:posOffset>
            </wp:positionV>
            <wp:extent cx="7272020"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303" w:right="239" w:bottom="1440" w:gutter="0" w:footer="0" w:header="0"/>
        </w:sect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Arial" w:cs="Arial" w:eastAsia="Arial" w:hAnsi="Arial"/>
          <w:sz w:val="28"/>
          <w:szCs w:val="28"/>
          <w:color w:val="BF2115"/>
        </w:rPr>
        <w:t>Advisory Vote on Executive Compensation</w:t>
      </w:r>
    </w:p>
    <w:p>
      <w:pPr>
        <w:spacing w:after="0" w:line="373" w:lineRule="exact"/>
        <w:rPr>
          <w:sz w:val="20"/>
          <w:szCs w:val="20"/>
          <w:color w:val="auto"/>
        </w:rPr>
      </w:pPr>
    </w:p>
    <w:p>
      <w:pPr>
        <w:jc w:val="both"/>
        <w:spacing w:after="0" w:line="251" w:lineRule="auto"/>
        <w:rPr>
          <w:sz w:val="20"/>
          <w:szCs w:val="20"/>
          <w:color w:val="auto"/>
        </w:rPr>
      </w:pPr>
      <w:r>
        <w:rPr>
          <w:rFonts w:ascii="Arial" w:cs="Arial" w:eastAsia="Arial" w:hAnsi="Arial"/>
          <w:sz w:val="16"/>
          <w:szCs w:val="16"/>
          <w:color w:val="auto"/>
        </w:rPr>
        <w:t>At our 2017 Annual Meeting of Shareholders, our shareholders voted to approve on an advisory basis the compensation of our NEOs. 98.5% of the votes cast with respect to this proposal were cast for approval of our NEOs' compensation. The Committee determined that our current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86"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auto"/>
        </w:rPr>
        <w:t>executive compensation philosophy and compensation elements continued to be appropriate. We conduct regular investor outreach in the form of investor calls, attendance at investor conferences, execution of non-deal roadshows, and hosting of quarterly earnings calls with open Q&amp;A. We continue to evaluate and refine our compensation programs on a regular basis, and view the advisory vote as a helpful gauge of our compensation design.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-3778885</wp:posOffset>
            </wp:positionH>
            <wp:positionV relativeFrom="paragraph">
              <wp:posOffset>195580</wp:posOffset>
            </wp:positionV>
            <wp:extent cx="7272020"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33" w:lineRule="exact"/>
        <w:rPr>
          <w:sz w:val="20"/>
          <w:szCs w:val="20"/>
          <w:color w:val="auto"/>
        </w:rPr>
      </w:pPr>
    </w:p>
    <w:p>
      <w:pPr>
        <w:sectPr>
          <w:pgSz w:w="11900" w:h="16838" w:orient="portrait"/>
          <w:cols w:equalWidth="0" w:num="2">
            <w:col w:w="5480" w:space="460"/>
            <w:col w:w="5480"/>
          </w:cols>
          <w:pgMar w:left="240" w:top="303" w:right="239" w:bottom="1440" w:gutter="0" w:footer="0" w:header="0"/>
          <w:type w:val="continuous"/>
        </w:sectPr>
      </w:pPr>
    </w:p>
    <w:p>
      <w:pPr>
        <w:spacing w:after="0" w:line="253" w:lineRule="exact"/>
        <w:rPr>
          <w:sz w:val="20"/>
          <w:szCs w:val="20"/>
          <w:color w:val="auto"/>
        </w:rPr>
      </w:pPr>
    </w:p>
    <w:p>
      <w:pPr>
        <w:spacing w:after="0"/>
        <w:rPr>
          <w:sz w:val="20"/>
          <w:szCs w:val="20"/>
          <w:color w:val="auto"/>
        </w:rPr>
      </w:pPr>
      <w:r>
        <w:rPr>
          <w:rFonts w:ascii="Arial" w:cs="Arial" w:eastAsia="Arial" w:hAnsi="Arial"/>
          <w:sz w:val="29"/>
          <w:szCs w:val="29"/>
          <w:color w:val="BF2115"/>
        </w:rPr>
        <w:t>Elements of Fiscal 2018 Compensation</w:t>
      </w:r>
    </w:p>
    <w:p>
      <w:pPr>
        <w:spacing w:after="0" w:line="199" w:lineRule="exact"/>
        <w:rPr>
          <w:sz w:val="20"/>
          <w:szCs w:val="20"/>
          <w:color w:val="auto"/>
        </w:rPr>
      </w:pPr>
    </w:p>
    <w:p>
      <w:pPr>
        <w:spacing w:after="0"/>
        <w:rPr>
          <w:sz w:val="20"/>
          <w:szCs w:val="20"/>
          <w:color w:val="auto"/>
        </w:rPr>
      </w:pPr>
      <w:r>
        <w:rPr>
          <w:rFonts w:ascii="Arial" w:cs="Arial" w:eastAsia="Arial" w:hAnsi="Arial"/>
          <w:sz w:val="16"/>
          <w:szCs w:val="16"/>
          <w:color w:val="auto"/>
        </w:rPr>
        <w:t>The table below lays out the Fiscal 2018 compensation elements for all NEOs other than Mr. Clark.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87630</wp:posOffset>
            </wp:positionV>
            <wp:extent cx="7246620" cy="17145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154" w:lineRule="exact"/>
        <w:rPr>
          <w:sz w:val="20"/>
          <w:szCs w:val="20"/>
          <w:color w:val="auto"/>
        </w:rPr>
      </w:pPr>
    </w:p>
    <w:p>
      <w:pPr>
        <w:ind w:left="840"/>
        <w:spacing w:after="0"/>
        <w:tabs>
          <w:tab w:leader="none" w:pos="2760" w:val="left"/>
          <w:tab w:leader="none" w:pos="8120" w:val="left"/>
        </w:tabs>
        <w:rPr>
          <w:sz w:val="20"/>
          <w:szCs w:val="20"/>
          <w:color w:val="auto"/>
        </w:rPr>
      </w:pPr>
      <w:r>
        <w:rPr>
          <w:rFonts w:ascii="Arial" w:cs="Arial" w:eastAsia="Arial" w:hAnsi="Arial"/>
          <w:sz w:val="16"/>
          <w:szCs w:val="16"/>
          <w:b w:val="1"/>
          <w:bCs w:val="1"/>
          <w:color w:val="FFFFFF"/>
        </w:rPr>
        <w:t>Element</w:t>
      </w:r>
      <w:r>
        <w:rPr>
          <w:sz w:val="20"/>
          <w:szCs w:val="20"/>
          <w:color w:val="auto"/>
        </w:rPr>
        <w:tab/>
      </w:r>
      <w:r>
        <w:rPr>
          <w:rFonts w:ascii="Arial" w:cs="Arial" w:eastAsia="Arial" w:hAnsi="Arial"/>
          <w:sz w:val="16"/>
          <w:szCs w:val="16"/>
          <w:b w:val="1"/>
          <w:bCs w:val="1"/>
          <w:color w:val="FFFFFF"/>
        </w:rPr>
        <w:t>Mechanics</w:t>
      </w:r>
      <w:r>
        <w:rPr>
          <w:sz w:val="20"/>
          <w:szCs w:val="20"/>
          <w:color w:val="auto"/>
        </w:rPr>
        <w:tab/>
      </w:r>
      <w:r>
        <w:rPr>
          <w:rFonts w:ascii="Arial" w:cs="Arial" w:eastAsia="Arial" w:hAnsi="Arial"/>
          <w:sz w:val="15"/>
          <w:szCs w:val="15"/>
          <w:b w:val="1"/>
          <w:bCs w:val="1"/>
          <w:color w:val="FFFFFF"/>
        </w:rPr>
        <w:t>Rationale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1741170" cy="385889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1741170" cy="3858895"/>
                    </a:xfrm>
                    <a:prstGeom prst="rect">
                      <a:avLst/>
                    </a:prstGeom>
                    <a:noFill/>
                  </pic:spPr>
                </pic:pic>
              </a:graphicData>
            </a:graphic>
          </wp:anchor>
        </w:drawing>
      </w:r>
    </w:p>
    <w:p>
      <w:pPr>
        <w:sectPr>
          <w:pgSz w:w="11900" w:h="16838" w:orient="portrait"/>
          <w:cols w:equalWidth="0" w:num="1">
            <w:col w:w="11420"/>
          </w:cols>
          <w:pgMar w:left="240" w:top="303" w:right="239" w:bottom="1440" w:gutter="0" w:footer="0" w:header="0"/>
          <w:type w:val="continuous"/>
        </w:sectPr>
      </w:pPr>
    </w:p>
    <w:p>
      <w:pPr>
        <w:spacing w:after="0" w:line="79" w:lineRule="exact"/>
        <w:rPr>
          <w:sz w:val="20"/>
          <w:szCs w:val="20"/>
          <w:color w:val="auto"/>
        </w:rPr>
      </w:pPr>
    </w:p>
    <w:p>
      <w:pPr>
        <w:ind w:left="860"/>
        <w:spacing w:after="0"/>
        <w:rPr>
          <w:sz w:val="20"/>
          <w:szCs w:val="20"/>
          <w:color w:val="auto"/>
        </w:rPr>
      </w:pPr>
      <w:r>
        <w:rPr>
          <w:rFonts w:ascii="Arial" w:cs="Arial" w:eastAsia="Arial" w:hAnsi="Arial"/>
          <w:sz w:val="16"/>
          <w:szCs w:val="16"/>
          <w:color w:val="auto"/>
        </w:rPr>
        <w:t>Salary</w:t>
      </w:r>
    </w:p>
    <w:p>
      <w:pPr>
        <w:spacing w:after="0" w:line="316" w:lineRule="exact"/>
        <w:rPr>
          <w:sz w:val="20"/>
          <w:szCs w:val="20"/>
          <w:color w:val="auto"/>
        </w:rPr>
      </w:pPr>
    </w:p>
    <w:p>
      <w:pPr>
        <w:ind w:left="860" w:right="60"/>
        <w:spacing w:after="0" w:line="229" w:lineRule="auto"/>
        <w:rPr>
          <w:sz w:val="20"/>
          <w:szCs w:val="20"/>
          <w:color w:val="auto"/>
        </w:rPr>
      </w:pPr>
      <w:r>
        <w:rPr>
          <w:rFonts w:ascii="Arial" w:cs="Arial" w:eastAsia="Arial" w:hAnsi="Arial"/>
          <w:sz w:val="16"/>
          <w:szCs w:val="16"/>
          <w:color w:val="auto"/>
        </w:rPr>
        <w:t>Officers Incentive Compensation Plan (OICP)</w:t>
      </w:r>
    </w:p>
    <w:p>
      <w:pPr>
        <w:jc w:val="center"/>
        <w:ind w:right="1520"/>
        <w:spacing w:after="0"/>
        <w:rPr>
          <w:sz w:val="20"/>
          <w:szCs w:val="20"/>
          <w:color w:val="auto"/>
        </w:rPr>
      </w:pPr>
      <w:r>
        <w:rPr>
          <w:rFonts w:ascii="Arial" w:cs="Arial" w:eastAsia="Arial" w:hAnsi="Arial"/>
          <w:sz w:val="16"/>
          <w:szCs w:val="16"/>
          <w:color w:val="auto"/>
        </w:rPr>
        <w:t>Paid in</w:t>
      </w:r>
    </w:p>
    <w:p>
      <w:pPr>
        <w:spacing w:after="0" w:line="5" w:lineRule="exact"/>
        <w:rPr>
          <w:sz w:val="20"/>
          <w:szCs w:val="20"/>
          <w:color w:val="auto"/>
        </w:rPr>
      </w:pPr>
    </w:p>
    <w:p>
      <w:pPr>
        <w:jc w:val="center"/>
        <w:ind w:right="1520"/>
        <w:spacing w:after="0"/>
        <w:rPr>
          <w:sz w:val="20"/>
          <w:szCs w:val="20"/>
          <w:color w:val="auto"/>
        </w:rPr>
      </w:pPr>
      <w:r>
        <w:rPr>
          <w:rFonts w:ascii="Arial" w:cs="Arial" w:eastAsia="Arial" w:hAnsi="Arial"/>
          <w:sz w:val="16"/>
          <w:szCs w:val="16"/>
          <w:color w:val="auto"/>
        </w:rPr>
        <w:t>Cash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ind w:left="860"/>
        <w:spacing w:after="0" w:line="253" w:lineRule="auto"/>
        <w:rPr>
          <w:sz w:val="20"/>
          <w:szCs w:val="20"/>
          <w:color w:val="auto"/>
        </w:rPr>
      </w:pPr>
      <w:r>
        <w:rPr>
          <w:rFonts w:ascii="Arial" w:cs="Arial" w:eastAsia="Arial" w:hAnsi="Arial"/>
          <w:sz w:val="16"/>
          <w:szCs w:val="16"/>
          <w:color w:val="auto"/>
        </w:rPr>
        <w:t>Long-Term Incentive Program (LTIP) / Performance Shares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ind w:left="160"/>
        <w:spacing w:after="0"/>
        <w:rPr>
          <w:sz w:val="20"/>
          <w:szCs w:val="20"/>
          <w:color w:val="auto"/>
        </w:rPr>
      </w:pPr>
      <w:r>
        <w:rPr>
          <w:rFonts w:ascii="Arial" w:cs="Arial" w:eastAsia="Arial" w:hAnsi="Arial"/>
          <w:sz w:val="16"/>
          <w:szCs w:val="16"/>
          <w:color w:val="auto"/>
        </w:rPr>
        <w:t>Paid in</w:t>
      </w:r>
    </w:p>
    <w:p>
      <w:pPr>
        <w:spacing w:after="0" w:line="5" w:lineRule="exact"/>
        <w:rPr>
          <w:sz w:val="20"/>
          <w:szCs w:val="20"/>
          <w:color w:val="auto"/>
        </w:rPr>
      </w:pPr>
    </w:p>
    <w:p>
      <w:pPr>
        <w:ind w:left="180"/>
        <w:spacing w:after="0"/>
        <w:rPr>
          <w:sz w:val="20"/>
          <w:szCs w:val="20"/>
          <w:color w:val="auto"/>
        </w:rPr>
      </w:pPr>
      <w:r>
        <w:rPr>
          <w:rFonts w:ascii="Arial" w:cs="Arial" w:eastAsia="Arial" w:hAnsi="Arial"/>
          <w:sz w:val="16"/>
          <w:szCs w:val="16"/>
          <w:color w:val="auto"/>
        </w:rPr>
        <w:t>Equity</w:t>
      </w:r>
    </w:p>
    <w:p>
      <w:pPr>
        <w:spacing w:after="0" w:line="86" w:lineRule="exact"/>
        <w:rPr>
          <w:sz w:val="20"/>
          <w:szCs w:val="20"/>
          <w:color w:val="auto"/>
        </w:rPr>
      </w:pPr>
    </w:p>
    <w:p>
      <w:pPr>
        <w:jc w:val="center"/>
        <w:ind w:left="840"/>
        <w:spacing w:after="0"/>
        <w:rPr>
          <w:sz w:val="20"/>
          <w:szCs w:val="20"/>
          <w:color w:val="auto"/>
        </w:rPr>
      </w:pPr>
      <w:r>
        <w:rPr>
          <w:rFonts w:ascii="Arial" w:cs="Arial" w:eastAsia="Arial" w:hAnsi="Arial"/>
          <w:sz w:val="16"/>
          <w:szCs w:val="16"/>
          <w:color w:val="auto"/>
        </w:rPr>
        <w:t>Stock Options</w:t>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ind w:left="860"/>
        <w:spacing w:after="0"/>
        <w:rPr>
          <w:sz w:val="20"/>
          <w:szCs w:val="20"/>
          <w:color w:val="auto"/>
        </w:rPr>
      </w:pPr>
      <w:r>
        <w:rPr>
          <w:rFonts w:ascii="Arial" w:cs="Arial" w:eastAsia="Arial" w:hAnsi="Arial"/>
          <w:sz w:val="16"/>
          <w:szCs w:val="16"/>
          <w:color w:val="auto"/>
        </w:rPr>
        <w:t>Restricted Stock</w:t>
      </w:r>
    </w:p>
    <w:p>
      <w:pPr>
        <w:spacing w:after="0" w:line="20" w:lineRule="exact"/>
        <w:rPr>
          <w:sz w:val="20"/>
          <w:szCs w:val="20"/>
          <w:color w:val="auto"/>
        </w:rPr>
      </w:pPr>
      <w:r>
        <w:rPr>
          <w:sz w:val="20"/>
          <w:szCs w:val="20"/>
          <w:color w:val="auto"/>
        </w:rPr>
        <w:br w:type="column"/>
      </w:r>
    </w:p>
    <w:p>
      <w:pPr>
        <w:spacing w:after="0" w:line="5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9"/>
        </w:trPr>
        <w:tc>
          <w:tcPr>
            <w:tcW w:w="5320" w:type="dxa"/>
            <w:vAlign w:val="bottom"/>
          </w:tcPr>
          <w:p>
            <w:pPr>
              <w:ind w:left="40"/>
              <w:spacing w:after="0"/>
              <w:rPr>
                <w:sz w:val="20"/>
                <w:szCs w:val="20"/>
                <w:color w:val="auto"/>
              </w:rPr>
            </w:pPr>
            <w:r>
              <w:rPr>
                <w:rFonts w:ascii="Arial" w:cs="Arial" w:eastAsia="Arial" w:hAnsi="Arial"/>
                <w:sz w:val="16"/>
                <w:szCs w:val="16"/>
                <w:color w:val="auto"/>
              </w:rPr>
              <w:t>Weekly payments</w:t>
            </w:r>
          </w:p>
        </w:tc>
        <w:tc>
          <w:tcPr>
            <w:tcW w:w="3360" w:type="dxa"/>
            <w:vAlign w:val="bottom"/>
          </w:tcPr>
          <w:p>
            <w:pPr>
              <w:ind w:left="80"/>
              <w:spacing w:after="0"/>
              <w:rPr>
                <w:sz w:val="20"/>
                <w:szCs w:val="20"/>
                <w:color w:val="auto"/>
              </w:rPr>
            </w:pPr>
            <w:r>
              <w:rPr>
                <w:rFonts w:ascii="Arial" w:cs="Arial" w:eastAsia="Arial" w:hAnsi="Arial"/>
                <w:sz w:val="16"/>
                <w:szCs w:val="16"/>
                <w:color w:val="auto"/>
              </w:rPr>
              <w:t>Provides competitive fixed pay to attract</w:t>
            </w:r>
          </w:p>
        </w:tc>
        <w:tc>
          <w:tcPr>
            <w:tcW w:w="0" w:type="dxa"/>
            <w:vAlign w:val="bottom"/>
          </w:tcPr>
          <w:p>
            <w:pPr>
              <w:spacing w:after="0"/>
              <w:rPr>
                <w:sz w:val="1"/>
                <w:szCs w:val="1"/>
                <w:color w:val="auto"/>
              </w:rPr>
            </w:pPr>
          </w:p>
        </w:tc>
      </w:tr>
      <w:tr>
        <w:trPr>
          <w:trHeight w:val="195"/>
        </w:trPr>
        <w:tc>
          <w:tcPr>
            <w:tcW w:w="5320" w:type="dxa"/>
            <w:vAlign w:val="bottom"/>
            <w:vMerge w:val="restart"/>
          </w:tcPr>
          <w:p>
            <w:pPr>
              <w:ind w:left="40"/>
              <w:spacing w:after="0"/>
              <w:rPr>
                <w:sz w:val="20"/>
                <w:szCs w:val="20"/>
                <w:color w:val="auto"/>
              </w:rPr>
            </w:pPr>
            <w:r>
              <w:rPr>
                <w:rFonts w:ascii="Arial" w:cs="Arial" w:eastAsia="Arial" w:hAnsi="Arial"/>
                <w:sz w:val="16"/>
                <w:szCs w:val="16"/>
                <w:color w:val="auto"/>
              </w:rPr>
              <w:t>Values correspond to experience and job scope</w:t>
            </w:r>
          </w:p>
        </w:tc>
        <w:tc>
          <w:tcPr>
            <w:tcW w:w="3360" w:type="dxa"/>
            <w:vAlign w:val="bottom"/>
          </w:tcPr>
          <w:p>
            <w:pPr>
              <w:ind w:left="80"/>
              <w:spacing w:after="0"/>
              <w:rPr>
                <w:sz w:val="20"/>
                <w:szCs w:val="20"/>
                <w:color w:val="auto"/>
              </w:rPr>
            </w:pPr>
            <w:r>
              <w:rPr>
                <w:rFonts w:ascii="Arial" w:cs="Arial" w:eastAsia="Arial" w:hAnsi="Arial"/>
                <w:sz w:val="16"/>
                <w:szCs w:val="16"/>
                <w:color w:val="auto"/>
              </w:rPr>
              <w:t>employees</w:t>
            </w:r>
          </w:p>
        </w:tc>
        <w:tc>
          <w:tcPr>
            <w:tcW w:w="0" w:type="dxa"/>
            <w:vAlign w:val="bottom"/>
          </w:tcPr>
          <w:p>
            <w:pPr>
              <w:spacing w:after="0"/>
              <w:rPr>
                <w:sz w:val="1"/>
                <w:szCs w:val="1"/>
                <w:color w:val="auto"/>
              </w:rPr>
            </w:pPr>
          </w:p>
        </w:tc>
      </w:tr>
      <w:tr>
        <w:trPr>
          <w:trHeight w:val="67"/>
        </w:trPr>
        <w:tc>
          <w:tcPr>
            <w:tcW w:w="5320" w:type="dxa"/>
            <w:vAlign w:val="bottom"/>
            <w:tcBorders>
              <w:bottom w:val="single" w:sz="8" w:color="ACACAC"/>
            </w:tcBorders>
            <w:vMerge w:val="continue"/>
          </w:tcPr>
          <w:p>
            <w:pPr>
              <w:spacing w:after="0"/>
              <w:rPr>
                <w:sz w:val="5"/>
                <w:szCs w:val="5"/>
                <w:color w:val="auto"/>
              </w:rPr>
            </w:pPr>
          </w:p>
        </w:tc>
        <w:tc>
          <w:tcPr>
            <w:tcW w:w="3360" w:type="dxa"/>
            <w:vAlign w:val="bottom"/>
            <w:tcBorders>
              <w:bottom w:val="single" w:sz="8" w:color="ACACAC"/>
            </w:tcBorders>
          </w:tcPr>
          <w:p>
            <w:pPr>
              <w:spacing w:after="0"/>
              <w:rPr>
                <w:sz w:val="5"/>
                <w:szCs w:val="5"/>
                <w:color w:val="auto"/>
              </w:rPr>
            </w:pPr>
          </w:p>
        </w:tc>
        <w:tc>
          <w:tcPr>
            <w:tcW w:w="0" w:type="dxa"/>
            <w:vAlign w:val="bottom"/>
          </w:tcPr>
          <w:p>
            <w:pPr>
              <w:spacing w:after="0"/>
              <w:rPr>
                <w:sz w:val="1"/>
                <w:szCs w:val="1"/>
                <w:color w:val="auto"/>
              </w:rPr>
            </w:pPr>
          </w:p>
        </w:tc>
      </w:tr>
      <w:tr>
        <w:trPr>
          <w:trHeight w:val="218"/>
        </w:trPr>
        <w:tc>
          <w:tcPr>
            <w:tcW w:w="5320" w:type="dxa"/>
            <w:vAlign w:val="bottom"/>
          </w:tcPr>
          <w:p>
            <w:pPr>
              <w:ind w:left="40"/>
              <w:spacing w:after="0"/>
              <w:rPr>
                <w:sz w:val="20"/>
                <w:szCs w:val="20"/>
                <w:color w:val="auto"/>
              </w:rPr>
            </w:pPr>
            <w:r>
              <w:rPr>
                <w:rFonts w:ascii="Arial" w:cs="Arial" w:eastAsia="Arial" w:hAnsi="Arial"/>
                <w:sz w:val="16"/>
                <w:szCs w:val="16"/>
                <w:color w:val="auto"/>
              </w:rPr>
              <w:t>Annual payout tied to performance against pre-determined metrics and</w:t>
            </w:r>
          </w:p>
        </w:tc>
        <w:tc>
          <w:tcPr>
            <w:tcW w:w="3360" w:type="dxa"/>
            <w:vAlign w:val="bottom"/>
          </w:tcPr>
          <w:p>
            <w:pPr>
              <w:ind w:left="80"/>
              <w:spacing w:after="0"/>
              <w:rPr>
                <w:sz w:val="20"/>
                <w:szCs w:val="20"/>
                <w:color w:val="auto"/>
              </w:rPr>
            </w:pPr>
            <w:r>
              <w:rPr>
                <w:rFonts w:ascii="Arial" w:cs="Arial" w:eastAsia="Arial" w:hAnsi="Arial"/>
                <w:sz w:val="16"/>
                <w:szCs w:val="16"/>
                <w:color w:val="auto"/>
              </w:rPr>
              <w:t>Incentivizes achievement of key annual</w:t>
            </w:r>
          </w:p>
        </w:tc>
        <w:tc>
          <w:tcPr>
            <w:tcW w:w="0" w:type="dxa"/>
            <w:vAlign w:val="bottom"/>
          </w:tcPr>
          <w:p>
            <w:pPr>
              <w:spacing w:after="0"/>
              <w:rPr>
                <w:sz w:val="1"/>
                <w:szCs w:val="1"/>
                <w:color w:val="auto"/>
              </w:rPr>
            </w:pPr>
          </w:p>
        </w:tc>
      </w:tr>
      <w:tr>
        <w:trPr>
          <w:trHeight w:val="189"/>
        </w:trPr>
        <w:tc>
          <w:tcPr>
            <w:tcW w:w="5320" w:type="dxa"/>
            <w:vAlign w:val="bottom"/>
          </w:tcPr>
          <w:p>
            <w:pPr>
              <w:ind w:left="40"/>
              <w:spacing w:after="0"/>
              <w:rPr>
                <w:sz w:val="20"/>
                <w:szCs w:val="20"/>
                <w:color w:val="auto"/>
              </w:rPr>
            </w:pPr>
            <w:r>
              <w:rPr>
                <w:rFonts w:ascii="Arial" w:cs="Arial" w:eastAsia="Arial" w:hAnsi="Arial"/>
                <w:sz w:val="16"/>
                <w:szCs w:val="16"/>
                <w:color w:val="auto"/>
              </w:rPr>
              <w:t>goals across a one-year performance period</w:t>
            </w:r>
          </w:p>
        </w:tc>
        <w:tc>
          <w:tcPr>
            <w:tcW w:w="3360" w:type="dxa"/>
            <w:vAlign w:val="bottom"/>
          </w:tcPr>
          <w:p>
            <w:pPr>
              <w:ind w:left="80"/>
              <w:spacing w:after="0"/>
              <w:rPr>
                <w:sz w:val="20"/>
                <w:szCs w:val="20"/>
                <w:color w:val="auto"/>
              </w:rPr>
            </w:pPr>
            <w:r>
              <w:rPr>
                <w:rFonts w:ascii="Arial" w:cs="Arial" w:eastAsia="Arial" w:hAnsi="Arial"/>
                <w:sz w:val="16"/>
                <w:szCs w:val="16"/>
                <w:color w:val="auto"/>
              </w:rPr>
              <w:t>objectives at an enterprise-wide or individual</w:t>
            </w:r>
          </w:p>
        </w:tc>
        <w:tc>
          <w:tcPr>
            <w:tcW w:w="0" w:type="dxa"/>
            <w:vAlign w:val="bottom"/>
          </w:tcPr>
          <w:p>
            <w:pPr>
              <w:spacing w:after="0"/>
              <w:rPr>
                <w:sz w:val="1"/>
                <w:szCs w:val="1"/>
                <w:color w:val="auto"/>
              </w:rPr>
            </w:pPr>
          </w:p>
        </w:tc>
      </w:tr>
      <w:tr>
        <w:trPr>
          <w:trHeight w:val="189"/>
        </w:trPr>
        <w:tc>
          <w:tcPr>
            <w:tcW w:w="5320" w:type="dxa"/>
            <w:vAlign w:val="bottom"/>
            <w:vMerge w:val="restart"/>
          </w:tcPr>
          <w:p>
            <w:pPr>
              <w:ind w:left="40"/>
              <w:spacing w:after="0"/>
              <w:rPr>
                <w:sz w:val="20"/>
                <w:szCs w:val="20"/>
                <w:color w:val="auto"/>
              </w:rPr>
            </w:pPr>
            <w:r>
              <w:rPr>
                <w:rFonts w:ascii="Arial" w:cs="Arial" w:eastAsia="Arial" w:hAnsi="Arial"/>
                <w:sz w:val="16"/>
                <w:szCs w:val="16"/>
                <w:color w:val="auto"/>
              </w:rPr>
              <w:t>For Fiscal 2018, the metrics included:</w:t>
            </w:r>
          </w:p>
        </w:tc>
        <w:tc>
          <w:tcPr>
            <w:tcW w:w="3360" w:type="dxa"/>
            <w:vAlign w:val="bottom"/>
          </w:tcPr>
          <w:p>
            <w:pPr>
              <w:ind w:left="80"/>
              <w:spacing w:after="0"/>
              <w:rPr>
                <w:sz w:val="20"/>
                <w:szCs w:val="20"/>
                <w:color w:val="auto"/>
              </w:rPr>
            </w:pPr>
            <w:r>
              <w:rPr>
                <w:rFonts w:ascii="Arial" w:cs="Arial" w:eastAsia="Arial" w:hAnsi="Arial"/>
                <w:sz w:val="16"/>
                <w:szCs w:val="16"/>
                <w:color w:val="auto"/>
              </w:rPr>
              <w:t>business unit level - driving progress towards</w:t>
            </w:r>
          </w:p>
        </w:tc>
        <w:tc>
          <w:tcPr>
            <w:tcW w:w="0" w:type="dxa"/>
            <w:vAlign w:val="bottom"/>
          </w:tcPr>
          <w:p>
            <w:pPr>
              <w:spacing w:after="0"/>
              <w:rPr>
                <w:sz w:val="1"/>
                <w:szCs w:val="1"/>
                <w:color w:val="auto"/>
              </w:rPr>
            </w:pPr>
          </w:p>
        </w:tc>
      </w:tr>
      <w:tr>
        <w:trPr>
          <w:trHeight w:val="60"/>
        </w:trPr>
        <w:tc>
          <w:tcPr>
            <w:tcW w:w="5320" w:type="dxa"/>
            <w:vAlign w:val="bottom"/>
            <w:vMerge w:val="continue"/>
          </w:tcPr>
          <w:p>
            <w:pPr>
              <w:spacing w:after="0"/>
              <w:rPr>
                <w:sz w:val="5"/>
                <w:szCs w:val="5"/>
                <w:color w:val="auto"/>
              </w:rPr>
            </w:pPr>
          </w:p>
        </w:tc>
        <w:tc>
          <w:tcPr>
            <w:tcW w:w="3360" w:type="dxa"/>
            <w:vAlign w:val="bottom"/>
            <w:vMerge w:val="restart"/>
          </w:tcPr>
          <w:p>
            <w:pPr>
              <w:ind w:left="80"/>
              <w:spacing w:after="0"/>
              <w:rPr>
                <w:sz w:val="20"/>
                <w:szCs w:val="20"/>
                <w:color w:val="auto"/>
              </w:rPr>
            </w:pPr>
            <w:r>
              <w:rPr>
                <w:rFonts w:ascii="Arial" w:cs="Arial" w:eastAsia="Arial" w:hAnsi="Arial"/>
                <w:sz w:val="16"/>
                <w:szCs w:val="16"/>
                <w:color w:val="auto"/>
              </w:rPr>
              <w:t>achievement of long-term initiatives</w:t>
            </w:r>
          </w:p>
        </w:tc>
        <w:tc>
          <w:tcPr>
            <w:tcW w:w="0" w:type="dxa"/>
            <w:vAlign w:val="bottom"/>
          </w:tcPr>
          <w:p>
            <w:pPr>
              <w:spacing w:after="0"/>
              <w:rPr>
                <w:sz w:val="1"/>
                <w:szCs w:val="1"/>
                <w:color w:val="auto"/>
              </w:rPr>
            </w:pPr>
          </w:p>
        </w:tc>
      </w:tr>
      <w:tr>
        <w:trPr>
          <w:trHeight w:val="135"/>
        </w:trPr>
        <w:tc>
          <w:tcPr>
            <w:tcW w:w="5320" w:type="dxa"/>
            <w:vAlign w:val="bottom"/>
            <w:vMerge w:val="restart"/>
          </w:tcPr>
          <w:p>
            <w:pPr>
              <w:ind w:left="40"/>
              <w:spacing w:after="0"/>
              <w:rPr>
                <w:sz w:val="20"/>
                <w:szCs w:val="20"/>
                <w:color w:val="auto"/>
              </w:rPr>
            </w:pPr>
            <w:r>
              <w:rPr>
                <w:rFonts w:ascii="Arial" w:cs="Arial" w:eastAsia="Arial" w:hAnsi="Arial"/>
                <w:sz w:val="16"/>
                <w:szCs w:val="16"/>
                <w:color w:val="auto"/>
              </w:rPr>
              <w:t>Ÿ 90% financial objectives</w:t>
            </w:r>
          </w:p>
        </w:tc>
        <w:tc>
          <w:tcPr>
            <w:tcW w:w="336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4"/>
        </w:trPr>
        <w:tc>
          <w:tcPr>
            <w:tcW w:w="5320" w:type="dxa"/>
            <w:vAlign w:val="bottom"/>
            <w:vMerge w:val="continue"/>
          </w:tcPr>
          <w:p>
            <w:pPr>
              <w:spacing w:after="0"/>
              <w:rPr>
                <w:sz w:val="9"/>
                <w:szCs w:val="9"/>
                <w:color w:val="auto"/>
              </w:rPr>
            </w:pPr>
          </w:p>
        </w:tc>
        <w:tc>
          <w:tcPr>
            <w:tcW w:w="33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3"/>
        </w:trPr>
        <w:tc>
          <w:tcPr>
            <w:tcW w:w="5320" w:type="dxa"/>
            <w:vAlign w:val="bottom"/>
          </w:tcPr>
          <w:p>
            <w:pPr>
              <w:ind w:left="520"/>
              <w:spacing w:after="0"/>
              <w:rPr>
                <w:sz w:val="20"/>
                <w:szCs w:val="20"/>
                <w:color w:val="auto"/>
              </w:rPr>
            </w:pPr>
            <w:r>
              <w:rPr>
                <w:rFonts w:ascii="Arial" w:cs="Arial" w:eastAsia="Arial" w:hAnsi="Arial"/>
                <w:sz w:val="16"/>
                <w:szCs w:val="16"/>
                <w:color w:val="auto"/>
              </w:rPr>
              <w:t>ú 50% Net Sales Growth</w:t>
            </w:r>
          </w:p>
        </w:tc>
        <w:tc>
          <w:tcPr>
            <w:tcW w:w="3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320" w:type="dxa"/>
            <w:vAlign w:val="bottom"/>
          </w:tcPr>
          <w:p>
            <w:pPr>
              <w:ind w:left="520"/>
              <w:spacing w:after="0"/>
              <w:rPr>
                <w:sz w:val="20"/>
                <w:szCs w:val="20"/>
                <w:color w:val="auto"/>
              </w:rPr>
            </w:pPr>
            <w:r>
              <w:rPr>
                <w:rFonts w:ascii="Arial" w:cs="Arial" w:eastAsia="Arial" w:hAnsi="Arial"/>
                <w:sz w:val="16"/>
                <w:szCs w:val="16"/>
                <w:color w:val="auto"/>
              </w:rPr>
              <w:t>ú 40% Operating Income</w:t>
            </w:r>
          </w:p>
        </w:tc>
        <w:tc>
          <w:tcPr>
            <w:tcW w:w="3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320" w:type="dxa"/>
            <w:vAlign w:val="bottom"/>
          </w:tcPr>
          <w:p>
            <w:pPr>
              <w:ind w:left="520"/>
              <w:spacing w:after="0"/>
              <w:rPr>
                <w:sz w:val="20"/>
                <w:szCs w:val="20"/>
                <w:color w:val="auto"/>
              </w:rPr>
            </w:pPr>
            <w:r>
              <w:rPr>
                <w:rFonts w:ascii="Arial" w:cs="Arial" w:eastAsia="Arial" w:hAnsi="Arial"/>
                <w:sz w:val="16"/>
                <w:szCs w:val="16"/>
                <w:color w:val="auto"/>
              </w:rPr>
              <w:t>ú 10% Net Working Capital</w:t>
            </w:r>
          </w:p>
        </w:tc>
        <w:tc>
          <w:tcPr>
            <w:tcW w:w="3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5320" w:type="dxa"/>
            <w:vAlign w:val="bottom"/>
          </w:tcPr>
          <w:p>
            <w:pPr>
              <w:ind w:left="40"/>
              <w:spacing w:after="0"/>
              <w:rPr>
                <w:sz w:val="20"/>
                <w:szCs w:val="20"/>
                <w:color w:val="auto"/>
              </w:rPr>
            </w:pPr>
            <w:r>
              <w:rPr>
                <w:rFonts w:ascii="Arial" w:cs="Arial" w:eastAsia="Arial" w:hAnsi="Arial"/>
                <w:sz w:val="16"/>
                <w:szCs w:val="16"/>
                <w:color w:val="auto"/>
              </w:rPr>
              <w:t>Ÿ 10% Individual Objectives</w:t>
            </w:r>
          </w:p>
        </w:tc>
        <w:tc>
          <w:tcPr>
            <w:tcW w:w="3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320" w:type="dxa"/>
            <w:vAlign w:val="bottom"/>
          </w:tcPr>
          <w:p>
            <w:pPr>
              <w:ind w:left="40"/>
              <w:spacing w:after="0"/>
              <w:rPr>
                <w:sz w:val="20"/>
                <w:szCs w:val="20"/>
                <w:color w:val="auto"/>
              </w:rPr>
            </w:pPr>
            <w:r>
              <w:rPr>
                <w:rFonts w:ascii="Arial" w:cs="Arial" w:eastAsia="Arial" w:hAnsi="Arial"/>
                <w:sz w:val="16"/>
                <w:szCs w:val="16"/>
                <w:color w:val="auto"/>
              </w:rPr>
              <w:t>Payouts range from 0% - 200% of a pre-determined target value</w:t>
            </w:r>
          </w:p>
        </w:tc>
        <w:tc>
          <w:tcPr>
            <w:tcW w:w="3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74"/>
        </w:trPr>
        <w:tc>
          <w:tcPr>
            <w:tcW w:w="5320" w:type="dxa"/>
            <w:vAlign w:val="bottom"/>
            <w:tcBorders>
              <w:bottom w:val="single" w:sz="8" w:color="ACACAC"/>
            </w:tcBorders>
          </w:tcPr>
          <w:p>
            <w:pPr>
              <w:spacing w:after="0"/>
              <w:rPr>
                <w:sz w:val="6"/>
                <w:szCs w:val="6"/>
                <w:color w:val="auto"/>
              </w:rPr>
            </w:pPr>
          </w:p>
        </w:tc>
        <w:tc>
          <w:tcPr>
            <w:tcW w:w="3360" w:type="dxa"/>
            <w:vAlign w:val="bottom"/>
            <w:tcBorders>
              <w:bottom w:val="single" w:sz="8" w:color="ACACAC"/>
            </w:tcBorders>
          </w:tcPr>
          <w:p>
            <w:pPr>
              <w:spacing w:after="0"/>
              <w:rPr>
                <w:sz w:val="6"/>
                <w:szCs w:val="6"/>
                <w:color w:val="auto"/>
              </w:rPr>
            </w:pPr>
          </w:p>
        </w:tc>
        <w:tc>
          <w:tcPr>
            <w:tcW w:w="0" w:type="dxa"/>
            <w:vAlign w:val="bottom"/>
          </w:tcPr>
          <w:p>
            <w:pPr>
              <w:spacing w:after="0"/>
              <w:rPr>
                <w:sz w:val="1"/>
                <w:szCs w:val="1"/>
                <w:color w:val="auto"/>
              </w:rPr>
            </w:pPr>
          </w:p>
        </w:tc>
      </w:tr>
      <w:tr>
        <w:trPr>
          <w:trHeight w:val="211"/>
        </w:trPr>
        <w:tc>
          <w:tcPr>
            <w:tcW w:w="5320" w:type="dxa"/>
            <w:vAlign w:val="bottom"/>
          </w:tcPr>
          <w:p>
            <w:pPr>
              <w:ind w:left="40"/>
              <w:spacing w:after="0"/>
              <w:rPr>
                <w:sz w:val="20"/>
                <w:szCs w:val="20"/>
                <w:color w:val="auto"/>
              </w:rPr>
            </w:pPr>
            <w:r>
              <w:rPr>
                <w:rFonts w:ascii="Arial" w:cs="Arial" w:eastAsia="Arial" w:hAnsi="Arial"/>
                <w:sz w:val="16"/>
                <w:szCs w:val="16"/>
                <w:color w:val="auto"/>
              </w:rPr>
              <w:t>50% of all annual Equity Awards</w:t>
            </w:r>
          </w:p>
        </w:tc>
        <w:tc>
          <w:tcPr>
            <w:tcW w:w="3360" w:type="dxa"/>
            <w:vAlign w:val="bottom"/>
          </w:tcPr>
          <w:p>
            <w:pPr>
              <w:ind w:left="80"/>
              <w:spacing w:after="0"/>
              <w:rPr>
                <w:sz w:val="20"/>
                <w:szCs w:val="20"/>
                <w:color w:val="auto"/>
              </w:rPr>
            </w:pPr>
            <w:r>
              <w:rPr>
                <w:rFonts w:ascii="Arial" w:cs="Arial" w:eastAsia="Arial" w:hAnsi="Arial"/>
                <w:sz w:val="16"/>
                <w:szCs w:val="16"/>
                <w:color w:val="auto"/>
              </w:rPr>
              <w:t>Rewards for achievement of specific long-</w:t>
            </w:r>
          </w:p>
        </w:tc>
        <w:tc>
          <w:tcPr>
            <w:tcW w:w="0" w:type="dxa"/>
            <w:vAlign w:val="bottom"/>
          </w:tcPr>
          <w:p>
            <w:pPr>
              <w:spacing w:after="0"/>
              <w:rPr>
                <w:sz w:val="1"/>
                <w:szCs w:val="1"/>
                <w:color w:val="auto"/>
              </w:rPr>
            </w:pPr>
          </w:p>
        </w:tc>
      </w:tr>
      <w:tr>
        <w:trPr>
          <w:trHeight w:val="195"/>
        </w:trPr>
        <w:tc>
          <w:tcPr>
            <w:tcW w:w="5320" w:type="dxa"/>
            <w:vAlign w:val="bottom"/>
            <w:vMerge w:val="restart"/>
          </w:tcPr>
          <w:p>
            <w:pPr>
              <w:ind w:left="40"/>
              <w:spacing w:after="0"/>
              <w:rPr>
                <w:sz w:val="20"/>
                <w:szCs w:val="20"/>
                <w:color w:val="auto"/>
              </w:rPr>
            </w:pPr>
            <w:r>
              <w:rPr>
                <w:rFonts w:ascii="Arial" w:cs="Arial" w:eastAsia="Arial" w:hAnsi="Arial"/>
                <w:sz w:val="16"/>
                <w:szCs w:val="16"/>
                <w:color w:val="auto"/>
              </w:rPr>
              <w:t>For the Fiscal 2018-2020 performance period, payouts are tied to</w:t>
            </w:r>
          </w:p>
        </w:tc>
        <w:tc>
          <w:tcPr>
            <w:tcW w:w="3360" w:type="dxa"/>
            <w:vAlign w:val="bottom"/>
          </w:tcPr>
          <w:p>
            <w:pPr>
              <w:ind w:left="80"/>
              <w:spacing w:after="0"/>
              <w:rPr>
                <w:sz w:val="20"/>
                <w:szCs w:val="20"/>
                <w:color w:val="auto"/>
              </w:rPr>
            </w:pPr>
            <w:r>
              <w:rPr>
                <w:rFonts w:ascii="Arial" w:cs="Arial" w:eastAsia="Arial" w:hAnsi="Arial"/>
                <w:sz w:val="16"/>
                <w:szCs w:val="16"/>
                <w:color w:val="auto"/>
              </w:rPr>
              <w:t>term financial objectives</w:t>
            </w:r>
          </w:p>
        </w:tc>
        <w:tc>
          <w:tcPr>
            <w:tcW w:w="0" w:type="dxa"/>
            <w:vAlign w:val="bottom"/>
          </w:tcPr>
          <w:p>
            <w:pPr>
              <w:spacing w:after="0"/>
              <w:rPr>
                <w:sz w:val="1"/>
                <w:szCs w:val="1"/>
                <w:color w:val="auto"/>
              </w:rPr>
            </w:pPr>
          </w:p>
        </w:tc>
      </w:tr>
      <w:tr>
        <w:trPr>
          <w:trHeight w:val="48"/>
        </w:trPr>
        <w:tc>
          <w:tcPr>
            <w:tcW w:w="5320" w:type="dxa"/>
            <w:vAlign w:val="bottom"/>
            <w:vMerge w:val="continue"/>
          </w:tcPr>
          <w:p>
            <w:pPr>
              <w:spacing w:after="0"/>
              <w:rPr>
                <w:sz w:val="4"/>
                <w:szCs w:val="4"/>
                <w:color w:val="auto"/>
              </w:rPr>
            </w:pPr>
          </w:p>
        </w:tc>
        <w:tc>
          <w:tcPr>
            <w:tcW w:w="33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9"/>
        </w:trPr>
        <w:tc>
          <w:tcPr>
            <w:tcW w:w="5320" w:type="dxa"/>
            <w:vAlign w:val="bottom"/>
          </w:tcPr>
          <w:p>
            <w:pPr>
              <w:ind w:left="40"/>
              <w:spacing w:after="0"/>
              <w:rPr>
                <w:sz w:val="20"/>
                <w:szCs w:val="20"/>
                <w:color w:val="auto"/>
              </w:rPr>
            </w:pPr>
            <w:r>
              <w:rPr>
                <w:rFonts w:ascii="Arial" w:cs="Arial" w:eastAsia="Arial" w:hAnsi="Arial"/>
                <w:sz w:val="16"/>
                <w:szCs w:val="16"/>
                <w:color w:val="auto"/>
              </w:rPr>
              <w:t>performance against pre-determined goals across a three-year</w:t>
            </w:r>
          </w:p>
        </w:tc>
        <w:tc>
          <w:tcPr>
            <w:tcW w:w="3360" w:type="dxa"/>
            <w:vAlign w:val="bottom"/>
          </w:tcPr>
          <w:p>
            <w:pPr>
              <w:ind w:left="80"/>
              <w:spacing w:after="0"/>
              <w:rPr>
                <w:sz w:val="20"/>
                <w:szCs w:val="20"/>
                <w:color w:val="auto"/>
              </w:rPr>
            </w:pPr>
            <w:r>
              <w:rPr>
                <w:rFonts w:ascii="Arial" w:cs="Arial" w:eastAsia="Arial" w:hAnsi="Arial"/>
                <w:sz w:val="16"/>
                <w:szCs w:val="16"/>
                <w:color w:val="auto"/>
              </w:rPr>
              <w:t>Aligns NEOs' interest with long-term</w:t>
            </w:r>
          </w:p>
        </w:tc>
        <w:tc>
          <w:tcPr>
            <w:tcW w:w="0" w:type="dxa"/>
            <w:vAlign w:val="bottom"/>
          </w:tcPr>
          <w:p>
            <w:pPr>
              <w:spacing w:after="0"/>
              <w:rPr>
                <w:sz w:val="1"/>
                <w:szCs w:val="1"/>
                <w:color w:val="auto"/>
              </w:rPr>
            </w:pPr>
          </w:p>
        </w:tc>
      </w:tr>
      <w:tr>
        <w:trPr>
          <w:trHeight w:val="195"/>
        </w:trPr>
        <w:tc>
          <w:tcPr>
            <w:tcW w:w="5320" w:type="dxa"/>
            <w:vAlign w:val="bottom"/>
          </w:tcPr>
          <w:p>
            <w:pPr>
              <w:ind w:left="40"/>
              <w:spacing w:after="0"/>
              <w:rPr>
                <w:sz w:val="20"/>
                <w:szCs w:val="20"/>
                <w:color w:val="auto"/>
              </w:rPr>
            </w:pPr>
            <w:r>
              <w:rPr>
                <w:rFonts w:ascii="Arial" w:cs="Arial" w:eastAsia="Arial" w:hAnsi="Arial"/>
                <w:sz w:val="16"/>
                <w:szCs w:val="16"/>
                <w:color w:val="auto"/>
              </w:rPr>
              <w:t>performance period</w:t>
            </w:r>
          </w:p>
        </w:tc>
        <w:tc>
          <w:tcPr>
            <w:tcW w:w="3360" w:type="dxa"/>
            <w:vAlign w:val="bottom"/>
          </w:tcPr>
          <w:p>
            <w:pPr>
              <w:ind w:left="80"/>
              <w:spacing w:after="0"/>
              <w:rPr>
                <w:sz w:val="20"/>
                <w:szCs w:val="20"/>
                <w:color w:val="auto"/>
              </w:rPr>
            </w:pPr>
            <w:r>
              <w:rPr>
                <w:rFonts w:ascii="Arial" w:cs="Arial" w:eastAsia="Arial" w:hAnsi="Arial"/>
                <w:sz w:val="16"/>
                <w:szCs w:val="16"/>
                <w:color w:val="auto"/>
              </w:rPr>
              <w:t>shareholder value creation</w:t>
            </w:r>
          </w:p>
        </w:tc>
        <w:tc>
          <w:tcPr>
            <w:tcW w:w="0" w:type="dxa"/>
            <w:vAlign w:val="bottom"/>
          </w:tcPr>
          <w:p>
            <w:pPr>
              <w:spacing w:after="0"/>
              <w:rPr>
                <w:sz w:val="1"/>
                <w:szCs w:val="1"/>
                <w:color w:val="auto"/>
              </w:rPr>
            </w:pPr>
          </w:p>
        </w:tc>
      </w:tr>
      <w:tr>
        <w:trPr>
          <w:trHeight w:val="243"/>
        </w:trPr>
        <w:tc>
          <w:tcPr>
            <w:tcW w:w="5320" w:type="dxa"/>
            <w:vAlign w:val="bottom"/>
          </w:tcPr>
          <w:p>
            <w:pPr>
              <w:ind w:left="40"/>
              <w:spacing w:after="0"/>
              <w:rPr>
                <w:sz w:val="20"/>
                <w:szCs w:val="20"/>
                <w:color w:val="auto"/>
              </w:rPr>
            </w:pPr>
            <w:r>
              <w:rPr>
                <w:rFonts w:ascii="Arial" w:cs="Arial" w:eastAsia="Arial" w:hAnsi="Arial"/>
                <w:sz w:val="16"/>
                <w:szCs w:val="16"/>
                <w:color w:val="auto"/>
              </w:rPr>
              <w:t>The metrics consist of:</w:t>
            </w:r>
          </w:p>
        </w:tc>
        <w:tc>
          <w:tcPr>
            <w:tcW w:w="33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5320" w:type="dxa"/>
            <w:vAlign w:val="bottom"/>
          </w:tcPr>
          <w:p>
            <w:pPr>
              <w:ind w:left="40"/>
              <w:spacing w:after="0"/>
              <w:rPr>
                <w:sz w:val="20"/>
                <w:szCs w:val="20"/>
                <w:color w:val="auto"/>
              </w:rPr>
            </w:pPr>
            <w:r>
              <w:rPr>
                <w:rFonts w:ascii="Arial" w:cs="Arial" w:eastAsia="Arial" w:hAnsi="Arial"/>
                <w:sz w:val="16"/>
                <w:szCs w:val="16"/>
                <w:color w:val="auto"/>
              </w:rPr>
              <w:t>Ÿ 30% Net Sales</w:t>
            </w:r>
          </w:p>
        </w:tc>
        <w:tc>
          <w:tcPr>
            <w:tcW w:w="33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3"/>
        </w:trPr>
        <w:tc>
          <w:tcPr>
            <w:tcW w:w="5320" w:type="dxa"/>
            <w:vAlign w:val="bottom"/>
          </w:tcPr>
          <w:p>
            <w:pPr>
              <w:ind w:left="40"/>
              <w:spacing w:after="0"/>
              <w:rPr>
                <w:sz w:val="20"/>
                <w:szCs w:val="20"/>
                <w:color w:val="auto"/>
              </w:rPr>
            </w:pPr>
            <w:r>
              <w:rPr>
                <w:rFonts w:ascii="Arial" w:cs="Arial" w:eastAsia="Arial" w:hAnsi="Arial"/>
                <w:sz w:val="16"/>
                <w:szCs w:val="16"/>
                <w:color w:val="auto"/>
              </w:rPr>
              <w:t>Ÿ 30% Operating Income</w:t>
            </w:r>
          </w:p>
        </w:tc>
        <w:tc>
          <w:tcPr>
            <w:tcW w:w="3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5320" w:type="dxa"/>
            <w:vAlign w:val="bottom"/>
          </w:tcPr>
          <w:p>
            <w:pPr>
              <w:ind w:left="40"/>
              <w:spacing w:after="0"/>
              <w:rPr>
                <w:sz w:val="20"/>
                <w:szCs w:val="20"/>
                <w:color w:val="auto"/>
              </w:rPr>
            </w:pPr>
            <w:r>
              <w:rPr>
                <w:rFonts w:ascii="Arial" w:cs="Arial" w:eastAsia="Arial" w:hAnsi="Arial"/>
                <w:sz w:val="16"/>
                <w:szCs w:val="16"/>
                <w:color w:val="auto"/>
              </w:rPr>
              <w:t>Ÿ 40% ROE</w:t>
            </w:r>
          </w:p>
        </w:tc>
        <w:tc>
          <w:tcPr>
            <w:tcW w:w="3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320" w:type="dxa"/>
            <w:vAlign w:val="bottom"/>
          </w:tcPr>
          <w:p>
            <w:pPr>
              <w:ind w:left="40"/>
              <w:spacing w:after="0"/>
              <w:rPr>
                <w:sz w:val="20"/>
                <w:szCs w:val="20"/>
                <w:color w:val="auto"/>
              </w:rPr>
            </w:pPr>
            <w:r>
              <w:rPr>
                <w:rFonts w:ascii="Arial" w:cs="Arial" w:eastAsia="Arial" w:hAnsi="Arial"/>
                <w:sz w:val="16"/>
                <w:szCs w:val="16"/>
                <w:color w:val="auto"/>
              </w:rPr>
              <w:t>Payouts range from 0% - 150% of a pre-determined target value</w:t>
            </w:r>
          </w:p>
        </w:tc>
        <w:tc>
          <w:tcPr>
            <w:tcW w:w="3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74"/>
        </w:trPr>
        <w:tc>
          <w:tcPr>
            <w:tcW w:w="5320" w:type="dxa"/>
            <w:vAlign w:val="bottom"/>
            <w:tcBorders>
              <w:bottom w:val="single" w:sz="8" w:color="ACACAC"/>
            </w:tcBorders>
          </w:tcPr>
          <w:p>
            <w:pPr>
              <w:spacing w:after="0"/>
              <w:rPr>
                <w:sz w:val="6"/>
                <w:szCs w:val="6"/>
                <w:color w:val="auto"/>
              </w:rPr>
            </w:pPr>
          </w:p>
        </w:tc>
        <w:tc>
          <w:tcPr>
            <w:tcW w:w="3360" w:type="dxa"/>
            <w:vAlign w:val="bottom"/>
            <w:tcBorders>
              <w:bottom w:val="single" w:sz="8" w:color="ACACAC"/>
            </w:tcBorders>
          </w:tcPr>
          <w:p>
            <w:pPr>
              <w:spacing w:after="0"/>
              <w:rPr>
                <w:sz w:val="6"/>
                <w:szCs w:val="6"/>
                <w:color w:val="auto"/>
              </w:rPr>
            </w:pPr>
          </w:p>
        </w:tc>
        <w:tc>
          <w:tcPr>
            <w:tcW w:w="0" w:type="dxa"/>
            <w:vAlign w:val="bottom"/>
          </w:tcPr>
          <w:p>
            <w:pPr>
              <w:spacing w:after="0"/>
              <w:rPr>
                <w:sz w:val="1"/>
                <w:szCs w:val="1"/>
                <w:color w:val="auto"/>
              </w:rPr>
            </w:pPr>
          </w:p>
        </w:tc>
      </w:tr>
      <w:tr>
        <w:trPr>
          <w:trHeight w:val="211"/>
        </w:trPr>
        <w:tc>
          <w:tcPr>
            <w:tcW w:w="5320" w:type="dxa"/>
            <w:vAlign w:val="bottom"/>
          </w:tcPr>
          <w:p>
            <w:pPr>
              <w:ind w:left="40"/>
              <w:spacing w:after="0"/>
              <w:rPr>
                <w:sz w:val="20"/>
                <w:szCs w:val="20"/>
                <w:color w:val="auto"/>
              </w:rPr>
            </w:pPr>
            <w:r>
              <w:rPr>
                <w:rFonts w:ascii="Arial" w:cs="Arial" w:eastAsia="Arial" w:hAnsi="Arial"/>
                <w:sz w:val="16"/>
                <w:szCs w:val="16"/>
                <w:color w:val="auto"/>
              </w:rPr>
              <w:t>25% of all annual Equity Awards</w:t>
            </w:r>
          </w:p>
        </w:tc>
        <w:tc>
          <w:tcPr>
            <w:tcW w:w="3360" w:type="dxa"/>
            <w:vAlign w:val="bottom"/>
          </w:tcPr>
          <w:p>
            <w:pPr>
              <w:ind w:left="80"/>
              <w:spacing w:after="0"/>
              <w:rPr>
                <w:sz w:val="20"/>
                <w:szCs w:val="20"/>
                <w:color w:val="auto"/>
              </w:rPr>
            </w:pPr>
            <w:r>
              <w:rPr>
                <w:rFonts w:ascii="Arial" w:cs="Arial" w:eastAsia="Arial" w:hAnsi="Arial"/>
                <w:sz w:val="16"/>
                <w:szCs w:val="16"/>
                <w:color w:val="auto"/>
              </w:rPr>
              <w:t>Aligns NEOs’ interest with long-term</w:t>
            </w:r>
          </w:p>
        </w:tc>
        <w:tc>
          <w:tcPr>
            <w:tcW w:w="0" w:type="dxa"/>
            <w:vAlign w:val="bottom"/>
          </w:tcPr>
          <w:p>
            <w:pPr>
              <w:spacing w:after="0"/>
              <w:rPr>
                <w:sz w:val="1"/>
                <w:szCs w:val="1"/>
                <w:color w:val="auto"/>
              </w:rPr>
            </w:pPr>
          </w:p>
        </w:tc>
      </w:tr>
      <w:tr>
        <w:trPr>
          <w:trHeight w:val="201"/>
        </w:trPr>
        <w:tc>
          <w:tcPr>
            <w:tcW w:w="5320" w:type="dxa"/>
            <w:vAlign w:val="bottom"/>
          </w:tcPr>
          <w:p>
            <w:pPr>
              <w:ind w:left="40"/>
              <w:spacing w:after="0"/>
              <w:rPr>
                <w:sz w:val="20"/>
                <w:szCs w:val="20"/>
                <w:color w:val="auto"/>
              </w:rPr>
            </w:pPr>
            <w:r>
              <w:rPr>
                <w:rFonts w:ascii="Arial" w:cs="Arial" w:eastAsia="Arial" w:hAnsi="Arial"/>
                <w:sz w:val="16"/>
                <w:szCs w:val="16"/>
                <w:color w:val="auto"/>
              </w:rPr>
              <w:t>Stock options can be exercised over ten years and vest over three years</w:t>
            </w:r>
          </w:p>
        </w:tc>
        <w:tc>
          <w:tcPr>
            <w:tcW w:w="3360" w:type="dxa"/>
            <w:vAlign w:val="bottom"/>
          </w:tcPr>
          <w:p>
            <w:pPr>
              <w:ind w:left="80"/>
              <w:spacing w:after="0"/>
              <w:rPr>
                <w:sz w:val="20"/>
                <w:szCs w:val="20"/>
                <w:color w:val="auto"/>
              </w:rPr>
            </w:pPr>
            <w:r>
              <w:rPr>
                <w:rFonts w:ascii="Arial" w:cs="Arial" w:eastAsia="Arial" w:hAnsi="Arial"/>
                <w:sz w:val="16"/>
                <w:szCs w:val="16"/>
                <w:color w:val="auto"/>
              </w:rPr>
              <w:t>shareholder value creation as measured by</w:t>
            </w:r>
          </w:p>
        </w:tc>
        <w:tc>
          <w:tcPr>
            <w:tcW w:w="0" w:type="dxa"/>
            <w:vAlign w:val="bottom"/>
          </w:tcPr>
          <w:p>
            <w:pPr>
              <w:spacing w:after="0"/>
              <w:rPr>
                <w:sz w:val="1"/>
                <w:szCs w:val="1"/>
                <w:color w:val="auto"/>
              </w:rPr>
            </w:pPr>
          </w:p>
        </w:tc>
      </w:tr>
      <w:tr>
        <w:trPr>
          <w:trHeight w:val="177"/>
        </w:trPr>
        <w:tc>
          <w:tcPr>
            <w:tcW w:w="5320" w:type="dxa"/>
            <w:vAlign w:val="bottom"/>
            <w:vMerge w:val="restart"/>
          </w:tcPr>
          <w:p>
            <w:pPr>
              <w:ind w:left="40"/>
              <w:spacing w:after="0"/>
              <w:rPr>
                <w:sz w:val="20"/>
                <w:szCs w:val="20"/>
                <w:color w:val="auto"/>
              </w:rPr>
            </w:pPr>
            <w:r>
              <w:rPr>
                <w:rFonts w:ascii="Arial" w:cs="Arial" w:eastAsia="Arial" w:hAnsi="Arial"/>
                <w:sz w:val="16"/>
                <w:szCs w:val="16"/>
                <w:color w:val="auto"/>
              </w:rPr>
              <w:t>in equal installments</w:t>
            </w:r>
          </w:p>
        </w:tc>
        <w:tc>
          <w:tcPr>
            <w:tcW w:w="3360" w:type="dxa"/>
            <w:vAlign w:val="bottom"/>
          </w:tcPr>
          <w:p>
            <w:pPr>
              <w:ind w:left="80"/>
              <w:spacing w:after="0" w:line="178" w:lineRule="exact"/>
              <w:rPr>
                <w:sz w:val="20"/>
                <w:szCs w:val="20"/>
                <w:color w:val="auto"/>
              </w:rPr>
            </w:pPr>
            <w:r>
              <w:rPr>
                <w:rFonts w:ascii="Arial" w:cs="Arial" w:eastAsia="Arial" w:hAnsi="Arial"/>
                <w:sz w:val="16"/>
                <w:szCs w:val="16"/>
                <w:color w:val="auto"/>
              </w:rPr>
              <w:t>appreciation in stock price from the date of</w:t>
            </w:r>
          </w:p>
        </w:tc>
        <w:tc>
          <w:tcPr>
            <w:tcW w:w="0" w:type="dxa"/>
            <w:vAlign w:val="bottom"/>
          </w:tcPr>
          <w:p>
            <w:pPr>
              <w:spacing w:after="0"/>
              <w:rPr>
                <w:sz w:val="1"/>
                <w:szCs w:val="1"/>
                <w:color w:val="auto"/>
              </w:rPr>
            </w:pPr>
          </w:p>
        </w:tc>
      </w:tr>
      <w:tr>
        <w:trPr>
          <w:trHeight w:val="60"/>
        </w:trPr>
        <w:tc>
          <w:tcPr>
            <w:tcW w:w="5320" w:type="dxa"/>
            <w:vAlign w:val="bottom"/>
            <w:vMerge w:val="continue"/>
          </w:tcPr>
          <w:p>
            <w:pPr>
              <w:spacing w:after="0"/>
              <w:rPr>
                <w:sz w:val="5"/>
                <w:szCs w:val="5"/>
                <w:color w:val="auto"/>
              </w:rPr>
            </w:pPr>
          </w:p>
        </w:tc>
        <w:tc>
          <w:tcPr>
            <w:tcW w:w="3360" w:type="dxa"/>
            <w:vAlign w:val="bottom"/>
            <w:vMerge w:val="restart"/>
          </w:tcPr>
          <w:p>
            <w:pPr>
              <w:ind w:left="80"/>
              <w:spacing w:after="0"/>
              <w:rPr>
                <w:sz w:val="20"/>
                <w:szCs w:val="20"/>
                <w:color w:val="auto"/>
              </w:rPr>
            </w:pPr>
            <w:r>
              <w:rPr>
                <w:rFonts w:ascii="Arial" w:cs="Arial" w:eastAsia="Arial" w:hAnsi="Arial"/>
                <w:sz w:val="16"/>
                <w:szCs w:val="16"/>
                <w:color w:val="auto"/>
              </w:rPr>
              <w:t>grant</w:t>
            </w:r>
          </w:p>
        </w:tc>
        <w:tc>
          <w:tcPr>
            <w:tcW w:w="0" w:type="dxa"/>
            <w:vAlign w:val="bottom"/>
          </w:tcPr>
          <w:p>
            <w:pPr>
              <w:spacing w:after="0"/>
              <w:rPr>
                <w:sz w:val="1"/>
                <w:szCs w:val="1"/>
                <w:color w:val="auto"/>
              </w:rPr>
            </w:pPr>
          </w:p>
        </w:tc>
      </w:tr>
      <w:tr>
        <w:trPr>
          <w:trHeight w:val="148"/>
        </w:trPr>
        <w:tc>
          <w:tcPr>
            <w:tcW w:w="5320" w:type="dxa"/>
            <w:vAlign w:val="bottom"/>
            <w:tcBorders>
              <w:bottom w:val="single" w:sz="8" w:color="ACACAC"/>
            </w:tcBorders>
          </w:tcPr>
          <w:p>
            <w:pPr>
              <w:spacing w:after="0"/>
              <w:rPr>
                <w:sz w:val="12"/>
                <w:szCs w:val="12"/>
                <w:color w:val="auto"/>
              </w:rPr>
            </w:pPr>
          </w:p>
        </w:tc>
        <w:tc>
          <w:tcPr>
            <w:tcW w:w="3360" w:type="dxa"/>
            <w:vAlign w:val="bottom"/>
            <w:tcBorders>
              <w:bottom w:val="single" w:sz="8" w:color="ACACAC"/>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18"/>
        </w:trPr>
        <w:tc>
          <w:tcPr>
            <w:tcW w:w="5320" w:type="dxa"/>
            <w:vAlign w:val="bottom"/>
          </w:tcPr>
          <w:p>
            <w:pPr>
              <w:ind w:left="40"/>
              <w:spacing w:after="0"/>
              <w:rPr>
                <w:sz w:val="20"/>
                <w:szCs w:val="20"/>
                <w:color w:val="auto"/>
              </w:rPr>
            </w:pPr>
            <w:r>
              <w:rPr>
                <w:rFonts w:ascii="Arial" w:cs="Arial" w:eastAsia="Arial" w:hAnsi="Arial"/>
                <w:sz w:val="16"/>
                <w:szCs w:val="16"/>
                <w:color w:val="auto"/>
              </w:rPr>
              <w:t>25% of all annual Equity Awards</w:t>
            </w:r>
          </w:p>
        </w:tc>
        <w:tc>
          <w:tcPr>
            <w:tcW w:w="3360" w:type="dxa"/>
            <w:vAlign w:val="bottom"/>
          </w:tcPr>
          <w:p>
            <w:pPr>
              <w:ind w:left="80"/>
              <w:spacing w:after="0"/>
              <w:rPr>
                <w:sz w:val="20"/>
                <w:szCs w:val="20"/>
                <w:color w:val="auto"/>
              </w:rPr>
            </w:pPr>
            <w:r>
              <w:rPr>
                <w:rFonts w:ascii="Arial" w:cs="Arial" w:eastAsia="Arial" w:hAnsi="Arial"/>
                <w:sz w:val="16"/>
                <w:szCs w:val="16"/>
                <w:color w:val="auto"/>
              </w:rPr>
              <w:t>Aligns NEOs’ interest with long-term</w:t>
            </w:r>
          </w:p>
        </w:tc>
        <w:tc>
          <w:tcPr>
            <w:tcW w:w="0" w:type="dxa"/>
            <w:vAlign w:val="bottom"/>
          </w:tcPr>
          <w:p>
            <w:pPr>
              <w:spacing w:after="0"/>
              <w:rPr>
                <w:sz w:val="1"/>
                <w:szCs w:val="1"/>
                <w:color w:val="auto"/>
              </w:rPr>
            </w:pPr>
          </w:p>
        </w:tc>
      </w:tr>
      <w:tr>
        <w:trPr>
          <w:trHeight w:val="195"/>
        </w:trPr>
        <w:tc>
          <w:tcPr>
            <w:tcW w:w="5320" w:type="dxa"/>
            <w:vAlign w:val="bottom"/>
            <w:vMerge w:val="restart"/>
          </w:tcPr>
          <w:p>
            <w:pPr>
              <w:ind w:left="40"/>
              <w:spacing w:after="0"/>
              <w:rPr>
                <w:sz w:val="20"/>
                <w:szCs w:val="20"/>
                <w:color w:val="auto"/>
              </w:rPr>
            </w:pPr>
            <w:r>
              <w:rPr>
                <w:rFonts w:ascii="Arial" w:cs="Arial" w:eastAsia="Arial" w:hAnsi="Arial"/>
                <w:sz w:val="16"/>
                <w:szCs w:val="16"/>
                <w:color w:val="auto"/>
              </w:rPr>
              <w:t>Restricted stock grants vest over three years in equal installments</w:t>
            </w:r>
          </w:p>
        </w:tc>
        <w:tc>
          <w:tcPr>
            <w:tcW w:w="3360" w:type="dxa"/>
            <w:vAlign w:val="bottom"/>
          </w:tcPr>
          <w:p>
            <w:pPr>
              <w:ind w:left="80"/>
              <w:spacing w:after="0"/>
              <w:rPr>
                <w:sz w:val="20"/>
                <w:szCs w:val="20"/>
                <w:color w:val="auto"/>
              </w:rPr>
            </w:pPr>
            <w:r>
              <w:rPr>
                <w:rFonts w:ascii="Arial" w:cs="Arial" w:eastAsia="Arial" w:hAnsi="Arial"/>
                <w:sz w:val="16"/>
                <w:szCs w:val="16"/>
                <w:color w:val="auto"/>
              </w:rPr>
              <w:t>shareholder value creation</w:t>
            </w:r>
          </w:p>
        </w:tc>
        <w:tc>
          <w:tcPr>
            <w:tcW w:w="0" w:type="dxa"/>
            <w:vAlign w:val="bottom"/>
          </w:tcPr>
          <w:p>
            <w:pPr>
              <w:spacing w:after="0"/>
              <w:rPr>
                <w:sz w:val="1"/>
                <w:szCs w:val="1"/>
                <w:color w:val="auto"/>
              </w:rPr>
            </w:pPr>
          </w:p>
        </w:tc>
      </w:tr>
      <w:tr>
        <w:trPr>
          <w:trHeight w:val="54"/>
        </w:trPr>
        <w:tc>
          <w:tcPr>
            <w:tcW w:w="5320" w:type="dxa"/>
            <w:vAlign w:val="bottom"/>
            <w:vMerge w:val="continue"/>
          </w:tcPr>
          <w:p>
            <w:pPr>
              <w:spacing w:after="0"/>
              <w:rPr>
                <w:sz w:val="4"/>
                <w:szCs w:val="4"/>
                <w:color w:val="auto"/>
              </w:rPr>
            </w:pPr>
          </w:p>
        </w:tc>
        <w:tc>
          <w:tcPr>
            <w:tcW w:w="3360" w:type="dxa"/>
            <w:vAlign w:val="bottom"/>
            <w:vMerge w:val="restart"/>
          </w:tcPr>
          <w:p>
            <w:pPr>
              <w:ind w:left="80"/>
              <w:spacing w:after="0"/>
              <w:rPr>
                <w:sz w:val="20"/>
                <w:szCs w:val="20"/>
                <w:color w:val="auto"/>
              </w:rPr>
            </w:pPr>
            <w:r>
              <w:rPr>
                <w:rFonts w:ascii="Arial" w:cs="Arial" w:eastAsia="Arial" w:hAnsi="Arial"/>
                <w:sz w:val="16"/>
                <w:szCs w:val="16"/>
                <w:color w:val="auto"/>
              </w:rPr>
              <w:t>Encourages executive retention</w:t>
            </w:r>
          </w:p>
        </w:tc>
        <w:tc>
          <w:tcPr>
            <w:tcW w:w="0" w:type="dxa"/>
            <w:vAlign w:val="bottom"/>
          </w:tcPr>
          <w:p>
            <w:pPr>
              <w:spacing w:after="0"/>
              <w:rPr>
                <w:sz w:val="1"/>
                <w:szCs w:val="1"/>
                <w:color w:val="auto"/>
              </w:rPr>
            </w:pPr>
          </w:p>
        </w:tc>
      </w:tr>
      <w:tr>
        <w:trPr>
          <w:trHeight w:val="189"/>
        </w:trPr>
        <w:tc>
          <w:tcPr>
            <w:tcW w:w="5320" w:type="dxa"/>
            <w:vAlign w:val="bottom"/>
          </w:tcPr>
          <w:p>
            <w:pPr>
              <w:spacing w:after="0"/>
              <w:rPr>
                <w:sz w:val="16"/>
                <w:szCs w:val="16"/>
                <w:color w:val="auto"/>
              </w:rPr>
            </w:pPr>
          </w:p>
        </w:tc>
        <w:tc>
          <w:tcPr>
            <w:tcW w:w="33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2">
            <w:col w:w="2340" w:space="400"/>
            <w:col w:w="8680"/>
          </w:cols>
          <w:pgMar w:left="240" w:top="303" w:right="239" w:bottom="1440" w:gutter="0" w:footer="0" w:header="0"/>
          <w:type w:val="continuous"/>
        </w:sectPr>
      </w:pPr>
    </w:p>
    <w:p>
      <w:pPr>
        <w:spacing w:after="0" w:line="159" w:lineRule="exact"/>
        <w:rPr>
          <w:sz w:val="20"/>
          <w:szCs w:val="20"/>
          <w:color w:val="auto"/>
        </w:rPr>
      </w:pPr>
    </w:p>
    <w:p>
      <w:pPr>
        <w:spacing w:after="0" w:line="260" w:lineRule="auto"/>
        <w:rPr>
          <w:sz w:val="20"/>
          <w:szCs w:val="20"/>
          <w:color w:val="auto"/>
        </w:rPr>
      </w:pPr>
      <w:r>
        <w:rPr>
          <w:rFonts w:ascii="Arial" w:cs="Arial" w:eastAsia="Arial" w:hAnsi="Arial"/>
          <w:sz w:val="16"/>
          <w:szCs w:val="16"/>
          <w:color w:val="auto"/>
        </w:rPr>
        <w:t>In connection with our acquisition of Grand Design, we entered into an employment agreement with Mr. Clark in November 2016. Under the employment agreement, Mr. Clark is paid an annual base salary of $400,000, and is eligible to receive a cash incentive</w:t>
      </w:r>
    </w:p>
    <w:p>
      <w:pPr>
        <w:sectPr>
          <w:pgSz w:w="11900" w:h="16838" w:orient="portrait"/>
          <w:cols w:equalWidth="0" w:num="1">
            <w:col w:w="11420"/>
          </w:cols>
          <w:pgMar w:left="240" w:top="303" w:right="239" w:bottom="1440" w:gutter="0" w:footer="0" w:header="0"/>
          <w:type w:val="continuous"/>
        </w:sect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18</w:t>
      </w:r>
    </w:p>
    <w:p>
      <w:pPr>
        <w:sectPr>
          <w:pgSz w:w="11900" w:h="16838" w:orient="portrait"/>
          <w:cols w:equalWidth="0" w:num="1">
            <w:col w:w="11420"/>
          </w:cols>
          <w:pgMar w:left="240" w:top="303" w:right="239" w:bottom="1440" w:gutter="0" w:footer="0" w:header="0"/>
          <w:type w:val="continuous"/>
        </w:sectPr>
      </w:pPr>
    </w:p>
    <w:bookmarkStart w:id="22" w:name="page23"/>
    <w:bookmarkEnd w:id="22"/>
    <w:p>
      <w:pPr>
        <w:ind w:left="40"/>
        <w:spacing w:after="0"/>
        <w:rPr>
          <w:rFonts w:ascii="Arial" w:cs="Arial" w:eastAsia="Arial" w:hAnsi="Arial"/>
          <w:sz w:val="16"/>
          <w:szCs w:val="16"/>
          <w:u w:val="single" w:color="auto"/>
          <w:color w:val="0000EE"/>
        </w:rPr>
      </w:pPr>
      <w:r>
        <w:rPr>
          <w:rFonts w:ascii="Arial" w:cs="Arial" w:eastAsia="Arial" w:hAnsi="Arial"/>
          <w:sz w:val="16"/>
          <w:szCs w:val="16"/>
          <w:u w:val="single" w:color="auto"/>
          <w:color w:val="0000EE"/>
        </w:rPr>
        <w:drawing>
          <wp:anchor simplePos="0" relativeHeight="251657728" behindDoc="1" locked="0" layoutInCell="0" allowOverlap="1">
            <wp:simplePos x="0" y="0"/>
            <wp:positionH relativeFrom="page">
              <wp:posOffset>5946140</wp:posOffset>
            </wp:positionH>
            <wp:positionV relativeFrom="page">
              <wp:posOffset>191770</wp:posOffset>
            </wp:positionV>
            <wp:extent cx="1440815" cy="20574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clrChange>
                        <a:clrFrom>
                          <a:srgbClr val="FFFFFF"/>
                        </a:clrFrom>
                        <a:clrTo>
                          <a:srgbClr val="FFFFFF">
                            <a:alpha val="0"/>
                          </a:srgbClr>
                        </a:clrTo>
                      </a:clrChange>
                      <a:extLst>
                        <a:ext uri="{28A0092B-C50C-407E-A947-70E740481C1C}"/>
                      </a:extLst>
                    </a:blip>
                    <a:srcRect/>
                    <a:stretch>
                      <a:fillRect/>
                    </a:stretch>
                  </pic:blipFill>
                  <pic:spPr bwMode="auto">
                    <a:xfrm>
                      <a:off x="0" y="0"/>
                      <a:ext cx="1440815" cy="205740"/>
                    </a:xfrm>
                    <a:prstGeom prst="rect">
                      <a:avLst/>
                    </a:prstGeom>
                    <a:noFill/>
                  </pic:spPr>
                </pic:pic>
              </a:graphicData>
            </a:graphic>
          </wp:anchor>
        </w:drawing>
      </w:r>
      <w:hyperlink w:anchor="page4">
        <w:r>
          <w:rPr>
            <w:rFonts w:ascii="Arial" w:cs="Arial" w:eastAsia="Arial" w:hAnsi="Arial"/>
            <w:sz w:val="16"/>
            <w:szCs w:val="16"/>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104775</wp:posOffset>
            </wp:positionV>
            <wp:extent cx="7246620" cy="88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98" w:lineRule="exact"/>
        <w:rPr>
          <w:sz w:val="20"/>
          <w:szCs w:val="20"/>
          <w:color w:val="auto"/>
        </w:rPr>
      </w:pPr>
    </w:p>
    <w:p>
      <w:pPr>
        <w:jc w:val="both"/>
        <w:ind w:right="20"/>
        <w:spacing w:after="0" w:line="260" w:lineRule="auto"/>
        <w:rPr>
          <w:sz w:val="20"/>
          <w:szCs w:val="20"/>
          <w:color w:val="auto"/>
        </w:rPr>
      </w:pPr>
      <w:r>
        <w:rPr>
          <w:rFonts w:ascii="Arial" w:cs="Arial" w:eastAsia="Arial" w:hAnsi="Arial"/>
          <w:sz w:val="16"/>
          <w:szCs w:val="16"/>
          <w:color w:val="auto"/>
        </w:rPr>
        <w:t>bonus pursuant to the pre-existing Grand Design Management Incentive Plan. Payment under this plan is 100% dependent on pre-tax net income performance of the Grand Design business, a part of our Towables segment. Mr. Clark is not eligible to participate in any other Winnebago cash or stock incentive program.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161925</wp:posOffset>
            </wp:positionV>
            <wp:extent cx="7272020" cy="425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386" w:lineRule="exact"/>
        <w:rPr>
          <w:sz w:val="20"/>
          <w:szCs w:val="20"/>
          <w:color w:val="auto"/>
        </w:rPr>
      </w:pPr>
    </w:p>
    <w:p>
      <w:pPr>
        <w:spacing w:after="0"/>
        <w:rPr>
          <w:sz w:val="20"/>
          <w:szCs w:val="20"/>
          <w:color w:val="auto"/>
        </w:rPr>
      </w:pPr>
      <w:r>
        <w:rPr>
          <w:rFonts w:ascii="Arial" w:cs="Arial" w:eastAsia="Arial" w:hAnsi="Arial"/>
          <w:sz w:val="29"/>
          <w:szCs w:val="29"/>
          <w:color w:val="BF2115"/>
        </w:rPr>
        <w:t>Performance-based Pay Mix</w:t>
      </w:r>
    </w:p>
    <w:p>
      <w:pPr>
        <w:spacing w:after="0" w:line="280"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auto"/>
        </w:rPr>
        <w:t>Consistent with the Committee’s commitment to a strong, positive link between our business objectives, our performance and our executive compensation practices, we have placed a significant emphasis on pay “at risk,” based on the achievement of established business objectives and shareholder value creation. The following charts illustrate the components of our Chief Executive Officer’s total direct compensation, as well as the average total direct compensation for our other NEOs, excluding Mr. Clark, for Fiscal 2018. 79% of our Chief Executive Officer's total direct compensation and 67% of the average total direct compensation of our other NEOs was performance-based pay, including annual incentive compensation and annual equity grants, with a significant emphasis on long-term performance and shareholder value creation. For the purposes of these charts, total direct compensation includes salary, actual annual incentive compensation, and the grant date fair value of our annual equity grants made in Fiscal 2018, as reported in the Summary Compensation Table (and excludes benefits and other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272020" cy="252539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72020" cy="2525395"/>
                    </a:xfrm>
                    <a:prstGeom prst="rect">
                      <a:avLst/>
                    </a:prstGeom>
                    <a:noFill/>
                  </pic:spPr>
                </pic:pic>
              </a:graphicData>
            </a:graphic>
          </wp:anchor>
        </w:drawing>
      </w:r>
    </w:p>
    <w:p>
      <w:pPr>
        <w:sectPr>
          <w:pgSz w:w="11900" w:h="16838" w:orient="portrait"/>
          <w:cols w:equalWidth="0" w:num="1">
            <w:col w:w="11420"/>
          </w:cols>
          <w:pgMar w:left="240" w:top="303"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spacing w:after="0"/>
        <w:rPr>
          <w:sz w:val="20"/>
          <w:szCs w:val="20"/>
          <w:color w:val="auto"/>
        </w:rPr>
      </w:pPr>
      <w:r>
        <w:rPr>
          <w:rFonts w:ascii="Arial" w:cs="Arial" w:eastAsia="Arial" w:hAnsi="Arial"/>
          <w:sz w:val="29"/>
          <w:szCs w:val="29"/>
          <w:color w:val="BF2115"/>
        </w:rPr>
        <w:t>Determination of Compensation</w:t>
      </w:r>
    </w:p>
    <w:p>
      <w:pPr>
        <w:spacing w:after="0" w:line="285" w:lineRule="exact"/>
        <w:rPr>
          <w:sz w:val="20"/>
          <w:szCs w:val="20"/>
          <w:color w:val="auto"/>
        </w:rPr>
      </w:pPr>
    </w:p>
    <w:p>
      <w:pPr>
        <w:spacing w:after="0"/>
        <w:rPr>
          <w:sz w:val="20"/>
          <w:szCs w:val="20"/>
          <w:color w:val="auto"/>
        </w:rPr>
      </w:pPr>
      <w:r>
        <w:rPr>
          <w:rFonts w:ascii="Arial" w:cs="Arial" w:eastAsia="Arial" w:hAnsi="Arial"/>
          <w:sz w:val="22"/>
          <w:szCs w:val="22"/>
          <w:color w:val="828282"/>
        </w:rPr>
        <w:t>Role of the Human Resources Committee</w:t>
      </w:r>
    </w:p>
    <w:p>
      <w:pPr>
        <w:spacing w:after="0" w:line="188"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auto"/>
        </w:rPr>
        <w:t>The Committee is responsible for reviewing and approving, on an annual basis, the corporate goals and objectives with respect to the compensation of all of our executive officers, as described in the Committee Charter. The Committee relies on its own review and the advice of its independent compensation consultant in establishing executive officer pay. The Compensation Committee seeks the input of the CEO in making executive officer pay decisions for all executives other than himself, but the Committee makes all decisions.</w:t>
      </w:r>
    </w:p>
    <w:p>
      <w:pPr>
        <w:spacing w:after="0" w:line="181"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auto"/>
        </w:rPr>
        <w:t>In October 2017, the Committee approved annual incentive performance objectives for Fiscal 2018 and long-term incentive awards to our NEOs under our 2014 Omnibus Equity, Performance Award and Incentive Compensation Plan (the “2014 Plan”). After the completion of Fiscal 2018, the Committee (i) approved 2018 annual incentive payouts for our NEOs based on the achievement of the performance objectives established at the beginning of the year, and (ii)</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both"/>
        <w:ind w:left="320"/>
        <w:spacing w:after="0" w:line="248" w:lineRule="auto"/>
        <w:rPr>
          <w:sz w:val="20"/>
          <w:szCs w:val="20"/>
          <w:color w:val="auto"/>
        </w:rPr>
      </w:pPr>
      <w:r>
        <w:rPr>
          <w:rFonts w:ascii="Arial" w:cs="Arial" w:eastAsia="Arial" w:hAnsi="Arial"/>
          <w:sz w:val="16"/>
          <w:szCs w:val="16"/>
          <w:color w:val="auto"/>
        </w:rPr>
        <w:t>certified achievement of performance objectives with respect to the LTIP performance share awards granted to then-current executives in Fiscal 2016 that had a performance period running from Fiscal 2016-2018. In October 2018, the Committee approved annual incentive performance objectives for Fiscal 2019 and granted long-term incentive awards to our executive officers under the 2014 Plan, including LTIP performance share units, stock options and restricted stock units.</w:t>
      </w:r>
    </w:p>
    <w:p>
      <w:pPr>
        <w:spacing w:after="0" w:line="187" w:lineRule="exact"/>
        <w:rPr>
          <w:sz w:val="20"/>
          <w:szCs w:val="20"/>
          <w:color w:val="auto"/>
        </w:rPr>
      </w:pPr>
    </w:p>
    <w:p>
      <w:pPr>
        <w:ind w:left="320"/>
        <w:spacing w:after="0"/>
        <w:rPr>
          <w:sz w:val="20"/>
          <w:szCs w:val="20"/>
          <w:color w:val="auto"/>
        </w:rPr>
      </w:pPr>
      <w:r>
        <w:rPr>
          <w:rFonts w:ascii="Arial" w:cs="Arial" w:eastAsia="Arial" w:hAnsi="Arial"/>
          <w:sz w:val="22"/>
          <w:szCs w:val="22"/>
          <w:color w:val="828282"/>
        </w:rPr>
        <w:t>Role of the Compensation Consultant</w:t>
      </w:r>
    </w:p>
    <w:p>
      <w:pPr>
        <w:spacing w:after="0" w:line="188" w:lineRule="exact"/>
        <w:rPr>
          <w:sz w:val="20"/>
          <w:szCs w:val="20"/>
          <w:color w:val="auto"/>
        </w:rPr>
      </w:pPr>
    </w:p>
    <w:p>
      <w:pPr>
        <w:jc w:val="both"/>
        <w:ind w:left="320"/>
        <w:spacing w:after="0" w:line="260" w:lineRule="auto"/>
        <w:rPr>
          <w:sz w:val="20"/>
          <w:szCs w:val="20"/>
          <w:color w:val="auto"/>
        </w:rPr>
      </w:pPr>
      <w:r>
        <w:rPr>
          <w:rFonts w:ascii="Arial" w:cs="Arial" w:eastAsia="Arial" w:hAnsi="Arial"/>
          <w:sz w:val="16"/>
          <w:szCs w:val="16"/>
          <w:color w:val="auto"/>
        </w:rPr>
        <w:t>The Committee retained Willis Towers Watson through March 2018 as its executive compensation consultant.</w:t>
      </w:r>
    </w:p>
    <w:p>
      <w:pPr>
        <w:spacing w:after="0" w:line="74" w:lineRule="exact"/>
        <w:rPr>
          <w:sz w:val="20"/>
          <w:szCs w:val="20"/>
          <w:color w:val="auto"/>
        </w:rPr>
      </w:pPr>
    </w:p>
    <w:p>
      <w:pPr>
        <w:jc w:val="both"/>
        <w:ind w:left="320"/>
        <w:spacing w:after="0" w:line="250" w:lineRule="auto"/>
        <w:rPr>
          <w:sz w:val="20"/>
          <w:szCs w:val="20"/>
          <w:color w:val="auto"/>
        </w:rPr>
      </w:pPr>
      <w:r>
        <w:rPr>
          <w:rFonts w:ascii="Arial" w:cs="Arial" w:eastAsia="Arial" w:hAnsi="Arial"/>
          <w:sz w:val="16"/>
          <w:szCs w:val="16"/>
          <w:color w:val="auto"/>
        </w:rPr>
        <w:t>Retained by and reporting directly to the Human Resources Committee, Willis Towers Watson provided the Committee with assistance in evaluating Winnebago’s executive compensation programs and policies, and, where appropriate, assisted with the redesign and enhancement of elements of the programs. The scope of the consultant’s support included:</w:t>
      </w:r>
    </w:p>
    <w:p>
      <w:pPr>
        <w:spacing w:after="0" w:line="176" w:lineRule="exact"/>
        <w:rPr>
          <w:sz w:val="20"/>
          <w:szCs w:val="20"/>
          <w:color w:val="auto"/>
        </w:rPr>
      </w:pPr>
    </w:p>
    <w:p>
      <w:pPr>
        <w:ind w:left="640" w:hanging="318"/>
        <w:spacing w:after="0"/>
        <w:tabs>
          <w:tab w:leader="none" w:pos="640" w:val="left"/>
        </w:tabs>
        <w:numPr>
          <w:ilvl w:val="0"/>
          <w:numId w:val="27"/>
        </w:numPr>
        <w:rPr>
          <w:rFonts w:ascii="Arial" w:cs="Arial" w:eastAsia="Arial" w:hAnsi="Arial"/>
          <w:sz w:val="16"/>
          <w:szCs w:val="16"/>
          <w:color w:val="auto"/>
        </w:rPr>
      </w:pPr>
      <w:r>
        <w:rPr>
          <w:rFonts w:ascii="Arial" w:cs="Arial" w:eastAsia="Arial" w:hAnsi="Arial"/>
          <w:sz w:val="16"/>
          <w:szCs w:val="16"/>
          <w:color w:val="auto"/>
        </w:rPr>
        <w:t>Review of annual and long-term incentive designs and</w:t>
      </w:r>
    </w:p>
    <w:p>
      <w:pPr>
        <w:spacing w:after="0" w:line="200" w:lineRule="exact"/>
        <w:rPr>
          <w:sz w:val="20"/>
          <w:szCs w:val="20"/>
          <w:color w:val="auto"/>
        </w:rPr>
      </w:pPr>
    </w:p>
    <w:p>
      <w:pPr>
        <w:spacing w:after="0" w:line="372" w:lineRule="exact"/>
        <w:rPr>
          <w:sz w:val="20"/>
          <w:szCs w:val="20"/>
          <w:color w:val="auto"/>
        </w:rPr>
      </w:pPr>
    </w:p>
    <w:p>
      <w:pPr>
        <w:spacing w:after="0"/>
        <w:rPr>
          <w:sz w:val="20"/>
          <w:szCs w:val="20"/>
          <w:color w:val="auto"/>
        </w:rPr>
      </w:pPr>
      <w:r>
        <w:rPr>
          <w:rFonts w:ascii="Arial" w:cs="Arial" w:eastAsia="Arial" w:hAnsi="Arial"/>
          <w:sz w:val="16"/>
          <w:szCs w:val="16"/>
          <w:color w:val="auto"/>
        </w:rPr>
        <w:t>19</w:t>
      </w:r>
    </w:p>
    <w:p>
      <w:pPr>
        <w:sectPr>
          <w:pgSz w:w="11900" w:h="16838" w:orient="portrait"/>
          <w:cols w:equalWidth="0" w:num="2">
            <w:col w:w="5480" w:space="140"/>
            <w:col w:w="5800"/>
          </w:cols>
          <w:pgMar w:left="240" w:top="303" w:right="239" w:bottom="1440" w:gutter="0" w:footer="0" w:header="0"/>
          <w:type w:val="continuous"/>
        </w:sectPr>
      </w:pPr>
    </w:p>
    <w:bookmarkStart w:id="23" w:name="page24"/>
    <w:bookmarkEnd w:id="23"/>
    <w:p>
      <w:pPr>
        <w:ind w:left="40"/>
        <w:spacing w:after="0"/>
        <w:rPr>
          <w:rFonts w:ascii="Arial" w:cs="Arial" w:eastAsia="Arial" w:hAnsi="Arial"/>
          <w:sz w:val="15"/>
          <w:szCs w:val="15"/>
          <w:u w:val="single" w:color="auto"/>
          <w:color w:val="0000EE"/>
        </w:rPr>
      </w:pPr>
      <w:r>
        <w:rPr>
          <w:rFonts w:ascii="Arial" w:cs="Arial" w:eastAsia="Arial" w:hAnsi="Arial"/>
          <w:sz w:val="15"/>
          <w:szCs w:val="15"/>
          <w:u w:val="single" w:color="auto"/>
          <w:color w:val="0000EE"/>
        </w:rPr>
        <w:drawing>
          <wp:anchor simplePos="0" relativeHeight="251657728" behindDoc="1" locked="0" layoutInCell="0" allowOverlap="1">
            <wp:simplePos x="0" y="0"/>
            <wp:positionH relativeFrom="page">
              <wp:posOffset>5946140</wp:posOffset>
            </wp:positionH>
            <wp:positionV relativeFrom="page">
              <wp:posOffset>191770</wp:posOffset>
            </wp:positionV>
            <wp:extent cx="1440815" cy="20574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clrChange>
                        <a:clrFrom>
                          <a:srgbClr val="FFFFFF"/>
                        </a:clrFrom>
                        <a:clrTo>
                          <a:srgbClr val="FFFFFF">
                            <a:alpha val="0"/>
                          </a:srgbClr>
                        </a:clrTo>
                      </a:clrChange>
                      <a:extLst>
                        <a:ext uri="{28A0092B-C50C-407E-A947-70E740481C1C}"/>
                      </a:extLst>
                    </a:blip>
                    <a:srcRect/>
                    <a:stretch>
                      <a:fillRect/>
                    </a:stretch>
                  </pic:blipFill>
                  <pic:spPr bwMode="auto">
                    <a:xfrm>
                      <a:off x="0" y="0"/>
                      <a:ext cx="1440815" cy="205740"/>
                    </a:xfrm>
                    <a:prstGeom prst="rect">
                      <a:avLst/>
                    </a:prstGeom>
                    <a:noFill/>
                  </pic:spPr>
                </pic:pic>
              </a:graphicData>
            </a:graphic>
          </wp:anchor>
        </w:drawing>
      </w:r>
      <w:hyperlink w:anchor="page4">
        <w:r>
          <w:rPr>
            <w:rFonts w:ascii="Arial" w:cs="Arial" w:eastAsia="Arial" w:hAnsi="Arial"/>
            <w:sz w:val="15"/>
            <w:szCs w:val="15"/>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112395</wp:posOffset>
            </wp:positionV>
            <wp:extent cx="7246620" cy="889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303" w:right="239" w:bottom="1440" w:gutter="0" w:footer="0" w:header="0"/>
        </w:sectPr>
      </w:pPr>
    </w:p>
    <w:p>
      <w:pPr>
        <w:spacing w:after="0" w:line="200" w:lineRule="exact"/>
        <w:rPr>
          <w:sz w:val="20"/>
          <w:szCs w:val="20"/>
          <w:color w:val="auto"/>
        </w:rPr>
      </w:pPr>
    </w:p>
    <w:p>
      <w:pPr>
        <w:spacing w:after="0" w:line="262" w:lineRule="exact"/>
        <w:rPr>
          <w:sz w:val="20"/>
          <w:szCs w:val="20"/>
          <w:color w:val="auto"/>
        </w:rPr>
      </w:pPr>
    </w:p>
    <w:p>
      <w:pPr>
        <w:ind w:left="340"/>
        <w:spacing w:after="0" w:line="317" w:lineRule="auto"/>
        <w:rPr>
          <w:sz w:val="20"/>
          <w:szCs w:val="20"/>
          <w:color w:val="auto"/>
        </w:rPr>
      </w:pPr>
      <w:r>
        <w:rPr>
          <w:rFonts w:ascii="Arial" w:cs="Arial" w:eastAsia="Arial" w:hAnsi="Arial"/>
          <w:sz w:val="16"/>
          <w:szCs w:val="16"/>
          <w:color w:val="auto"/>
        </w:rPr>
        <w:t>assistance with determination of annual and long-term incentive awards (including the Fiscal 2018 awards)</w:t>
      </w:r>
    </w:p>
    <w:p>
      <w:pPr>
        <w:jc w:val="both"/>
        <w:ind w:left="340" w:right="20" w:hanging="332"/>
        <w:spacing w:after="0" w:line="246" w:lineRule="auto"/>
        <w:tabs>
          <w:tab w:leader="none" w:pos="340" w:val="left"/>
        </w:tabs>
        <w:numPr>
          <w:ilvl w:val="0"/>
          <w:numId w:val="28"/>
        </w:numPr>
        <w:rPr>
          <w:rFonts w:ascii="Arial" w:cs="Arial" w:eastAsia="Arial" w:hAnsi="Arial"/>
          <w:sz w:val="16"/>
          <w:szCs w:val="16"/>
          <w:color w:val="auto"/>
        </w:rPr>
      </w:pPr>
      <w:r>
        <w:rPr>
          <w:rFonts w:ascii="Arial" w:cs="Arial" w:eastAsia="Arial" w:hAnsi="Arial"/>
          <w:sz w:val="16"/>
          <w:szCs w:val="16"/>
          <w:color w:val="auto"/>
        </w:rPr>
        <w:t>Review of the total compensation program, including competitive peer group analysis and analysis of executive pay levels in relation to broader market survey data</w:t>
      </w:r>
    </w:p>
    <w:p>
      <w:pPr>
        <w:spacing w:after="0" w:line="1" w:lineRule="exact"/>
        <w:rPr>
          <w:rFonts w:ascii="Arial" w:cs="Arial" w:eastAsia="Arial" w:hAnsi="Arial"/>
          <w:sz w:val="16"/>
          <w:szCs w:val="16"/>
          <w:color w:val="auto"/>
        </w:rPr>
      </w:pPr>
    </w:p>
    <w:p>
      <w:pPr>
        <w:jc w:val="both"/>
        <w:ind w:left="340" w:hanging="332"/>
        <w:spacing w:after="0" w:line="246" w:lineRule="auto"/>
        <w:tabs>
          <w:tab w:leader="none" w:pos="340" w:val="left"/>
        </w:tabs>
        <w:numPr>
          <w:ilvl w:val="0"/>
          <w:numId w:val="28"/>
        </w:numPr>
        <w:rPr>
          <w:rFonts w:ascii="Arial" w:cs="Arial" w:eastAsia="Arial" w:hAnsi="Arial"/>
          <w:sz w:val="16"/>
          <w:szCs w:val="16"/>
          <w:color w:val="auto"/>
        </w:rPr>
      </w:pPr>
      <w:r>
        <w:rPr>
          <w:rFonts w:ascii="Arial" w:cs="Arial" w:eastAsia="Arial" w:hAnsi="Arial"/>
          <w:sz w:val="16"/>
          <w:szCs w:val="16"/>
          <w:color w:val="auto"/>
        </w:rPr>
        <w:t>Review information provided to the Committee by management, and develop recommendations with respect to CEO compensation decisions and provide advice to the Committee on the compensation decisions affecting all executives, including the NEOs</w:t>
      </w:r>
    </w:p>
    <w:p>
      <w:pPr>
        <w:spacing w:after="0" w:line="1" w:lineRule="exact"/>
        <w:rPr>
          <w:rFonts w:ascii="Arial" w:cs="Arial" w:eastAsia="Arial" w:hAnsi="Arial"/>
          <w:sz w:val="16"/>
          <w:szCs w:val="16"/>
          <w:color w:val="auto"/>
        </w:rPr>
      </w:pPr>
    </w:p>
    <w:p>
      <w:pPr>
        <w:ind w:left="340" w:hanging="332"/>
        <w:spacing w:after="0" w:line="246" w:lineRule="auto"/>
        <w:tabs>
          <w:tab w:leader="none" w:pos="340" w:val="left"/>
        </w:tabs>
        <w:numPr>
          <w:ilvl w:val="0"/>
          <w:numId w:val="28"/>
        </w:numPr>
        <w:rPr>
          <w:rFonts w:ascii="Arial" w:cs="Arial" w:eastAsia="Arial" w:hAnsi="Arial"/>
          <w:sz w:val="16"/>
          <w:szCs w:val="16"/>
          <w:color w:val="auto"/>
        </w:rPr>
      </w:pPr>
      <w:r>
        <w:rPr>
          <w:rFonts w:ascii="Arial" w:cs="Arial" w:eastAsia="Arial" w:hAnsi="Arial"/>
          <w:sz w:val="16"/>
          <w:szCs w:val="16"/>
          <w:color w:val="auto"/>
        </w:rPr>
        <w:t>Attend and participate in Committee meetings as requested by the Committee</w:t>
      </w:r>
    </w:p>
    <w:p>
      <w:pPr>
        <w:ind w:left="340" w:hanging="332"/>
        <w:spacing w:after="0" w:line="246" w:lineRule="auto"/>
        <w:tabs>
          <w:tab w:leader="none" w:pos="340" w:val="left"/>
        </w:tabs>
        <w:numPr>
          <w:ilvl w:val="0"/>
          <w:numId w:val="28"/>
        </w:numPr>
        <w:rPr>
          <w:rFonts w:ascii="Arial" w:cs="Arial" w:eastAsia="Arial" w:hAnsi="Arial"/>
          <w:sz w:val="16"/>
          <w:szCs w:val="16"/>
          <w:color w:val="auto"/>
        </w:rPr>
      </w:pPr>
      <w:r>
        <w:rPr>
          <w:rFonts w:ascii="Arial" w:cs="Arial" w:eastAsia="Arial" w:hAnsi="Arial"/>
          <w:sz w:val="16"/>
          <w:szCs w:val="16"/>
          <w:color w:val="auto"/>
        </w:rPr>
        <w:t>Report on compensation trends and best practices, plan design, and the reasonableness of individual compensation awards</w:t>
      </w:r>
    </w:p>
    <w:p>
      <w:pPr>
        <w:ind w:left="340" w:hanging="332"/>
        <w:spacing w:after="0" w:line="260" w:lineRule="auto"/>
        <w:tabs>
          <w:tab w:leader="none" w:pos="340" w:val="left"/>
        </w:tabs>
        <w:numPr>
          <w:ilvl w:val="0"/>
          <w:numId w:val="28"/>
        </w:numPr>
        <w:rPr>
          <w:rFonts w:ascii="Arial" w:cs="Arial" w:eastAsia="Arial" w:hAnsi="Arial"/>
          <w:sz w:val="16"/>
          <w:szCs w:val="16"/>
          <w:color w:val="auto"/>
        </w:rPr>
      </w:pPr>
      <w:r>
        <w:rPr>
          <w:rFonts w:ascii="Arial" w:cs="Arial" w:eastAsia="Arial" w:hAnsi="Arial"/>
          <w:sz w:val="16"/>
          <w:szCs w:val="16"/>
          <w:color w:val="auto"/>
        </w:rPr>
        <w:t>Meet with the Committee and/ or its members without management present</w:t>
      </w:r>
    </w:p>
    <w:p>
      <w:pPr>
        <w:spacing w:after="0" w:line="169" w:lineRule="exact"/>
        <w:rPr>
          <w:sz w:val="20"/>
          <w:szCs w:val="20"/>
          <w:color w:val="auto"/>
        </w:rPr>
      </w:pPr>
    </w:p>
    <w:p>
      <w:pPr>
        <w:jc w:val="both"/>
        <w:spacing w:after="0" w:line="249" w:lineRule="auto"/>
        <w:rPr>
          <w:sz w:val="20"/>
          <w:szCs w:val="20"/>
          <w:color w:val="auto"/>
        </w:rPr>
      </w:pPr>
      <w:r>
        <w:rPr>
          <w:rFonts w:ascii="Arial" w:cs="Arial" w:eastAsia="Arial" w:hAnsi="Arial"/>
          <w:sz w:val="16"/>
          <w:szCs w:val="16"/>
          <w:color w:val="auto"/>
        </w:rPr>
        <w:t>In April 2018, the Committee selected Semler Brossy to act as its independent compensation consultant. Semler Brossy assisted the Committee in its final determination of Fiscal 2018 payouts and provided assistance to the Committee with respect to proxy disclosure issues. The scope of its assignments for Fiscal 2019 executive compensation are substantially similar to those of Willis Towers Watson described above.</w:t>
      </w:r>
    </w:p>
    <w:p>
      <w:pPr>
        <w:spacing w:after="0" w:line="84" w:lineRule="exact"/>
        <w:rPr>
          <w:sz w:val="20"/>
          <w:szCs w:val="20"/>
          <w:color w:val="auto"/>
        </w:rPr>
      </w:pPr>
    </w:p>
    <w:p>
      <w:pPr>
        <w:jc w:val="both"/>
        <w:spacing w:after="0" w:line="249" w:lineRule="auto"/>
        <w:rPr>
          <w:sz w:val="20"/>
          <w:szCs w:val="20"/>
          <w:color w:val="auto"/>
        </w:rPr>
      </w:pPr>
      <w:r>
        <w:rPr>
          <w:rFonts w:ascii="Arial" w:cs="Arial" w:eastAsia="Arial" w:hAnsi="Arial"/>
          <w:sz w:val="16"/>
          <w:szCs w:val="16"/>
          <w:color w:val="auto"/>
        </w:rPr>
        <w:t>Neither Willis Towers Watson nor Semler Brossy provided any services to us other than those detailed above. The Committee determined that no conflicts of interest exist with respect to either Willis Towers Watson or Semler Brossy serving as an advisor to the Committee. In making this determination, the Committee considered various factors, including those set forth in the SEC’s and NYSE’s rules.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42" w:lineRule="exact"/>
        <w:rPr>
          <w:sz w:val="20"/>
          <w:szCs w:val="20"/>
          <w:color w:val="auto"/>
        </w:rPr>
      </w:pPr>
    </w:p>
    <w:p>
      <w:pPr>
        <w:ind w:left="320"/>
        <w:spacing w:after="0"/>
        <w:rPr>
          <w:sz w:val="20"/>
          <w:szCs w:val="20"/>
          <w:color w:val="auto"/>
        </w:rPr>
      </w:pPr>
      <w:r>
        <w:rPr>
          <w:rFonts w:ascii="Arial" w:cs="Arial" w:eastAsia="Arial" w:hAnsi="Arial"/>
          <w:sz w:val="16"/>
          <w:szCs w:val="16"/>
          <w:color w:val="auto"/>
        </w:rPr>
        <w:t>incentive awards.</w:t>
      </w:r>
    </w:p>
    <w:p>
      <w:pPr>
        <w:spacing w:after="0" w:line="240" w:lineRule="exact"/>
        <w:rPr>
          <w:sz w:val="20"/>
          <w:szCs w:val="20"/>
          <w:color w:val="auto"/>
        </w:rPr>
      </w:pPr>
    </w:p>
    <w:p>
      <w:pPr>
        <w:spacing w:after="0"/>
        <w:rPr>
          <w:sz w:val="20"/>
          <w:szCs w:val="20"/>
          <w:color w:val="auto"/>
        </w:rPr>
      </w:pPr>
      <w:r>
        <w:rPr>
          <w:rFonts w:ascii="Arial" w:cs="Arial" w:eastAsia="Arial" w:hAnsi="Arial"/>
          <w:sz w:val="22"/>
          <w:szCs w:val="22"/>
          <w:color w:val="828282"/>
        </w:rPr>
        <w:t>Pay Positioning and Compensation Peers</w:t>
      </w:r>
    </w:p>
    <w:p>
      <w:pPr>
        <w:spacing w:after="0" w:line="282"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auto"/>
        </w:rPr>
        <w:t>When setting Fiscal 2018 compensation, the Committee focused on trying to set pay levels, in the aggregate, within a competitive range of the market median. Some roles may be higher or lower in the competitive range based on performance, tenure in role, or other internal considerations. Competitive market data is only one of several resources made available to the Committee to assist it in setting executive compensation levels. The Committee does not use the median as a formula to determine compensation or as a fixed target.</w:t>
      </w:r>
    </w:p>
    <w:p>
      <w:pPr>
        <w:spacing w:after="0" w:line="86"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auto"/>
        </w:rPr>
        <w:t>The Committee establishes an individual annual bonus and equity incentive target opportunity for each NEO based on the Committee’s evaluation of the executive’s experience, level and scope of responsibility and individual performance. Actual cash compensation may be more or less than the target opportunity as a result of performance under the incentive plan. Realized compensation from our equity-based awards may be more or less than the target opportunity as a result of our performance relative to the LTIP measures and our stock price performance.</w:t>
      </w:r>
    </w:p>
    <w:p>
      <w:pPr>
        <w:spacing w:after="0" w:line="86" w:lineRule="exact"/>
        <w:rPr>
          <w:sz w:val="20"/>
          <w:szCs w:val="20"/>
          <w:color w:val="auto"/>
        </w:rPr>
      </w:pPr>
    </w:p>
    <w:p>
      <w:pPr>
        <w:jc w:val="both"/>
        <w:spacing w:after="0" w:line="249" w:lineRule="auto"/>
        <w:rPr>
          <w:sz w:val="20"/>
          <w:szCs w:val="20"/>
          <w:color w:val="auto"/>
        </w:rPr>
      </w:pPr>
      <w:r>
        <w:rPr>
          <w:rFonts w:ascii="Arial" w:cs="Arial" w:eastAsia="Arial" w:hAnsi="Arial"/>
          <w:sz w:val="16"/>
          <w:szCs w:val="16"/>
          <w:color w:val="auto"/>
        </w:rPr>
        <w:t>In setting compensation, the Committee compares base salaries, annual incentive opportunities and long-term compensation for the NEOs to a peer group of similarly sized companies (which we refer to collectively as our Compensation Peers). For Fiscal 2018, the Committee used the following set of companies that were determined to have similarly sized revenues and market values.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146050</wp:posOffset>
            </wp:positionV>
            <wp:extent cx="3473450" cy="889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3473450" cy="8890"/>
                    </a:xfrm>
                    <a:prstGeom prst="rect">
                      <a:avLst/>
                    </a:prstGeom>
                    <a:noFill/>
                  </pic:spPr>
                </pic:pic>
              </a:graphicData>
            </a:graphic>
          </wp:anchor>
        </w:drawing>
      </w:r>
    </w:p>
    <w:p>
      <w:pPr>
        <w:spacing w:after="0" w:line="273" w:lineRule="exact"/>
        <w:rPr>
          <w:sz w:val="20"/>
          <w:szCs w:val="20"/>
          <w:color w:val="auto"/>
        </w:rPr>
      </w:pPr>
    </w:p>
    <w:p>
      <w:pPr>
        <w:sectPr>
          <w:pgSz w:w="11900" w:h="16838" w:orient="portrait"/>
          <w:cols w:equalWidth="0" w:num="2">
            <w:col w:w="5480" w:space="460"/>
            <w:col w:w="5480"/>
          </w:cols>
          <w:pgMar w:left="240" w:top="303" w:right="239" w:bottom="1440" w:gutter="0" w:footer="0" w:header="0"/>
          <w:type w:val="continuous"/>
        </w:sectPr>
      </w:pPr>
    </w:p>
    <w:p>
      <w:pPr>
        <w:spacing w:after="0" w:line="59" w:lineRule="exact"/>
        <w:rPr>
          <w:sz w:val="20"/>
          <w:szCs w:val="20"/>
          <w:color w:val="auto"/>
        </w:rPr>
      </w:pPr>
    </w:p>
    <w:p>
      <w:pPr>
        <w:spacing w:after="0"/>
        <w:rPr>
          <w:sz w:val="20"/>
          <w:szCs w:val="20"/>
          <w:color w:val="auto"/>
        </w:rPr>
      </w:pPr>
      <w:r>
        <w:rPr>
          <w:rFonts w:ascii="Arial" w:cs="Arial" w:eastAsia="Arial" w:hAnsi="Arial"/>
          <w:sz w:val="22"/>
          <w:szCs w:val="22"/>
          <w:color w:val="828282"/>
        </w:rPr>
        <w:t>Role of Management</w:t>
      </w:r>
    </w:p>
    <w:p>
      <w:pPr>
        <w:spacing w:after="0" w:line="188"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auto"/>
        </w:rPr>
        <w:t>Our CEO and our other executive officers do not set their own compensation nor are they present when the Committee sets their specific individual compensation. Our CEO provides his evaluation of each executive officer’s performance to the Committee, and makes recommendations with respect to base salary and target incentives, incentive awards and equity awards for each executive officer other than himself. This recommendation is considered by the Committee, which makes its own ultimate determinations.</w:t>
      </w:r>
    </w:p>
    <w:p>
      <w:pPr>
        <w:spacing w:after="0" w:line="290" w:lineRule="exact"/>
        <w:rPr>
          <w:sz w:val="20"/>
          <w:szCs w:val="20"/>
          <w:color w:val="auto"/>
        </w:rPr>
      </w:pPr>
    </w:p>
    <w:p>
      <w:pPr>
        <w:ind w:right="300"/>
        <w:spacing w:after="0" w:line="253" w:lineRule="auto"/>
        <w:rPr>
          <w:sz w:val="20"/>
          <w:szCs w:val="20"/>
          <w:color w:val="auto"/>
        </w:rPr>
      </w:pPr>
      <w:r>
        <w:rPr>
          <w:rFonts w:ascii="Arial" w:cs="Arial" w:eastAsia="Arial" w:hAnsi="Arial"/>
          <w:sz w:val="16"/>
          <w:szCs w:val="16"/>
          <w:color w:val="auto"/>
        </w:rPr>
        <w:t>The Human Resources Department provides additional analysis and guidance as requested by the Committee related to NEO compensation, including the following:</w:t>
      </w:r>
    </w:p>
    <w:p>
      <w:pPr>
        <w:spacing w:after="0" w:line="282" w:lineRule="exact"/>
        <w:rPr>
          <w:sz w:val="20"/>
          <w:szCs w:val="20"/>
          <w:color w:val="auto"/>
        </w:rPr>
      </w:pPr>
    </w:p>
    <w:p>
      <w:pPr>
        <w:ind w:left="340" w:right="20" w:hanging="332"/>
        <w:spacing w:after="0" w:line="246" w:lineRule="auto"/>
        <w:tabs>
          <w:tab w:leader="none" w:pos="340" w:val="left"/>
        </w:tabs>
        <w:numPr>
          <w:ilvl w:val="0"/>
          <w:numId w:val="29"/>
        </w:numPr>
        <w:rPr>
          <w:rFonts w:ascii="Arial" w:cs="Arial" w:eastAsia="Arial" w:hAnsi="Arial"/>
          <w:sz w:val="16"/>
          <w:szCs w:val="16"/>
          <w:color w:val="auto"/>
        </w:rPr>
      </w:pPr>
      <w:r>
        <w:rPr>
          <w:rFonts w:ascii="Arial" w:cs="Arial" w:eastAsia="Arial" w:hAnsi="Arial"/>
          <w:sz w:val="16"/>
          <w:szCs w:val="16"/>
          <w:color w:val="auto"/>
        </w:rPr>
        <w:t>Developing, summarizing and presenting information and analyses to enable the Human Resources Committee to execute its responsibilities, as well as addressing specific requests for information from the Committee</w:t>
      </w:r>
    </w:p>
    <w:p>
      <w:pPr>
        <w:spacing w:after="0" w:line="1" w:lineRule="exact"/>
        <w:rPr>
          <w:rFonts w:ascii="Arial" w:cs="Arial" w:eastAsia="Arial" w:hAnsi="Arial"/>
          <w:sz w:val="16"/>
          <w:szCs w:val="16"/>
          <w:color w:val="auto"/>
        </w:rPr>
      </w:pPr>
    </w:p>
    <w:p>
      <w:pPr>
        <w:ind w:left="340" w:right="300" w:hanging="332"/>
        <w:spacing w:after="0" w:line="246" w:lineRule="auto"/>
        <w:tabs>
          <w:tab w:leader="none" w:pos="340" w:val="left"/>
        </w:tabs>
        <w:numPr>
          <w:ilvl w:val="0"/>
          <w:numId w:val="29"/>
        </w:numPr>
        <w:rPr>
          <w:rFonts w:ascii="Arial" w:cs="Arial" w:eastAsia="Arial" w:hAnsi="Arial"/>
          <w:sz w:val="16"/>
          <w:szCs w:val="16"/>
          <w:color w:val="auto"/>
        </w:rPr>
      </w:pPr>
      <w:r>
        <w:rPr>
          <w:rFonts w:ascii="Arial" w:cs="Arial" w:eastAsia="Arial" w:hAnsi="Arial"/>
          <w:sz w:val="16"/>
          <w:szCs w:val="16"/>
          <w:color w:val="auto"/>
        </w:rPr>
        <w:t>Attending Committee meetings as requested to provide information, respond to questions and otherwise assist the Committee</w:t>
      </w:r>
    </w:p>
    <w:p>
      <w:pPr>
        <w:ind w:left="340" w:right="340" w:hanging="332"/>
        <w:spacing w:after="0" w:line="253" w:lineRule="auto"/>
        <w:tabs>
          <w:tab w:leader="none" w:pos="340" w:val="left"/>
        </w:tabs>
        <w:numPr>
          <w:ilvl w:val="0"/>
          <w:numId w:val="29"/>
        </w:numPr>
        <w:rPr>
          <w:rFonts w:ascii="Arial" w:cs="Arial" w:eastAsia="Arial" w:hAnsi="Arial"/>
          <w:sz w:val="16"/>
          <w:szCs w:val="16"/>
          <w:color w:val="auto"/>
        </w:rPr>
      </w:pPr>
      <w:r>
        <w:rPr>
          <w:rFonts w:ascii="Arial" w:cs="Arial" w:eastAsia="Arial" w:hAnsi="Arial"/>
          <w:sz w:val="16"/>
          <w:szCs w:val="16"/>
          <w:color w:val="auto"/>
        </w:rPr>
        <w:t>Assisting the CEO in making preliminary recommendations of base salary structure, annual and LTI program design and target award levels for the NEOs and other employees eligible to receive annual</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20" w:type="dxa"/>
        <w:tblCellMar>
          <w:top w:w="0" w:type="dxa"/>
          <w:left w:w="0" w:type="dxa"/>
          <w:bottom w:w="0" w:type="dxa"/>
          <w:right w:w="0" w:type="dxa"/>
        </w:tblCellMar>
      </w:tblPr>
      <w:tr>
        <w:trPr>
          <w:trHeight w:val="208"/>
        </w:trPr>
        <w:tc>
          <w:tcPr>
            <w:tcW w:w="2380" w:type="dxa"/>
            <w:vAlign w:val="bottom"/>
            <w:tcBorders>
              <w:bottom w:val="single" w:sz="8" w:color="ABC0CB"/>
            </w:tcBorders>
          </w:tcPr>
          <w:p>
            <w:pPr>
              <w:ind w:left="20"/>
              <w:spacing w:after="0"/>
              <w:rPr>
                <w:sz w:val="20"/>
                <w:szCs w:val="20"/>
                <w:color w:val="auto"/>
              </w:rPr>
            </w:pPr>
            <w:r>
              <w:rPr>
                <w:rFonts w:ascii="Arial" w:cs="Arial" w:eastAsia="Arial" w:hAnsi="Arial"/>
                <w:sz w:val="16"/>
                <w:szCs w:val="16"/>
                <w:color w:val="auto"/>
              </w:rPr>
              <w:t>A. O. Smith</w:t>
            </w:r>
          </w:p>
        </w:tc>
        <w:tc>
          <w:tcPr>
            <w:tcW w:w="3080" w:type="dxa"/>
            <w:vAlign w:val="bottom"/>
            <w:tcBorders>
              <w:bottom w:val="single" w:sz="8" w:color="ABC0CB"/>
            </w:tcBorders>
          </w:tcPr>
          <w:p>
            <w:pPr>
              <w:ind w:left="380"/>
              <w:spacing w:after="0"/>
              <w:rPr>
                <w:sz w:val="20"/>
                <w:szCs w:val="20"/>
                <w:color w:val="auto"/>
              </w:rPr>
            </w:pPr>
            <w:r>
              <w:rPr>
                <w:rFonts w:ascii="Arial" w:cs="Arial" w:eastAsia="Arial" w:hAnsi="Arial"/>
                <w:sz w:val="16"/>
                <w:szCs w:val="16"/>
                <w:color w:val="auto"/>
              </w:rPr>
              <w:t>Polaris Industries</w:t>
            </w:r>
          </w:p>
        </w:tc>
      </w:tr>
      <w:tr>
        <w:trPr>
          <w:trHeight w:val="237"/>
        </w:trPr>
        <w:tc>
          <w:tcPr>
            <w:tcW w:w="2380" w:type="dxa"/>
            <w:vAlign w:val="bottom"/>
            <w:tcBorders>
              <w:bottom w:val="single" w:sz="8" w:color="ABC0CB"/>
            </w:tcBorders>
          </w:tcPr>
          <w:p>
            <w:pPr>
              <w:ind w:left="20"/>
              <w:spacing w:after="0"/>
              <w:rPr>
                <w:sz w:val="20"/>
                <w:szCs w:val="20"/>
                <w:color w:val="auto"/>
              </w:rPr>
            </w:pPr>
            <w:r>
              <w:rPr>
                <w:rFonts w:ascii="Arial" w:cs="Arial" w:eastAsia="Arial" w:hAnsi="Arial"/>
                <w:sz w:val="16"/>
                <w:szCs w:val="16"/>
                <w:color w:val="auto"/>
              </w:rPr>
              <w:t>Alamo Group</w:t>
            </w:r>
          </w:p>
        </w:tc>
        <w:tc>
          <w:tcPr>
            <w:tcW w:w="3080" w:type="dxa"/>
            <w:vAlign w:val="bottom"/>
            <w:tcBorders>
              <w:bottom w:val="single" w:sz="8" w:color="ABC0CB"/>
            </w:tcBorders>
          </w:tcPr>
          <w:p>
            <w:pPr>
              <w:ind w:left="380"/>
              <w:spacing w:after="0"/>
              <w:rPr>
                <w:sz w:val="20"/>
                <w:szCs w:val="20"/>
                <w:color w:val="auto"/>
              </w:rPr>
            </w:pPr>
            <w:r>
              <w:rPr>
                <w:rFonts w:ascii="Arial" w:cs="Arial" w:eastAsia="Arial" w:hAnsi="Arial"/>
                <w:sz w:val="16"/>
                <w:szCs w:val="16"/>
                <w:color w:val="auto"/>
              </w:rPr>
              <w:t>REV Group</w:t>
            </w:r>
          </w:p>
        </w:tc>
      </w:tr>
      <w:tr>
        <w:trPr>
          <w:trHeight w:val="237"/>
        </w:trPr>
        <w:tc>
          <w:tcPr>
            <w:tcW w:w="2380" w:type="dxa"/>
            <w:vAlign w:val="bottom"/>
            <w:tcBorders>
              <w:bottom w:val="single" w:sz="8" w:color="ABC0CB"/>
            </w:tcBorders>
          </w:tcPr>
          <w:p>
            <w:pPr>
              <w:ind w:left="20"/>
              <w:spacing w:after="0"/>
              <w:rPr>
                <w:sz w:val="20"/>
                <w:szCs w:val="20"/>
                <w:color w:val="auto"/>
              </w:rPr>
            </w:pPr>
            <w:r>
              <w:rPr>
                <w:rFonts w:ascii="Arial" w:cs="Arial" w:eastAsia="Arial" w:hAnsi="Arial"/>
                <w:sz w:val="16"/>
                <w:szCs w:val="16"/>
                <w:color w:val="auto"/>
              </w:rPr>
              <w:t>American Railcar Industries</w:t>
            </w:r>
          </w:p>
        </w:tc>
        <w:tc>
          <w:tcPr>
            <w:tcW w:w="3080" w:type="dxa"/>
            <w:vAlign w:val="bottom"/>
            <w:tcBorders>
              <w:bottom w:val="single" w:sz="8" w:color="ABC0CB"/>
            </w:tcBorders>
          </w:tcPr>
          <w:p>
            <w:pPr>
              <w:ind w:left="380"/>
              <w:spacing w:after="0"/>
              <w:rPr>
                <w:sz w:val="20"/>
                <w:szCs w:val="20"/>
                <w:color w:val="auto"/>
              </w:rPr>
            </w:pPr>
            <w:r>
              <w:rPr>
                <w:rFonts w:ascii="Arial" w:cs="Arial" w:eastAsia="Arial" w:hAnsi="Arial"/>
                <w:sz w:val="16"/>
                <w:szCs w:val="16"/>
                <w:color w:val="auto"/>
              </w:rPr>
              <w:t>Shiloh Industries</w:t>
            </w:r>
          </w:p>
        </w:tc>
      </w:tr>
      <w:tr>
        <w:trPr>
          <w:trHeight w:val="237"/>
        </w:trPr>
        <w:tc>
          <w:tcPr>
            <w:tcW w:w="2380" w:type="dxa"/>
            <w:vAlign w:val="bottom"/>
            <w:tcBorders>
              <w:bottom w:val="single" w:sz="8" w:color="ABC0CB"/>
            </w:tcBorders>
          </w:tcPr>
          <w:p>
            <w:pPr>
              <w:ind w:left="20"/>
              <w:spacing w:after="0"/>
              <w:rPr>
                <w:sz w:val="20"/>
                <w:szCs w:val="20"/>
                <w:color w:val="auto"/>
              </w:rPr>
            </w:pPr>
            <w:r>
              <w:rPr>
                <w:rFonts w:ascii="Arial" w:cs="Arial" w:eastAsia="Arial" w:hAnsi="Arial"/>
                <w:sz w:val="16"/>
                <w:szCs w:val="16"/>
                <w:color w:val="auto"/>
              </w:rPr>
              <w:t>Blue Bird</w:t>
            </w:r>
          </w:p>
        </w:tc>
        <w:tc>
          <w:tcPr>
            <w:tcW w:w="3080" w:type="dxa"/>
            <w:vAlign w:val="bottom"/>
            <w:tcBorders>
              <w:bottom w:val="single" w:sz="8" w:color="ABC0CB"/>
            </w:tcBorders>
          </w:tcPr>
          <w:p>
            <w:pPr>
              <w:ind w:left="380"/>
              <w:spacing w:after="0"/>
              <w:rPr>
                <w:sz w:val="20"/>
                <w:szCs w:val="20"/>
                <w:color w:val="auto"/>
              </w:rPr>
            </w:pPr>
            <w:r>
              <w:rPr>
                <w:rFonts w:ascii="Arial" w:cs="Arial" w:eastAsia="Arial" w:hAnsi="Arial"/>
                <w:sz w:val="16"/>
                <w:szCs w:val="16"/>
                <w:color w:val="auto"/>
              </w:rPr>
              <w:t>Standard Motor Products</w:t>
            </w:r>
          </w:p>
        </w:tc>
      </w:tr>
      <w:tr>
        <w:trPr>
          <w:trHeight w:val="237"/>
        </w:trPr>
        <w:tc>
          <w:tcPr>
            <w:tcW w:w="2380" w:type="dxa"/>
            <w:vAlign w:val="bottom"/>
            <w:tcBorders>
              <w:bottom w:val="single" w:sz="8" w:color="ABC0CB"/>
            </w:tcBorders>
          </w:tcPr>
          <w:p>
            <w:pPr>
              <w:ind w:left="20"/>
              <w:spacing w:after="0"/>
              <w:rPr>
                <w:sz w:val="20"/>
                <w:szCs w:val="20"/>
                <w:color w:val="auto"/>
              </w:rPr>
            </w:pPr>
            <w:r>
              <w:rPr>
                <w:rFonts w:ascii="Arial" w:cs="Arial" w:eastAsia="Arial" w:hAnsi="Arial"/>
                <w:sz w:val="16"/>
                <w:szCs w:val="16"/>
                <w:color w:val="auto"/>
              </w:rPr>
              <w:t>Federal Signal</w:t>
            </w:r>
          </w:p>
        </w:tc>
        <w:tc>
          <w:tcPr>
            <w:tcW w:w="3080" w:type="dxa"/>
            <w:vAlign w:val="bottom"/>
            <w:tcBorders>
              <w:bottom w:val="single" w:sz="8" w:color="ABC0CB"/>
            </w:tcBorders>
          </w:tcPr>
          <w:p>
            <w:pPr>
              <w:ind w:left="380"/>
              <w:spacing w:after="0"/>
              <w:rPr>
                <w:sz w:val="20"/>
                <w:szCs w:val="20"/>
                <w:color w:val="auto"/>
              </w:rPr>
            </w:pPr>
            <w:r>
              <w:rPr>
                <w:rFonts w:ascii="Arial" w:cs="Arial" w:eastAsia="Arial" w:hAnsi="Arial"/>
                <w:sz w:val="16"/>
                <w:szCs w:val="16"/>
                <w:color w:val="auto"/>
              </w:rPr>
              <w:t>Standex International</w:t>
            </w:r>
          </w:p>
        </w:tc>
      </w:tr>
      <w:tr>
        <w:trPr>
          <w:trHeight w:val="237"/>
        </w:trPr>
        <w:tc>
          <w:tcPr>
            <w:tcW w:w="2380" w:type="dxa"/>
            <w:vAlign w:val="bottom"/>
            <w:tcBorders>
              <w:bottom w:val="single" w:sz="8" w:color="ABC0CB"/>
            </w:tcBorders>
          </w:tcPr>
          <w:p>
            <w:pPr>
              <w:ind w:left="20"/>
              <w:spacing w:after="0"/>
              <w:rPr>
                <w:sz w:val="20"/>
                <w:szCs w:val="20"/>
                <w:color w:val="auto"/>
              </w:rPr>
            </w:pPr>
            <w:r>
              <w:rPr>
                <w:rFonts w:ascii="Arial" w:cs="Arial" w:eastAsia="Arial" w:hAnsi="Arial"/>
                <w:sz w:val="16"/>
                <w:szCs w:val="16"/>
                <w:color w:val="auto"/>
              </w:rPr>
              <w:t>FreightCar America</w:t>
            </w:r>
          </w:p>
        </w:tc>
        <w:tc>
          <w:tcPr>
            <w:tcW w:w="3080" w:type="dxa"/>
            <w:vAlign w:val="bottom"/>
            <w:tcBorders>
              <w:bottom w:val="single" w:sz="8" w:color="ABC0CB"/>
            </w:tcBorders>
          </w:tcPr>
          <w:p>
            <w:pPr>
              <w:ind w:left="380"/>
              <w:spacing w:after="0"/>
              <w:rPr>
                <w:sz w:val="20"/>
                <w:szCs w:val="20"/>
                <w:color w:val="auto"/>
              </w:rPr>
            </w:pPr>
            <w:r>
              <w:rPr>
                <w:rFonts w:ascii="Arial" w:cs="Arial" w:eastAsia="Arial" w:hAnsi="Arial"/>
                <w:sz w:val="16"/>
                <w:szCs w:val="16"/>
                <w:color w:val="auto"/>
              </w:rPr>
              <w:t>Tennant Company</w:t>
            </w:r>
          </w:p>
        </w:tc>
      </w:tr>
      <w:tr>
        <w:trPr>
          <w:trHeight w:val="237"/>
        </w:trPr>
        <w:tc>
          <w:tcPr>
            <w:tcW w:w="2380" w:type="dxa"/>
            <w:vAlign w:val="bottom"/>
            <w:tcBorders>
              <w:bottom w:val="single" w:sz="8" w:color="ABC0CB"/>
            </w:tcBorders>
          </w:tcPr>
          <w:p>
            <w:pPr>
              <w:ind w:left="20"/>
              <w:spacing w:after="0"/>
              <w:rPr>
                <w:sz w:val="20"/>
                <w:szCs w:val="20"/>
                <w:color w:val="auto"/>
              </w:rPr>
            </w:pPr>
            <w:r>
              <w:rPr>
                <w:rFonts w:ascii="Arial" w:cs="Arial" w:eastAsia="Arial" w:hAnsi="Arial"/>
                <w:sz w:val="16"/>
                <w:szCs w:val="16"/>
                <w:color w:val="auto"/>
              </w:rPr>
              <w:t>Gentherm Incorporated</w:t>
            </w:r>
          </w:p>
        </w:tc>
        <w:tc>
          <w:tcPr>
            <w:tcW w:w="3080" w:type="dxa"/>
            <w:vAlign w:val="bottom"/>
            <w:tcBorders>
              <w:bottom w:val="single" w:sz="8" w:color="ABC0CB"/>
            </w:tcBorders>
          </w:tcPr>
          <w:p>
            <w:pPr>
              <w:ind w:left="380"/>
              <w:spacing w:after="0"/>
              <w:rPr>
                <w:sz w:val="20"/>
                <w:szCs w:val="20"/>
                <w:color w:val="auto"/>
              </w:rPr>
            </w:pPr>
            <w:r>
              <w:rPr>
                <w:rFonts w:ascii="Arial" w:cs="Arial" w:eastAsia="Arial" w:hAnsi="Arial"/>
                <w:sz w:val="16"/>
                <w:szCs w:val="16"/>
                <w:color w:val="auto"/>
              </w:rPr>
              <w:t>The Toro Company</w:t>
            </w:r>
          </w:p>
        </w:tc>
      </w:tr>
      <w:tr>
        <w:trPr>
          <w:trHeight w:val="237"/>
        </w:trPr>
        <w:tc>
          <w:tcPr>
            <w:tcW w:w="2380" w:type="dxa"/>
            <w:vAlign w:val="bottom"/>
            <w:tcBorders>
              <w:bottom w:val="single" w:sz="8" w:color="ABC0CB"/>
            </w:tcBorders>
          </w:tcPr>
          <w:p>
            <w:pPr>
              <w:ind w:left="20"/>
              <w:spacing w:after="0"/>
              <w:rPr>
                <w:sz w:val="20"/>
                <w:szCs w:val="20"/>
                <w:color w:val="auto"/>
              </w:rPr>
            </w:pPr>
            <w:r>
              <w:rPr>
                <w:rFonts w:ascii="Arial" w:cs="Arial" w:eastAsia="Arial" w:hAnsi="Arial"/>
                <w:sz w:val="16"/>
                <w:szCs w:val="16"/>
                <w:color w:val="auto"/>
              </w:rPr>
              <w:t>Graco</w:t>
            </w:r>
          </w:p>
        </w:tc>
        <w:tc>
          <w:tcPr>
            <w:tcW w:w="3080" w:type="dxa"/>
            <w:vAlign w:val="bottom"/>
            <w:tcBorders>
              <w:bottom w:val="single" w:sz="8" w:color="ABC0CB"/>
            </w:tcBorders>
          </w:tcPr>
          <w:p>
            <w:pPr>
              <w:ind w:left="380"/>
              <w:spacing w:after="0"/>
              <w:rPr>
                <w:sz w:val="20"/>
                <w:szCs w:val="20"/>
                <w:color w:val="auto"/>
              </w:rPr>
            </w:pPr>
            <w:r>
              <w:rPr>
                <w:rFonts w:ascii="Arial" w:cs="Arial" w:eastAsia="Arial" w:hAnsi="Arial"/>
                <w:sz w:val="16"/>
                <w:szCs w:val="16"/>
                <w:color w:val="auto"/>
              </w:rPr>
              <w:t>Thor Industries</w:t>
            </w:r>
          </w:p>
        </w:tc>
      </w:tr>
      <w:tr>
        <w:trPr>
          <w:trHeight w:val="237"/>
        </w:trPr>
        <w:tc>
          <w:tcPr>
            <w:tcW w:w="2380" w:type="dxa"/>
            <w:vAlign w:val="bottom"/>
            <w:tcBorders>
              <w:bottom w:val="single" w:sz="8" w:color="ABC0CB"/>
            </w:tcBorders>
          </w:tcPr>
          <w:p>
            <w:pPr>
              <w:ind w:left="20"/>
              <w:spacing w:after="0"/>
              <w:rPr>
                <w:sz w:val="20"/>
                <w:szCs w:val="20"/>
                <w:color w:val="auto"/>
              </w:rPr>
            </w:pPr>
            <w:r>
              <w:rPr>
                <w:rFonts w:ascii="Arial" w:cs="Arial" w:eastAsia="Arial" w:hAnsi="Arial"/>
                <w:sz w:val="16"/>
                <w:szCs w:val="16"/>
                <w:color w:val="auto"/>
              </w:rPr>
              <w:t>LCI Industries</w:t>
            </w:r>
          </w:p>
        </w:tc>
        <w:tc>
          <w:tcPr>
            <w:tcW w:w="3080" w:type="dxa"/>
            <w:vAlign w:val="bottom"/>
            <w:tcBorders>
              <w:bottom w:val="single" w:sz="8" w:color="ABC0CB"/>
            </w:tcBorders>
          </w:tcPr>
          <w:p>
            <w:pPr>
              <w:ind w:left="380"/>
              <w:spacing w:after="0"/>
              <w:rPr>
                <w:sz w:val="20"/>
                <w:szCs w:val="20"/>
                <w:color w:val="auto"/>
              </w:rPr>
            </w:pPr>
            <w:r>
              <w:rPr>
                <w:rFonts w:ascii="Arial" w:cs="Arial" w:eastAsia="Arial" w:hAnsi="Arial"/>
                <w:sz w:val="16"/>
                <w:szCs w:val="16"/>
                <w:color w:val="auto"/>
              </w:rPr>
              <w:t>Wabash National</w:t>
            </w:r>
          </w:p>
        </w:tc>
      </w:tr>
      <w:tr>
        <w:trPr>
          <w:trHeight w:val="264"/>
        </w:trPr>
        <w:tc>
          <w:tcPr>
            <w:tcW w:w="2380" w:type="dxa"/>
            <w:vAlign w:val="bottom"/>
            <w:tcBorders>
              <w:bottom w:val="single" w:sz="8" w:color="ABC0CB"/>
            </w:tcBorders>
          </w:tcPr>
          <w:p>
            <w:pPr>
              <w:ind w:left="20"/>
              <w:spacing w:after="0"/>
              <w:rPr>
                <w:sz w:val="20"/>
                <w:szCs w:val="20"/>
                <w:color w:val="auto"/>
              </w:rPr>
            </w:pPr>
            <w:r>
              <w:rPr>
                <w:rFonts w:ascii="Arial" w:cs="Arial" w:eastAsia="Arial" w:hAnsi="Arial"/>
                <w:sz w:val="16"/>
                <w:szCs w:val="16"/>
                <w:color w:val="auto"/>
              </w:rPr>
              <w:t>Patrick Industries</w:t>
            </w:r>
          </w:p>
        </w:tc>
        <w:tc>
          <w:tcPr>
            <w:tcW w:w="3080" w:type="dxa"/>
            <w:vAlign w:val="bottom"/>
            <w:tcBorders>
              <w:bottom w:val="single" w:sz="8" w:color="ABC0CB"/>
            </w:tcBorders>
          </w:tcPr>
          <w:p>
            <w:pPr>
              <w:spacing w:after="0"/>
              <w:rPr>
                <w:sz w:val="22"/>
                <w:szCs w:val="22"/>
                <w:color w:val="auto"/>
              </w:rPr>
            </w:pPr>
          </w:p>
        </w:tc>
      </w:tr>
    </w:tbl>
    <w:p>
      <w:pPr>
        <w:spacing w:after="0" w:line="96" w:lineRule="exact"/>
        <w:rPr>
          <w:sz w:val="20"/>
          <w:szCs w:val="20"/>
          <w:color w:val="auto"/>
        </w:rPr>
      </w:pPr>
    </w:p>
    <w:p>
      <w:pPr>
        <w:jc w:val="both"/>
        <w:spacing w:after="0" w:line="251" w:lineRule="auto"/>
        <w:rPr>
          <w:sz w:val="20"/>
          <w:szCs w:val="20"/>
          <w:color w:val="auto"/>
        </w:rPr>
      </w:pPr>
      <w:r>
        <w:rPr>
          <w:rFonts w:ascii="Arial" w:cs="Arial" w:eastAsia="Arial" w:hAnsi="Arial"/>
          <w:sz w:val="16"/>
          <w:szCs w:val="16"/>
          <w:color w:val="auto"/>
        </w:rPr>
        <w:t>Based on a review conducted by Semler Brossy, the Committee made the following changes to the peer group for setting compensation levels for Fiscal 2019 with the intent to better reflect our business dynamics following the integration of the Grand Design acquisition:</w:t>
      </w:r>
    </w:p>
    <w:p>
      <w:pPr>
        <w:spacing w:after="0" w:line="1470" w:lineRule="exact"/>
        <w:rPr>
          <w:sz w:val="20"/>
          <w:szCs w:val="20"/>
          <w:color w:val="auto"/>
        </w:rPr>
      </w:pPr>
    </w:p>
    <w:p>
      <w:pPr>
        <w:sectPr>
          <w:pgSz w:w="11900" w:h="16838" w:orient="portrait"/>
          <w:cols w:equalWidth="0" w:num="2">
            <w:col w:w="5480" w:space="460"/>
            <w:col w:w="5480"/>
          </w:cols>
          <w:pgMar w:left="240" w:top="303" w:right="239" w:bottom="1440" w:gutter="0" w:footer="0" w:header="0"/>
          <w:type w:val="continuous"/>
        </w:sectPr>
      </w:pPr>
    </w:p>
    <w:p>
      <w:pPr>
        <w:spacing w:after="0" w:line="2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20</w:t>
      </w:r>
    </w:p>
    <w:p>
      <w:pPr>
        <w:sectPr>
          <w:pgSz w:w="11900" w:h="16838" w:orient="portrait"/>
          <w:cols w:equalWidth="0" w:num="1">
            <w:col w:w="11420"/>
          </w:cols>
          <w:pgMar w:left="240" w:top="303" w:right="239" w:bottom="1440" w:gutter="0" w:footer="0" w:header="0"/>
          <w:type w:val="continuous"/>
        </w:sectPr>
      </w:pPr>
    </w:p>
    <w:bookmarkStart w:id="24" w:name="page25"/>
    <w:bookmarkEnd w:id="24"/>
    <w:p>
      <w:pPr>
        <w:ind w:left="40"/>
        <w:spacing w:after="0"/>
        <w:rPr>
          <w:rFonts w:ascii="Arial" w:cs="Arial" w:eastAsia="Arial" w:hAnsi="Arial"/>
          <w:sz w:val="15"/>
          <w:szCs w:val="15"/>
          <w:u w:val="single" w:color="auto"/>
          <w:color w:val="0000EE"/>
        </w:rPr>
      </w:pPr>
      <w:r>
        <w:rPr>
          <w:rFonts w:ascii="Arial" w:cs="Arial" w:eastAsia="Arial" w:hAnsi="Arial"/>
          <w:sz w:val="15"/>
          <w:szCs w:val="15"/>
          <w:u w:val="single" w:color="auto"/>
          <w:color w:val="0000EE"/>
        </w:rPr>
        <w:drawing>
          <wp:anchor simplePos="0" relativeHeight="251657728" behindDoc="1" locked="0" layoutInCell="0" allowOverlap="1">
            <wp:simplePos x="0" y="0"/>
            <wp:positionH relativeFrom="page">
              <wp:posOffset>5946140</wp:posOffset>
            </wp:positionH>
            <wp:positionV relativeFrom="page">
              <wp:posOffset>191770</wp:posOffset>
            </wp:positionV>
            <wp:extent cx="1440815" cy="20574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clrChange>
                        <a:clrFrom>
                          <a:srgbClr val="FFFFFF"/>
                        </a:clrFrom>
                        <a:clrTo>
                          <a:srgbClr val="FFFFFF">
                            <a:alpha val="0"/>
                          </a:srgbClr>
                        </a:clrTo>
                      </a:clrChange>
                      <a:extLst>
                        <a:ext uri="{28A0092B-C50C-407E-A947-70E740481C1C}"/>
                      </a:extLst>
                    </a:blip>
                    <a:srcRect/>
                    <a:stretch>
                      <a:fillRect/>
                    </a:stretch>
                  </pic:blipFill>
                  <pic:spPr bwMode="auto">
                    <a:xfrm>
                      <a:off x="0" y="0"/>
                      <a:ext cx="1440815" cy="205740"/>
                    </a:xfrm>
                    <a:prstGeom prst="rect">
                      <a:avLst/>
                    </a:prstGeom>
                    <a:noFill/>
                  </pic:spPr>
                </pic:pic>
              </a:graphicData>
            </a:graphic>
          </wp:anchor>
        </w:drawing>
      </w:r>
      <w:hyperlink w:anchor="page4">
        <w:r>
          <w:rPr>
            <w:rFonts w:ascii="Arial" w:cs="Arial" w:eastAsia="Arial" w:hAnsi="Arial"/>
            <w:sz w:val="15"/>
            <w:szCs w:val="15"/>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112395</wp:posOffset>
            </wp:positionV>
            <wp:extent cx="7246620" cy="889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303" w:right="239" w:bottom="1440" w:gutter="0" w:footer="0" w:header="0"/>
        </w:sectPr>
      </w:pPr>
    </w:p>
    <w:p>
      <w:pPr>
        <w:spacing w:after="0" w:line="200" w:lineRule="exact"/>
        <w:rPr>
          <w:sz w:val="20"/>
          <w:szCs w:val="20"/>
          <w:color w:val="auto"/>
        </w:rPr>
      </w:pPr>
    </w:p>
    <w:p>
      <w:pPr>
        <w:spacing w:after="0" w:line="391"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2400" w:type="dxa"/>
            <w:vAlign w:val="bottom"/>
            <w:tcBorders>
              <w:bottom w:val="single" w:sz="8" w:color="ABC0CB"/>
            </w:tcBorders>
          </w:tcPr>
          <w:p>
            <w:pPr>
              <w:ind w:left="40"/>
              <w:spacing w:after="0"/>
              <w:rPr>
                <w:sz w:val="20"/>
                <w:szCs w:val="20"/>
                <w:color w:val="auto"/>
              </w:rPr>
            </w:pPr>
            <w:r>
              <w:rPr>
                <w:rFonts w:ascii="Arial" w:cs="Arial" w:eastAsia="Arial" w:hAnsi="Arial"/>
                <w:sz w:val="16"/>
                <w:szCs w:val="16"/>
                <w:b w:val="1"/>
                <w:bCs w:val="1"/>
                <w:color w:val="auto"/>
              </w:rPr>
              <w:t>Removed (6 companies)</w:t>
            </w:r>
          </w:p>
        </w:tc>
        <w:tc>
          <w:tcPr>
            <w:tcW w:w="3080" w:type="dxa"/>
            <w:vAlign w:val="bottom"/>
            <w:tcBorders>
              <w:bottom w:val="single" w:sz="8" w:color="ABC0CB"/>
            </w:tcBorders>
          </w:tcPr>
          <w:p>
            <w:pPr>
              <w:ind w:left="380"/>
              <w:spacing w:after="0"/>
              <w:rPr>
                <w:sz w:val="20"/>
                <w:szCs w:val="20"/>
                <w:color w:val="auto"/>
              </w:rPr>
            </w:pPr>
            <w:r>
              <w:rPr>
                <w:rFonts w:ascii="Arial" w:cs="Arial" w:eastAsia="Arial" w:hAnsi="Arial"/>
                <w:sz w:val="16"/>
                <w:szCs w:val="16"/>
                <w:b w:val="1"/>
                <w:bCs w:val="1"/>
                <w:color w:val="auto"/>
              </w:rPr>
              <w:t>Added (7 companies)</w:t>
            </w:r>
          </w:p>
        </w:tc>
        <w:tc>
          <w:tcPr>
            <w:tcW w:w="20" w:type="dxa"/>
            <w:vAlign w:val="bottom"/>
          </w:tcPr>
          <w:p>
            <w:pPr>
              <w:spacing w:after="0"/>
              <w:rPr>
                <w:sz w:val="19"/>
                <w:szCs w:val="19"/>
                <w:color w:val="auto"/>
              </w:rPr>
            </w:pPr>
          </w:p>
        </w:tc>
      </w:tr>
      <w:tr>
        <w:trPr>
          <w:trHeight w:val="237"/>
        </w:trPr>
        <w:tc>
          <w:tcPr>
            <w:tcW w:w="2400" w:type="dxa"/>
            <w:vAlign w:val="bottom"/>
            <w:tcBorders>
              <w:bottom w:val="single" w:sz="8" w:color="ABC0CB"/>
            </w:tcBorders>
          </w:tcPr>
          <w:p>
            <w:pPr>
              <w:ind w:left="40"/>
              <w:spacing w:after="0"/>
              <w:rPr>
                <w:sz w:val="20"/>
                <w:szCs w:val="20"/>
                <w:color w:val="auto"/>
              </w:rPr>
            </w:pPr>
            <w:r>
              <w:rPr>
                <w:rFonts w:ascii="Arial" w:cs="Arial" w:eastAsia="Arial" w:hAnsi="Arial"/>
                <w:sz w:val="16"/>
                <w:szCs w:val="16"/>
                <w:color w:val="auto"/>
              </w:rPr>
              <w:t>A.O. Smith</w:t>
            </w:r>
          </w:p>
        </w:tc>
        <w:tc>
          <w:tcPr>
            <w:tcW w:w="3080" w:type="dxa"/>
            <w:vAlign w:val="bottom"/>
            <w:tcBorders>
              <w:bottom w:val="single" w:sz="8" w:color="ABC0CB"/>
            </w:tcBorders>
          </w:tcPr>
          <w:p>
            <w:pPr>
              <w:ind w:left="380"/>
              <w:spacing w:after="0"/>
              <w:rPr>
                <w:sz w:val="20"/>
                <w:szCs w:val="20"/>
                <w:color w:val="auto"/>
              </w:rPr>
            </w:pPr>
            <w:r>
              <w:rPr>
                <w:rFonts w:ascii="Arial" w:cs="Arial" w:eastAsia="Arial" w:hAnsi="Arial"/>
                <w:sz w:val="16"/>
                <w:szCs w:val="16"/>
                <w:color w:val="auto"/>
              </w:rPr>
              <w:t>Altra Industrial Motion</w:t>
            </w:r>
          </w:p>
        </w:tc>
        <w:tc>
          <w:tcPr>
            <w:tcW w:w="20" w:type="dxa"/>
            <w:vAlign w:val="bottom"/>
          </w:tcPr>
          <w:p>
            <w:pPr>
              <w:spacing w:after="0"/>
              <w:rPr>
                <w:sz w:val="20"/>
                <w:szCs w:val="20"/>
                <w:color w:val="auto"/>
              </w:rPr>
            </w:pPr>
          </w:p>
        </w:tc>
      </w:tr>
      <w:tr>
        <w:trPr>
          <w:trHeight w:val="237"/>
        </w:trPr>
        <w:tc>
          <w:tcPr>
            <w:tcW w:w="2400" w:type="dxa"/>
            <w:vAlign w:val="bottom"/>
            <w:tcBorders>
              <w:bottom w:val="single" w:sz="8" w:color="ABC0CB"/>
            </w:tcBorders>
          </w:tcPr>
          <w:p>
            <w:pPr>
              <w:ind w:left="40"/>
              <w:spacing w:after="0"/>
              <w:rPr>
                <w:sz w:val="20"/>
                <w:szCs w:val="20"/>
                <w:color w:val="auto"/>
              </w:rPr>
            </w:pPr>
            <w:r>
              <w:rPr>
                <w:rFonts w:ascii="Arial" w:cs="Arial" w:eastAsia="Arial" w:hAnsi="Arial"/>
                <w:sz w:val="16"/>
                <w:szCs w:val="16"/>
                <w:color w:val="auto"/>
              </w:rPr>
              <w:t>Alamo Group</w:t>
            </w:r>
          </w:p>
        </w:tc>
        <w:tc>
          <w:tcPr>
            <w:tcW w:w="3080" w:type="dxa"/>
            <w:vAlign w:val="bottom"/>
            <w:tcBorders>
              <w:bottom w:val="single" w:sz="8" w:color="ABC0CB"/>
            </w:tcBorders>
          </w:tcPr>
          <w:p>
            <w:pPr>
              <w:ind w:left="380"/>
              <w:spacing w:after="0"/>
              <w:rPr>
                <w:sz w:val="20"/>
                <w:szCs w:val="20"/>
                <w:color w:val="auto"/>
              </w:rPr>
            </w:pPr>
            <w:r>
              <w:rPr>
                <w:rFonts w:ascii="Arial" w:cs="Arial" w:eastAsia="Arial" w:hAnsi="Arial"/>
                <w:sz w:val="16"/>
                <w:szCs w:val="16"/>
                <w:color w:val="auto"/>
              </w:rPr>
              <w:t>Brunswick</w:t>
            </w:r>
          </w:p>
        </w:tc>
        <w:tc>
          <w:tcPr>
            <w:tcW w:w="20" w:type="dxa"/>
            <w:vAlign w:val="bottom"/>
          </w:tcPr>
          <w:p>
            <w:pPr>
              <w:spacing w:after="0"/>
              <w:rPr>
                <w:sz w:val="20"/>
                <w:szCs w:val="20"/>
                <w:color w:val="auto"/>
              </w:rPr>
            </w:pPr>
          </w:p>
        </w:tc>
      </w:tr>
      <w:tr>
        <w:trPr>
          <w:trHeight w:val="237"/>
        </w:trPr>
        <w:tc>
          <w:tcPr>
            <w:tcW w:w="2400" w:type="dxa"/>
            <w:vAlign w:val="bottom"/>
            <w:tcBorders>
              <w:bottom w:val="single" w:sz="8" w:color="ACACAC"/>
            </w:tcBorders>
          </w:tcPr>
          <w:p>
            <w:pPr>
              <w:ind w:left="40"/>
              <w:spacing w:after="0"/>
              <w:rPr>
                <w:sz w:val="20"/>
                <w:szCs w:val="20"/>
                <w:color w:val="auto"/>
              </w:rPr>
            </w:pPr>
            <w:r>
              <w:rPr>
                <w:rFonts w:ascii="Arial" w:cs="Arial" w:eastAsia="Arial" w:hAnsi="Arial"/>
                <w:sz w:val="16"/>
                <w:szCs w:val="16"/>
                <w:color w:val="auto"/>
              </w:rPr>
              <w:t>American Railcar Industries</w:t>
            </w:r>
          </w:p>
        </w:tc>
        <w:tc>
          <w:tcPr>
            <w:tcW w:w="3080" w:type="dxa"/>
            <w:vAlign w:val="bottom"/>
            <w:tcBorders>
              <w:bottom w:val="single" w:sz="8" w:color="ACACAC"/>
            </w:tcBorders>
          </w:tcPr>
          <w:p>
            <w:pPr>
              <w:ind w:left="380"/>
              <w:spacing w:after="0"/>
              <w:rPr>
                <w:sz w:val="20"/>
                <w:szCs w:val="20"/>
                <w:color w:val="auto"/>
              </w:rPr>
            </w:pPr>
            <w:r>
              <w:rPr>
                <w:rFonts w:ascii="Arial" w:cs="Arial" w:eastAsia="Arial" w:hAnsi="Arial"/>
                <w:sz w:val="16"/>
                <w:szCs w:val="16"/>
                <w:color w:val="auto"/>
              </w:rPr>
              <w:t>Commercial Vehicle</w:t>
            </w:r>
          </w:p>
        </w:tc>
        <w:tc>
          <w:tcPr>
            <w:tcW w:w="20" w:type="dxa"/>
            <w:vAlign w:val="bottom"/>
          </w:tcPr>
          <w:p>
            <w:pPr>
              <w:spacing w:after="0"/>
              <w:rPr>
                <w:sz w:val="20"/>
                <w:szCs w:val="20"/>
                <w:color w:val="auto"/>
              </w:rPr>
            </w:pPr>
          </w:p>
        </w:tc>
      </w:tr>
      <w:tr>
        <w:trPr>
          <w:trHeight w:val="237"/>
        </w:trPr>
        <w:tc>
          <w:tcPr>
            <w:tcW w:w="2400" w:type="dxa"/>
            <w:vAlign w:val="bottom"/>
            <w:tcBorders>
              <w:bottom w:val="single" w:sz="8" w:color="ACACAC"/>
            </w:tcBorders>
          </w:tcPr>
          <w:p>
            <w:pPr>
              <w:ind w:left="40"/>
              <w:spacing w:after="0"/>
              <w:rPr>
                <w:sz w:val="20"/>
                <w:szCs w:val="20"/>
                <w:color w:val="auto"/>
              </w:rPr>
            </w:pPr>
            <w:r>
              <w:rPr>
                <w:rFonts w:ascii="Arial" w:cs="Arial" w:eastAsia="Arial" w:hAnsi="Arial"/>
                <w:sz w:val="16"/>
                <w:szCs w:val="16"/>
                <w:color w:val="auto"/>
              </w:rPr>
              <w:t>FreightCar America</w:t>
            </w:r>
          </w:p>
        </w:tc>
        <w:tc>
          <w:tcPr>
            <w:tcW w:w="3080" w:type="dxa"/>
            <w:vAlign w:val="bottom"/>
            <w:tcBorders>
              <w:bottom w:val="single" w:sz="8" w:color="ACACAC"/>
            </w:tcBorders>
          </w:tcPr>
          <w:p>
            <w:pPr>
              <w:ind w:left="380"/>
              <w:spacing w:after="0"/>
              <w:rPr>
                <w:sz w:val="20"/>
                <w:szCs w:val="20"/>
                <w:color w:val="auto"/>
              </w:rPr>
            </w:pPr>
            <w:r>
              <w:rPr>
                <w:rFonts w:ascii="Arial" w:cs="Arial" w:eastAsia="Arial" w:hAnsi="Arial"/>
                <w:sz w:val="16"/>
                <w:szCs w:val="16"/>
                <w:color w:val="auto"/>
              </w:rPr>
              <w:t>Cooper-Standard</w:t>
            </w:r>
          </w:p>
        </w:tc>
        <w:tc>
          <w:tcPr>
            <w:tcW w:w="20" w:type="dxa"/>
            <w:vAlign w:val="bottom"/>
          </w:tcPr>
          <w:p>
            <w:pPr>
              <w:spacing w:after="0"/>
              <w:rPr>
                <w:sz w:val="20"/>
                <w:szCs w:val="20"/>
                <w:color w:val="auto"/>
              </w:rPr>
            </w:pPr>
          </w:p>
        </w:tc>
      </w:tr>
      <w:tr>
        <w:trPr>
          <w:trHeight w:val="237"/>
        </w:trPr>
        <w:tc>
          <w:tcPr>
            <w:tcW w:w="2400" w:type="dxa"/>
            <w:vAlign w:val="bottom"/>
            <w:tcBorders>
              <w:bottom w:val="single" w:sz="8" w:color="ACACAC"/>
            </w:tcBorders>
          </w:tcPr>
          <w:p>
            <w:pPr>
              <w:ind w:left="40"/>
              <w:spacing w:after="0"/>
              <w:rPr>
                <w:sz w:val="20"/>
                <w:szCs w:val="20"/>
                <w:color w:val="auto"/>
              </w:rPr>
            </w:pPr>
            <w:r>
              <w:rPr>
                <w:rFonts w:ascii="Arial" w:cs="Arial" w:eastAsia="Arial" w:hAnsi="Arial"/>
                <w:sz w:val="16"/>
                <w:szCs w:val="16"/>
                <w:color w:val="auto"/>
              </w:rPr>
              <w:t>Graco</w:t>
            </w:r>
          </w:p>
        </w:tc>
        <w:tc>
          <w:tcPr>
            <w:tcW w:w="3080" w:type="dxa"/>
            <w:vAlign w:val="bottom"/>
            <w:tcBorders>
              <w:bottom w:val="single" w:sz="8" w:color="ACACAC"/>
            </w:tcBorders>
          </w:tcPr>
          <w:p>
            <w:pPr>
              <w:ind w:left="380"/>
              <w:spacing w:after="0"/>
              <w:rPr>
                <w:sz w:val="20"/>
                <w:szCs w:val="20"/>
                <w:color w:val="auto"/>
              </w:rPr>
            </w:pPr>
            <w:r>
              <w:rPr>
                <w:rFonts w:ascii="Arial" w:cs="Arial" w:eastAsia="Arial" w:hAnsi="Arial"/>
                <w:sz w:val="16"/>
                <w:szCs w:val="16"/>
                <w:color w:val="auto"/>
              </w:rPr>
              <w:t>Horizon Global</w:t>
            </w:r>
          </w:p>
        </w:tc>
        <w:tc>
          <w:tcPr>
            <w:tcW w:w="20" w:type="dxa"/>
            <w:vAlign w:val="bottom"/>
          </w:tcPr>
          <w:p>
            <w:pPr>
              <w:spacing w:after="0"/>
              <w:rPr>
                <w:sz w:val="20"/>
                <w:szCs w:val="20"/>
                <w:color w:val="auto"/>
              </w:rPr>
            </w:pPr>
          </w:p>
        </w:tc>
      </w:tr>
      <w:tr>
        <w:trPr>
          <w:trHeight w:val="237"/>
        </w:trPr>
        <w:tc>
          <w:tcPr>
            <w:tcW w:w="2400" w:type="dxa"/>
            <w:vAlign w:val="bottom"/>
            <w:tcBorders>
              <w:bottom w:val="single" w:sz="8" w:color="ACACAC"/>
            </w:tcBorders>
          </w:tcPr>
          <w:p>
            <w:pPr>
              <w:ind w:left="40"/>
              <w:spacing w:after="0"/>
              <w:rPr>
                <w:sz w:val="20"/>
                <w:szCs w:val="20"/>
                <w:color w:val="auto"/>
              </w:rPr>
            </w:pPr>
            <w:r>
              <w:rPr>
                <w:rFonts w:ascii="Arial" w:cs="Arial" w:eastAsia="Arial" w:hAnsi="Arial"/>
                <w:sz w:val="16"/>
                <w:szCs w:val="16"/>
                <w:color w:val="auto"/>
              </w:rPr>
              <w:t>Standex International</w:t>
            </w:r>
          </w:p>
        </w:tc>
        <w:tc>
          <w:tcPr>
            <w:tcW w:w="3080" w:type="dxa"/>
            <w:vAlign w:val="bottom"/>
            <w:tcBorders>
              <w:bottom w:val="single" w:sz="8" w:color="ACACAC"/>
            </w:tcBorders>
          </w:tcPr>
          <w:p>
            <w:pPr>
              <w:ind w:left="380"/>
              <w:spacing w:after="0"/>
              <w:rPr>
                <w:sz w:val="20"/>
                <w:szCs w:val="20"/>
                <w:color w:val="auto"/>
              </w:rPr>
            </w:pPr>
            <w:r>
              <w:rPr>
                <w:rFonts w:ascii="Arial" w:cs="Arial" w:eastAsia="Arial" w:hAnsi="Arial"/>
                <w:sz w:val="16"/>
                <w:szCs w:val="16"/>
                <w:color w:val="auto"/>
              </w:rPr>
              <w:t>Hyster-Yale</w:t>
            </w:r>
          </w:p>
        </w:tc>
        <w:tc>
          <w:tcPr>
            <w:tcW w:w="20" w:type="dxa"/>
            <w:vAlign w:val="bottom"/>
          </w:tcPr>
          <w:p>
            <w:pPr>
              <w:spacing w:after="0"/>
              <w:rPr>
                <w:sz w:val="20"/>
                <w:szCs w:val="20"/>
                <w:color w:val="auto"/>
              </w:rPr>
            </w:pPr>
          </w:p>
        </w:tc>
      </w:tr>
      <w:tr>
        <w:trPr>
          <w:trHeight w:val="264"/>
        </w:trPr>
        <w:tc>
          <w:tcPr>
            <w:tcW w:w="2400" w:type="dxa"/>
            <w:vAlign w:val="bottom"/>
            <w:tcBorders>
              <w:bottom w:val="single" w:sz="8" w:color="ACACAC"/>
            </w:tcBorders>
          </w:tcPr>
          <w:p>
            <w:pPr>
              <w:spacing w:after="0"/>
              <w:rPr>
                <w:sz w:val="22"/>
                <w:szCs w:val="22"/>
                <w:color w:val="auto"/>
              </w:rPr>
            </w:pPr>
          </w:p>
        </w:tc>
        <w:tc>
          <w:tcPr>
            <w:tcW w:w="3080" w:type="dxa"/>
            <w:vAlign w:val="bottom"/>
            <w:tcBorders>
              <w:bottom w:val="single" w:sz="8" w:color="ACACAC"/>
            </w:tcBorders>
          </w:tcPr>
          <w:p>
            <w:pPr>
              <w:ind w:left="380"/>
              <w:spacing w:after="0"/>
              <w:rPr>
                <w:sz w:val="20"/>
                <w:szCs w:val="20"/>
                <w:color w:val="auto"/>
              </w:rPr>
            </w:pPr>
            <w:r>
              <w:rPr>
                <w:rFonts w:ascii="Arial" w:cs="Arial" w:eastAsia="Arial" w:hAnsi="Arial"/>
                <w:sz w:val="16"/>
                <w:szCs w:val="16"/>
                <w:color w:val="auto"/>
              </w:rPr>
              <w:t>Spartan Motors</w:t>
            </w:r>
          </w:p>
        </w:tc>
        <w:tc>
          <w:tcPr>
            <w:tcW w:w="20" w:type="dxa"/>
            <w:vAlign w:val="bottom"/>
          </w:tcPr>
          <w:p>
            <w:pPr>
              <w:spacing w:after="0"/>
              <w:rPr>
                <w:sz w:val="22"/>
                <w:szCs w:val="22"/>
                <w:color w:val="auto"/>
              </w:rPr>
            </w:pPr>
          </w:p>
        </w:tc>
      </w:tr>
      <w:tr>
        <w:trPr>
          <w:trHeight w:val="304"/>
        </w:trPr>
        <w:tc>
          <w:tcPr>
            <w:tcW w:w="2400" w:type="dxa"/>
            <w:vAlign w:val="bottom"/>
            <w:tcBorders>
              <w:bottom w:val="single" w:sz="8" w:color="9A9A9A"/>
            </w:tcBorders>
          </w:tcPr>
          <w:p>
            <w:pPr>
              <w:spacing w:after="0"/>
              <w:rPr>
                <w:sz w:val="24"/>
                <w:szCs w:val="24"/>
                <w:color w:val="auto"/>
              </w:rPr>
            </w:pPr>
          </w:p>
        </w:tc>
        <w:tc>
          <w:tcPr>
            <w:tcW w:w="308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-1534160</wp:posOffset>
            </wp:positionV>
            <wp:extent cx="3473450" cy="889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3473450" cy="8890"/>
                    </a:xfrm>
                    <a:prstGeom prst="rect">
                      <a:avLst/>
                    </a:prstGeom>
                    <a:noFill/>
                  </pic:spPr>
                </pic:pic>
              </a:graphicData>
            </a:graphic>
          </wp:anchor>
        </w:drawing>
        <w:drawing>
          <wp:anchor simplePos="0" relativeHeight="251657728" behindDoc="1" locked="0" layoutInCell="0" allowOverlap="1">
            <wp:simplePos x="0" y="0"/>
            <wp:positionH relativeFrom="column">
              <wp:posOffset>3465830</wp:posOffset>
            </wp:positionH>
            <wp:positionV relativeFrom="paragraph">
              <wp:posOffset>-29210</wp:posOffset>
            </wp:positionV>
            <wp:extent cx="34290" cy="425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pacing w:after="0" w:line="300" w:lineRule="exact"/>
        <w:rPr>
          <w:sz w:val="20"/>
          <w:szCs w:val="20"/>
          <w:color w:val="auto"/>
        </w:rPr>
      </w:pPr>
    </w:p>
    <w:p>
      <w:pPr>
        <w:spacing w:after="0"/>
        <w:rPr>
          <w:sz w:val="20"/>
          <w:szCs w:val="20"/>
          <w:color w:val="auto"/>
        </w:rPr>
      </w:pPr>
      <w:r>
        <w:rPr>
          <w:rFonts w:ascii="Arial" w:cs="Arial" w:eastAsia="Arial" w:hAnsi="Arial"/>
          <w:sz w:val="29"/>
          <w:szCs w:val="29"/>
          <w:color w:val="BF2115"/>
        </w:rPr>
        <w:t>Fiscal 2018 NEO Compensation Decisions</w:t>
      </w:r>
    </w:p>
    <w:p>
      <w:pPr>
        <w:spacing w:after="0" w:line="285" w:lineRule="exact"/>
        <w:rPr>
          <w:sz w:val="20"/>
          <w:szCs w:val="20"/>
          <w:color w:val="auto"/>
        </w:rPr>
      </w:pPr>
    </w:p>
    <w:p>
      <w:pPr>
        <w:spacing w:after="0"/>
        <w:rPr>
          <w:sz w:val="20"/>
          <w:szCs w:val="20"/>
          <w:color w:val="auto"/>
        </w:rPr>
      </w:pPr>
      <w:r>
        <w:rPr>
          <w:rFonts w:ascii="Arial" w:cs="Arial" w:eastAsia="Arial" w:hAnsi="Arial"/>
          <w:sz w:val="22"/>
          <w:szCs w:val="22"/>
          <w:color w:val="828282"/>
        </w:rPr>
        <w:t>Base Salary</w:t>
      </w:r>
    </w:p>
    <w:p>
      <w:pPr>
        <w:spacing w:after="0" w:line="188" w:lineRule="exact"/>
        <w:rPr>
          <w:sz w:val="20"/>
          <w:szCs w:val="20"/>
          <w:color w:val="auto"/>
        </w:rPr>
      </w:pPr>
    </w:p>
    <w:p>
      <w:pPr>
        <w:jc w:val="both"/>
        <w:ind w:right="20"/>
        <w:spacing w:after="0" w:line="251" w:lineRule="auto"/>
        <w:rPr>
          <w:sz w:val="20"/>
          <w:szCs w:val="20"/>
          <w:color w:val="auto"/>
        </w:rPr>
      </w:pPr>
      <w:r>
        <w:rPr>
          <w:rFonts w:ascii="Arial" w:cs="Arial" w:eastAsia="Arial" w:hAnsi="Arial"/>
          <w:sz w:val="16"/>
          <w:szCs w:val="16"/>
          <w:color w:val="auto"/>
        </w:rPr>
        <w:t>We provide NEOs and other employees with base salary to compensate them for services rendered during the fiscal year. Base salary ranges for NEOs are determined for each executive based on his or her position and responsibilities.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2449195</wp:posOffset>
            </wp:positionH>
            <wp:positionV relativeFrom="paragraph">
              <wp:posOffset>213360</wp:posOffset>
            </wp:positionV>
            <wp:extent cx="8890" cy="15430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8890" cy="15430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15" w:lineRule="exact"/>
        <w:rPr>
          <w:sz w:val="20"/>
          <w:szCs w:val="20"/>
          <w:color w:val="auto"/>
        </w:rPr>
      </w:pPr>
    </w:p>
    <w:p>
      <w:pPr>
        <w:spacing w:after="0" w:line="260" w:lineRule="auto"/>
        <w:rPr>
          <w:sz w:val="20"/>
          <w:szCs w:val="20"/>
          <w:color w:val="auto"/>
        </w:rPr>
      </w:pPr>
      <w:r>
        <w:rPr>
          <w:rFonts w:ascii="Arial" w:cs="Arial" w:eastAsia="Arial" w:hAnsi="Arial"/>
          <w:sz w:val="16"/>
          <w:szCs w:val="16"/>
          <w:color w:val="auto"/>
        </w:rPr>
        <w:t>The base salaries of our executives are also determined by considering such factors as:</w:t>
      </w:r>
    </w:p>
    <w:p>
      <w:pPr>
        <w:spacing w:after="0" w:line="169" w:lineRule="exact"/>
        <w:rPr>
          <w:sz w:val="20"/>
          <w:szCs w:val="20"/>
          <w:color w:val="auto"/>
        </w:rPr>
      </w:pPr>
    </w:p>
    <w:p>
      <w:pPr>
        <w:ind w:left="660" w:hanging="334"/>
        <w:spacing w:after="0"/>
        <w:tabs>
          <w:tab w:leader="none" w:pos="660" w:val="left"/>
        </w:tabs>
        <w:numPr>
          <w:ilvl w:val="0"/>
          <w:numId w:val="30"/>
        </w:numPr>
        <w:rPr>
          <w:rFonts w:ascii="Arial" w:cs="Arial" w:eastAsia="Arial" w:hAnsi="Arial"/>
          <w:sz w:val="16"/>
          <w:szCs w:val="16"/>
          <w:color w:val="auto"/>
        </w:rPr>
      </w:pPr>
      <w:r>
        <w:rPr>
          <w:rFonts w:ascii="Arial" w:cs="Arial" w:eastAsia="Arial" w:hAnsi="Arial"/>
          <w:sz w:val="16"/>
          <w:szCs w:val="16"/>
          <w:color w:val="auto"/>
        </w:rPr>
        <w:t>Experience of the executive</w:t>
      </w:r>
    </w:p>
    <w:p>
      <w:pPr>
        <w:spacing w:after="0" w:line="5" w:lineRule="exact"/>
        <w:rPr>
          <w:rFonts w:ascii="Arial" w:cs="Arial" w:eastAsia="Arial" w:hAnsi="Arial"/>
          <w:sz w:val="16"/>
          <w:szCs w:val="16"/>
          <w:color w:val="auto"/>
        </w:rPr>
      </w:pPr>
    </w:p>
    <w:p>
      <w:pPr>
        <w:ind w:left="660" w:hanging="334"/>
        <w:spacing w:after="0"/>
        <w:tabs>
          <w:tab w:leader="none" w:pos="660" w:val="left"/>
        </w:tabs>
        <w:numPr>
          <w:ilvl w:val="0"/>
          <w:numId w:val="30"/>
        </w:numPr>
        <w:rPr>
          <w:rFonts w:ascii="Arial" w:cs="Arial" w:eastAsia="Arial" w:hAnsi="Arial"/>
          <w:sz w:val="16"/>
          <w:szCs w:val="16"/>
          <w:color w:val="auto"/>
        </w:rPr>
      </w:pPr>
      <w:r>
        <w:rPr>
          <w:rFonts w:ascii="Arial" w:cs="Arial" w:eastAsia="Arial" w:hAnsi="Arial"/>
          <w:sz w:val="16"/>
          <w:szCs w:val="16"/>
          <w:color w:val="auto"/>
        </w:rPr>
        <w:t>Time in position</w:t>
      </w:r>
    </w:p>
    <w:p>
      <w:pPr>
        <w:spacing w:after="0" w:line="5" w:lineRule="exact"/>
        <w:rPr>
          <w:rFonts w:ascii="Arial" w:cs="Arial" w:eastAsia="Arial" w:hAnsi="Arial"/>
          <w:sz w:val="16"/>
          <w:szCs w:val="16"/>
          <w:color w:val="auto"/>
        </w:rPr>
      </w:pPr>
    </w:p>
    <w:p>
      <w:pPr>
        <w:ind w:left="660" w:hanging="334"/>
        <w:spacing w:after="0"/>
        <w:tabs>
          <w:tab w:leader="none" w:pos="660" w:val="left"/>
        </w:tabs>
        <w:numPr>
          <w:ilvl w:val="0"/>
          <w:numId w:val="30"/>
        </w:numPr>
        <w:rPr>
          <w:rFonts w:ascii="Arial" w:cs="Arial" w:eastAsia="Arial" w:hAnsi="Arial"/>
          <w:sz w:val="16"/>
          <w:szCs w:val="16"/>
          <w:color w:val="auto"/>
        </w:rPr>
      </w:pPr>
      <w:r>
        <w:rPr>
          <w:rFonts w:ascii="Arial" w:cs="Arial" w:eastAsia="Arial" w:hAnsi="Arial"/>
          <w:sz w:val="16"/>
          <w:szCs w:val="16"/>
          <w:color w:val="auto"/>
        </w:rPr>
        <w:t>Individual performance</w:t>
      </w:r>
    </w:p>
    <w:p>
      <w:pPr>
        <w:spacing w:after="0" w:line="5" w:lineRule="exact"/>
        <w:rPr>
          <w:rFonts w:ascii="Arial" w:cs="Arial" w:eastAsia="Arial" w:hAnsi="Arial"/>
          <w:sz w:val="16"/>
          <w:szCs w:val="16"/>
          <w:color w:val="auto"/>
        </w:rPr>
      </w:pPr>
    </w:p>
    <w:p>
      <w:pPr>
        <w:ind w:left="660" w:hanging="334"/>
        <w:spacing w:after="0"/>
        <w:tabs>
          <w:tab w:leader="none" w:pos="660" w:val="left"/>
        </w:tabs>
        <w:numPr>
          <w:ilvl w:val="0"/>
          <w:numId w:val="30"/>
        </w:numPr>
        <w:rPr>
          <w:rFonts w:ascii="Arial" w:cs="Arial" w:eastAsia="Arial" w:hAnsi="Arial"/>
          <w:sz w:val="16"/>
          <w:szCs w:val="16"/>
          <w:color w:val="auto"/>
        </w:rPr>
      </w:pPr>
      <w:r>
        <w:rPr>
          <w:rFonts w:ascii="Arial" w:cs="Arial" w:eastAsia="Arial" w:hAnsi="Arial"/>
          <w:sz w:val="16"/>
          <w:szCs w:val="16"/>
          <w:color w:val="auto"/>
        </w:rPr>
        <w:t>Level of responsibility for the executive</w:t>
      </w:r>
    </w:p>
    <w:p>
      <w:pPr>
        <w:spacing w:after="0" w:line="5" w:lineRule="exact"/>
        <w:rPr>
          <w:rFonts w:ascii="Arial" w:cs="Arial" w:eastAsia="Arial" w:hAnsi="Arial"/>
          <w:sz w:val="16"/>
          <w:szCs w:val="16"/>
          <w:color w:val="auto"/>
        </w:rPr>
      </w:pPr>
    </w:p>
    <w:p>
      <w:pPr>
        <w:ind w:left="660" w:right="20" w:hanging="334"/>
        <w:spacing w:after="0" w:line="246" w:lineRule="auto"/>
        <w:tabs>
          <w:tab w:leader="none" w:pos="660" w:val="left"/>
        </w:tabs>
        <w:numPr>
          <w:ilvl w:val="0"/>
          <w:numId w:val="30"/>
        </w:numPr>
        <w:rPr>
          <w:rFonts w:ascii="Arial" w:cs="Arial" w:eastAsia="Arial" w:hAnsi="Arial"/>
          <w:sz w:val="16"/>
          <w:szCs w:val="16"/>
          <w:color w:val="auto"/>
        </w:rPr>
      </w:pPr>
      <w:r>
        <w:rPr>
          <w:rFonts w:ascii="Arial" w:cs="Arial" w:eastAsia="Arial" w:hAnsi="Arial"/>
          <w:sz w:val="16"/>
          <w:szCs w:val="16"/>
          <w:color w:val="auto"/>
        </w:rPr>
        <w:t>Economic conditions, Company performance, financial condition and strategic goals</w:t>
      </w:r>
    </w:p>
    <w:p>
      <w:pPr>
        <w:ind w:left="660" w:right="20" w:hanging="334"/>
        <w:spacing w:after="0" w:line="260" w:lineRule="auto"/>
        <w:tabs>
          <w:tab w:leader="none" w:pos="660" w:val="left"/>
        </w:tabs>
        <w:numPr>
          <w:ilvl w:val="0"/>
          <w:numId w:val="30"/>
        </w:numPr>
        <w:rPr>
          <w:rFonts w:ascii="Arial" w:cs="Arial" w:eastAsia="Arial" w:hAnsi="Arial"/>
          <w:sz w:val="16"/>
          <w:szCs w:val="16"/>
          <w:color w:val="auto"/>
        </w:rPr>
      </w:pPr>
      <w:r>
        <w:rPr>
          <w:rFonts w:ascii="Arial" w:cs="Arial" w:eastAsia="Arial" w:hAnsi="Arial"/>
          <w:sz w:val="16"/>
          <w:szCs w:val="16"/>
          <w:color w:val="auto"/>
        </w:rPr>
        <w:t>Competitive market data provided by the Committee’s independent compensation consultant</w:t>
      </w:r>
    </w:p>
    <w:p>
      <w:pPr>
        <w:spacing w:after="0" w:line="169" w:lineRule="exact"/>
        <w:rPr>
          <w:sz w:val="20"/>
          <w:szCs w:val="20"/>
          <w:color w:val="auto"/>
        </w:rPr>
      </w:pPr>
    </w:p>
    <w:p>
      <w:pPr>
        <w:ind w:right="20"/>
        <w:spacing w:after="0" w:line="248" w:lineRule="auto"/>
        <w:rPr>
          <w:sz w:val="20"/>
          <w:szCs w:val="20"/>
          <w:color w:val="auto"/>
        </w:rPr>
      </w:pPr>
      <w:r>
        <w:rPr>
          <w:rFonts w:ascii="Arial" w:cs="Arial" w:eastAsia="Arial" w:hAnsi="Arial"/>
          <w:sz w:val="16"/>
          <w:szCs w:val="16"/>
          <w:color w:val="auto"/>
        </w:rPr>
        <w:t>In general, base salary determinations are considered each year as part of the Committee's review process as well as upon a promotion or other change in job responsibility. Base salary is also used as the basis for calculating annual and long-term incentive awards and in calculating payments that may be paid upon a change in control, as described below. In October 2017, as a result of a review of performance, consideration of the above referenced factors, and with input from the independent compensation consultant and our CEO, the Committee recommended and approved the following increases for Fiscal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1850390</wp:posOffset>
            </wp:positionH>
            <wp:positionV relativeFrom="paragraph">
              <wp:posOffset>670560</wp:posOffset>
            </wp:positionV>
            <wp:extent cx="8890" cy="15430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8890" cy="154305"/>
                    </a:xfrm>
                    <a:prstGeom prst="rect">
                      <a:avLst/>
                    </a:prstGeom>
                    <a:noFill/>
                  </pic:spPr>
                </pic:pic>
              </a:graphicData>
            </a:graphic>
          </wp:anchor>
        </w:drawing>
        <w:drawing>
          <wp:anchor simplePos="0" relativeHeight="251657728" behindDoc="1" locked="0" layoutInCell="0" allowOverlap="1">
            <wp:simplePos x="0" y="0"/>
            <wp:positionH relativeFrom="column">
              <wp:posOffset>263525</wp:posOffset>
            </wp:positionH>
            <wp:positionV relativeFrom="paragraph">
              <wp:posOffset>670560</wp:posOffset>
            </wp:positionV>
            <wp:extent cx="8890" cy="15430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8890" cy="154305"/>
                    </a:xfrm>
                    <a:prstGeom prst="rect">
                      <a:avLst/>
                    </a:prstGeom>
                    <a:noFill/>
                  </pic:spPr>
                </pic:pic>
              </a:graphicData>
            </a:graphic>
          </wp:anchor>
        </w:drawing>
      </w:r>
    </w:p>
    <w:p>
      <w:pPr>
        <w:spacing w:after="0" w:line="919" w:lineRule="exact"/>
        <w:rPr>
          <w:sz w:val="20"/>
          <w:szCs w:val="20"/>
          <w:color w:val="auto"/>
        </w:rPr>
      </w:pPr>
    </w:p>
    <w:p>
      <w:pPr>
        <w:sectPr>
          <w:pgSz w:w="11900" w:h="16838" w:orient="portrait"/>
          <w:cols w:equalWidth="0" w:num="2">
            <w:col w:w="5500" w:space="440"/>
            <w:col w:w="5480"/>
          </w:cols>
          <w:pgMar w:left="240" w:top="303" w:right="239" w:bottom="1440" w:gutter="0" w:footer="0" w:header="0"/>
          <w:type w:val="continuous"/>
        </w:sectPr>
      </w:pP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2600" w:type="dxa"/>
            <w:vAlign w:val="bottom"/>
            <w:shd w:val="clear" w:color="auto" w:fill="BF2115"/>
          </w:tcPr>
          <w:p>
            <w:pPr>
              <w:ind w:left="40"/>
              <w:spacing w:after="0"/>
              <w:rPr>
                <w:sz w:val="20"/>
                <w:szCs w:val="20"/>
                <w:color w:val="auto"/>
              </w:rPr>
            </w:pPr>
            <w:r>
              <w:rPr>
                <w:rFonts w:ascii="Arial" w:cs="Arial" w:eastAsia="Arial" w:hAnsi="Arial"/>
                <w:sz w:val="16"/>
                <w:szCs w:val="16"/>
                <w:color w:val="FFFFFF"/>
              </w:rPr>
              <w:t>Name</w:t>
            </w:r>
          </w:p>
        </w:tc>
        <w:tc>
          <w:tcPr>
            <w:tcW w:w="1720" w:type="dxa"/>
            <w:vAlign w:val="bottom"/>
            <w:shd w:val="clear" w:color="auto" w:fill="BF2115"/>
          </w:tcPr>
          <w:p>
            <w:pPr>
              <w:spacing w:after="0"/>
              <w:rPr>
                <w:sz w:val="21"/>
                <w:szCs w:val="21"/>
                <w:color w:val="auto"/>
              </w:rPr>
            </w:pPr>
          </w:p>
        </w:tc>
        <w:tc>
          <w:tcPr>
            <w:tcW w:w="2000" w:type="dxa"/>
            <w:vAlign w:val="bottom"/>
            <w:shd w:val="clear" w:color="auto" w:fill="BF2115"/>
          </w:tcPr>
          <w:p>
            <w:pPr>
              <w:jc w:val="right"/>
              <w:ind w:right="679"/>
              <w:spacing w:after="0"/>
              <w:rPr>
                <w:sz w:val="20"/>
                <w:szCs w:val="20"/>
                <w:color w:val="auto"/>
              </w:rPr>
            </w:pPr>
            <w:r>
              <w:rPr>
                <w:rFonts w:ascii="Arial" w:cs="Arial" w:eastAsia="Arial" w:hAnsi="Arial"/>
                <w:sz w:val="16"/>
                <w:szCs w:val="16"/>
                <w:color w:val="FFFFFF"/>
              </w:rPr>
              <w:t>FY18 Salary</w:t>
            </w:r>
          </w:p>
        </w:tc>
        <w:tc>
          <w:tcPr>
            <w:tcW w:w="500" w:type="dxa"/>
            <w:vAlign w:val="bottom"/>
            <w:shd w:val="clear" w:color="auto" w:fill="BF2115"/>
          </w:tcPr>
          <w:p>
            <w:pPr>
              <w:spacing w:after="0"/>
              <w:rPr>
                <w:sz w:val="21"/>
                <w:szCs w:val="21"/>
                <w:color w:val="auto"/>
              </w:rPr>
            </w:pPr>
          </w:p>
        </w:tc>
        <w:tc>
          <w:tcPr>
            <w:tcW w:w="2420" w:type="dxa"/>
            <w:vAlign w:val="bottom"/>
            <w:shd w:val="clear" w:color="auto" w:fill="BF2115"/>
          </w:tcPr>
          <w:p>
            <w:pPr>
              <w:jc w:val="right"/>
              <w:ind w:right="1099"/>
              <w:spacing w:after="0"/>
              <w:rPr>
                <w:sz w:val="20"/>
                <w:szCs w:val="20"/>
                <w:color w:val="auto"/>
              </w:rPr>
            </w:pPr>
            <w:r>
              <w:rPr>
                <w:rFonts w:ascii="Arial" w:cs="Arial" w:eastAsia="Arial" w:hAnsi="Arial"/>
                <w:sz w:val="16"/>
                <w:szCs w:val="16"/>
                <w:color w:val="FFFFFF"/>
              </w:rPr>
              <w:t>FY17 Salary</w:t>
            </w:r>
          </w:p>
        </w:tc>
        <w:tc>
          <w:tcPr>
            <w:tcW w:w="2180" w:type="dxa"/>
            <w:vAlign w:val="bottom"/>
            <w:shd w:val="clear" w:color="auto" w:fill="BF2115"/>
          </w:tcPr>
          <w:p>
            <w:pPr>
              <w:jc w:val="right"/>
              <w:ind w:right="799"/>
              <w:spacing w:after="0"/>
              <w:rPr>
                <w:sz w:val="20"/>
                <w:szCs w:val="20"/>
                <w:color w:val="auto"/>
              </w:rPr>
            </w:pPr>
            <w:r>
              <w:rPr>
                <w:rFonts w:ascii="Arial" w:cs="Arial" w:eastAsia="Arial" w:hAnsi="Arial"/>
                <w:sz w:val="16"/>
                <w:szCs w:val="16"/>
                <w:color w:val="FFFFFF"/>
              </w:rPr>
              <w:t>% Increase</w:t>
            </w:r>
          </w:p>
        </w:tc>
      </w:tr>
      <w:tr>
        <w:trPr>
          <w:trHeight w:val="233"/>
        </w:trPr>
        <w:tc>
          <w:tcPr>
            <w:tcW w:w="2600" w:type="dxa"/>
            <w:vAlign w:val="bottom"/>
          </w:tcPr>
          <w:p>
            <w:pPr>
              <w:ind w:left="40"/>
              <w:spacing w:after="0"/>
              <w:rPr>
                <w:sz w:val="20"/>
                <w:szCs w:val="20"/>
                <w:color w:val="auto"/>
              </w:rPr>
            </w:pPr>
            <w:r>
              <w:rPr>
                <w:rFonts w:ascii="Arial" w:cs="Arial" w:eastAsia="Arial" w:hAnsi="Arial"/>
                <w:sz w:val="16"/>
                <w:szCs w:val="16"/>
                <w:color w:val="auto"/>
              </w:rPr>
              <w:t>Michael J. Happe</w:t>
            </w:r>
          </w:p>
        </w:tc>
        <w:tc>
          <w:tcPr>
            <w:tcW w:w="1720" w:type="dxa"/>
            <w:vAlign w:val="bottom"/>
          </w:tcPr>
          <w:p>
            <w:pPr>
              <w:jc w:val="right"/>
              <w:ind w:right="259"/>
              <w:spacing w:after="0"/>
              <w:rPr>
                <w:sz w:val="20"/>
                <w:szCs w:val="20"/>
                <w:color w:val="auto"/>
              </w:rPr>
            </w:pPr>
            <w:r>
              <w:rPr>
                <w:rFonts w:ascii="Arial" w:cs="Arial" w:eastAsia="Arial" w:hAnsi="Arial"/>
                <w:sz w:val="16"/>
                <w:szCs w:val="16"/>
                <w:color w:val="auto"/>
              </w:rPr>
              <w:t>$</w:t>
            </w:r>
          </w:p>
        </w:tc>
        <w:tc>
          <w:tcPr>
            <w:tcW w:w="2000" w:type="dxa"/>
            <w:vAlign w:val="bottom"/>
          </w:tcPr>
          <w:p>
            <w:pPr>
              <w:jc w:val="right"/>
              <w:spacing w:after="0"/>
              <w:rPr>
                <w:sz w:val="20"/>
                <w:szCs w:val="20"/>
                <w:color w:val="auto"/>
              </w:rPr>
            </w:pPr>
            <w:r>
              <w:rPr>
                <w:rFonts w:ascii="Arial" w:cs="Arial" w:eastAsia="Arial" w:hAnsi="Arial"/>
                <w:sz w:val="16"/>
                <w:szCs w:val="16"/>
                <w:color w:val="auto"/>
              </w:rPr>
              <w:t>675,000</w:t>
            </w:r>
          </w:p>
        </w:tc>
        <w:tc>
          <w:tcPr>
            <w:tcW w:w="500" w:type="dxa"/>
            <w:vAlign w:val="bottom"/>
          </w:tcPr>
          <w:p>
            <w:pPr>
              <w:jc w:val="right"/>
              <w:ind w:right="259"/>
              <w:spacing w:after="0"/>
              <w:rPr>
                <w:sz w:val="20"/>
                <w:szCs w:val="20"/>
                <w:color w:val="auto"/>
              </w:rPr>
            </w:pPr>
            <w:r>
              <w:rPr>
                <w:rFonts w:ascii="Arial" w:cs="Arial" w:eastAsia="Arial" w:hAnsi="Arial"/>
                <w:sz w:val="16"/>
                <w:szCs w:val="16"/>
                <w:color w:val="auto"/>
              </w:rPr>
              <w:t>$</w:t>
            </w:r>
          </w:p>
        </w:tc>
        <w:tc>
          <w:tcPr>
            <w:tcW w:w="2420" w:type="dxa"/>
            <w:vAlign w:val="bottom"/>
          </w:tcPr>
          <w:p>
            <w:pPr>
              <w:jc w:val="right"/>
              <w:ind w:right="419"/>
              <w:spacing w:after="0"/>
              <w:rPr>
                <w:sz w:val="20"/>
                <w:szCs w:val="20"/>
                <w:color w:val="auto"/>
              </w:rPr>
            </w:pPr>
            <w:r>
              <w:rPr>
                <w:rFonts w:ascii="Arial" w:cs="Arial" w:eastAsia="Arial" w:hAnsi="Arial"/>
                <w:sz w:val="16"/>
                <w:szCs w:val="16"/>
                <w:color w:val="auto"/>
              </w:rPr>
              <w:t>625,000</w:t>
            </w:r>
          </w:p>
        </w:tc>
        <w:tc>
          <w:tcPr>
            <w:tcW w:w="2180" w:type="dxa"/>
            <w:vAlign w:val="bottom"/>
          </w:tcPr>
          <w:p>
            <w:pPr>
              <w:jc w:val="right"/>
              <w:spacing w:after="0"/>
              <w:rPr>
                <w:sz w:val="20"/>
                <w:szCs w:val="20"/>
                <w:color w:val="auto"/>
              </w:rPr>
            </w:pPr>
            <w:r>
              <w:rPr>
                <w:rFonts w:ascii="Arial" w:cs="Arial" w:eastAsia="Arial" w:hAnsi="Arial"/>
                <w:sz w:val="16"/>
                <w:szCs w:val="16"/>
                <w:color w:val="auto"/>
              </w:rPr>
              <w:t>8.0%</w:t>
            </w:r>
          </w:p>
        </w:tc>
      </w:tr>
      <w:tr>
        <w:trPr>
          <w:trHeight w:val="253"/>
        </w:trPr>
        <w:tc>
          <w:tcPr>
            <w:tcW w:w="2600" w:type="dxa"/>
            <w:vAlign w:val="bottom"/>
            <w:shd w:val="clear" w:color="auto" w:fill="ACACAC"/>
          </w:tcPr>
          <w:p>
            <w:pPr>
              <w:ind w:left="40"/>
              <w:spacing w:after="0"/>
              <w:rPr>
                <w:sz w:val="20"/>
                <w:szCs w:val="20"/>
                <w:color w:val="auto"/>
              </w:rPr>
            </w:pPr>
            <w:r>
              <w:rPr>
                <w:rFonts w:ascii="Arial" w:cs="Arial" w:eastAsia="Arial" w:hAnsi="Arial"/>
                <w:sz w:val="16"/>
                <w:szCs w:val="16"/>
                <w:color w:val="auto"/>
              </w:rPr>
              <w:t>Bryan L. Hughes</w:t>
            </w:r>
          </w:p>
        </w:tc>
        <w:tc>
          <w:tcPr>
            <w:tcW w:w="1720" w:type="dxa"/>
            <w:vAlign w:val="bottom"/>
            <w:shd w:val="clear" w:color="auto" w:fill="ACACAC"/>
          </w:tcPr>
          <w:p>
            <w:pPr>
              <w:jc w:val="right"/>
              <w:ind w:right="259"/>
              <w:spacing w:after="0"/>
              <w:rPr>
                <w:sz w:val="20"/>
                <w:szCs w:val="20"/>
                <w:color w:val="auto"/>
              </w:rPr>
            </w:pPr>
            <w:r>
              <w:rPr>
                <w:rFonts w:ascii="Arial" w:cs="Arial" w:eastAsia="Arial" w:hAnsi="Arial"/>
                <w:sz w:val="16"/>
                <w:szCs w:val="16"/>
                <w:color w:val="auto"/>
              </w:rPr>
              <w:t>$</w:t>
            </w:r>
          </w:p>
        </w:tc>
        <w:tc>
          <w:tcPr>
            <w:tcW w:w="2000" w:type="dxa"/>
            <w:vAlign w:val="bottom"/>
            <w:shd w:val="clear" w:color="auto" w:fill="ACACAC"/>
          </w:tcPr>
          <w:p>
            <w:pPr>
              <w:jc w:val="right"/>
              <w:spacing w:after="0"/>
              <w:rPr>
                <w:sz w:val="20"/>
                <w:szCs w:val="20"/>
                <w:color w:val="auto"/>
              </w:rPr>
            </w:pPr>
            <w:r>
              <w:rPr>
                <w:rFonts w:ascii="Arial" w:cs="Arial" w:eastAsia="Arial" w:hAnsi="Arial"/>
                <w:sz w:val="16"/>
                <w:szCs w:val="16"/>
                <w:color w:val="auto"/>
              </w:rPr>
              <w:t>461,250</w:t>
            </w:r>
          </w:p>
        </w:tc>
        <w:tc>
          <w:tcPr>
            <w:tcW w:w="500" w:type="dxa"/>
            <w:vAlign w:val="bottom"/>
            <w:shd w:val="clear" w:color="auto" w:fill="ACACAC"/>
          </w:tcPr>
          <w:p>
            <w:pPr>
              <w:jc w:val="right"/>
              <w:ind w:right="259"/>
              <w:spacing w:after="0"/>
              <w:rPr>
                <w:sz w:val="20"/>
                <w:szCs w:val="20"/>
                <w:color w:val="auto"/>
              </w:rPr>
            </w:pPr>
            <w:r>
              <w:rPr>
                <w:rFonts w:ascii="Arial" w:cs="Arial" w:eastAsia="Arial" w:hAnsi="Arial"/>
                <w:sz w:val="16"/>
                <w:szCs w:val="16"/>
                <w:color w:val="auto"/>
              </w:rPr>
              <w:t>$</w:t>
            </w:r>
          </w:p>
        </w:tc>
        <w:tc>
          <w:tcPr>
            <w:tcW w:w="2420" w:type="dxa"/>
            <w:vAlign w:val="bottom"/>
            <w:shd w:val="clear" w:color="auto" w:fill="ACACAC"/>
          </w:tcPr>
          <w:p>
            <w:pPr>
              <w:jc w:val="right"/>
              <w:ind w:right="419"/>
              <w:spacing w:after="0"/>
              <w:rPr>
                <w:sz w:val="20"/>
                <w:szCs w:val="20"/>
                <w:color w:val="auto"/>
              </w:rPr>
            </w:pPr>
            <w:r>
              <w:rPr>
                <w:rFonts w:ascii="Arial" w:cs="Arial" w:eastAsia="Arial" w:hAnsi="Arial"/>
                <w:sz w:val="16"/>
                <w:szCs w:val="16"/>
                <w:color w:val="auto"/>
              </w:rPr>
              <w:t>450,000</w:t>
            </w:r>
          </w:p>
        </w:tc>
        <w:tc>
          <w:tcPr>
            <w:tcW w:w="2180" w:type="dxa"/>
            <w:vAlign w:val="bottom"/>
            <w:shd w:val="clear" w:color="auto" w:fill="ACACAC"/>
          </w:tcPr>
          <w:p>
            <w:pPr>
              <w:jc w:val="right"/>
              <w:spacing w:after="0"/>
              <w:rPr>
                <w:sz w:val="20"/>
                <w:szCs w:val="20"/>
                <w:color w:val="auto"/>
              </w:rPr>
            </w:pPr>
            <w:r>
              <w:rPr>
                <w:rFonts w:ascii="Arial" w:cs="Arial" w:eastAsia="Arial" w:hAnsi="Arial"/>
                <w:sz w:val="16"/>
                <w:szCs w:val="16"/>
                <w:color w:val="auto"/>
              </w:rPr>
              <w:t>2.5%</w:t>
            </w:r>
          </w:p>
        </w:tc>
      </w:tr>
      <w:tr>
        <w:trPr>
          <w:trHeight w:val="233"/>
        </w:trPr>
        <w:tc>
          <w:tcPr>
            <w:tcW w:w="2600" w:type="dxa"/>
            <w:vAlign w:val="bottom"/>
          </w:tcPr>
          <w:p>
            <w:pPr>
              <w:ind w:left="40"/>
              <w:spacing w:after="0"/>
              <w:rPr>
                <w:sz w:val="20"/>
                <w:szCs w:val="20"/>
                <w:color w:val="auto"/>
              </w:rPr>
            </w:pPr>
            <w:r>
              <w:rPr>
                <w:rFonts w:ascii="Arial" w:cs="Arial" w:eastAsia="Arial" w:hAnsi="Arial"/>
                <w:sz w:val="16"/>
                <w:szCs w:val="16"/>
                <w:color w:val="auto"/>
              </w:rPr>
              <w:t>Stacy L. Bogart</w:t>
            </w:r>
          </w:p>
        </w:tc>
        <w:tc>
          <w:tcPr>
            <w:tcW w:w="1720" w:type="dxa"/>
            <w:vAlign w:val="bottom"/>
          </w:tcPr>
          <w:p>
            <w:pPr>
              <w:jc w:val="right"/>
              <w:ind w:right="259"/>
              <w:spacing w:after="0"/>
              <w:rPr>
                <w:sz w:val="20"/>
                <w:szCs w:val="20"/>
                <w:color w:val="auto"/>
              </w:rPr>
            </w:pPr>
            <w:r>
              <w:rPr>
                <w:rFonts w:ascii="Arial" w:cs="Arial" w:eastAsia="Arial" w:hAnsi="Arial"/>
                <w:sz w:val="16"/>
                <w:szCs w:val="16"/>
                <w:color w:val="auto"/>
              </w:rPr>
              <w:t>$</w:t>
            </w:r>
          </w:p>
        </w:tc>
        <w:tc>
          <w:tcPr>
            <w:tcW w:w="2000" w:type="dxa"/>
            <w:vAlign w:val="bottom"/>
          </w:tcPr>
          <w:p>
            <w:pPr>
              <w:jc w:val="right"/>
              <w:spacing w:after="0"/>
              <w:rPr>
                <w:sz w:val="20"/>
                <w:szCs w:val="20"/>
                <w:color w:val="auto"/>
              </w:rPr>
            </w:pPr>
            <w:r>
              <w:rPr>
                <w:rFonts w:ascii="Arial" w:cs="Arial" w:eastAsia="Arial" w:hAnsi="Arial"/>
                <w:sz w:val="16"/>
                <w:szCs w:val="16"/>
                <w:color w:val="auto"/>
              </w:rPr>
              <w:t>415,000</w:t>
            </w:r>
          </w:p>
        </w:tc>
        <w:tc>
          <w:tcPr>
            <w:tcW w:w="500" w:type="dxa"/>
            <w:vAlign w:val="bottom"/>
          </w:tcPr>
          <w:p>
            <w:pPr>
              <w:spacing w:after="0"/>
              <w:rPr>
                <w:sz w:val="20"/>
                <w:szCs w:val="20"/>
                <w:color w:val="auto"/>
              </w:rPr>
            </w:pPr>
          </w:p>
        </w:tc>
        <w:tc>
          <w:tcPr>
            <w:tcW w:w="2420" w:type="dxa"/>
            <w:vAlign w:val="bottom"/>
          </w:tcPr>
          <w:p>
            <w:pPr>
              <w:jc w:val="right"/>
              <w:ind w:right="419"/>
              <w:spacing w:after="0"/>
              <w:rPr>
                <w:sz w:val="20"/>
                <w:szCs w:val="20"/>
                <w:color w:val="auto"/>
              </w:rPr>
            </w:pPr>
            <w:r>
              <w:rPr>
                <w:rFonts w:ascii="Arial" w:cs="Arial" w:eastAsia="Arial" w:hAnsi="Arial"/>
                <w:sz w:val="16"/>
                <w:szCs w:val="16"/>
                <w:color w:val="auto"/>
              </w:rPr>
              <w:t>N/A</w:t>
            </w:r>
          </w:p>
        </w:tc>
        <w:tc>
          <w:tcPr>
            <w:tcW w:w="2180" w:type="dxa"/>
            <w:vAlign w:val="bottom"/>
          </w:tcPr>
          <w:p>
            <w:pPr>
              <w:jc w:val="right"/>
              <w:ind w:right="99"/>
              <w:spacing w:after="0"/>
              <w:rPr>
                <w:sz w:val="20"/>
                <w:szCs w:val="20"/>
                <w:color w:val="auto"/>
              </w:rPr>
            </w:pPr>
            <w:r>
              <w:rPr>
                <w:rFonts w:ascii="Arial" w:cs="Arial" w:eastAsia="Arial" w:hAnsi="Arial"/>
                <w:sz w:val="16"/>
                <w:szCs w:val="16"/>
                <w:color w:val="auto"/>
              </w:rPr>
              <w:t>N/A</w:t>
            </w:r>
          </w:p>
        </w:tc>
      </w:tr>
      <w:tr>
        <w:trPr>
          <w:trHeight w:val="253"/>
        </w:trPr>
        <w:tc>
          <w:tcPr>
            <w:tcW w:w="2600" w:type="dxa"/>
            <w:vAlign w:val="bottom"/>
            <w:shd w:val="clear" w:color="auto" w:fill="ACACAC"/>
          </w:tcPr>
          <w:p>
            <w:pPr>
              <w:ind w:left="40"/>
              <w:spacing w:after="0"/>
              <w:rPr>
                <w:sz w:val="20"/>
                <w:szCs w:val="20"/>
                <w:color w:val="auto"/>
              </w:rPr>
            </w:pPr>
            <w:r>
              <w:rPr>
                <w:rFonts w:ascii="Arial" w:cs="Arial" w:eastAsia="Arial" w:hAnsi="Arial"/>
                <w:sz w:val="16"/>
                <w:szCs w:val="16"/>
                <w:color w:val="auto"/>
              </w:rPr>
              <w:t>Donald J. Clark</w:t>
            </w:r>
          </w:p>
        </w:tc>
        <w:tc>
          <w:tcPr>
            <w:tcW w:w="1720" w:type="dxa"/>
            <w:vAlign w:val="bottom"/>
            <w:shd w:val="clear" w:color="auto" w:fill="ACACAC"/>
          </w:tcPr>
          <w:p>
            <w:pPr>
              <w:jc w:val="right"/>
              <w:ind w:right="259"/>
              <w:spacing w:after="0"/>
              <w:rPr>
                <w:sz w:val="20"/>
                <w:szCs w:val="20"/>
                <w:color w:val="auto"/>
              </w:rPr>
            </w:pPr>
            <w:r>
              <w:rPr>
                <w:rFonts w:ascii="Arial" w:cs="Arial" w:eastAsia="Arial" w:hAnsi="Arial"/>
                <w:sz w:val="16"/>
                <w:szCs w:val="16"/>
                <w:color w:val="auto"/>
              </w:rPr>
              <w:t>$</w:t>
            </w:r>
          </w:p>
        </w:tc>
        <w:tc>
          <w:tcPr>
            <w:tcW w:w="2000" w:type="dxa"/>
            <w:vAlign w:val="bottom"/>
            <w:shd w:val="clear" w:color="auto" w:fill="ACACAC"/>
          </w:tcPr>
          <w:p>
            <w:pPr>
              <w:jc w:val="right"/>
              <w:spacing w:after="0"/>
              <w:rPr>
                <w:sz w:val="20"/>
                <w:szCs w:val="20"/>
                <w:color w:val="auto"/>
              </w:rPr>
            </w:pPr>
            <w:r>
              <w:rPr>
                <w:rFonts w:ascii="Arial" w:cs="Arial" w:eastAsia="Arial" w:hAnsi="Arial"/>
                <w:sz w:val="16"/>
                <w:szCs w:val="16"/>
                <w:color w:val="auto"/>
              </w:rPr>
              <w:t>400,000</w:t>
            </w:r>
          </w:p>
        </w:tc>
        <w:tc>
          <w:tcPr>
            <w:tcW w:w="500" w:type="dxa"/>
            <w:vAlign w:val="bottom"/>
            <w:shd w:val="clear" w:color="auto" w:fill="ACACAC"/>
          </w:tcPr>
          <w:p>
            <w:pPr>
              <w:jc w:val="right"/>
              <w:ind w:right="259"/>
              <w:spacing w:after="0"/>
              <w:rPr>
                <w:sz w:val="20"/>
                <w:szCs w:val="20"/>
                <w:color w:val="auto"/>
              </w:rPr>
            </w:pPr>
            <w:r>
              <w:rPr>
                <w:rFonts w:ascii="Arial" w:cs="Arial" w:eastAsia="Arial" w:hAnsi="Arial"/>
                <w:sz w:val="16"/>
                <w:szCs w:val="16"/>
                <w:color w:val="auto"/>
              </w:rPr>
              <w:t>$</w:t>
            </w:r>
          </w:p>
        </w:tc>
        <w:tc>
          <w:tcPr>
            <w:tcW w:w="2420" w:type="dxa"/>
            <w:vAlign w:val="bottom"/>
            <w:shd w:val="clear" w:color="auto" w:fill="ACACAC"/>
          </w:tcPr>
          <w:p>
            <w:pPr>
              <w:jc w:val="right"/>
              <w:ind w:right="419"/>
              <w:spacing w:after="0"/>
              <w:rPr>
                <w:sz w:val="20"/>
                <w:szCs w:val="20"/>
                <w:color w:val="auto"/>
              </w:rPr>
            </w:pPr>
            <w:r>
              <w:rPr>
                <w:rFonts w:ascii="Arial" w:cs="Arial" w:eastAsia="Arial" w:hAnsi="Arial"/>
                <w:sz w:val="16"/>
                <w:szCs w:val="16"/>
                <w:color w:val="auto"/>
              </w:rPr>
              <w:t>400,000</w:t>
            </w:r>
          </w:p>
        </w:tc>
        <w:tc>
          <w:tcPr>
            <w:tcW w:w="2180" w:type="dxa"/>
            <w:vAlign w:val="bottom"/>
            <w:shd w:val="clear" w:color="auto" w:fill="ACACAC"/>
          </w:tcPr>
          <w:p>
            <w:pPr>
              <w:jc w:val="right"/>
              <w:spacing w:after="0"/>
              <w:rPr>
                <w:sz w:val="20"/>
                <w:szCs w:val="20"/>
                <w:color w:val="auto"/>
              </w:rPr>
            </w:pPr>
            <w:r>
              <w:rPr>
                <w:rFonts w:ascii="Arial" w:cs="Arial" w:eastAsia="Arial" w:hAnsi="Arial"/>
                <w:sz w:val="16"/>
                <w:szCs w:val="16"/>
                <w:color w:val="auto"/>
              </w:rPr>
              <w:t>—%</w:t>
            </w:r>
          </w:p>
        </w:tc>
      </w:tr>
      <w:tr>
        <w:trPr>
          <w:trHeight w:val="224"/>
        </w:trPr>
        <w:tc>
          <w:tcPr>
            <w:tcW w:w="2600" w:type="dxa"/>
            <w:vAlign w:val="bottom"/>
          </w:tcPr>
          <w:p>
            <w:pPr>
              <w:ind w:left="40"/>
              <w:spacing w:after="0"/>
              <w:rPr>
                <w:sz w:val="20"/>
                <w:szCs w:val="20"/>
                <w:color w:val="auto"/>
              </w:rPr>
            </w:pPr>
            <w:r>
              <w:rPr>
                <w:rFonts w:ascii="Arial" w:cs="Arial" w:eastAsia="Arial" w:hAnsi="Arial"/>
                <w:sz w:val="16"/>
                <w:szCs w:val="16"/>
                <w:color w:val="auto"/>
              </w:rPr>
              <w:t>Brian D. Hazelton</w:t>
            </w:r>
          </w:p>
        </w:tc>
        <w:tc>
          <w:tcPr>
            <w:tcW w:w="1720" w:type="dxa"/>
            <w:vAlign w:val="bottom"/>
          </w:tcPr>
          <w:p>
            <w:pPr>
              <w:jc w:val="right"/>
              <w:ind w:right="259"/>
              <w:spacing w:after="0"/>
              <w:rPr>
                <w:sz w:val="20"/>
                <w:szCs w:val="20"/>
                <w:color w:val="auto"/>
              </w:rPr>
            </w:pPr>
            <w:r>
              <w:rPr>
                <w:rFonts w:ascii="Arial" w:cs="Arial" w:eastAsia="Arial" w:hAnsi="Arial"/>
                <w:sz w:val="16"/>
                <w:szCs w:val="16"/>
                <w:color w:val="auto"/>
              </w:rPr>
              <w:t>$</w:t>
            </w:r>
          </w:p>
        </w:tc>
        <w:tc>
          <w:tcPr>
            <w:tcW w:w="2000" w:type="dxa"/>
            <w:vAlign w:val="bottom"/>
          </w:tcPr>
          <w:p>
            <w:pPr>
              <w:jc w:val="right"/>
              <w:spacing w:after="0"/>
              <w:rPr>
                <w:sz w:val="20"/>
                <w:szCs w:val="20"/>
                <w:color w:val="auto"/>
              </w:rPr>
            </w:pPr>
            <w:r>
              <w:rPr>
                <w:rFonts w:ascii="Arial" w:cs="Arial" w:eastAsia="Arial" w:hAnsi="Arial"/>
                <w:sz w:val="16"/>
                <w:szCs w:val="16"/>
                <w:color w:val="auto"/>
              </w:rPr>
              <w:t>477,400</w:t>
            </w:r>
          </w:p>
        </w:tc>
        <w:tc>
          <w:tcPr>
            <w:tcW w:w="500" w:type="dxa"/>
            <w:vAlign w:val="bottom"/>
          </w:tcPr>
          <w:p>
            <w:pPr>
              <w:jc w:val="right"/>
              <w:ind w:right="259"/>
              <w:spacing w:after="0"/>
              <w:rPr>
                <w:sz w:val="20"/>
                <w:szCs w:val="20"/>
                <w:color w:val="auto"/>
              </w:rPr>
            </w:pPr>
            <w:r>
              <w:rPr>
                <w:rFonts w:ascii="Arial" w:cs="Arial" w:eastAsia="Arial" w:hAnsi="Arial"/>
                <w:sz w:val="16"/>
                <w:szCs w:val="16"/>
                <w:color w:val="auto"/>
              </w:rPr>
              <w:t>$</w:t>
            </w:r>
          </w:p>
        </w:tc>
        <w:tc>
          <w:tcPr>
            <w:tcW w:w="2420" w:type="dxa"/>
            <w:vAlign w:val="bottom"/>
          </w:tcPr>
          <w:p>
            <w:pPr>
              <w:jc w:val="right"/>
              <w:ind w:right="419"/>
              <w:spacing w:after="0"/>
              <w:rPr>
                <w:sz w:val="20"/>
                <w:szCs w:val="20"/>
                <w:color w:val="auto"/>
              </w:rPr>
            </w:pPr>
            <w:r>
              <w:rPr>
                <w:rFonts w:ascii="Arial" w:cs="Arial" w:eastAsia="Arial" w:hAnsi="Arial"/>
                <w:sz w:val="16"/>
                <w:szCs w:val="16"/>
                <w:color w:val="auto"/>
              </w:rPr>
              <w:t>463,500</w:t>
            </w:r>
          </w:p>
        </w:tc>
        <w:tc>
          <w:tcPr>
            <w:tcW w:w="2180" w:type="dxa"/>
            <w:vAlign w:val="bottom"/>
          </w:tcPr>
          <w:p>
            <w:pPr>
              <w:jc w:val="right"/>
              <w:spacing w:after="0"/>
              <w:rPr>
                <w:sz w:val="20"/>
                <w:szCs w:val="20"/>
                <w:color w:val="auto"/>
              </w:rPr>
            </w:pPr>
            <w:r>
              <w:rPr>
                <w:rFonts w:ascii="Arial" w:cs="Arial" w:eastAsia="Arial" w:hAnsi="Arial"/>
                <w:sz w:val="16"/>
                <w:szCs w:val="16"/>
                <w:color w:val="auto"/>
              </w:rPr>
              <w:t>3.0%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188595</wp:posOffset>
            </wp:positionV>
            <wp:extent cx="7272020" cy="425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303" w:right="2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right="20"/>
        <w:spacing w:after="0" w:line="249" w:lineRule="auto"/>
        <w:rPr>
          <w:sz w:val="20"/>
          <w:szCs w:val="20"/>
          <w:color w:val="auto"/>
        </w:rPr>
      </w:pPr>
      <w:r>
        <w:rPr>
          <w:rFonts w:ascii="Arial" w:cs="Arial" w:eastAsia="Arial" w:hAnsi="Arial"/>
          <w:sz w:val="22"/>
          <w:szCs w:val="22"/>
          <w:color w:val="828282"/>
        </w:rPr>
        <w:t>Annual Incentive Plan - Officers' Incentive Compensation Plan (OICP)</w:t>
      </w:r>
    </w:p>
    <w:p>
      <w:pPr>
        <w:spacing w:after="0" w:line="172"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auto"/>
        </w:rPr>
        <w:t>The OICP is designed to motivate and reward the successful completion of our annual performance goals as set by the Committee. The amount of the participants' incentive compensation earned for a given fiscal year is calculated under the OICP to be in direct proportion to our financial performance expressed as a percentage (Financial Factor) against compensation targets for each participant as determined by the Committee. OICP awards are earned to the extent we meet or exceed annual financial targets as well as business unit and individual performance goals.</w:t>
      </w:r>
    </w:p>
    <w:p>
      <w:pPr>
        <w:spacing w:after="0" w:line="86"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auto"/>
        </w:rPr>
        <w:t>Each NEO, except for Mr. Clark, is eligible for a target award, denominated as a percentage of base salary paid during the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jc w:val="both"/>
        <w:spacing w:after="0" w:line="250" w:lineRule="auto"/>
        <w:rPr>
          <w:sz w:val="20"/>
          <w:szCs w:val="20"/>
          <w:color w:val="auto"/>
        </w:rPr>
      </w:pPr>
      <w:r>
        <w:rPr>
          <w:rFonts w:ascii="Arial" w:cs="Arial" w:eastAsia="Arial" w:hAnsi="Arial"/>
          <w:sz w:val="16"/>
          <w:szCs w:val="16"/>
          <w:color w:val="auto"/>
        </w:rPr>
        <w:t>fiscal year. NEOs may earn from 0% of the target award under the OICP up to a maximum of 200% of the target award. In setting the target award percentages for the NEOs, the Committee considers competitive data in the compensation peer studies, individual performance evaluations, and internal equity factors.</w:t>
      </w:r>
    </w:p>
    <w:p>
      <w:pPr>
        <w:spacing w:after="0" w:line="181" w:lineRule="exact"/>
        <w:rPr>
          <w:sz w:val="20"/>
          <w:szCs w:val="20"/>
          <w:color w:val="auto"/>
        </w:rPr>
      </w:pPr>
    </w:p>
    <w:p>
      <w:pPr>
        <w:spacing w:after="0"/>
        <w:rPr>
          <w:sz w:val="20"/>
          <w:szCs w:val="20"/>
          <w:color w:val="auto"/>
        </w:rPr>
      </w:pPr>
      <w:r>
        <w:rPr>
          <w:rFonts w:ascii="Arial" w:cs="Arial" w:eastAsia="Arial" w:hAnsi="Arial"/>
          <w:sz w:val="22"/>
          <w:szCs w:val="22"/>
          <w:color w:val="828282"/>
        </w:rPr>
        <w:t>Fiscal 2018 OICP</w:t>
      </w:r>
    </w:p>
    <w:p>
      <w:pPr>
        <w:spacing w:after="0" w:line="188" w:lineRule="exact"/>
        <w:rPr>
          <w:sz w:val="20"/>
          <w:szCs w:val="20"/>
          <w:color w:val="auto"/>
        </w:rPr>
      </w:pPr>
    </w:p>
    <w:p>
      <w:pPr>
        <w:jc w:val="both"/>
        <w:ind w:right="320"/>
        <w:spacing w:after="0" w:line="253" w:lineRule="auto"/>
        <w:rPr>
          <w:sz w:val="20"/>
          <w:szCs w:val="20"/>
          <w:color w:val="auto"/>
        </w:rPr>
      </w:pPr>
      <w:r>
        <w:rPr>
          <w:rFonts w:ascii="Arial" w:cs="Arial" w:eastAsia="Arial" w:hAnsi="Arial"/>
          <w:sz w:val="16"/>
          <w:szCs w:val="16"/>
          <w:color w:val="auto"/>
        </w:rPr>
        <w:t>The following table reflects the Fiscal 2018 year-end salary, target OICP percentage and dollar amounts, and actual OICP percentage and dollar amounts earned by the NEOs, each as approved by the Committee.</w:t>
      </w:r>
    </w:p>
    <w:p>
      <w:pPr>
        <w:spacing w:after="0" w:line="651" w:lineRule="exact"/>
        <w:rPr>
          <w:sz w:val="20"/>
          <w:szCs w:val="20"/>
          <w:color w:val="auto"/>
        </w:rPr>
      </w:pPr>
    </w:p>
    <w:p>
      <w:pPr>
        <w:sectPr>
          <w:pgSz w:w="11900" w:h="16838" w:orient="portrait"/>
          <w:cols w:equalWidth="0" w:num="2">
            <w:col w:w="5480" w:space="460"/>
            <w:col w:w="5480"/>
          </w:cols>
          <w:pgMar w:left="240" w:top="303" w:right="2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21</w:t>
      </w:r>
    </w:p>
    <w:p>
      <w:pPr>
        <w:sectPr>
          <w:pgSz w:w="11900" w:h="16838" w:orient="portrait"/>
          <w:cols w:equalWidth="0" w:num="1">
            <w:col w:w="11420"/>
          </w:cols>
          <w:pgMar w:left="240" w:top="303" w:right="239" w:bottom="1440" w:gutter="0" w:footer="0" w:header="0"/>
          <w:type w:val="continuous"/>
        </w:sectPr>
      </w:pPr>
    </w:p>
    <w:bookmarkStart w:id="25" w:name="page26"/>
    <w:bookmarkEnd w:id="25"/>
    <w:p>
      <w:pPr>
        <w:ind w:left="40"/>
        <w:spacing w:after="0"/>
        <w:rPr>
          <w:rFonts w:ascii="Arial" w:cs="Arial" w:eastAsia="Arial" w:hAnsi="Arial"/>
          <w:sz w:val="16"/>
          <w:szCs w:val="16"/>
          <w:u w:val="single" w:color="auto"/>
          <w:color w:val="0000EE"/>
        </w:rPr>
      </w:pPr>
      <w:r>
        <w:rPr>
          <w:rFonts w:ascii="Arial" w:cs="Arial" w:eastAsia="Arial" w:hAnsi="Arial"/>
          <w:sz w:val="16"/>
          <w:szCs w:val="16"/>
          <w:u w:val="single" w:color="auto"/>
          <w:color w:val="0000EE"/>
        </w:rPr>
        <w:drawing>
          <wp:anchor simplePos="0" relativeHeight="251657728" behindDoc="1" locked="0" layoutInCell="0" allowOverlap="1">
            <wp:simplePos x="0" y="0"/>
            <wp:positionH relativeFrom="page">
              <wp:posOffset>5946140</wp:posOffset>
            </wp:positionH>
            <wp:positionV relativeFrom="page">
              <wp:posOffset>191770</wp:posOffset>
            </wp:positionV>
            <wp:extent cx="1440815" cy="20574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clrChange>
                        <a:clrFrom>
                          <a:srgbClr val="FFFFFF"/>
                        </a:clrFrom>
                        <a:clrTo>
                          <a:srgbClr val="FFFFFF">
                            <a:alpha val="0"/>
                          </a:srgbClr>
                        </a:clrTo>
                      </a:clrChange>
                      <a:extLst>
                        <a:ext uri="{28A0092B-C50C-407E-A947-70E740481C1C}"/>
                      </a:extLst>
                    </a:blip>
                    <a:srcRect/>
                    <a:stretch>
                      <a:fillRect/>
                    </a:stretch>
                  </pic:blipFill>
                  <pic:spPr bwMode="auto">
                    <a:xfrm>
                      <a:off x="0" y="0"/>
                      <a:ext cx="1440815" cy="205740"/>
                    </a:xfrm>
                    <a:prstGeom prst="rect">
                      <a:avLst/>
                    </a:prstGeom>
                    <a:noFill/>
                  </pic:spPr>
                </pic:pic>
              </a:graphicData>
            </a:graphic>
          </wp:anchor>
        </w:drawing>
      </w:r>
      <w:hyperlink w:anchor="page4">
        <w:r>
          <w:rPr>
            <w:rFonts w:ascii="Arial" w:cs="Arial" w:eastAsia="Arial" w:hAnsi="Arial"/>
            <w:sz w:val="16"/>
            <w:szCs w:val="16"/>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104775</wp:posOffset>
            </wp:positionV>
            <wp:extent cx="7246620" cy="889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right="280"/>
        <w:spacing w:after="0" w:line="258" w:lineRule="auto"/>
        <w:rPr>
          <w:sz w:val="20"/>
          <w:szCs w:val="20"/>
          <w:color w:val="auto"/>
        </w:rPr>
      </w:pPr>
      <w:r>
        <w:rPr>
          <w:rFonts w:ascii="Arial" w:cs="Arial" w:eastAsia="Arial" w:hAnsi="Arial"/>
          <w:sz w:val="14"/>
          <w:szCs w:val="14"/>
          <w:color w:val="auto"/>
        </w:rPr>
        <w:t>The amounts paid to our NEOs for 2018 performance were approved by the Committee on October 15, 2018 and are set forth in the Summary Compensation Table on page 27 and in the table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246620" cy="3346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246620" cy="334645"/>
                    </a:xfrm>
                    <a:prstGeom prst="rect">
                      <a:avLst/>
                    </a:prstGeom>
                    <a:noFill/>
                  </pic:spPr>
                </pic:pic>
              </a:graphicData>
            </a:graphic>
          </wp:anchor>
        </w:drawing>
      </w:r>
    </w:p>
    <w:p>
      <w:pPr>
        <w:spacing w:after="0" w:line="88" w:lineRule="exact"/>
        <w:rPr>
          <w:sz w:val="20"/>
          <w:szCs w:val="20"/>
          <w:color w:val="auto"/>
        </w:rPr>
      </w:pPr>
    </w:p>
    <w:tbl>
      <w:tblPr>
        <w:tblLayout w:type="fixed"/>
        <w:tblInd w:w="0" w:type="dxa"/>
        <w:tblCellMar>
          <w:top w:w="0" w:type="dxa"/>
          <w:left w:w="0" w:type="dxa"/>
          <w:bottom w:w="0" w:type="dxa"/>
          <w:right w:w="0" w:type="dxa"/>
        </w:tblCellMar>
      </w:tblPr>
      <w:tr>
        <w:trPr>
          <w:trHeight w:val="251"/>
        </w:trPr>
        <w:tc>
          <w:tcPr>
            <w:tcW w:w="2600" w:type="dxa"/>
            <w:vAlign w:val="bottom"/>
            <w:shd w:val="clear" w:color="auto" w:fill="BF2115"/>
          </w:tcPr>
          <w:p>
            <w:pPr>
              <w:spacing w:after="0"/>
              <w:rPr>
                <w:sz w:val="21"/>
                <w:szCs w:val="21"/>
                <w:color w:val="auto"/>
              </w:rPr>
            </w:pPr>
          </w:p>
        </w:tc>
        <w:tc>
          <w:tcPr>
            <w:tcW w:w="2280" w:type="dxa"/>
            <w:vAlign w:val="bottom"/>
            <w:shd w:val="clear" w:color="auto" w:fill="BF2115"/>
          </w:tcPr>
          <w:p>
            <w:pPr>
              <w:spacing w:after="0"/>
              <w:rPr>
                <w:sz w:val="21"/>
                <w:szCs w:val="21"/>
                <w:color w:val="auto"/>
              </w:rPr>
            </w:pPr>
          </w:p>
        </w:tc>
        <w:tc>
          <w:tcPr>
            <w:tcW w:w="3440" w:type="dxa"/>
            <w:vAlign w:val="bottom"/>
            <w:gridSpan w:val="2"/>
            <w:shd w:val="clear" w:color="auto" w:fill="BF2115"/>
          </w:tcPr>
          <w:p>
            <w:pPr>
              <w:jc w:val="right"/>
              <w:ind w:right="1319"/>
              <w:spacing w:after="0"/>
              <w:rPr>
                <w:sz w:val="20"/>
                <w:szCs w:val="20"/>
                <w:color w:val="auto"/>
              </w:rPr>
            </w:pPr>
            <w:r>
              <w:rPr>
                <w:rFonts w:ascii="Arial" w:cs="Arial" w:eastAsia="Arial" w:hAnsi="Arial"/>
                <w:sz w:val="16"/>
                <w:szCs w:val="16"/>
                <w:color w:val="FFFFFF"/>
              </w:rPr>
              <w:t>FY18 Target OICP</w:t>
            </w:r>
          </w:p>
        </w:tc>
        <w:tc>
          <w:tcPr>
            <w:tcW w:w="2280" w:type="dxa"/>
            <w:vAlign w:val="bottom"/>
            <w:shd w:val="clear" w:color="auto" w:fill="BF2115"/>
          </w:tcPr>
          <w:p>
            <w:pPr>
              <w:jc w:val="right"/>
              <w:ind w:right="139"/>
              <w:spacing w:after="0"/>
              <w:rPr>
                <w:sz w:val="20"/>
                <w:szCs w:val="20"/>
                <w:color w:val="auto"/>
              </w:rPr>
            </w:pPr>
            <w:r>
              <w:rPr>
                <w:rFonts w:ascii="Arial" w:cs="Arial" w:eastAsia="Arial" w:hAnsi="Arial"/>
                <w:sz w:val="16"/>
                <w:szCs w:val="16"/>
                <w:color w:val="FFFFFF"/>
              </w:rPr>
              <w:t>FY18 Actual OICP</w:t>
            </w:r>
          </w:p>
        </w:tc>
        <w:tc>
          <w:tcPr>
            <w:tcW w:w="820" w:type="dxa"/>
            <w:vAlign w:val="bottom"/>
            <w:shd w:val="clear" w:color="auto" w:fill="BF2115"/>
          </w:tcPr>
          <w:p>
            <w:pPr>
              <w:spacing w:after="0"/>
              <w:rPr>
                <w:sz w:val="21"/>
                <w:szCs w:val="21"/>
                <w:color w:val="auto"/>
              </w:rPr>
            </w:pPr>
          </w:p>
        </w:tc>
      </w:tr>
      <w:tr>
        <w:trPr>
          <w:trHeight w:val="276"/>
        </w:trPr>
        <w:tc>
          <w:tcPr>
            <w:tcW w:w="2600" w:type="dxa"/>
            <w:vAlign w:val="bottom"/>
            <w:shd w:val="clear" w:color="auto" w:fill="BF2115"/>
          </w:tcPr>
          <w:p>
            <w:pPr>
              <w:ind w:left="40"/>
              <w:spacing w:after="0"/>
              <w:rPr>
                <w:sz w:val="20"/>
                <w:szCs w:val="20"/>
                <w:color w:val="auto"/>
              </w:rPr>
            </w:pPr>
            <w:r>
              <w:rPr>
                <w:rFonts w:ascii="Arial" w:cs="Arial" w:eastAsia="Arial" w:hAnsi="Arial"/>
                <w:sz w:val="16"/>
                <w:szCs w:val="16"/>
                <w:color w:val="FFFFFF"/>
              </w:rPr>
              <w:t>Name</w:t>
            </w:r>
          </w:p>
        </w:tc>
        <w:tc>
          <w:tcPr>
            <w:tcW w:w="2280" w:type="dxa"/>
            <w:vAlign w:val="bottom"/>
            <w:shd w:val="clear" w:color="auto" w:fill="BF2115"/>
          </w:tcPr>
          <w:p>
            <w:pPr>
              <w:jc w:val="right"/>
              <w:ind w:right="299"/>
              <w:spacing w:after="0"/>
              <w:rPr>
                <w:sz w:val="20"/>
                <w:szCs w:val="20"/>
                <w:color w:val="auto"/>
              </w:rPr>
            </w:pPr>
            <w:r>
              <w:rPr>
                <w:rFonts w:ascii="Arial" w:cs="Arial" w:eastAsia="Arial" w:hAnsi="Arial"/>
                <w:sz w:val="16"/>
                <w:szCs w:val="16"/>
                <w:color w:val="FFFFFF"/>
              </w:rPr>
              <w:t>FY18 Salary ($)</w:t>
            </w:r>
          </w:p>
        </w:tc>
        <w:tc>
          <w:tcPr>
            <w:tcW w:w="1620" w:type="dxa"/>
            <w:vAlign w:val="bottom"/>
            <w:shd w:val="clear" w:color="auto" w:fill="BF2115"/>
          </w:tcPr>
          <w:p>
            <w:pPr>
              <w:jc w:val="right"/>
              <w:ind w:right="319"/>
              <w:spacing w:after="0"/>
              <w:rPr>
                <w:sz w:val="20"/>
                <w:szCs w:val="20"/>
                <w:color w:val="auto"/>
              </w:rPr>
            </w:pPr>
            <w:r>
              <w:rPr>
                <w:rFonts w:ascii="Arial" w:cs="Arial" w:eastAsia="Arial" w:hAnsi="Arial"/>
                <w:sz w:val="16"/>
                <w:szCs w:val="16"/>
                <w:color w:val="FFFFFF"/>
              </w:rPr>
              <w:t>% of Salary</w:t>
            </w:r>
          </w:p>
        </w:tc>
        <w:tc>
          <w:tcPr>
            <w:tcW w:w="1820" w:type="dxa"/>
            <w:vAlign w:val="bottom"/>
            <w:shd w:val="clear" w:color="auto" w:fill="BF2115"/>
          </w:tcPr>
          <w:p>
            <w:pPr>
              <w:jc w:val="right"/>
              <w:ind w:right="299"/>
              <w:spacing w:after="0"/>
              <w:rPr>
                <w:sz w:val="20"/>
                <w:szCs w:val="20"/>
                <w:color w:val="auto"/>
              </w:rPr>
            </w:pPr>
            <w:r>
              <w:rPr>
                <w:rFonts w:ascii="Arial" w:cs="Arial" w:eastAsia="Arial" w:hAnsi="Arial"/>
                <w:sz w:val="16"/>
                <w:szCs w:val="16"/>
                <w:color w:val="FFFFFF"/>
              </w:rPr>
              <w:t>Target Award ($)</w:t>
            </w:r>
          </w:p>
        </w:tc>
        <w:tc>
          <w:tcPr>
            <w:tcW w:w="2280" w:type="dxa"/>
            <w:vAlign w:val="bottom"/>
            <w:shd w:val="clear" w:color="auto" w:fill="BF2115"/>
          </w:tcPr>
          <w:p>
            <w:pPr>
              <w:jc w:val="right"/>
              <w:ind w:right="979"/>
              <w:spacing w:after="0"/>
              <w:rPr>
                <w:sz w:val="20"/>
                <w:szCs w:val="20"/>
                <w:color w:val="auto"/>
              </w:rPr>
            </w:pPr>
            <w:r>
              <w:rPr>
                <w:rFonts w:ascii="Arial" w:cs="Arial" w:eastAsia="Arial" w:hAnsi="Arial"/>
                <w:sz w:val="16"/>
                <w:szCs w:val="16"/>
                <w:color w:val="FFFFFF"/>
              </w:rPr>
              <w:t>% of Target</w:t>
            </w:r>
          </w:p>
        </w:tc>
        <w:tc>
          <w:tcPr>
            <w:tcW w:w="820" w:type="dxa"/>
            <w:vAlign w:val="bottom"/>
            <w:shd w:val="clear" w:color="auto" w:fill="BF2115"/>
          </w:tcPr>
          <w:p>
            <w:pPr>
              <w:jc w:val="right"/>
              <w:spacing w:after="0"/>
              <w:rPr>
                <w:sz w:val="20"/>
                <w:szCs w:val="20"/>
                <w:color w:val="auto"/>
              </w:rPr>
            </w:pPr>
            <w:r>
              <w:rPr>
                <w:rFonts w:ascii="Arial" w:cs="Arial" w:eastAsia="Arial" w:hAnsi="Arial"/>
                <w:sz w:val="16"/>
                <w:szCs w:val="16"/>
                <w:color w:val="FFFFFF"/>
              </w:rPr>
              <w:t>$</w:t>
            </w:r>
          </w:p>
        </w:tc>
      </w:tr>
      <w:tr>
        <w:trPr>
          <w:trHeight w:val="233"/>
        </w:trPr>
        <w:tc>
          <w:tcPr>
            <w:tcW w:w="2600" w:type="dxa"/>
            <w:vAlign w:val="bottom"/>
          </w:tcPr>
          <w:p>
            <w:pPr>
              <w:ind w:left="40"/>
              <w:spacing w:after="0"/>
              <w:rPr>
                <w:sz w:val="20"/>
                <w:szCs w:val="20"/>
                <w:color w:val="auto"/>
              </w:rPr>
            </w:pPr>
            <w:r>
              <w:rPr>
                <w:rFonts w:ascii="Arial" w:cs="Arial" w:eastAsia="Arial" w:hAnsi="Arial"/>
                <w:sz w:val="16"/>
                <w:szCs w:val="16"/>
                <w:color w:val="auto"/>
              </w:rPr>
              <w:t>Michael J. Happe</w:t>
            </w:r>
          </w:p>
        </w:tc>
        <w:tc>
          <w:tcPr>
            <w:tcW w:w="2280" w:type="dxa"/>
            <w:vAlign w:val="bottom"/>
          </w:tcPr>
          <w:p>
            <w:pPr>
              <w:jc w:val="right"/>
              <w:ind w:right="299"/>
              <w:spacing w:after="0"/>
              <w:rPr>
                <w:sz w:val="20"/>
                <w:szCs w:val="20"/>
                <w:color w:val="auto"/>
              </w:rPr>
            </w:pPr>
            <w:r>
              <w:rPr>
                <w:rFonts w:ascii="Arial" w:cs="Arial" w:eastAsia="Arial" w:hAnsi="Arial"/>
                <w:sz w:val="16"/>
                <w:szCs w:val="16"/>
                <w:color w:val="auto"/>
              </w:rPr>
              <w:t>675,000</w:t>
            </w:r>
          </w:p>
        </w:tc>
        <w:tc>
          <w:tcPr>
            <w:tcW w:w="1620" w:type="dxa"/>
            <w:vAlign w:val="bottom"/>
          </w:tcPr>
          <w:p>
            <w:pPr>
              <w:jc w:val="right"/>
              <w:ind w:right="179"/>
              <w:spacing w:after="0"/>
              <w:rPr>
                <w:sz w:val="20"/>
                <w:szCs w:val="20"/>
                <w:color w:val="auto"/>
              </w:rPr>
            </w:pPr>
            <w:r>
              <w:rPr>
                <w:rFonts w:ascii="Arial" w:cs="Arial" w:eastAsia="Arial" w:hAnsi="Arial"/>
                <w:sz w:val="16"/>
                <w:szCs w:val="16"/>
                <w:color w:val="auto"/>
              </w:rPr>
              <w:t>100%</w:t>
            </w:r>
          </w:p>
        </w:tc>
        <w:tc>
          <w:tcPr>
            <w:tcW w:w="1820" w:type="dxa"/>
            <w:vAlign w:val="bottom"/>
          </w:tcPr>
          <w:p>
            <w:pPr>
              <w:jc w:val="right"/>
              <w:ind w:right="299"/>
              <w:spacing w:after="0"/>
              <w:rPr>
                <w:sz w:val="20"/>
                <w:szCs w:val="20"/>
                <w:color w:val="auto"/>
              </w:rPr>
            </w:pPr>
            <w:r>
              <w:rPr>
                <w:rFonts w:ascii="Arial" w:cs="Arial" w:eastAsia="Arial" w:hAnsi="Arial"/>
                <w:sz w:val="16"/>
                <w:szCs w:val="16"/>
                <w:color w:val="auto"/>
              </w:rPr>
              <w:t>675,000</w:t>
            </w:r>
          </w:p>
        </w:tc>
        <w:tc>
          <w:tcPr>
            <w:tcW w:w="2280" w:type="dxa"/>
            <w:vAlign w:val="bottom"/>
          </w:tcPr>
          <w:p>
            <w:pPr>
              <w:jc w:val="right"/>
              <w:ind w:right="839"/>
              <w:spacing w:after="0"/>
              <w:rPr>
                <w:sz w:val="20"/>
                <w:szCs w:val="20"/>
                <w:color w:val="auto"/>
              </w:rPr>
            </w:pPr>
            <w:r>
              <w:rPr>
                <w:rFonts w:ascii="Arial" w:cs="Arial" w:eastAsia="Arial" w:hAnsi="Arial"/>
                <w:sz w:val="16"/>
                <w:szCs w:val="16"/>
                <w:color w:val="auto"/>
              </w:rPr>
              <w:t>130.1%</w:t>
            </w:r>
          </w:p>
        </w:tc>
        <w:tc>
          <w:tcPr>
            <w:tcW w:w="820" w:type="dxa"/>
            <w:vAlign w:val="bottom"/>
          </w:tcPr>
          <w:p>
            <w:pPr>
              <w:jc w:val="right"/>
              <w:spacing w:after="0"/>
              <w:rPr>
                <w:sz w:val="20"/>
                <w:szCs w:val="20"/>
                <w:color w:val="auto"/>
              </w:rPr>
            </w:pPr>
            <w:r>
              <w:rPr>
                <w:rFonts w:ascii="Arial" w:cs="Arial" w:eastAsia="Arial" w:hAnsi="Arial"/>
                <w:sz w:val="16"/>
                <w:szCs w:val="16"/>
                <w:color w:val="auto"/>
              </w:rPr>
              <w:t>855,658</w:t>
            </w:r>
          </w:p>
        </w:tc>
      </w:tr>
      <w:tr>
        <w:trPr>
          <w:trHeight w:val="253"/>
        </w:trPr>
        <w:tc>
          <w:tcPr>
            <w:tcW w:w="2600" w:type="dxa"/>
            <w:vAlign w:val="bottom"/>
            <w:shd w:val="clear" w:color="auto" w:fill="ACACAC"/>
          </w:tcPr>
          <w:p>
            <w:pPr>
              <w:ind w:left="40"/>
              <w:spacing w:after="0"/>
              <w:rPr>
                <w:sz w:val="20"/>
                <w:szCs w:val="20"/>
                <w:color w:val="auto"/>
              </w:rPr>
            </w:pPr>
            <w:r>
              <w:rPr>
                <w:rFonts w:ascii="Arial" w:cs="Arial" w:eastAsia="Arial" w:hAnsi="Arial"/>
                <w:sz w:val="16"/>
                <w:szCs w:val="16"/>
                <w:color w:val="auto"/>
              </w:rPr>
              <w:t>Bryan L. Hughes</w:t>
            </w:r>
            <w:r>
              <w:rPr>
                <w:rFonts w:ascii="Arial" w:cs="Arial" w:eastAsia="Arial" w:hAnsi="Arial"/>
                <w:sz w:val="21"/>
                <w:szCs w:val="21"/>
                <w:color w:val="auto"/>
                <w:vertAlign w:val="superscript"/>
              </w:rPr>
              <w:t>(1)</w:t>
            </w:r>
          </w:p>
        </w:tc>
        <w:tc>
          <w:tcPr>
            <w:tcW w:w="2280" w:type="dxa"/>
            <w:vAlign w:val="bottom"/>
            <w:shd w:val="clear" w:color="auto" w:fill="ACACAC"/>
          </w:tcPr>
          <w:p>
            <w:pPr>
              <w:jc w:val="right"/>
              <w:ind w:right="299"/>
              <w:spacing w:after="0"/>
              <w:rPr>
                <w:sz w:val="20"/>
                <w:szCs w:val="20"/>
                <w:color w:val="auto"/>
              </w:rPr>
            </w:pPr>
            <w:r>
              <w:rPr>
                <w:rFonts w:ascii="Arial" w:cs="Arial" w:eastAsia="Arial" w:hAnsi="Arial"/>
                <w:sz w:val="16"/>
                <w:szCs w:val="16"/>
                <w:color w:val="auto"/>
              </w:rPr>
              <w:t>461,250</w:t>
            </w:r>
          </w:p>
        </w:tc>
        <w:tc>
          <w:tcPr>
            <w:tcW w:w="1620" w:type="dxa"/>
            <w:vAlign w:val="bottom"/>
            <w:shd w:val="clear" w:color="auto" w:fill="ACACAC"/>
          </w:tcPr>
          <w:p>
            <w:pPr>
              <w:jc w:val="right"/>
              <w:ind w:right="179"/>
              <w:spacing w:after="0"/>
              <w:rPr>
                <w:sz w:val="20"/>
                <w:szCs w:val="20"/>
                <w:color w:val="auto"/>
              </w:rPr>
            </w:pPr>
            <w:r>
              <w:rPr>
                <w:rFonts w:ascii="Arial" w:cs="Arial" w:eastAsia="Arial" w:hAnsi="Arial"/>
                <w:sz w:val="16"/>
                <w:szCs w:val="16"/>
                <w:color w:val="auto"/>
              </w:rPr>
              <w:t>70%</w:t>
            </w:r>
          </w:p>
        </w:tc>
        <w:tc>
          <w:tcPr>
            <w:tcW w:w="1820" w:type="dxa"/>
            <w:vAlign w:val="bottom"/>
            <w:shd w:val="clear" w:color="auto" w:fill="ACACAC"/>
          </w:tcPr>
          <w:p>
            <w:pPr>
              <w:jc w:val="right"/>
              <w:ind w:right="299"/>
              <w:spacing w:after="0"/>
              <w:rPr>
                <w:sz w:val="20"/>
                <w:szCs w:val="20"/>
                <w:color w:val="auto"/>
              </w:rPr>
            </w:pPr>
            <w:r>
              <w:rPr>
                <w:rFonts w:ascii="Arial" w:cs="Arial" w:eastAsia="Arial" w:hAnsi="Arial"/>
                <w:sz w:val="16"/>
                <w:szCs w:val="16"/>
                <w:color w:val="auto"/>
              </w:rPr>
              <w:t>322,875</w:t>
            </w:r>
          </w:p>
        </w:tc>
        <w:tc>
          <w:tcPr>
            <w:tcW w:w="2280" w:type="dxa"/>
            <w:vAlign w:val="bottom"/>
            <w:shd w:val="clear" w:color="auto" w:fill="ACACAC"/>
          </w:tcPr>
          <w:p>
            <w:pPr>
              <w:jc w:val="right"/>
              <w:ind w:right="839"/>
              <w:spacing w:after="0"/>
              <w:rPr>
                <w:sz w:val="20"/>
                <w:szCs w:val="20"/>
                <w:color w:val="auto"/>
              </w:rPr>
            </w:pPr>
            <w:r>
              <w:rPr>
                <w:rFonts w:ascii="Arial" w:cs="Arial" w:eastAsia="Arial" w:hAnsi="Arial"/>
                <w:sz w:val="16"/>
                <w:szCs w:val="16"/>
                <w:color w:val="auto"/>
              </w:rPr>
              <w:t>126.6%</w:t>
            </w:r>
          </w:p>
        </w:tc>
        <w:tc>
          <w:tcPr>
            <w:tcW w:w="820" w:type="dxa"/>
            <w:vAlign w:val="bottom"/>
            <w:shd w:val="clear" w:color="auto" w:fill="ACACAC"/>
          </w:tcPr>
          <w:p>
            <w:pPr>
              <w:jc w:val="right"/>
              <w:spacing w:after="0"/>
              <w:rPr>
                <w:sz w:val="20"/>
                <w:szCs w:val="20"/>
                <w:color w:val="auto"/>
              </w:rPr>
            </w:pPr>
            <w:r>
              <w:rPr>
                <w:rFonts w:ascii="Arial" w:cs="Arial" w:eastAsia="Arial" w:hAnsi="Arial"/>
                <w:sz w:val="16"/>
                <w:szCs w:val="16"/>
                <w:color w:val="auto"/>
              </w:rPr>
              <w:t>405,277</w:t>
            </w:r>
          </w:p>
        </w:tc>
      </w:tr>
      <w:tr>
        <w:trPr>
          <w:trHeight w:val="243"/>
        </w:trPr>
        <w:tc>
          <w:tcPr>
            <w:tcW w:w="2600" w:type="dxa"/>
            <w:vAlign w:val="bottom"/>
          </w:tcPr>
          <w:p>
            <w:pPr>
              <w:ind w:left="40"/>
              <w:spacing w:after="0"/>
              <w:rPr>
                <w:sz w:val="20"/>
                <w:szCs w:val="20"/>
                <w:color w:val="auto"/>
              </w:rPr>
            </w:pPr>
            <w:r>
              <w:rPr>
                <w:rFonts w:ascii="Arial" w:cs="Arial" w:eastAsia="Arial" w:hAnsi="Arial"/>
                <w:sz w:val="16"/>
                <w:szCs w:val="16"/>
                <w:color w:val="auto"/>
              </w:rPr>
              <w:t>Stacy L. Bogart</w:t>
            </w:r>
            <w:r>
              <w:rPr>
                <w:rFonts w:ascii="Arial" w:cs="Arial" w:eastAsia="Arial" w:hAnsi="Arial"/>
                <w:sz w:val="21"/>
                <w:szCs w:val="21"/>
                <w:color w:val="auto"/>
                <w:vertAlign w:val="superscript"/>
              </w:rPr>
              <w:t>(2)</w:t>
            </w:r>
          </w:p>
        </w:tc>
        <w:tc>
          <w:tcPr>
            <w:tcW w:w="2280" w:type="dxa"/>
            <w:vAlign w:val="bottom"/>
          </w:tcPr>
          <w:p>
            <w:pPr>
              <w:jc w:val="right"/>
              <w:ind w:right="299"/>
              <w:spacing w:after="0"/>
              <w:rPr>
                <w:sz w:val="20"/>
                <w:szCs w:val="20"/>
                <w:color w:val="auto"/>
              </w:rPr>
            </w:pPr>
            <w:r>
              <w:rPr>
                <w:rFonts w:ascii="Arial" w:cs="Arial" w:eastAsia="Arial" w:hAnsi="Arial"/>
                <w:sz w:val="16"/>
                <w:szCs w:val="16"/>
                <w:color w:val="auto"/>
              </w:rPr>
              <w:t>415,000</w:t>
            </w:r>
          </w:p>
        </w:tc>
        <w:tc>
          <w:tcPr>
            <w:tcW w:w="1620" w:type="dxa"/>
            <w:vAlign w:val="bottom"/>
          </w:tcPr>
          <w:p>
            <w:pPr>
              <w:jc w:val="right"/>
              <w:ind w:right="179"/>
              <w:spacing w:after="0"/>
              <w:rPr>
                <w:sz w:val="20"/>
                <w:szCs w:val="20"/>
                <w:color w:val="auto"/>
              </w:rPr>
            </w:pPr>
            <w:r>
              <w:rPr>
                <w:rFonts w:ascii="Arial" w:cs="Arial" w:eastAsia="Arial" w:hAnsi="Arial"/>
                <w:sz w:val="16"/>
                <w:szCs w:val="16"/>
                <w:color w:val="auto"/>
              </w:rPr>
              <w:t>60%</w:t>
            </w:r>
          </w:p>
        </w:tc>
        <w:tc>
          <w:tcPr>
            <w:tcW w:w="1820" w:type="dxa"/>
            <w:vAlign w:val="bottom"/>
          </w:tcPr>
          <w:p>
            <w:pPr>
              <w:jc w:val="right"/>
              <w:ind w:right="299"/>
              <w:spacing w:after="0"/>
              <w:rPr>
                <w:sz w:val="20"/>
                <w:szCs w:val="20"/>
                <w:color w:val="auto"/>
              </w:rPr>
            </w:pPr>
            <w:r>
              <w:rPr>
                <w:rFonts w:ascii="Arial" w:cs="Arial" w:eastAsia="Arial" w:hAnsi="Arial"/>
                <w:sz w:val="16"/>
                <w:szCs w:val="16"/>
                <w:color w:val="auto"/>
              </w:rPr>
              <w:t>249,000</w:t>
            </w:r>
          </w:p>
        </w:tc>
        <w:tc>
          <w:tcPr>
            <w:tcW w:w="2280" w:type="dxa"/>
            <w:vAlign w:val="bottom"/>
          </w:tcPr>
          <w:p>
            <w:pPr>
              <w:jc w:val="right"/>
              <w:ind w:right="839"/>
              <w:spacing w:after="0"/>
              <w:rPr>
                <w:sz w:val="20"/>
                <w:szCs w:val="20"/>
                <w:color w:val="auto"/>
              </w:rPr>
            </w:pPr>
            <w:r>
              <w:rPr>
                <w:rFonts w:ascii="Arial" w:cs="Arial" w:eastAsia="Arial" w:hAnsi="Arial"/>
                <w:sz w:val="16"/>
                <w:szCs w:val="16"/>
                <w:color w:val="auto"/>
              </w:rPr>
              <w:t>130.1%</w:t>
            </w:r>
          </w:p>
        </w:tc>
        <w:tc>
          <w:tcPr>
            <w:tcW w:w="820" w:type="dxa"/>
            <w:vAlign w:val="bottom"/>
          </w:tcPr>
          <w:p>
            <w:pPr>
              <w:jc w:val="right"/>
              <w:spacing w:after="0"/>
              <w:rPr>
                <w:sz w:val="20"/>
                <w:szCs w:val="20"/>
                <w:color w:val="auto"/>
              </w:rPr>
            </w:pPr>
            <w:r>
              <w:rPr>
                <w:rFonts w:ascii="Arial" w:cs="Arial" w:eastAsia="Arial" w:hAnsi="Arial"/>
                <w:sz w:val="16"/>
                <w:szCs w:val="16"/>
                <w:color w:val="auto"/>
              </w:rPr>
              <w:t>211,813</w:t>
            </w:r>
          </w:p>
        </w:tc>
      </w:tr>
      <w:tr>
        <w:trPr>
          <w:trHeight w:val="243"/>
        </w:trPr>
        <w:tc>
          <w:tcPr>
            <w:tcW w:w="2600" w:type="dxa"/>
            <w:vAlign w:val="bottom"/>
            <w:shd w:val="clear" w:color="auto" w:fill="ACACAC"/>
          </w:tcPr>
          <w:p>
            <w:pPr>
              <w:ind w:left="40"/>
              <w:spacing w:after="0"/>
              <w:rPr>
                <w:sz w:val="20"/>
                <w:szCs w:val="20"/>
                <w:color w:val="auto"/>
              </w:rPr>
            </w:pPr>
            <w:r>
              <w:rPr>
                <w:rFonts w:ascii="Arial" w:cs="Arial" w:eastAsia="Arial" w:hAnsi="Arial"/>
                <w:sz w:val="16"/>
                <w:szCs w:val="16"/>
                <w:color w:val="auto"/>
              </w:rPr>
              <w:t>Donald J. Clark</w:t>
            </w:r>
            <w:r>
              <w:rPr>
                <w:rFonts w:ascii="Arial" w:cs="Arial" w:eastAsia="Arial" w:hAnsi="Arial"/>
                <w:sz w:val="21"/>
                <w:szCs w:val="21"/>
                <w:color w:val="auto"/>
                <w:vertAlign w:val="superscript"/>
              </w:rPr>
              <w:t>(3)</w:t>
            </w:r>
          </w:p>
        </w:tc>
        <w:tc>
          <w:tcPr>
            <w:tcW w:w="2280" w:type="dxa"/>
            <w:vAlign w:val="bottom"/>
            <w:shd w:val="clear" w:color="auto" w:fill="ACACAC"/>
          </w:tcPr>
          <w:p>
            <w:pPr>
              <w:jc w:val="right"/>
              <w:ind w:right="299"/>
              <w:spacing w:after="0"/>
              <w:rPr>
                <w:sz w:val="20"/>
                <w:szCs w:val="20"/>
                <w:color w:val="auto"/>
              </w:rPr>
            </w:pPr>
            <w:r>
              <w:rPr>
                <w:rFonts w:ascii="Arial" w:cs="Arial" w:eastAsia="Arial" w:hAnsi="Arial"/>
                <w:sz w:val="16"/>
                <w:szCs w:val="16"/>
                <w:color w:val="auto"/>
              </w:rPr>
              <w:t>N/A</w:t>
            </w:r>
          </w:p>
        </w:tc>
        <w:tc>
          <w:tcPr>
            <w:tcW w:w="1620" w:type="dxa"/>
            <w:vAlign w:val="bottom"/>
            <w:shd w:val="clear" w:color="auto" w:fill="ACACAC"/>
          </w:tcPr>
          <w:p>
            <w:pPr>
              <w:jc w:val="right"/>
              <w:ind w:right="319"/>
              <w:spacing w:after="0"/>
              <w:rPr>
                <w:sz w:val="20"/>
                <w:szCs w:val="20"/>
                <w:color w:val="auto"/>
              </w:rPr>
            </w:pPr>
            <w:r>
              <w:rPr>
                <w:rFonts w:ascii="Arial" w:cs="Arial" w:eastAsia="Arial" w:hAnsi="Arial"/>
                <w:sz w:val="16"/>
                <w:szCs w:val="16"/>
                <w:color w:val="auto"/>
              </w:rPr>
              <w:t>N/A</w:t>
            </w:r>
          </w:p>
        </w:tc>
        <w:tc>
          <w:tcPr>
            <w:tcW w:w="1820" w:type="dxa"/>
            <w:vAlign w:val="bottom"/>
            <w:shd w:val="clear" w:color="auto" w:fill="ACACAC"/>
          </w:tcPr>
          <w:p>
            <w:pPr>
              <w:jc w:val="right"/>
              <w:ind w:right="299"/>
              <w:spacing w:after="0"/>
              <w:rPr>
                <w:sz w:val="20"/>
                <w:szCs w:val="20"/>
                <w:color w:val="auto"/>
              </w:rPr>
            </w:pPr>
            <w:r>
              <w:rPr>
                <w:rFonts w:ascii="Arial" w:cs="Arial" w:eastAsia="Arial" w:hAnsi="Arial"/>
                <w:sz w:val="16"/>
                <w:szCs w:val="16"/>
                <w:color w:val="auto"/>
              </w:rPr>
              <w:t>N/A</w:t>
            </w:r>
          </w:p>
        </w:tc>
        <w:tc>
          <w:tcPr>
            <w:tcW w:w="2280" w:type="dxa"/>
            <w:vAlign w:val="bottom"/>
            <w:shd w:val="clear" w:color="auto" w:fill="ACACAC"/>
          </w:tcPr>
          <w:p>
            <w:pPr>
              <w:jc w:val="right"/>
              <w:ind w:right="979"/>
              <w:spacing w:after="0"/>
              <w:rPr>
                <w:sz w:val="20"/>
                <w:szCs w:val="20"/>
                <w:color w:val="auto"/>
              </w:rPr>
            </w:pPr>
            <w:r>
              <w:rPr>
                <w:rFonts w:ascii="Arial" w:cs="Arial" w:eastAsia="Arial" w:hAnsi="Arial"/>
                <w:sz w:val="16"/>
                <w:szCs w:val="16"/>
                <w:color w:val="auto"/>
              </w:rPr>
              <w:t>N/A</w:t>
            </w:r>
          </w:p>
        </w:tc>
        <w:tc>
          <w:tcPr>
            <w:tcW w:w="820" w:type="dxa"/>
            <w:vAlign w:val="bottom"/>
            <w:shd w:val="clear" w:color="auto" w:fill="ACACAC"/>
          </w:tcPr>
          <w:p>
            <w:pPr>
              <w:jc w:val="right"/>
              <w:spacing w:after="0"/>
              <w:rPr>
                <w:sz w:val="20"/>
                <w:szCs w:val="20"/>
                <w:color w:val="auto"/>
              </w:rPr>
            </w:pPr>
            <w:r>
              <w:rPr>
                <w:rFonts w:ascii="Arial" w:cs="Arial" w:eastAsia="Arial" w:hAnsi="Arial"/>
                <w:sz w:val="16"/>
                <w:szCs w:val="16"/>
                <w:color w:val="auto"/>
              </w:rPr>
              <w:t>N/A</w:t>
            </w:r>
          </w:p>
        </w:tc>
      </w:tr>
      <w:tr>
        <w:trPr>
          <w:trHeight w:val="251"/>
        </w:trPr>
        <w:tc>
          <w:tcPr>
            <w:tcW w:w="2600" w:type="dxa"/>
            <w:vAlign w:val="bottom"/>
          </w:tcPr>
          <w:p>
            <w:pPr>
              <w:ind w:left="40"/>
              <w:spacing w:after="0"/>
              <w:rPr>
                <w:sz w:val="20"/>
                <w:szCs w:val="20"/>
                <w:color w:val="auto"/>
              </w:rPr>
            </w:pPr>
            <w:r>
              <w:rPr>
                <w:rFonts w:ascii="Arial" w:cs="Arial" w:eastAsia="Arial" w:hAnsi="Arial"/>
                <w:sz w:val="16"/>
                <w:szCs w:val="16"/>
                <w:color w:val="auto"/>
              </w:rPr>
              <w:t>Brian D. Hazelton</w:t>
            </w:r>
            <w:r>
              <w:rPr>
                <w:rFonts w:ascii="Arial" w:cs="Arial" w:eastAsia="Arial" w:hAnsi="Arial"/>
                <w:sz w:val="21"/>
                <w:szCs w:val="21"/>
                <w:color w:val="auto"/>
                <w:vertAlign w:val="superscript"/>
              </w:rPr>
              <w:t>(4)</w:t>
            </w:r>
          </w:p>
        </w:tc>
        <w:tc>
          <w:tcPr>
            <w:tcW w:w="2280" w:type="dxa"/>
            <w:vAlign w:val="bottom"/>
          </w:tcPr>
          <w:p>
            <w:pPr>
              <w:jc w:val="right"/>
              <w:ind w:right="299"/>
              <w:spacing w:after="0"/>
              <w:rPr>
                <w:sz w:val="20"/>
                <w:szCs w:val="20"/>
                <w:color w:val="auto"/>
              </w:rPr>
            </w:pPr>
            <w:r>
              <w:rPr>
                <w:rFonts w:ascii="Arial" w:cs="Arial" w:eastAsia="Arial" w:hAnsi="Arial"/>
                <w:sz w:val="16"/>
                <w:szCs w:val="16"/>
                <w:color w:val="auto"/>
              </w:rPr>
              <w:t>477,400</w:t>
            </w:r>
          </w:p>
        </w:tc>
        <w:tc>
          <w:tcPr>
            <w:tcW w:w="1620" w:type="dxa"/>
            <w:vAlign w:val="bottom"/>
          </w:tcPr>
          <w:p>
            <w:pPr>
              <w:jc w:val="right"/>
              <w:ind w:right="179"/>
              <w:spacing w:after="0"/>
              <w:rPr>
                <w:sz w:val="20"/>
                <w:szCs w:val="20"/>
                <w:color w:val="auto"/>
              </w:rPr>
            </w:pPr>
            <w:r>
              <w:rPr>
                <w:rFonts w:ascii="Arial" w:cs="Arial" w:eastAsia="Arial" w:hAnsi="Arial"/>
                <w:sz w:val="16"/>
                <w:szCs w:val="16"/>
                <w:color w:val="auto"/>
              </w:rPr>
              <w:t>65%</w:t>
            </w:r>
          </w:p>
        </w:tc>
        <w:tc>
          <w:tcPr>
            <w:tcW w:w="1820" w:type="dxa"/>
            <w:vAlign w:val="bottom"/>
          </w:tcPr>
          <w:p>
            <w:pPr>
              <w:jc w:val="right"/>
              <w:ind w:right="299"/>
              <w:spacing w:after="0"/>
              <w:rPr>
                <w:sz w:val="20"/>
                <w:szCs w:val="20"/>
                <w:color w:val="auto"/>
              </w:rPr>
            </w:pPr>
            <w:r>
              <w:rPr>
                <w:rFonts w:ascii="Arial" w:cs="Arial" w:eastAsia="Arial" w:hAnsi="Arial"/>
                <w:sz w:val="16"/>
                <w:szCs w:val="16"/>
                <w:color w:val="auto"/>
              </w:rPr>
              <w:t>310,310</w:t>
            </w:r>
          </w:p>
        </w:tc>
        <w:tc>
          <w:tcPr>
            <w:tcW w:w="2280" w:type="dxa"/>
            <w:vAlign w:val="bottom"/>
          </w:tcPr>
          <w:p>
            <w:pPr>
              <w:jc w:val="right"/>
              <w:ind w:right="839"/>
              <w:spacing w:after="0"/>
              <w:rPr>
                <w:sz w:val="20"/>
                <w:szCs w:val="20"/>
                <w:color w:val="auto"/>
              </w:rPr>
            </w:pPr>
            <w:r>
              <w:rPr>
                <w:rFonts w:ascii="Arial" w:cs="Arial" w:eastAsia="Arial" w:hAnsi="Arial"/>
                <w:sz w:val="16"/>
                <w:szCs w:val="16"/>
                <w:color w:val="auto"/>
              </w:rPr>
              <w:t>56.3%</w:t>
            </w:r>
          </w:p>
        </w:tc>
        <w:tc>
          <w:tcPr>
            <w:tcW w:w="820" w:type="dxa"/>
            <w:vAlign w:val="bottom"/>
          </w:tcPr>
          <w:p>
            <w:pPr>
              <w:jc w:val="right"/>
              <w:spacing w:after="0"/>
              <w:rPr>
                <w:sz w:val="20"/>
                <w:szCs w:val="20"/>
                <w:color w:val="auto"/>
              </w:rPr>
            </w:pPr>
            <w:r>
              <w:rPr>
                <w:rFonts w:ascii="Arial" w:cs="Arial" w:eastAsia="Arial" w:hAnsi="Arial"/>
                <w:sz w:val="16"/>
                <w:szCs w:val="16"/>
                <w:color w:val="auto"/>
              </w:rPr>
              <w:t>173,054</w:t>
            </w:r>
          </w:p>
        </w:tc>
      </w:tr>
    </w:tbl>
    <w:p>
      <w:pPr>
        <w:ind w:left="840" w:hanging="184"/>
        <w:spacing w:after="0"/>
        <w:tabs>
          <w:tab w:leader="none" w:pos="840" w:val="left"/>
        </w:tabs>
        <w:numPr>
          <w:ilvl w:val="0"/>
          <w:numId w:val="31"/>
        </w:numPr>
        <w:rPr>
          <w:rFonts w:ascii="Arial" w:cs="Arial" w:eastAsia="Arial" w:hAnsi="Arial"/>
          <w:sz w:val="13"/>
          <w:szCs w:val="13"/>
          <w:color w:val="auto"/>
        </w:rPr>
      </w:pPr>
      <w:r>
        <w:rPr>
          <w:rFonts w:ascii="Arial" w:cs="Arial" w:eastAsia="Arial" w:hAnsi="Arial"/>
          <w:sz w:val="13"/>
          <w:szCs w:val="13"/>
          <w:color w:val="auto"/>
        </w:rPr>
        <w:t>Mr. Hughes' bonus target percentage increased from 60% to 70% for Fiscal 2018.</w:t>
      </w:r>
    </w:p>
    <w:p>
      <w:pPr>
        <w:ind w:left="840" w:hanging="184"/>
        <w:spacing w:after="0"/>
        <w:tabs>
          <w:tab w:leader="none" w:pos="840" w:val="left"/>
        </w:tabs>
        <w:numPr>
          <w:ilvl w:val="0"/>
          <w:numId w:val="31"/>
        </w:numPr>
        <w:rPr>
          <w:rFonts w:ascii="Arial" w:cs="Arial" w:eastAsia="Arial" w:hAnsi="Arial"/>
          <w:sz w:val="12"/>
          <w:szCs w:val="12"/>
          <w:color w:val="auto"/>
        </w:rPr>
      </w:pPr>
      <w:r>
        <w:rPr>
          <w:rFonts w:ascii="Arial" w:cs="Arial" w:eastAsia="Arial" w:hAnsi="Arial"/>
          <w:sz w:val="12"/>
          <w:szCs w:val="12"/>
          <w:color w:val="auto"/>
        </w:rPr>
        <w:t>Reported salary and target award represent annualized amounts. Given Ms. Bogart's January 2018 hire date, her actual award for Fiscal 2018 was prorated based upon time in position.</w:t>
      </w:r>
    </w:p>
    <w:p>
      <w:pPr>
        <w:spacing w:after="0" w:line="10" w:lineRule="exact"/>
        <w:rPr>
          <w:rFonts w:ascii="Arial" w:cs="Arial" w:eastAsia="Arial" w:hAnsi="Arial"/>
          <w:sz w:val="12"/>
          <w:szCs w:val="12"/>
          <w:color w:val="auto"/>
        </w:rPr>
      </w:pPr>
    </w:p>
    <w:p>
      <w:pPr>
        <w:ind w:left="660" w:right="220" w:hanging="4"/>
        <w:spacing w:after="0" w:line="238" w:lineRule="auto"/>
        <w:tabs>
          <w:tab w:leader="none" w:pos="849" w:val="left"/>
        </w:tabs>
        <w:numPr>
          <w:ilvl w:val="0"/>
          <w:numId w:val="31"/>
        </w:numPr>
        <w:rPr>
          <w:rFonts w:ascii="Arial" w:cs="Arial" w:eastAsia="Arial" w:hAnsi="Arial"/>
          <w:sz w:val="13"/>
          <w:szCs w:val="13"/>
          <w:color w:val="auto"/>
        </w:rPr>
      </w:pPr>
      <w:r>
        <w:rPr>
          <w:rFonts w:ascii="Arial" w:cs="Arial" w:eastAsia="Arial" w:hAnsi="Arial"/>
          <w:sz w:val="13"/>
          <w:szCs w:val="13"/>
          <w:color w:val="auto"/>
        </w:rPr>
        <w:t>Mr. Clark does not participate in the OICP. For Fiscal 2018, Mr. Clark received an incentive of $4,574,055 under the grandfathered Grand Design Management Incentive Plan that he participates in, which is a 69% increase compared to 2017, based on the strong performance of Grand Design during Fiscal 2018. Mr. Clark's incentive under such plan is calculated as 3% of the pre-tax net income of Grand Design (before taking into account any bonus payments thereunder).</w:t>
      </w:r>
    </w:p>
    <w:p>
      <w:pPr>
        <w:ind w:left="840" w:hanging="184"/>
        <w:spacing w:after="0"/>
        <w:tabs>
          <w:tab w:leader="none" w:pos="840" w:val="left"/>
        </w:tabs>
        <w:numPr>
          <w:ilvl w:val="0"/>
          <w:numId w:val="31"/>
        </w:numPr>
        <w:rPr>
          <w:rFonts w:ascii="Arial" w:cs="Arial" w:eastAsia="Arial" w:hAnsi="Arial"/>
          <w:sz w:val="13"/>
          <w:szCs w:val="13"/>
          <w:color w:val="auto"/>
        </w:rPr>
      </w:pPr>
      <w:r>
        <w:rPr>
          <w:rFonts w:ascii="Arial" w:cs="Arial" w:eastAsia="Arial" w:hAnsi="Arial"/>
          <w:sz w:val="13"/>
          <w:szCs w:val="13"/>
          <w:color w:val="auto"/>
        </w:rPr>
        <w:t>Mr. Hazelton's bonus target percentage increased from 60% to 65% for Fiscal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161925</wp:posOffset>
            </wp:positionV>
            <wp:extent cx="7272020" cy="425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40"/>
          </w:cols>
          <w:pgMar w:left="240" w:top="303" w:right="219" w:bottom="1440" w:gutter="0" w:footer="0" w:header="0"/>
        </w:sectPr>
      </w:pPr>
    </w:p>
    <w:p>
      <w:pPr>
        <w:spacing w:after="0" w:line="200" w:lineRule="exact"/>
        <w:rPr>
          <w:sz w:val="20"/>
          <w:szCs w:val="20"/>
          <w:color w:val="auto"/>
        </w:rPr>
      </w:pPr>
    </w:p>
    <w:p>
      <w:pPr>
        <w:spacing w:after="0" w:line="374" w:lineRule="exact"/>
        <w:rPr>
          <w:sz w:val="20"/>
          <w:szCs w:val="20"/>
          <w:color w:val="auto"/>
        </w:rPr>
      </w:pPr>
    </w:p>
    <w:p>
      <w:pPr>
        <w:spacing w:after="0" w:line="250" w:lineRule="auto"/>
        <w:rPr>
          <w:sz w:val="20"/>
          <w:szCs w:val="20"/>
          <w:color w:val="auto"/>
        </w:rPr>
      </w:pPr>
      <w:r>
        <w:rPr>
          <w:rFonts w:ascii="Arial" w:cs="Arial" w:eastAsia="Arial" w:hAnsi="Arial"/>
          <w:sz w:val="16"/>
          <w:szCs w:val="16"/>
          <w:color w:val="auto"/>
        </w:rPr>
        <w:t>Net sales growth, operating income, net working capital, and individual objectives were chosen by the Committee as the key financial performance measurements under the OICP for Fiscal 2018. The Committee selected these as key financial performance metrics because they are closely aligned with the business strategy:</w:t>
      </w:r>
    </w:p>
    <w:p>
      <w:pPr>
        <w:spacing w:after="0" w:line="176" w:lineRule="exact"/>
        <w:rPr>
          <w:sz w:val="20"/>
          <w:szCs w:val="20"/>
          <w:color w:val="auto"/>
        </w:rPr>
      </w:pPr>
    </w:p>
    <w:p>
      <w:pPr>
        <w:ind w:right="220"/>
        <w:spacing w:after="0" w:line="246" w:lineRule="auto"/>
        <w:rPr>
          <w:sz w:val="20"/>
          <w:szCs w:val="20"/>
          <w:color w:val="auto"/>
        </w:rPr>
      </w:pPr>
      <w:r>
        <w:rPr>
          <w:rFonts w:ascii="Arial" w:cs="Arial" w:eastAsia="Arial" w:hAnsi="Arial"/>
          <w:sz w:val="16"/>
          <w:szCs w:val="16"/>
          <w:color w:val="auto"/>
        </w:rPr>
        <w:t>Financial Performance Metrics (100% of OICP for Mr. Happe, and 90% of OICP for Ms. Bogart and Messrs. Hughes and Hazelton)</w:t>
      </w:r>
    </w:p>
    <w:p>
      <w:pPr>
        <w:spacing w:after="0" w:line="1" w:lineRule="exact"/>
        <w:rPr>
          <w:sz w:val="20"/>
          <w:szCs w:val="20"/>
          <w:color w:val="auto"/>
        </w:rPr>
      </w:pPr>
    </w:p>
    <w:p>
      <w:pPr>
        <w:ind w:left="660" w:hanging="328"/>
        <w:spacing w:after="0" w:line="246" w:lineRule="auto"/>
        <w:tabs>
          <w:tab w:leader="none" w:pos="660" w:val="left"/>
        </w:tabs>
        <w:numPr>
          <w:ilvl w:val="0"/>
          <w:numId w:val="32"/>
        </w:numPr>
        <w:rPr>
          <w:rFonts w:ascii="Arial" w:cs="Arial" w:eastAsia="Arial" w:hAnsi="Arial"/>
          <w:sz w:val="16"/>
          <w:szCs w:val="16"/>
          <w:color w:val="auto"/>
        </w:rPr>
      </w:pPr>
      <w:r>
        <w:rPr>
          <w:rFonts w:ascii="Arial" w:cs="Arial" w:eastAsia="Arial" w:hAnsi="Arial"/>
          <w:sz w:val="16"/>
          <w:szCs w:val="16"/>
          <w:color w:val="auto"/>
        </w:rPr>
        <w:t>Net Sales Growth (50%) - focuses on overall enterprise and business unit growth and also drives customer focus</w:t>
      </w:r>
    </w:p>
    <w:p>
      <w:pPr>
        <w:ind w:left="660" w:hanging="328"/>
        <w:spacing w:after="0" w:line="246" w:lineRule="auto"/>
        <w:tabs>
          <w:tab w:leader="none" w:pos="660" w:val="left"/>
        </w:tabs>
        <w:numPr>
          <w:ilvl w:val="0"/>
          <w:numId w:val="32"/>
        </w:numPr>
        <w:rPr>
          <w:rFonts w:ascii="Arial" w:cs="Arial" w:eastAsia="Arial" w:hAnsi="Arial"/>
          <w:sz w:val="16"/>
          <w:szCs w:val="16"/>
          <w:color w:val="auto"/>
        </w:rPr>
      </w:pPr>
      <w:r>
        <w:rPr>
          <w:rFonts w:ascii="Arial" w:cs="Arial" w:eastAsia="Arial" w:hAnsi="Arial"/>
          <w:sz w:val="16"/>
          <w:szCs w:val="16"/>
          <w:color w:val="auto"/>
        </w:rPr>
        <w:t>Operating Income (40%) - reinforces the importance of profitable growth across the enterprise</w:t>
      </w:r>
    </w:p>
    <w:p>
      <w:pPr>
        <w:ind w:left="660" w:right="20" w:hanging="328"/>
        <w:spacing w:after="0" w:line="260" w:lineRule="auto"/>
        <w:tabs>
          <w:tab w:leader="none" w:pos="660" w:val="left"/>
        </w:tabs>
        <w:numPr>
          <w:ilvl w:val="0"/>
          <w:numId w:val="32"/>
        </w:numPr>
        <w:rPr>
          <w:rFonts w:ascii="Arial" w:cs="Arial" w:eastAsia="Arial" w:hAnsi="Arial"/>
          <w:sz w:val="16"/>
          <w:szCs w:val="16"/>
          <w:color w:val="auto"/>
        </w:rPr>
      </w:pPr>
      <w:r>
        <w:rPr>
          <w:rFonts w:ascii="Arial" w:cs="Arial" w:eastAsia="Arial" w:hAnsi="Arial"/>
          <w:sz w:val="16"/>
          <w:szCs w:val="16"/>
          <w:color w:val="auto"/>
        </w:rPr>
        <w:t>Net Working Capital (10%) - helps measure overall financial health of the enterprise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54" w:lineRule="exact"/>
        <w:rPr>
          <w:sz w:val="20"/>
          <w:szCs w:val="20"/>
          <w:color w:val="auto"/>
        </w:rPr>
      </w:pPr>
    </w:p>
    <w:p>
      <w:pPr>
        <w:jc w:val="both"/>
        <w:ind w:right="100"/>
        <w:spacing w:after="0" w:line="253" w:lineRule="auto"/>
        <w:rPr>
          <w:sz w:val="20"/>
          <w:szCs w:val="20"/>
          <w:color w:val="auto"/>
        </w:rPr>
      </w:pPr>
      <w:r>
        <w:rPr>
          <w:rFonts w:ascii="Arial" w:cs="Arial" w:eastAsia="Arial" w:hAnsi="Arial"/>
          <w:sz w:val="16"/>
          <w:szCs w:val="16"/>
          <w:color w:val="auto"/>
        </w:rPr>
        <w:t>Individual objectives (10% of the OICP for Ms. Bogart and Messrs. Hughes and Hazelton) - provides actionable objectives controllable by the individual to achieve financial/ non-financial goals.</w:t>
      </w:r>
    </w:p>
    <w:p>
      <w:pPr>
        <w:spacing w:after="0" w:line="174" w:lineRule="exact"/>
        <w:rPr>
          <w:sz w:val="20"/>
          <w:szCs w:val="20"/>
          <w:color w:val="auto"/>
        </w:rPr>
      </w:pPr>
    </w:p>
    <w:p>
      <w:pPr>
        <w:ind w:right="40"/>
        <w:spacing w:after="0" w:line="250" w:lineRule="auto"/>
        <w:rPr>
          <w:sz w:val="20"/>
          <w:szCs w:val="20"/>
          <w:color w:val="auto"/>
        </w:rPr>
      </w:pPr>
      <w:r>
        <w:rPr>
          <w:rFonts w:ascii="Arial" w:cs="Arial" w:eastAsia="Arial" w:hAnsi="Arial"/>
          <w:sz w:val="16"/>
          <w:szCs w:val="16"/>
          <w:color w:val="auto"/>
        </w:rPr>
        <w:t>For corporate NEOs, Messrs. Happe and Hughes and Ms. Bogart, the OICP is measured against enterprise-wide performance. For business unit heads, including Mr. Hazelton, the OICP is measured against both enterprise-wide and specific business unit performance. Mr. Clark does not participate in the OICP.</w:t>
      </w:r>
    </w:p>
    <w:p>
      <w:pPr>
        <w:spacing w:after="0" w:line="1152" w:lineRule="exact"/>
        <w:rPr>
          <w:sz w:val="20"/>
          <w:szCs w:val="20"/>
          <w:color w:val="auto"/>
        </w:rPr>
      </w:pPr>
    </w:p>
    <w:p>
      <w:pPr>
        <w:sectPr>
          <w:pgSz w:w="11900" w:h="16838" w:orient="portrait"/>
          <w:cols w:equalWidth="0" w:num="2">
            <w:col w:w="5480" w:space="460"/>
            <w:col w:w="5500"/>
          </w:cols>
          <w:pgMar w:left="240" w:top="303" w:right="219" w:bottom="1440" w:gutter="0" w:footer="0" w:header="0"/>
          <w:type w:val="continuous"/>
        </w:sectPr>
      </w:pPr>
    </w:p>
    <w:p>
      <w:pPr>
        <w:spacing w:after="0" w:line="153" w:lineRule="exact"/>
        <w:rPr>
          <w:sz w:val="20"/>
          <w:szCs w:val="20"/>
          <w:color w:val="auto"/>
        </w:rPr>
      </w:pPr>
    </w:p>
    <w:p>
      <w:pPr>
        <w:ind w:left="180"/>
        <w:spacing w:after="0"/>
        <w:rPr>
          <w:sz w:val="20"/>
          <w:szCs w:val="20"/>
          <w:color w:val="auto"/>
        </w:rPr>
      </w:pPr>
      <w:r>
        <w:rPr>
          <w:rFonts w:ascii="Arial" w:cs="Arial" w:eastAsia="Arial" w:hAnsi="Arial"/>
          <w:sz w:val="16"/>
          <w:szCs w:val="16"/>
          <w:u w:val="single" w:color="auto"/>
          <w:color w:val="auto"/>
        </w:rPr>
        <w:t>Enterprise-Wide Financial Performance (100% of the OICP for Mr. Happe and 90% for Mr. Hughes and Ms. Bogart; 36% of the OICP for Mr. Hazelton)</w:t>
      </w:r>
      <w:r>
        <w:rPr>
          <w:rFonts w:ascii="Arial" w:cs="Arial" w:eastAsia="Arial" w:hAnsi="Arial"/>
          <w:sz w:val="21"/>
          <w:szCs w:val="21"/>
          <w:color w:val="auto"/>
          <w:vertAlign w:val="superscript"/>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6290945</wp:posOffset>
            </wp:positionH>
            <wp:positionV relativeFrom="paragraph">
              <wp:posOffset>174625</wp:posOffset>
            </wp:positionV>
            <wp:extent cx="8890" cy="27432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8890" cy="274320"/>
                    </a:xfrm>
                    <a:prstGeom prst="rect">
                      <a:avLst/>
                    </a:prstGeom>
                    <a:noFill/>
                  </pic:spPr>
                </pic:pic>
              </a:graphicData>
            </a:graphic>
          </wp:anchor>
        </w:drawing>
        <w:drawing>
          <wp:anchor simplePos="0" relativeHeight="251657728" behindDoc="1" locked="0" layoutInCell="0" allowOverlap="1">
            <wp:simplePos x="0" y="0"/>
            <wp:positionH relativeFrom="column">
              <wp:posOffset>5321935</wp:posOffset>
            </wp:positionH>
            <wp:positionV relativeFrom="paragraph">
              <wp:posOffset>174625</wp:posOffset>
            </wp:positionV>
            <wp:extent cx="8890" cy="27432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8890" cy="274320"/>
                    </a:xfrm>
                    <a:prstGeom prst="rect">
                      <a:avLst/>
                    </a:prstGeom>
                    <a:noFill/>
                  </pic:spPr>
                </pic:pic>
              </a:graphicData>
            </a:graphic>
          </wp:anchor>
        </w:drawing>
        <w:drawing>
          <wp:anchor simplePos="0" relativeHeight="251657728" behindDoc="1" locked="0" layoutInCell="0" allowOverlap="1">
            <wp:simplePos x="0" y="0"/>
            <wp:positionH relativeFrom="column">
              <wp:posOffset>4370070</wp:posOffset>
            </wp:positionH>
            <wp:positionV relativeFrom="paragraph">
              <wp:posOffset>174625</wp:posOffset>
            </wp:positionV>
            <wp:extent cx="8890" cy="27432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8890" cy="274320"/>
                    </a:xfrm>
                    <a:prstGeom prst="rect">
                      <a:avLst/>
                    </a:prstGeom>
                    <a:noFill/>
                  </pic:spPr>
                </pic:pic>
              </a:graphicData>
            </a:graphic>
          </wp:anchor>
        </w:drawing>
        <w:drawing>
          <wp:anchor simplePos="0" relativeHeight="251657728" behindDoc="1" locked="0" layoutInCell="0" allowOverlap="1">
            <wp:simplePos x="0" y="0"/>
            <wp:positionH relativeFrom="column">
              <wp:posOffset>3418205</wp:posOffset>
            </wp:positionH>
            <wp:positionV relativeFrom="paragraph">
              <wp:posOffset>174625</wp:posOffset>
            </wp:positionV>
            <wp:extent cx="8890" cy="27432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8890" cy="274320"/>
                    </a:xfrm>
                    <a:prstGeom prst="rect">
                      <a:avLst/>
                    </a:prstGeom>
                    <a:noFill/>
                  </pic:spPr>
                </pic:pic>
              </a:graphicData>
            </a:graphic>
          </wp:anchor>
        </w:drawing>
        <w:drawing>
          <wp:anchor simplePos="0" relativeHeight="251657728" behindDoc="1" locked="0" layoutInCell="0" allowOverlap="1">
            <wp:simplePos x="0" y="0"/>
            <wp:positionH relativeFrom="column">
              <wp:posOffset>2466340</wp:posOffset>
            </wp:positionH>
            <wp:positionV relativeFrom="paragraph">
              <wp:posOffset>174625</wp:posOffset>
            </wp:positionV>
            <wp:extent cx="8890" cy="27432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8890" cy="274320"/>
                    </a:xfrm>
                    <a:prstGeom prst="rect">
                      <a:avLst/>
                    </a:prstGeom>
                    <a:noFill/>
                  </pic:spPr>
                </pic:pic>
              </a:graphicData>
            </a:graphic>
          </wp:anchor>
        </w:drawing>
        <w:drawing>
          <wp:anchor simplePos="0" relativeHeight="251657728" behindDoc="1" locked="0" layoutInCell="0" allowOverlap="1">
            <wp:simplePos x="0" y="0"/>
            <wp:positionH relativeFrom="column">
              <wp:posOffset>1514475</wp:posOffset>
            </wp:positionH>
            <wp:positionV relativeFrom="paragraph">
              <wp:posOffset>174625</wp:posOffset>
            </wp:positionV>
            <wp:extent cx="8890" cy="27432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8890" cy="274320"/>
                    </a:xfrm>
                    <a:prstGeom prst="rect">
                      <a:avLst/>
                    </a:prstGeom>
                    <a:noFill/>
                  </pic:spPr>
                </pic:pic>
              </a:graphicData>
            </a:graphic>
          </wp:anchor>
        </w:drawing>
      </w:r>
    </w:p>
    <w:p>
      <w:pPr>
        <w:spacing w:after="0" w:line="255"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2180" w:type="dxa"/>
            <w:vAlign w:val="bottom"/>
            <w:shd w:val="clear" w:color="auto" w:fill="BF2115"/>
          </w:tcPr>
          <w:p>
            <w:pPr>
              <w:spacing w:after="0"/>
              <w:rPr>
                <w:sz w:val="18"/>
                <w:szCs w:val="18"/>
                <w:color w:val="auto"/>
              </w:rPr>
            </w:pPr>
          </w:p>
        </w:tc>
        <w:tc>
          <w:tcPr>
            <w:tcW w:w="1780" w:type="dxa"/>
            <w:vAlign w:val="bottom"/>
            <w:shd w:val="clear" w:color="auto" w:fill="BF2115"/>
          </w:tcPr>
          <w:p>
            <w:pPr>
              <w:spacing w:after="0"/>
              <w:rPr>
                <w:sz w:val="18"/>
                <w:szCs w:val="18"/>
                <w:color w:val="auto"/>
              </w:rPr>
            </w:pPr>
          </w:p>
        </w:tc>
        <w:tc>
          <w:tcPr>
            <w:tcW w:w="1520" w:type="dxa"/>
            <w:vAlign w:val="bottom"/>
            <w:shd w:val="clear" w:color="auto" w:fill="BF2115"/>
          </w:tcPr>
          <w:p>
            <w:pPr>
              <w:jc w:val="right"/>
              <w:ind w:right="179"/>
              <w:spacing w:after="0"/>
              <w:rPr>
                <w:sz w:val="20"/>
                <w:szCs w:val="20"/>
                <w:color w:val="auto"/>
              </w:rPr>
            </w:pPr>
            <w:r>
              <w:rPr>
                <w:rFonts w:ascii="Arial" w:cs="Arial" w:eastAsia="Arial" w:hAnsi="Arial"/>
                <w:sz w:val="16"/>
                <w:szCs w:val="16"/>
                <w:color w:val="FFFFFF"/>
              </w:rPr>
              <w:t>Threshold (16%</w:t>
            </w:r>
          </w:p>
        </w:tc>
        <w:tc>
          <w:tcPr>
            <w:tcW w:w="1460" w:type="dxa"/>
            <w:vAlign w:val="bottom"/>
            <w:shd w:val="clear" w:color="auto" w:fill="BF2115"/>
          </w:tcPr>
          <w:p>
            <w:pPr>
              <w:jc w:val="right"/>
              <w:ind w:right="499"/>
              <w:spacing w:after="0"/>
              <w:rPr>
                <w:sz w:val="20"/>
                <w:szCs w:val="20"/>
                <w:color w:val="auto"/>
              </w:rPr>
            </w:pPr>
            <w:r>
              <w:rPr>
                <w:rFonts w:ascii="Arial" w:cs="Arial" w:eastAsia="Arial" w:hAnsi="Arial"/>
                <w:sz w:val="16"/>
                <w:szCs w:val="16"/>
                <w:color w:val="FFFFFF"/>
              </w:rPr>
              <w:t>Target</w:t>
            </w:r>
          </w:p>
        </w:tc>
        <w:tc>
          <w:tcPr>
            <w:tcW w:w="1480" w:type="dxa"/>
            <w:vAlign w:val="bottom"/>
            <w:shd w:val="clear" w:color="auto" w:fill="BF2115"/>
          </w:tcPr>
          <w:p>
            <w:pPr>
              <w:jc w:val="right"/>
              <w:ind w:right="99"/>
              <w:spacing w:after="0"/>
              <w:rPr>
                <w:sz w:val="20"/>
                <w:szCs w:val="20"/>
                <w:color w:val="auto"/>
              </w:rPr>
            </w:pPr>
            <w:r>
              <w:rPr>
                <w:rFonts w:ascii="Arial" w:cs="Arial" w:eastAsia="Arial" w:hAnsi="Arial"/>
                <w:sz w:val="16"/>
                <w:szCs w:val="16"/>
                <w:color w:val="FFFFFF"/>
              </w:rPr>
              <w:t>Maximum (200%</w:t>
            </w:r>
          </w:p>
        </w:tc>
        <w:tc>
          <w:tcPr>
            <w:tcW w:w="1480" w:type="dxa"/>
            <w:vAlign w:val="bottom"/>
            <w:shd w:val="clear" w:color="auto" w:fill="BF2115"/>
          </w:tcPr>
          <w:p>
            <w:pPr>
              <w:spacing w:after="0"/>
              <w:rPr>
                <w:sz w:val="18"/>
                <w:szCs w:val="18"/>
                <w:color w:val="auto"/>
              </w:rPr>
            </w:pPr>
          </w:p>
        </w:tc>
        <w:tc>
          <w:tcPr>
            <w:tcW w:w="20" w:type="dxa"/>
            <w:vAlign w:val="bottom"/>
            <w:shd w:val="clear" w:color="auto" w:fill="BF2115"/>
          </w:tcPr>
          <w:p>
            <w:pPr>
              <w:spacing w:after="0"/>
              <w:rPr>
                <w:sz w:val="18"/>
                <w:szCs w:val="18"/>
                <w:color w:val="auto"/>
              </w:rPr>
            </w:pPr>
          </w:p>
        </w:tc>
        <w:tc>
          <w:tcPr>
            <w:tcW w:w="1500" w:type="dxa"/>
            <w:vAlign w:val="bottom"/>
            <w:shd w:val="clear" w:color="auto" w:fill="BF2115"/>
          </w:tcPr>
          <w:p>
            <w:pPr>
              <w:jc w:val="right"/>
              <w:ind w:right="79"/>
              <w:spacing w:after="0"/>
              <w:rPr>
                <w:sz w:val="20"/>
                <w:szCs w:val="20"/>
                <w:color w:val="auto"/>
              </w:rPr>
            </w:pPr>
            <w:r>
              <w:rPr>
                <w:rFonts w:ascii="Arial" w:cs="Arial" w:eastAsia="Arial" w:hAnsi="Arial"/>
                <w:sz w:val="16"/>
                <w:szCs w:val="16"/>
                <w:color w:val="FFFFFF"/>
              </w:rPr>
              <w:t>Actual Payout %</w:t>
            </w:r>
          </w:p>
        </w:tc>
        <w:tc>
          <w:tcPr>
            <w:tcW w:w="20" w:type="dxa"/>
            <w:vAlign w:val="bottom"/>
          </w:tcPr>
          <w:p>
            <w:pPr>
              <w:spacing w:after="0"/>
              <w:rPr>
                <w:sz w:val="18"/>
                <w:szCs w:val="18"/>
                <w:color w:val="auto"/>
              </w:rPr>
            </w:pPr>
          </w:p>
        </w:tc>
      </w:tr>
      <w:tr>
        <w:trPr>
          <w:trHeight w:val="214"/>
        </w:trPr>
        <w:tc>
          <w:tcPr>
            <w:tcW w:w="2180" w:type="dxa"/>
            <w:vAlign w:val="bottom"/>
            <w:shd w:val="clear" w:color="auto" w:fill="BF2115"/>
          </w:tcPr>
          <w:p>
            <w:pPr>
              <w:ind w:left="40"/>
              <w:spacing w:after="0"/>
              <w:rPr>
                <w:sz w:val="20"/>
                <w:szCs w:val="20"/>
                <w:color w:val="auto"/>
              </w:rPr>
            </w:pPr>
            <w:r>
              <w:rPr>
                <w:rFonts w:ascii="Arial" w:cs="Arial" w:eastAsia="Arial" w:hAnsi="Arial"/>
                <w:sz w:val="16"/>
                <w:szCs w:val="16"/>
                <w:color w:val="FFFFFF"/>
              </w:rPr>
              <w:t>Metric</w:t>
            </w:r>
          </w:p>
        </w:tc>
        <w:tc>
          <w:tcPr>
            <w:tcW w:w="1780" w:type="dxa"/>
            <w:vAlign w:val="bottom"/>
            <w:shd w:val="clear" w:color="auto" w:fill="BF2115"/>
          </w:tcPr>
          <w:p>
            <w:pPr>
              <w:jc w:val="right"/>
              <w:ind w:right="479"/>
              <w:spacing w:after="0"/>
              <w:rPr>
                <w:sz w:val="20"/>
                <w:szCs w:val="20"/>
                <w:color w:val="auto"/>
              </w:rPr>
            </w:pPr>
            <w:r>
              <w:rPr>
                <w:rFonts w:ascii="Arial" w:cs="Arial" w:eastAsia="Arial" w:hAnsi="Arial"/>
                <w:sz w:val="16"/>
                <w:szCs w:val="16"/>
                <w:color w:val="FFFFFF"/>
              </w:rPr>
              <w:t>Weight</w:t>
            </w:r>
          </w:p>
        </w:tc>
        <w:tc>
          <w:tcPr>
            <w:tcW w:w="1520" w:type="dxa"/>
            <w:vAlign w:val="bottom"/>
            <w:shd w:val="clear" w:color="auto" w:fill="BF2115"/>
          </w:tcPr>
          <w:p>
            <w:pPr>
              <w:jc w:val="right"/>
              <w:ind w:right="479"/>
              <w:spacing w:after="0"/>
              <w:rPr>
                <w:sz w:val="20"/>
                <w:szCs w:val="20"/>
                <w:color w:val="auto"/>
              </w:rPr>
            </w:pPr>
            <w:r>
              <w:rPr>
                <w:rFonts w:ascii="Arial" w:cs="Arial" w:eastAsia="Arial" w:hAnsi="Arial"/>
                <w:sz w:val="16"/>
                <w:szCs w:val="16"/>
                <w:color w:val="FFFFFF"/>
              </w:rPr>
              <w:t>Payout)</w:t>
            </w:r>
          </w:p>
        </w:tc>
        <w:tc>
          <w:tcPr>
            <w:tcW w:w="1460" w:type="dxa"/>
            <w:vAlign w:val="bottom"/>
            <w:shd w:val="clear" w:color="auto" w:fill="BF2115"/>
          </w:tcPr>
          <w:p>
            <w:pPr>
              <w:jc w:val="right"/>
              <w:ind w:right="179"/>
              <w:spacing w:after="0"/>
              <w:rPr>
                <w:sz w:val="20"/>
                <w:szCs w:val="20"/>
                <w:color w:val="auto"/>
              </w:rPr>
            </w:pPr>
            <w:r>
              <w:rPr>
                <w:rFonts w:ascii="Arial" w:cs="Arial" w:eastAsia="Arial" w:hAnsi="Arial"/>
                <w:sz w:val="16"/>
                <w:szCs w:val="16"/>
                <w:color w:val="FFFFFF"/>
              </w:rPr>
              <w:t>(100% Payout)</w:t>
            </w:r>
          </w:p>
        </w:tc>
        <w:tc>
          <w:tcPr>
            <w:tcW w:w="1480" w:type="dxa"/>
            <w:vAlign w:val="bottom"/>
            <w:shd w:val="clear" w:color="auto" w:fill="BF2115"/>
          </w:tcPr>
          <w:p>
            <w:pPr>
              <w:jc w:val="right"/>
              <w:ind w:right="419"/>
              <w:spacing w:after="0"/>
              <w:rPr>
                <w:sz w:val="20"/>
                <w:szCs w:val="20"/>
                <w:color w:val="auto"/>
              </w:rPr>
            </w:pPr>
            <w:r>
              <w:rPr>
                <w:rFonts w:ascii="Arial" w:cs="Arial" w:eastAsia="Arial" w:hAnsi="Arial"/>
                <w:sz w:val="16"/>
                <w:szCs w:val="16"/>
                <w:color w:val="FFFFFF"/>
              </w:rPr>
              <w:t>Payout)</w:t>
            </w:r>
          </w:p>
        </w:tc>
        <w:tc>
          <w:tcPr>
            <w:tcW w:w="1480" w:type="dxa"/>
            <w:vAlign w:val="bottom"/>
            <w:shd w:val="clear" w:color="auto" w:fill="BF2115"/>
          </w:tcPr>
          <w:p>
            <w:pPr>
              <w:jc w:val="right"/>
              <w:spacing w:after="0"/>
              <w:rPr>
                <w:sz w:val="20"/>
                <w:szCs w:val="20"/>
                <w:color w:val="auto"/>
              </w:rPr>
            </w:pPr>
            <w:r>
              <w:rPr>
                <w:rFonts w:ascii="Arial" w:cs="Arial" w:eastAsia="Arial" w:hAnsi="Arial"/>
                <w:sz w:val="16"/>
                <w:szCs w:val="16"/>
                <w:color w:val="FFFFFF"/>
              </w:rPr>
              <w:t>FY18 Performance</w:t>
            </w:r>
          </w:p>
        </w:tc>
        <w:tc>
          <w:tcPr>
            <w:tcW w:w="20" w:type="dxa"/>
            <w:vAlign w:val="bottom"/>
            <w:shd w:val="clear" w:color="auto" w:fill="BF2115"/>
          </w:tcPr>
          <w:p>
            <w:pPr>
              <w:spacing w:after="0"/>
              <w:rPr>
                <w:sz w:val="18"/>
                <w:szCs w:val="18"/>
                <w:color w:val="auto"/>
              </w:rPr>
            </w:pPr>
          </w:p>
        </w:tc>
        <w:tc>
          <w:tcPr>
            <w:tcW w:w="1500" w:type="dxa"/>
            <w:vAlign w:val="bottom"/>
            <w:shd w:val="clear" w:color="auto" w:fill="BF2115"/>
          </w:tcPr>
          <w:p>
            <w:pPr>
              <w:jc w:val="right"/>
              <w:ind w:right="279"/>
              <w:spacing w:after="0"/>
              <w:rPr>
                <w:sz w:val="20"/>
                <w:szCs w:val="20"/>
                <w:color w:val="auto"/>
              </w:rPr>
            </w:pPr>
            <w:r>
              <w:rPr>
                <w:rFonts w:ascii="Arial" w:cs="Arial" w:eastAsia="Arial" w:hAnsi="Arial"/>
                <w:sz w:val="16"/>
                <w:szCs w:val="16"/>
                <w:color w:val="FFFFFF"/>
              </w:rPr>
              <w:t>(Weighted)</w:t>
            </w:r>
          </w:p>
        </w:tc>
        <w:tc>
          <w:tcPr>
            <w:tcW w:w="20" w:type="dxa"/>
            <w:vAlign w:val="bottom"/>
          </w:tcPr>
          <w:p>
            <w:pPr>
              <w:spacing w:after="0"/>
              <w:rPr>
                <w:sz w:val="18"/>
                <w:szCs w:val="18"/>
                <w:color w:val="auto"/>
              </w:rPr>
            </w:pPr>
          </w:p>
        </w:tc>
      </w:tr>
      <w:tr>
        <w:trPr>
          <w:trHeight w:val="233"/>
        </w:trPr>
        <w:tc>
          <w:tcPr>
            <w:tcW w:w="2180" w:type="dxa"/>
            <w:vAlign w:val="bottom"/>
          </w:tcPr>
          <w:p>
            <w:pPr>
              <w:ind w:left="40"/>
              <w:spacing w:after="0"/>
              <w:rPr>
                <w:sz w:val="20"/>
                <w:szCs w:val="20"/>
                <w:color w:val="auto"/>
              </w:rPr>
            </w:pPr>
            <w:r>
              <w:rPr>
                <w:rFonts w:ascii="Arial" w:cs="Arial" w:eastAsia="Arial" w:hAnsi="Arial"/>
                <w:sz w:val="16"/>
                <w:szCs w:val="16"/>
                <w:color w:val="auto"/>
              </w:rPr>
              <w:t>Net Sales Growth</w:t>
            </w:r>
          </w:p>
        </w:tc>
        <w:tc>
          <w:tcPr>
            <w:tcW w:w="1780" w:type="dxa"/>
            <w:vAlign w:val="bottom"/>
          </w:tcPr>
          <w:p>
            <w:pPr>
              <w:jc w:val="right"/>
              <w:ind w:right="19"/>
              <w:spacing w:after="0"/>
              <w:rPr>
                <w:sz w:val="20"/>
                <w:szCs w:val="20"/>
                <w:color w:val="auto"/>
              </w:rPr>
            </w:pPr>
            <w:r>
              <w:rPr>
                <w:rFonts w:ascii="Arial" w:cs="Arial" w:eastAsia="Arial" w:hAnsi="Arial"/>
                <w:sz w:val="16"/>
                <w:szCs w:val="16"/>
                <w:color w:val="auto"/>
              </w:rPr>
              <w:t>50%</w:t>
            </w:r>
          </w:p>
        </w:tc>
        <w:tc>
          <w:tcPr>
            <w:tcW w:w="1520" w:type="dxa"/>
            <w:vAlign w:val="bottom"/>
          </w:tcPr>
          <w:p>
            <w:pPr>
              <w:jc w:val="right"/>
              <w:ind w:right="39"/>
              <w:spacing w:after="0"/>
              <w:rPr>
                <w:sz w:val="20"/>
                <w:szCs w:val="20"/>
                <w:color w:val="auto"/>
              </w:rPr>
            </w:pPr>
            <w:r>
              <w:rPr>
                <w:rFonts w:ascii="Arial" w:cs="Arial" w:eastAsia="Arial" w:hAnsi="Arial"/>
                <w:sz w:val="16"/>
                <w:szCs w:val="16"/>
                <w:color w:val="auto"/>
              </w:rPr>
              <w:t>10.8%</w:t>
            </w:r>
          </w:p>
        </w:tc>
        <w:tc>
          <w:tcPr>
            <w:tcW w:w="1460" w:type="dxa"/>
            <w:vAlign w:val="bottom"/>
          </w:tcPr>
          <w:p>
            <w:pPr>
              <w:jc w:val="right"/>
              <w:spacing w:after="0"/>
              <w:rPr>
                <w:sz w:val="20"/>
                <w:szCs w:val="20"/>
                <w:color w:val="auto"/>
              </w:rPr>
            </w:pPr>
            <w:r>
              <w:rPr>
                <w:rFonts w:ascii="Arial" w:cs="Arial" w:eastAsia="Arial" w:hAnsi="Arial"/>
                <w:sz w:val="16"/>
                <w:szCs w:val="16"/>
                <w:color w:val="auto"/>
              </w:rPr>
              <w:t>21.5%</w:t>
            </w:r>
          </w:p>
        </w:tc>
        <w:tc>
          <w:tcPr>
            <w:tcW w:w="1480" w:type="dxa"/>
            <w:vAlign w:val="bottom"/>
          </w:tcPr>
          <w:p>
            <w:pPr>
              <w:jc w:val="right"/>
              <w:spacing w:after="0"/>
              <w:rPr>
                <w:sz w:val="20"/>
                <w:szCs w:val="20"/>
                <w:color w:val="auto"/>
              </w:rPr>
            </w:pPr>
            <w:r>
              <w:rPr>
                <w:rFonts w:ascii="Arial" w:cs="Arial" w:eastAsia="Arial" w:hAnsi="Arial"/>
                <w:sz w:val="16"/>
                <w:szCs w:val="16"/>
                <w:color w:val="auto"/>
              </w:rPr>
              <w:t>32.3%</w:t>
            </w:r>
          </w:p>
        </w:tc>
        <w:tc>
          <w:tcPr>
            <w:tcW w:w="1480" w:type="dxa"/>
            <w:vAlign w:val="bottom"/>
          </w:tcPr>
          <w:p>
            <w:pPr>
              <w:jc w:val="right"/>
              <w:spacing w:after="0"/>
              <w:rPr>
                <w:sz w:val="20"/>
                <w:szCs w:val="20"/>
                <w:color w:val="auto"/>
              </w:rPr>
            </w:pPr>
            <w:r>
              <w:rPr>
                <w:rFonts w:ascii="Arial" w:cs="Arial" w:eastAsia="Arial" w:hAnsi="Arial"/>
                <w:sz w:val="16"/>
                <w:szCs w:val="16"/>
                <w:color w:val="auto"/>
              </w:rPr>
              <w:t>29.3%</w:t>
            </w:r>
          </w:p>
        </w:tc>
        <w:tc>
          <w:tcPr>
            <w:tcW w:w="1520" w:type="dxa"/>
            <w:vAlign w:val="bottom"/>
            <w:gridSpan w:val="2"/>
          </w:tcPr>
          <w:p>
            <w:pPr>
              <w:jc w:val="right"/>
              <w:spacing w:after="0"/>
              <w:rPr>
                <w:sz w:val="20"/>
                <w:szCs w:val="20"/>
                <w:color w:val="auto"/>
              </w:rPr>
            </w:pPr>
            <w:r>
              <w:rPr>
                <w:rFonts w:ascii="Arial" w:cs="Arial" w:eastAsia="Arial" w:hAnsi="Arial"/>
                <w:sz w:val="16"/>
                <w:szCs w:val="16"/>
                <w:color w:val="auto"/>
              </w:rPr>
              <w:t>82.7%</w:t>
            </w:r>
          </w:p>
        </w:tc>
        <w:tc>
          <w:tcPr>
            <w:tcW w:w="20" w:type="dxa"/>
            <w:vAlign w:val="bottom"/>
          </w:tcPr>
          <w:p>
            <w:pPr>
              <w:spacing w:after="0"/>
              <w:rPr>
                <w:sz w:val="20"/>
                <w:szCs w:val="20"/>
                <w:color w:val="auto"/>
              </w:rPr>
            </w:pPr>
          </w:p>
        </w:tc>
      </w:tr>
      <w:tr>
        <w:trPr>
          <w:trHeight w:val="253"/>
        </w:trPr>
        <w:tc>
          <w:tcPr>
            <w:tcW w:w="2180" w:type="dxa"/>
            <w:vAlign w:val="bottom"/>
            <w:shd w:val="clear" w:color="auto" w:fill="ACACAC"/>
          </w:tcPr>
          <w:p>
            <w:pPr>
              <w:ind w:left="40"/>
              <w:spacing w:after="0"/>
              <w:rPr>
                <w:sz w:val="20"/>
                <w:szCs w:val="20"/>
                <w:color w:val="auto"/>
              </w:rPr>
            </w:pPr>
            <w:r>
              <w:rPr>
                <w:rFonts w:ascii="Arial" w:cs="Arial" w:eastAsia="Arial" w:hAnsi="Arial"/>
                <w:sz w:val="16"/>
                <w:szCs w:val="16"/>
                <w:color w:val="auto"/>
              </w:rPr>
              <w:t>Operating Income</w:t>
            </w:r>
          </w:p>
        </w:tc>
        <w:tc>
          <w:tcPr>
            <w:tcW w:w="1780" w:type="dxa"/>
            <w:vAlign w:val="bottom"/>
            <w:shd w:val="clear" w:color="auto" w:fill="ACACAC"/>
          </w:tcPr>
          <w:p>
            <w:pPr>
              <w:jc w:val="right"/>
              <w:ind w:right="19"/>
              <w:spacing w:after="0"/>
              <w:rPr>
                <w:sz w:val="20"/>
                <w:szCs w:val="20"/>
                <w:color w:val="auto"/>
              </w:rPr>
            </w:pPr>
            <w:r>
              <w:rPr>
                <w:rFonts w:ascii="Arial" w:cs="Arial" w:eastAsia="Arial" w:hAnsi="Arial"/>
                <w:sz w:val="16"/>
                <w:szCs w:val="16"/>
                <w:color w:val="auto"/>
              </w:rPr>
              <w:t>40%</w:t>
            </w:r>
          </w:p>
        </w:tc>
        <w:tc>
          <w:tcPr>
            <w:tcW w:w="1520" w:type="dxa"/>
            <w:vAlign w:val="bottom"/>
            <w:shd w:val="clear" w:color="auto" w:fill="ACACAC"/>
          </w:tcPr>
          <w:p>
            <w:pPr>
              <w:jc w:val="right"/>
              <w:ind w:right="39"/>
              <w:spacing w:after="0"/>
              <w:rPr>
                <w:sz w:val="20"/>
                <w:szCs w:val="20"/>
                <w:color w:val="auto"/>
              </w:rPr>
            </w:pPr>
            <w:r>
              <w:rPr>
                <w:rFonts w:ascii="Arial" w:cs="Arial" w:eastAsia="Arial" w:hAnsi="Arial"/>
                <w:sz w:val="16"/>
                <w:szCs w:val="16"/>
                <w:color w:val="auto"/>
              </w:rPr>
              <w:t>$128,229</w:t>
            </w:r>
          </w:p>
        </w:tc>
        <w:tc>
          <w:tcPr>
            <w:tcW w:w="1460" w:type="dxa"/>
            <w:vAlign w:val="bottom"/>
            <w:shd w:val="clear" w:color="auto" w:fill="ACACAC"/>
          </w:tcPr>
          <w:p>
            <w:pPr>
              <w:jc w:val="right"/>
              <w:spacing w:after="0"/>
              <w:rPr>
                <w:sz w:val="20"/>
                <w:szCs w:val="20"/>
                <w:color w:val="auto"/>
              </w:rPr>
            </w:pPr>
            <w:r>
              <w:rPr>
                <w:rFonts w:ascii="Arial" w:cs="Arial" w:eastAsia="Arial" w:hAnsi="Arial"/>
                <w:sz w:val="16"/>
                <w:szCs w:val="16"/>
                <w:color w:val="auto"/>
              </w:rPr>
              <w:t>$160,287</w:t>
            </w:r>
          </w:p>
        </w:tc>
        <w:tc>
          <w:tcPr>
            <w:tcW w:w="1480" w:type="dxa"/>
            <w:vAlign w:val="bottom"/>
            <w:shd w:val="clear" w:color="auto" w:fill="ACACAC"/>
          </w:tcPr>
          <w:p>
            <w:pPr>
              <w:jc w:val="right"/>
              <w:spacing w:after="0"/>
              <w:rPr>
                <w:sz w:val="20"/>
                <w:szCs w:val="20"/>
                <w:color w:val="auto"/>
              </w:rPr>
            </w:pPr>
            <w:r>
              <w:rPr>
                <w:rFonts w:ascii="Arial" w:cs="Arial" w:eastAsia="Arial" w:hAnsi="Arial"/>
                <w:sz w:val="16"/>
                <w:szCs w:val="16"/>
                <w:color w:val="auto"/>
              </w:rPr>
              <w:t>$192,362</w:t>
            </w:r>
          </w:p>
        </w:tc>
        <w:tc>
          <w:tcPr>
            <w:tcW w:w="1480" w:type="dxa"/>
            <w:vAlign w:val="bottom"/>
            <w:shd w:val="clear" w:color="auto" w:fill="ACACAC"/>
          </w:tcPr>
          <w:p>
            <w:pPr>
              <w:jc w:val="right"/>
              <w:spacing w:after="0"/>
              <w:rPr>
                <w:sz w:val="20"/>
                <w:szCs w:val="20"/>
                <w:color w:val="auto"/>
              </w:rPr>
            </w:pPr>
            <w:r>
              <w:rPr>
                <w:rFonts w:ascii="Arial" w:cs="Arial" w:eastAsia="Arial" w:hAnsi="Arial"/>
                <w:sz w:val="16"/>
                <w:szCs w:val="16"/>
                <w:color w:val="auto"/>
              </w:rPr>
              <w:t>$166,596</w:t>
            </w:r>
          </w:p>
        </w:tc>
        <w:tc>
          <w:tcPr>
            <w:tcW w:w="1520" w:type="dxa"/>
            <w:vAlign w:val="bottom"/>
            <w:gridSpan w:val="2"/>
            <w:shd w:val="clear" w:color="auto" w:fill="ACACAC"/>
          </w:tcPr>
          <w:p>
            <w:pPr>
              <w:jc w:val="right"/>
              <w:spacing w:after="0"/>
              <w:rPr>
                <w:sz w:val="20"/>
                <w:szCs w:val="20"/>
                <w:color w:val="auto"/>
              </w:rPr>
            </w:pPr>
            <w:r>
              <w:rPr>
                <w:rFonts w:ascii="Arial" w:cs="Arial" w:eastAsia="Arial" w:hAnsi="Arial"/>
                <w:sz w:val="16"/>
                <w:szCs w:val="16"/>
                <w:color w:val="auto"/>
              </w:rPr>
              <w:t>40.0%</w:t>
            </w:r>
          </w:p>
        </w:tc>
        <w:tc>
          <w:tcPr>
            <w:tcW w:w="20" w:type="dxa"/>
            <w:vAlign w:val="bottom"/>
          </w:tcPr>
          <w:p>
            <w:pPr>
              <w:spacing w:after="0"/>
              <w:rPr>
                <w:sz w:val="21"/>
                <w:szCs w:val="21"/>
                <w:color w:val="auto"/>
              </w:rPr>
            </w:pPr>
          </w:p>
        </w:tc>
      </w:tr>
      <w:tr>
        <w:trPr>
          <w:trHeight w:val="237"/>
        </w:trPr>
        <w:tc>
          <w:tcPr>
            <w:tcW w:w="2180" w:type="dxa"/>
            <w:vAlign w:val="bottom"/>
            <w:tcBorders>
              <w:bottom w:val="single" w:sz="8" w:color="ACACAC"/>
            </w:tcBorders>
          </w:tcPr>
          <w:p>
            <w:pPr>
              <w:ind w:left="40"/>
              <w:spacing w:after="0"/>
              <w:rPr>
                <w:sz w:val="20"/>
                <w:szCs w:val="20"/>
                <w:color w:val="auto"/>
              </w:rPr>
            </w:pPr>
            <w:r>
              <w:rPr>
                <w:rFonts w:ascii="Arial" w:cs="Arial" w:eastAsia="Arial" w:hAnsi="Arial"/>
                <w:sz w:val="16"/>
                <w:szCs w:val="16"/>
                <w:color w:val="auto"/>
              </w:rPr>
              <w:t>Net Working Capital</w:t>
            </w:r>
          </w:p>
        </w:tc>
        <w:tc>
          <w:tcPr>
            <w:tcW w:w="1780" w:type="dxa"/>
            <w:vAlign w:val="bottom"/>
            <w:tcBorders>
              <w:bottom w:val="single" w:sz="8" w:color="ACACAC"/>
            </w:tcBorders>
          </w:tcPr>
          <w:p>
            <w:pPr>
              <w:jc w:val="right"/>
              <w:ind w:right="19"/>
              <w:spacing w:after="0"/>
              <w:rPr>
                <w:sz w:val="20"/>
                <w:szCs w:val="20"/>
                <w:color w:val="auto"/>
              </w:rPr>
            </w:pPr>
            <w:r>
              <w:rPr>
                <w:rFonts w:ascii="Arial" w:cs="Arial" w:eastAsia="Arial" w:hAnsi="Arial"/>
                <w:sz w:val="16"/>
                <w:szCs w:val="16"/>
                <w:color w:val="auto"/>
              </w:rPr>
              <w:t>10%</w:t>
            </w:r>
          </w:p>
        </w:tc>
        <w:tc>
          <w:tcPr>
            <w:tcW w:w="1520" w:type="dxa"/>
            <w:vAlign w:val="bottom"/>
            <w:tcBorders>
              <w:bottom w:val="single" w:sz="8" w:color="ACACAC"/>
            </w:tcBorders>
          </w:tcPr>
          <w:p>
            <w:pPr>
              <w:jc w:val="right"/>
              <w:ind w:right="39"/>
              <w:spacing w:after="0"/>
              <w:rPr>
                <w:sz w:val="20"/>
                <w:szCs w:val="20"/>
                <w:color w:val="auto"/>
              </w:rPr>
            </w:pPr>
            <w:r>
              <w:rPr>
                <w:rFonts w:ascii="Arial" w:cs="Arial" w:eastAsia="Arial" w:hAnsi="Arial"/>
                <w:sz w:val="16"/>
                <w:szCs w:val="16"/>
                <w:color w:val="auto"/>
              </w:rPr>
              <w:t>14.1%</w:t>
            </w:r>
          </w:p>
        </w:tc>
        <w:tc>
          <w:tcPr>
            <w:tcW w:w="1460" w:type="dxa"/>
            <w:vAlign w:val="bottom"/>
            <w:tcBorders>
              <w:bottom w:val="single" w:sz="8" w:color="ACACAC"/>
            </w:tcBorders>
          </w:tcPr>
          <w:p>
            <w:pPr>
              <w:jc w:val="right"/>
              <w:spacing w:after="0"/>
              <w:rPr>
                <w:sz w:val="20"/>
                <w:szCs w:val="20"/>
                <w:color w:val="auto"/>
              </w:rPr>
            </w:pPr>
            <w:r>
              <w:rPr>
                <w:rFonts w:ascii="Arial" w:cs="Arial" w:eastAsia="Arial" w:hAnsi="Arial"/>
                <w:sz w:val="16"/>
                <w:szCs w:val="16"/>
                <w:color w:val="auto"/>
              </w:rPr>
              <w:t>12.8%</w:t>
            </w:r>
          </w:p>
        </w:tc>
        <w:tc>
          <w:tcPr>
            <w:tcW w:w="1480" w:type="dxa"/>
            <w:vAlign w:val="bottom"/>
            <w:tcBorders>
              <w:bottom w:val="single" w:sz="8" w:color="ACACAC"/>
            </w:tcBorders>
          </w:tcPr>
          <w:p>
            <w:pPr>
              <w:jc w:val="right"/>
              <w:spacing w:after="0"/>
              <w:rPr>
                <w:sz w:val="20"/>
                <w:szCs w:val="20"/>
                <w:color w:val="auto"/>
              </w:rPr>
            </w:pPr>
            <w:r>
              <w:rPr>
                <w:rFonts w:ascii="Arial" w:cs="Arial" w:eastAsia="Arial" w:hAnsi="Arial"/>
                <w:sz w:val="16"/>
                <w:szCs w:val="16"/>
                <w:color w:val="auto"/>
              </w:rPr>
              <w:t>11.5%</w:t>
            </w:r>
          </w:p>
        </w:tc>
        <w:tc>
          <w:tcPr>
            <w:tcW w:w="1480" w:type="dxa"/>
            <w:vAlign w:val="bottom"/>
            <w:tcBorders>
              <w:bottom w:val="single" w:sz="8" w:color="ACACAC"/>
            </w:tcBorders>
          </w:tcPr>
          <w:p>
            <w:pPr>
              <w:jc w:val="right"/>
              <w:spacing w:after="0"/>
              <w:rPr>
                <w:sz w:val="20"/>
                <w:szCs w:val="20"/>
                <w:color w:val="auto"/>
              </w:rPr>
            </w:pPr>
            <w:r>
              <w:rPr>
                <w:rFonts w:ascii="Arial" w:cs="Arial" w:eastAsia="Arial" w:hAnsi="Arial"/>
                <w:sz w:val="16"/>
                <w:szCs w:val="16"/>
                <w:color w:val="auto"/>
              </w:rPr>
              <w:t>13.4%</w:t>
            </w:r>
          </w:p>
        </w:tc>
        <w:tc>
          <w:tcPr>
            <w:tcW w:w="20" w:type="dxa"/>
            <w:vAlign w:val="bottom"/>
            <w:tcBorders>
              <w:bottom w:val="single" w:sz="8" w:color="ACACAC"/>
            </w:tcBorders>
          </w:tcPr>
          <w:p>
            <w:pPr>
              <w:spacing w:after="0"/>
              <w:rPr>
                <w:sz w:val="20"/>
                <w:szCs w:val="20"/>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7.4%</w:t>
            </w:r>
          </w:p>
        </w:tc>
        <w:tc>
          <w:tcPr>
            <w:tcW w:w="20" w:type="dxa"/>
            <w:vAlign w:val="bottom"/>
            <w:tcBorders>
              <w:bottom w:val="single" w:sz="8" w:color="auto"/>
            </w:tcBorders>
          </w:tcPr>
          <w:p>
            <w:pPr>
              <w:spacing w:after="0"/>
              <w:rPr>
                <w:sz w:val="20"/>
                <w:szCs w:val="20"/>
                <w:color w:val="auto"/>
              </w:rPr>
            </w:pPr>
          </w:p>
        </w:tc>
      </w:tr>
      <w:tr>
        <w:trPr>
          <w:trHeight w:val="251"/>
        </w:trPr>
        <w:tc>
          <w:tcPr>
            <w:tcW w:w="2180" w:type="dxa"/>
            <w:vAlign w:val="bottom"/>
          </w:tcPr>
          <w:p>
            <w:pPr>
              <w:spacing w:after="0"/>
              <w:rPr>
                <w:sz w:val="21"/>
                <w:szCs w:val="21"/>
                <w:color w:val="auto"/>
              </w:rPr>
            </w:pPr>
          </w:p>
        </w:tc>
        <w:tc>
          <w:tcPr>
            <w:tcW w:w="1780" w:type="dxa"/>
            <w:vAlign w:val="bottom"/>
          </w:tcPr>
          <w:p>
            <w:pPr>
              <w:spacing w:after="0"/>
              <w:rPr>
                <w:sz w:val="21"/>
                <w:szCs w:val="21"/>
                <w:color w:val="auto"/>
              </w:rPr>
            </w:pPr>
          </w:p>
        </w:tc>
        <w:tc>
          <w:tcPr>
            <w:tcW w:w="152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2960" w:type="dxa"/>
            <w:vAlign w:val="bottom"/>
            <w:gridSpan w:val="2"/>
          </w:tcPr>
          <w:p>
            <w:pPr>
              <w:jc w:val="right"/>
              <w:ind w:right="79"/>
              <w:spacing w:after="0"/>
              <w:rPr>
                <w:sz w:val="20"/>
                <w:szCs w:val="20"/>
                <w:color w:val="auto"/>
              </w:rPr>
            </w:pPr>
            <w:r>
              <w:rPr>
                <w:rFonts w:ascii="Arial" w:cs="Arial" w:eastAsia="Arial" w:hAnsi="Arial"/>
                <w:sz w:val="16"/>
                <w:szCs w:val="16"/>
                <w:color w:val="auto"/>
              </w:rPr>
              <w:t>Total Payout Percentage</w:t>
            </w:r>
          </w:p>
        </w:tc>
        <w:tc>
          <w:tcPr>
            <w:tcW w:w="1520" w:type="dxa"/>
            <w:vAlign w:val="bottom"/>
            <w:gridSpan w:val="2"/>
          </w:tcPr>
          <w:p>
            <w:pPr>
              <w:jc w:val="right"/>
              <w:spacing w:after="0"/>
              <w:rPr>
                <w:sz w:val="20"/>
                <w:szCs w:val="20"/>
                <w:color w:val="auto"/>
              </w:rPr>
            </w:pPr>
            <w:r>
              <w:rPr>
                <w:rFonts w:ascii="Arial" w:cs="Arial" w:eastAsia="Arial" w:hAnsi="Arial"/>
                <w:sz w:val="16"/>
                <w:szCs w:val="16"/>
                <w:color w:val="auto"/>
              </w:rPr>
              <w:t>130.1%</w:t>
            </w:r>
          </w:p>
        </w:tc>
        <w:tc>
          <w:tcPr>
            <w:tcW w:w="20" w:type="dxa"/>
            <w:vAlign w:val="bottom"/>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6290945</wp:posOffset>
            </wp:positionH>
            <wp:positionV relativeFrom="paragraph">
              <wp:posOffset>-167005</wp:posOffset>
            </wp:positionV>
            <wp:extent cx="969010" cy="18859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969010" cy="188595"/>
                    </a:xfrm>
                    <a:prstGeom prst="rect">
                      <a:avLst/>
                    </a:prstGeom>
                    <a:noFill/>
                  </pic:spPr>
                </pic:pic>
              </a:graphicData>
            </a:graphic>
          </wp:anchor>
        </w:drawing>
      </w:r>
    </w:p>
    <w:p>
      <w:pPr>
        <w:spacing w:after="0" w:line="7" w:lineRule="exact"/>
        <w:rPr>
          <w:sz w:val="20"/>
          <w:szCs w:val="20"/>
          <w:color w:val="auto"/>
        </w:rPr>
      </w:pPr>
    </w:p>
    <w:p>
      <w:pPr>
        <w:ind w:right="560" w:firstLine="8"/>
        <w:spacing w:after="0" w:line="238" w:lineRule="auto"/>
        <w:tabs>
          <w:tab w:leader="none" w:pos="189" w:val="left"/>
        </w:tabs>
        <w:numPr>
          <w:ilvl w:val="0"/>
          <w:numId w:val="33"/>
        </w:numPr>
        <w:rPr>
          <w:rFonts w:ascii="Arial" w:cs="Arial" w:eastAsia="Arial" w:hAnsi="Arial"/>
          <w:sz w:val="13"/>
          <w:szCs w:val="13"/>
          <w:color w:val="auto"/>
        </w:rPr>
      </w:pPr>
      <w:r>
        <w:rPr>
          <w:rFonts w:ascii="Arial" w:cs="Arial" w:eastAsia="Arial" w:hAnsi="Arial"/>
          <w:sz w:val="13"/>
          <w:szCs w:val="13"/>
          <w:color w:val="auto"/>
        </w:rPr>
        <w:t>Each of the participating NEOs, other than Messrs. Happe and Clark, also have 10% of their target bonus opportunities tied to individualized objectives, which are assessed by the CEO (or, the Committee, in the case of the CEO), and the proposed bonus amount is approved by the Committee.</w:t>
      </w:r>
    </w:p>
    <w:p>
      <w:pPr>
        <w:ind w:left="200" w:hanging="192"/>
        <w:spacing w:after="0"/>
        <w:tabs>
          <w:tab w:leader="none" w:pos="200" w:val="left"/>
        </w:tabs>
        <w:numPr>
          <w:ilvl w:val="0"/>
          <w:numId w:val="33"/>
        </w:numPr>
        <w:rPr>
          <w:rFonts w:ascii="Arial" w:cs="Arial" w:eastAsia="Arial" w:hAnsi="Arial"/>
          <w:sz w:val="12"/>
          <w:szCs w:val="12"/>
          <w:color w:val="auto"/>
        </w:rPr>
      </w:pPr>
      <w:r>
        <w:rPr>
          <w:rFonts w:ascii="Arial" w:cs="Arial" w:eastAsia="Arial" w:hAnsi="Arial"/>
          <w:sz w:val="12"/>
          <w:szCs w:val="12"/>
          <w:color w:val="auto"/>
        </w:rPr>
        <w:t>54% of the OICP for Mr. Hazelton is based upon the following Motorhome business unit performance metrics: (i) 50% Net Sales Growth, (ii) 40% Operating Income and (iii) 10% Net Working Capital.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203835</wp:posOffset>
            </wp:positionV>
            <wp:extent cx="7272020" cy="425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22</w:t>
      </w:r>
    </w:p>
    <w:p>
      <w:pPr>
        <w:sectPr>
          <w:pgSz w:w="11900" w:h="16838" w:orient="portrait"/>
          <w:cols w:equalWidth="0" w:num="1">
            <w:col w:w="11440"/>
          </w:cols>
          <w:pgMar w:left="240" w:top="303" w:right="219" w:bottom="1440" w:gutter="0" w:footer="0" w:header="0"/>
          <w:type w:val="continuous"/>
        </w:sectPr>
      </w:pPr>
    </w:p>
    <w:bookmarkStart w:id="26" w:name="page27"/>
    <w:bookmarkEnd w:id="26"/>
    <w:p>
      <w:pPr>
        <w:spacing w:after="0"/>
        <w:rPr>
          <w:rFonts w:ascii="Arial" w:cs="Arial" w:eastAsia="Arial" w:hAnsi="Arial"/>
          <w:sz w:val="15"/>
          <w:szCs w:val="15"/>
          <w:u w:val="single" w:color="auto"/>
          <w:color w:val="0000EE"/>
        </w:rPr>
      </w:pPr>
      <w:r>
        <w:rPr>
          <w:rFonts w:ascii="Arial" w:cs="Arial" w:eastAsia="Arial" w:hAnsi="Arial"/>
          <w:sz w:val="15"/>
          <w:szCs w:val="15"/>
          <w:u w:val="single" w:color="auto"/>
          <w:color w:val="0000EE"/>
        </w:rPr>
        <w:drawing>
          <wp:anchor simplePos="0" relativeHeight="251657728" behindDoc="1" locked="0" layoutInCell="0" allowOverlap="1">
            <wp:simplePos x="0" y="0"/>
            <wp:positionH relativeFrom="page">
              <wp:posOffset>5946140</wp:posOffset>
            </wp:positionH>
            <wp:positionV relativeFrom="page">
              <wp:posOffset>191770</wp:posOffset>
            </wp:positionV>
            <wp:extent cx="1440815" cy="20574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clrChange>
                        <a:clrFrom>
                          <a:srgbClr val="FFFFFF"/>
                        </a:clrFrom>
                        <a:clrTo>
                          <a:srgbClr val="FFFFFF">
                            <a:alpha val="0"/>
                          </a:srgbClr>
                        </a:clrTo>
                      </a:clrChange>
                      <a:extLst>
                        <a:ext uri="{28A0092B-C50C-407E-A947-70E740481C1C}"/>
                      </a:extLst>
                    </a:blip>
                    <a:srcRect/>
                    <a:stretch>
                      <a:fillRect/>
                    </a:stretch>
                  </pic:blipFill>
                  <pic:spPr bwMode="auto">
                    <a:xfrm>
                      <a:off x="0" y="0"/>
                      <a:ext cx="1440815" cy="205740"/>
                    </a:xfrm>
                    <a:prstGeom prst="rect">
                      <a:avLst/>
                    </a:prstGeom>
                    <a:noFill/>
                  </pic:spPr>
                </pic:pic>
              </a:graphicData>
            </a:graphic>
          </wp:anchor>
        </w:drawing>
      </w:r>
      <w:hyperlink w:anchor="page4">
        <w:r>
          <w:rPr>
            <w:rFonts w:ascii="Arial" w:cs="Arial" w:eastAsia="Arial" w:hAnsi="Arial"/>
            <w:sz w:val="15"/>
            <w:szCs w:val="15"/>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112395</wp:posOffset>
            </wp:positionV>
            <wp:extent cx="7246620" cy="889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179"/>
          </w:cols>
          <w:pgMar w:left="280" w:top="30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ind w:left="5580"/>
        <w:spacing w:after="0"/>
        <w:rPr>
          <w:sz w:val="20"/>
          <w:szCs w:val="20"/>
          <w:color w:val="auto"/>
        </w:rPr>
      </w:pPr>
      <w:r>
        <w:rPr>
          <w:rFonts w:ascii="Arial" w:cs="Arial" w:eastAsia="Arial" w:hAnsi="Arial"/>
          <w:sz w:val="16"/>
          <w:szCs w:val="16"/>
          <w:color w:val="auto"/>
        </w:rPr>
        <w:t>23</w:t>
      </w:r>
    </w:p>
    <w:p>
      <w:pPr>
        <w:sectPr>
          <w:pgSz w:w="11900" w:h="16838" w:orient="portrait"/>
          <w:cols w:equalWidth="0" w:num="1">
            <w:col w:w="10179"/>
          </w:cols>
          <w:pgMar w:left="280" w:top="303" w:right="1440" w:bottom="1440" w:gutter="0" w:footer="0" w:header="0"/>
          <w:type w:val="continuous"/>
        </w:sectPr>
      </w:pPr>
    </w:p>
    <w:bookmarkStart w:id="27" w:name="page28"/>
    <w:bookmarkEnd w:id="27"/>
    <w:p>
      <w:pPr>
        <w:ind w:left="40"/>
        <w:spacing w:after="0"/>
        <w:rPr>
          <w:rFonts w:ascii="Arial" w:cs="Arial" w:eastAsia="Arial" w:hAnsi="Arial"/>
          <w:sz w:val="15"/>
          <w:szCs w:val="15"/>
          <w:u w:val="single" w:color="auto"/>
          <w:color w:val="0000EE"/>
        </w:rPr>
      </w:pPr>
      <w:r>
        <w:rPr>
          <w:rFonts w:ascii="Arial" w:cs="Arial" w:eastAsia="Arial" w:hAnsi="Arial"/>
          <w:sz w:val="15"/>
          <w:szCs w:val="15"/>
          <w:u w:val="single" w:color="auto"/>
          <w:color w:val="0000EE"/>
        </w:rPr>
        <w:drawing>
          <wp:anchor simplePos="0" relativeHeight="251657728" behindDoc="1" locked="0" layoutInCell="0" allowOverlap="1">
            <wp:simplePos x="0" y="0"/>
            <wp:positionH relativeFrom="page">
              <wp:posOffset>5946140</wp:posOffset>
            </wp:positionH>
            <wp:positionV relativeFrom="page">
              <wp:posOffset>191770</wp:posOffset>
            </wp:positionV>
            <wp:extent cx="1440815" cy="20574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clrChange>
                        <a:clrFrom>
                          <a:srgbClr val="FFFFFF"/>
                        </a:clrFrom>
                        <a:clrTo>
                          <a:srgbClr val="FFFFFF">
                            <a:alpha val="0"/>
                          </a:srgbClr>
                        </a:clrTo>
                      </a:clrChange>
                      <a:extLst>
                        <a:ext uri="{28A0092B-C50C-407E-A947-70E740481C1C}"/>
                      </a:extLst>
                    </a:blip>
                    <a:srcRect/>
                    <a:stretch>
                      <a:fillRect/>
                    </a:stretch>
                  </pic:blipFill>
                  <pic:spPr bwMode="auto">
                    <a:xfrm>
                      <a:off x="0" y="0"/>
                      <a:ext cx="1440815" cy="205740"/>
                    </a:xfrm>
                    <a:prstGeom prst="rect">
                      <a:avLst/>
                    </a:prstGeom>
                    <a:noFill/>
                  </pic:spPr>
                </pic:pic>
              </a:graphicData>
            </a:graphic>
          </wp:anchor>
        </w:drawing>
      </w:r>
      <w:hyperlink w:anchor="page4">
        <w:r>
          <w:rPr>
            <w:rFonts w:ascii="Arial" w:cs="Arial" w:eastAsia="Arial" w:hAnsi="Arial"/>
            <w:sz w:val="15"/>
            <w:szCs w:val="15"/>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112395</wp:posOffset>
            </wp:positionV>
            <wp:extent cx="7246620" cy="889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303" w:right="239" w:bottom="1440" w:gutter="0" w:footer="0" w:header="0"/>
        </w:sectPr>
      </w:pPr>
    </w:p>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Arial" w:cs="Arial" w:eastAsia="Arial" w:hAnsi="Arial"/>
          <w:sz w:val="28"/>
          <w:szCs w:val="28"/>
          <w:color w:val="BF2115"/>
        </w:rPr>
        <w:t>Fiscal 2018 Equity Awards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ind w:right="580"/>
        <w:spacing w:after="0" w:line="260" w:lineRule="auto"/>
        <w:rPr>
          <w:sz w:val="20"/>
          <w:szCs w:val="20"/>
          <w:color w:val="auto"/>
        </w:rPr>
      </w:pPr>
      <w:r>
        <w:rPr>
          <w:rFonts w:ascii="Arial" w:cs="Arial" w:eastAsia="Arial" w:hAnsi="Arial"/>
          <w:sz w:val="16"/>
          <w:szCs w:val="16"/>
          <w:color w:val="auto"/>
        </w:rPr>
        <w:t>For the Fiscal 2018-2020 LTIP, the Committee selected the following metrics:</w:t>
      </w:r>
    </w:p>
    <w:p>
      <w:pPr>
        <w:spacing w:after="0" w:line="20" w:lineRule="exact"/>
        <w:rPr>
          <w:sz w:val="20"/>
          <w:szCs w:val="20"/>
          <w:color w:val="auto"/>
        </w:rPr>
      </w:pPr>
    </w:p>
    <w:p>
      <w:pPr>
        <w:sectPr>
          <w:pgSz w:w="11900" w:h="16838" w:orient="portrait"/>
          <w:cols w:equalWidth="0" w:num="2">
            <w:col w:w="5220" w:space="720"/>
            <w:col w:w="5480"/>
          </w:cols>
          <w:pgMar w:left="240" w:top="303" w:right="239" w:bottom="1440" w:gutter="0" w:footer="0" w:header="0"/>
          <w:type w:val="continuous"/>
        </w:sectPr>
      </w:pPr>
    </w:p>
    <w:p>
      <w:pPr>
        <w:ind w:right="140"/>
        <w:spacing w:after="0" w:line="251" w:lineRule="auto"/>
        <w:rPr>
          <w:sz w:val="20"/>
          <w:szCs w:val="20"/>
          <w:color w:val="auto"/>
        </w:rPr>
      </w:pPr>
      <w:r>
        <w:rPr>
          <w:rFonts w:ascii="Arial" w:cs="Arial" w:eastAsia="Arial" w:hAnsi="Arial"/>
          <w:sz w:val="16"/>
          <w:szCs w:val="16"/>
          <w:color w:val="auto"/>
        </w:rPr>
        <w:t>We recognize long-term incentive opportunity as an important element of the total executive compensation program for NEOs. Long-term incentives are intended to retain and motivate executives and to encourage a strong link between management objectives and shareholder long-term interests.</w:t>
      </w:r>
    </w:p>
    <w:p>
      <w:pPr>
        <w:spacing w:after="0" w:line="176" w:lineRule="exact"/>
        <w:rPr>
          <w:sz w:val="20"/>
          <w:szCs w:val="20"/>
          <w:color w:val="auto"/>
        </w:rPr>
      </w:pPr>
    </w:p>
    <w:p>
      <w:pPr>
        <w:ind w:right="140"/>
        <w:spacing w:after="0" w:line="251" w:lineRule="auto"/>
        <w:rPr>
          <w:sz w:val="20"/>
          <w:szCs w:val="20"/>
          <w:color w:val="auto"/>
        </w:rPr>
      </w:pPr>
      <w:r>
        <w:rPr>
          <w:rFonts w:ascii="Arial" w:cs="Arial" w:eastAsia="Arial" w:hAnsi="Arial"/>
          <w:sz w:val="16"/>
          <w:szCs w:val="16"/>
          <w:color w:val="auto"/>
        </w:rPr>
        <w:t>In Fiscal 2018 we awarded long-term incentives under our 2014 Plan, pursuant to the Fiscal 2018 Long-Term Incentive Plan. We awarded equity in the form of performance shares (LTIP), restricted shares, and stock options.</w:t>
      </w:r>
    </w:p>
    <w:p>
      <w:pPr>
        <w:spacing w:after="0" w:line="181" w:lineRule="exact"/>
        <w:rPr>
          <w:sz w:val="20"/>
          <w:szCs w:val="20"/>
          <w:color w:val="auto"/>
        </w:rPr>
      </w:pPr>
    </w:p>
    <w:p>
      <w:pPr>
        <w:spacing w:after="0"/>
        <w:rPr>
          <w:sz w:val="20"/>
          <w:szCs w:val="20"/>
          <w:color w:val="auto"/>
        </w:rPr>
      </w:pPr>
      <w:r>
        <w:rPr>
          <w:rFonts w:ascii="Arial" w:cs="Arial" w:eastAsia="Arial" w:hAnsi="Arial"/>
          <w:sz w:val="22"/>
          <w:szCs w:val="22"/>
          <w:color w:val="828282"/>
        </w:rPr>
        <w:t>LTIP / Performance Shares</w:t>
      </w:r>
    </w:p>
    <w:p>
      <w:pPr>
        <w:spacing w:after="0" w:line="188" w:lineRule="exact"/>
        <w:rPr>
          <w:sz w:val="20"/>
          <w:szCs w:val="20"/>
          <w:color w:val="auto"/>
        </w:rPr>
      </w:pPr>
    </w:p>
    <w:p>
      <w:pPr>
        <w:spacing w:after="0" w:line="248" w:lineRule="auto"/>
        <w:rPr>
          <w:sz w:val="20"/>
          <w:szCs w:val="20"/>
          <w:color w:val="auto"/>
        </w:rPr>
      </w:pPr>
      <w:r>
        <w:rPr>
          <w:rFonts w:ascii="Arial" w:cs="Arial" w:eastAsia="Arial" w:hAnsi="Arial"/>
          <w:sz w:val="16"/>
          <w:szCs w:val="16"/>
          <w:color w:val="auto"/>
        </w:rPr>
        <w:t>Each year, the Committee establishes a three-year performance plan to promote our long-term growth and profitability and to attract and retain executives by providing the officers an opportunity for an incentive award consisting of performance shares of the Company's Common Stock. Under each Long-Term Incentive Plan, the amount of an NEO's performance share incentive compensation for the three-year period is calculated to be in direct linear proportion to our measured financial performance expressed as a percentage against compensation targets as approved by the Committee.</w:t>
      </w:r>
    </w:p>
    <w:p>
      <w:pPr>
        <w:spacing w:after="0" w:line="181" w:lineRule="exact"/>
        <w:rPr>
          <w:sz w:val="20"/>
          <w:szCs w:val="20"/>
          <w:color w:val="auto"/>
        </w:rPr>
      </w:pPr>
    </w:p>
    <w:p>
      <w:pPr>
        <w:ind w:right="120"/>
        <w:spacing w:after="0" w:line="251" w:lineRule="auto"/>
        <w:rPr>
          <w:sz w:val="20"/>
          <w:szCs w:val="20"/>
          <w:color w:val="auto"/>
        </w:rPr>
      </w:pPr>
      <w:r>
        <w:rPr>
          <w:rFonts w:ascii="Arial" w:cs="Arial" w:eastAsia="Arial" w:hAnsi="Arial"/>
          <w:sz w:val="16"/>
          <w:szCs w:val="16"/>
          <w:color w:val="auto"/>
        </w:rPr>
        <w:t>In general, the awards are based upon our financial performance as measured against the specific three-year plan established by the Committee. The Committee has established financial measurements and awards for each specific three-year plan (as defined in the following chart).</w:t>
      </w:r>
    </w:p>
    <w:p>
      <w:pPr>
        <w:spacing w:after="0" w:line="20" w:lineRule="exact"/>
        <w:rPr>
          <w:sz w:val="20"/>
          <w:szCs w:val="20"/>
          <w:color w:val="auto"/>
        </w:rPr>
      </w:pPr>
      <w:r>
        <w:rPr>
          <w:sz w:val="20"/>
          <w:szCs w:val="20"/>
          <w:color w:val="auto"/>
        </w:rPr>
        <w:br w:type="column"/>
      </w:r>
    </w:p>
    <w:p>
      <w:pPr>
        <w:spacing w:after="0" w:line="262" w:lineRule="exact"/>
        <w:rPr>
          <w:sz w:val="20"/>
          <w:szCs w:val="20"/>
          <w:color w:val="auto"/>
        </w:rPr>
      </w:pPr>
    </w:p>
    <w:p>
      <w:pPr>
        <w:spacing w:after="0" w:line="1" w:lineRule="exact"/>
        <w:rPr>
          <w:sz w:val="1"/>
          <w:szCs w:val="1"/>
          <w:color w:val="auto"/>
        </w:rPr>
      </w:pPr>
    </w:p>
    <w:tbl>
      <w:tblPr>
        <w:tblLayout w:type="fixed"/>
        <w:tblInd w:w="340" w:type="dxa"/>
        <w:tblCellMar>
          <w:top w:w="0" w:type="dxa"/>
          <w:left w:w="0" w:type="dxa"/>
          <w:bottom w:w="0" w:type="dxa"/>
          <w:right w:w="0" w:type="dxa"/>
        </w:tblCellMar>
      </w:tblPr>
      <w:tr>
        <w:trPr>
          <w:trHeight w:val="243"/>
        </w:trPr>
        <w:tc>
          <w:tcPr>
            <w:tcW w:w="2380" w:type="dxa"/>
            <w:vAlign w:val="bottom"/>
            <w:shd w:val="clear" w:color="auto" w:fill="BF2115"/>
          </w:tcPr>
          <w:p>
            <w:pPr>
              <w:ind w:left="20"/>
              <w:spacing w:after="0"/>
              <w:rPr>
                <w:sz w:val="20"/>
                <w:szCs w:val="20"/>
                <w:color w:val="auto"/>
              </w:rPr>
            </w:pPr>
            <w:r>
              <w:rPr>
                <w:rFonts w:ascii="Arial" w:cs="Arial" w:eastAsia="Arial" w:hAnsi="Arial"/>
                <w:sz w:val="16"/>
                <w:szCs w:val="16"/>
                <w:color w:val="FFFFFF"/>
              </w:rPr>
              <w:t>Metric</w:t>
            </w:r>
          </w:p>
        </w:tc>
        <w:tc>
          <w:tcPr>
            <w:tcW w:w="2440" w:type="dxa"/>
            <w:vAlign w:val="bottom"/>
            <w:shd w:val="clear" w:color="auto" w:fill="BF2115"/>
          </w:tcPr>
          <w:p>
            <w:pPr>
              <w:ind w:left="1080"/>
              <w:spacing w:after="0"/>
              <w:rPr>
                <w:sz w:val="20"/>
                <w:szCs w:val="20"/>
                <w:color w:val="auto"/>
              </w:rPr>
            </w:pPr>
            <w:r>
              <w:rPr>
                <w:rFonts w:ascii="Arial" w:cs="Arial" w:eastAsia="Arial" w:hAnsi="Arial"/>
                <w:sz w:val="16"/>
                <w:szCs w:val="16"/>
                <w:color w:val="FFFFFF"/>
              </w:rPr>
              <w:t>Weight</w:t>
            </w:r>
          </w:p>
        </w:tc>
      </w:tr>
      <w:tr>
        <w:trPr>
          <w:trHeight w:val="233"/>
        </w:trPr>
        <w:tc>
          <w:tcPr>
            <w:tcW w:w="2380" w:type="dxa"/>
            <w:vAlign w:val="bottom"/>
          </w:tcPr>
          <w:p>
            <w:pPr>
              <w:ind w:left="20"/>
              <w:spacing w:after="0"/>
              <w:rPr>
                <w:sz w:val="20"/>
                <w:szCs w:val="20"/>
                <w:color w:val="auto"/>
              </w:rPr>
            </w:pPr>
            <w:r>
              <w:rPr>
                <w:rFonts w:ascii="Arial" w:cs="Arial" w:eastAsia="Arial" w:hAnsi="Arial"/>
                <w:sz w:val="16"/>
                <w:szCs w:val="16"/>
                <w:color w:val="auto"/>
              </w:rPr>
              <w:t>Net Sales</w:t>
            </w:r>
          </w:p>
        </w:tc>
        <w:tc>
          <w:tcPr>
            <w:tcW w:w="2440" w:type="dxa"/>
            <w:vAlign w:val="bottom"/>
          </w:tcPr>
          <w:p>
            <w:pPr>
              <w:ind w:left="1060"/>
              <w:spacing w:after="0"/>
              <w:rPr>
                <w:sz w:val="20"/>
                <w:szCs w:val="20"/>
                <w:color w:val="auto"/>
              </w:rPr>
            </w:pPr>
            <w:r>
              <w:rPr>
                <w:rFonts w:ascii="Arial" w:cs="Arial" w:eastAsia="Arial" w:hAnsi="Arial"/>
                <w:sz w:val="16"/>
                <w:szCs w:val="16"/>
                <w:color w:val="auto"/>
              </w:rPr>
              <w:t>30%</w:t>
            </w:r>
          </w:p>
        </w:tc>
      </w:tr>
      <w:tr>
        <w:trPr>
          <w:trHeight w:val="253"/>
        </w:trPr>
        <w:tc>
          <w:tcPr>
            <w:tcW w:w="2380" w:type="dxa"/>
            <w:vAlign w:val="bottom"/>
            <w:shd w:val="clear" w:color="auto" w:fill="ACACAC"/>
          </w:tcPr>
          <w:p>
            <w:pPr>
              <w:ind w:left="20"/>
              <w:spacing w:after="0"/>
              <w:rPr>
                <w:sz w:val="20"/>
                <w:szCs w:val="20"/>
                <w:color w:val="auto"/>
              </w:rPr>
            </w:pPr>
            <w:r>
              <w:rPr>
                <w:rFonts w:ascii="Arial" w:cs="Arial" w:eastAsia="Arial" w:hAnsi="Arial"/>
                <w:sz w:val="16"/>
                <w:szCs w:val="16"/>
                <w:color w:val="auto"/>
              </w:rPr>
              <w:t>Operating Income</w:t>
            </w:r>
          </w:p>
        </w:tc>
        <w:tc>
          <w:tcPr>
            <w:tcW w:w="2440" w:type="dxa"/>
            <w:vAlign w:val="bottom"/>
            <w:shd w:val="clear" w:color="auto" w:fill="ACACAC"/>
          </w:tcPr>
          <w:p>
            <w:pPr>
              <w:ind w:left="1060"/>
              <w:spacing w:after="0"/>
              <w:rPr>
                <w:sz w:val="20"/>
                <w:szCs w:val="20"/>
                <w:color w:val="auto"/>
              </w:rPr>
            </w:pPr>
            <w:r>
              <w:rPr>
                <w:rFonts w:ascii="Arial" w:cs="Arial" w:eastAsia="Arial" w:hAnsi="Arial"/>
                <w:sz w:val="16"/>
                <w:szCs w:val="16"/>
                <w:color w:val="auto"/>
              </w:rPr>
              <w:t>30%</w:t>
            </w:r>
          </w:p>
        </w:tc>
      </w:tr>
      <w:tr>
        <w:trPr>
          <w:trHeight w:val="224"/>
        </w:trPr>
        <w:tc>
          <w:tcPr>
            <w:tcW w:w="2380" w:type="dxa"/>
            <w:vAlign w:val="bottom"/>
          </w:tcPr>
          <w:p>
            <w:pPr>
              <w:ind w:left="20"/>
              <w:spacing w:after="0"/>
              <w:rPr>
                <w:sz w:val="20"/>
                <w:szCs w:val="20"/>
                <w:color w:val="auto"/>
              </w:rPr>
            </w:pPr>
            <w:r>
              <w:rPr>
                <w:rFonts w:ascii="Arial" w:cs="Arial" w:eastAsia="Arial" w:hAnsi="Arial"/>
                <w:sz w:val="16"/>
                <w:szCs w:val="16"/>
                <w:color w:val="auto"/>
              </w:rPr>
              <w:t>ROE</w:t>
            </w:r>
          </w:p>
        </w:tc>
        <w:tc>
          <w:tcPr>
            <w:tcW w:w="2440" w:type="dxa"/>
            <w:vAlign w:val="bottom"/>
          </w:tcPr>
          <w:p>
            <w:pPr>
              <w:ind w:left="1060"/>
              <w:spacing w:after="0"/>
              <w:rPr>
                <w:sz w:val="20"/>
                <w:szCs w:val="20"/>
                <w:color w:val="auto"/>
              </w:rPr>
            </w:pPr>
            <w:r>
              <w:rPr>
                <w:rFonts w:ascii="Arial" w:cs="Arial" w:eastAsia="Arial" w:hAnsi="Arial"/>
                <w:sz w:val="16"/>
                <w:szCs w:val="16"/>
                <w:color w:val="auto"/>
              </w:rPr>
              <w:t>40%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2390775</wp:posOffset>
            </wp:positionH>
            <wp:positionV relativeFrom="paragraph">
              <wp:posOffset>-604520</wp:posOffset>
            </wp:positionV>
            <wp:extent cx="8890" cy="15430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8890" cy="154305"/>
                    </a:xfrm>
                    <a:prstGeom prst="rect">
                      <a:avLst/>
                    </a:prstGeom>
                    <a:noFill/>
                  </pic:spPr>
                </pic:pic>
              </a:graphicData>
            </a:graphic>
          </wp:anchor>
        </w:drawing>
      </w:r>
    </w:p>
    <w:p>
      <w:pPr>
        <w:spacing w:after="0" w:line="190" w:lineRule="exact"/>
        <w:rPr>
          <w:sz w:val="20"/>
          <w:szCs w:val="20"/>
          <w:color w:val="auto"/>
        </w:rPr>
      </w:pPr>
    </w:p>
    <w:p>
      <w:pPr>
        <w:ind w:right="100"/>
        <w:spacing w:after="0" w:line="251" w:lineRule="auto"/>
        <w:rPr>
          <w:sz w:val="20"/>
          <w:szCs w:val="20"/>
          <w:color w:val="auto"/>
        </w:rPr>
      </w:pPr>
      <w:r>
        <w:rPr>
          <w:rFonts w:ascii="Arial" w:cs="Arial" w:eastAsia="Arial" w:hAnsi="Arial"/>
          <w:sz w:val="16"/>
          <w:szCs w:val="16"/>
          <w:color w:val="auto"/>
        </w:rPr>
        <w:t>The Committee determined that the LTIP performance share awards, if earned, would also be made subject to an additional one-year holding period following the grant of the shares, in order to encourage stock ownership, promote our long-term growth and profitability and mitigate risk.</w:t>
      </w:r>
    </w:p>
    <w:p>
      <w:pPr>
        <w:spacing w:after="0" w:line="181" w:lineRule="exact"/>
        <w:rPr>
          <w:sz w:val="20"/>
          <w:szCs w:val="20"/>
          <w:color w:val="auto"/>
        </w:rPr>
      </w:pPr>
    </w:p>
    <w:p>
      <w:pPr>
        <w:spacing w:after="0"/>
        <w:rPr>
          <w:sz w:val="20"/>
          <w:szCs w:val="20"/>
          <w:color w:val="auto"/>
        </w:rPr>
      </w:pPr>
      <w:r>
        <w:rPr>
          <w:rFonts w:ascii="Arial" w:cs="Arial" w:eastAsia="Arial" w:hAnsi="Arial"/>
          <w:sz w:val="22"/>
          <w:szCs w:val="22"/>
          <w:color w:val="828282"/>
        </w:rPr>
        <w:t>Restricted Shares</w:t>
      </w:r>
    </w:p>
    <w:p>
      <w:pPr>
        <w:spacing w:after="0" w:line="188" w:lineRule="exact"/>
        <w:rPr>
          <w:sz w:val="20"/>
          <w:szCs w:val="20"/>
          <w:color w:val="auto"/>
        </w:rPr>
      </w:pPr>
    </w:p>
    <w:p>
      <w:pPr>
        <w:ind w:right="80"/>
        <w:spacing w:after="0" w:line="260" w:lineRule="auto"/>
        <w:rPr>
          <w:sz w:val="20"/>
          <w:szCs w:val="20"/>
          <w:color w:val="auto"/>
        </w:rPr>
      </w:pPr>
      <w:r>
        <w:rPr>
          <w:rFonts w:ascii="Arial" w:cs="Arial" w:eastAsia="Arial" w:hAnsi="Arial"/>
          <w:sz w:val="16"/>
          <w:szCs w:val="16"/>
          <w:color w:val="auto"/>
        </w:rPr>
        <w:t>NEOs were granted restricted shares in Fiscal 2018 that vest in three equal annual installments, beginning on the first anniversary of the grant date.</w:t>
      </w:r>
    </w:p>
    <w:p>
      <w:pPr>
        <w:spacing w:after="0" w:line="174" w:lineRule="exact"/>
        <w:rPr>
          <w:sz w:val="20"/>
          <w:szCs w:val="20"/>
          <w:color w:val="auto"/>
        </w:rPr>
      </w:pPr>
    </w:p>
    <w:p>
      <w:pPr>
        <w:spacing w:after="0"/>
        <w:rPr>
          <w:sz w:val="20"/>
          <w:szCs w:val="20"/>
          <w:color w:val="auto"/>
        </w:rPr>
      </w:pPr>
      <w:r>
        <w:rPr>
          <w:rFonts w:ascii="Arial" w:cs="Arial" w:eastAsia="Arial" w:hAnsi="Arial"/>
          <w:sz w:val="22"/>
          <w:szCs w:val="22"/>
          <w:color w:val="828282"/>
        </w:rPr>
        <w:t>Stock Options</w:t>
      </w:r>
    </w:p>
    <w:p>
      <w:pPr>
        <w:spacing w:after="0" w:line="188" w:lineRule="exact"/>
        <w:rPr>
          <w:sz w:val="20"/>
          <w:szCs w:val="20"/>
          <w:color w:val="auto"/>
        </w:rPr>
      </w:pPr>
    </w:p>
    <w:p>
      <w:pPr>
        <w:ind w:right="140"/>
        <w:spacing w:after="0" w:line="253" w:lineRule="auto"/>
        <w:rPr>
          <w:sz w:val="20"/>
          <w:szCs w:val="20"/>
          <w:color w:val="auto"/>
        </w:rPr>
      </w:pPr>
      <w:r>
        <w:rPr>
          <w:rFonts w:ascii="Arial" w:cs="Arial" w:eastAsia="Arial" w:hAnsi="Arial"/>
          <w:sz w:val="16"/>
          <w:szCs w:val="16"/>
          <w:color w:val="auto"/>
        </w:rPr>
        <w:t>NEOs were granted stock options in Fiscal 2018 that vest over three years in equal installments, beginning on the first anniversary of the grant date, and can be exercised over ten years.</w:t>
      </w:r>
    </w:p>
    <w:p>
      <w:pPr>
        <w:spacing w:after="0" w:line="576" w:lineRule="exact"/>
        <w:rPr>
          <w:sz w:val="20"/>
          <w:szCs w:val="20"/>
          <w:color w:val="auto"/>
        </w:rPr>
      </w:pPr>
    </w:p>
    <w:p>
      <w:pPr>
        <w:sectPr>
          <w:pgSz w:w="11900" w:h="16838" w:orient="portrait"/>
          <w:cols w:equalWidth="0" w:num="2">
            <w:col w:w="5460" w:space="480"/>
            <w:col w:w="5480"/>
          </w:cols>
          <w:pgMar w:left="240" w:top="303" w:right="239" w:bottom="1440" w:gutter="0" w:footer="0" w:header="0"/>
          <w:type w:val="continuous"/>
        </w:sectPr>
      </w:pPr>
    </w:p>
    <w:p>
      <w:pPr>
        <w:spacing w:after="0" w:line="8" w:lineRule="exact"/>
        <w:rPr>
          <w:sz w:val="20"/>
          <w:szCs w:val="20"/>
          <w:color w:val="auto"/>
        </w:rPr>
      </w:pPr>
    </w:p>
    <w:p>
      <w:pPr>
        <w:spacing w:after="0"/>
        <w:rPr>
          <w:sz w:val="20"/>
          <w:szCs w:val="20"/>
          <w:color w:val="auto"/>
        </w:rPr>
      </w:pPr>
      <w:r>
        <w:rPr>
          <w:rFonts w:ascii="Arial" w:cs="Arial" w:eastAsia="Arial" w:hAnsi="Arial"/>
          <w:sz w:val="22"/>
          <w:szCs w:val="22"/>
          <w:color w:val="828282"/>
        </w:rPr>
        <w:t>Fiscal 2018 Awards</w:t>
      </w:r>
    </w:p>
    <w:p>
      <w:pPr>
        <w:spacing w:after="0" w:line="188" w:lineRule="exact"/>
        <w:rPr>
          <w:sz w:val="20"/>
          <w:szCs w:val="20"/>
          <w:color w:val="auto"/>
        </w:rPr>
      </w:pPr>
    </w:p>
    <w:p>
      <w:pPr>
        <w:spacing w:after="0"/>
        <w:rPr>
          <w:sz w:val="20"/>
          <w:szCs w:val="20"/>
          <w:color w:val="auto"/>
        </w:rPr>
      </w:pPr>
      <w:r>
        <w:rPr>
          <w:rFonts w:ascii="Arial" w:cs="Arial" w:eastAsia="Arial" w:hAnsi="Arial"/>
          <w:sz w:val="16"/>
          <w:szCs w:val="16"/>
          <w:color w:val="auto"/>
        </w:rPr>
        <w:t>The target value of the long-term incentive awards granted to the NEOs in Fiscal 2018 was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87630</wp:posOffset>
            </wp:positionV>
            <wp:extent cx="7246620" cy="45466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246620" cy="454660"/>
                    </a:xfrm>
                    <a:prstGeom prst="rect">
                      <a:avLst/>
                    </a:prstGeom>
                    <a:noFill/>
                  </pic:spPr>
                </pic:pic>
              </a:graphicData>
            </a:graphic>
          </wp:anchor>
        </w:drawing>
      </w:r>
    </w:p>
    <w:p>
      <w:pPr>
        <w:spacing w:after="0" w:line="118" w:lineRule="exact"/>
        <w:rPr>
          <w:sz w:val="20"/>
          <w:szCs w:val="20"/>
          <w:color w:val="auto"/>
        </w:rPr>
      </w:pPr>
    </w:p>
    <w:tbl>
      <w:tblPr>
        <w:tblLayout w:type="fixed"/>
        <w:tblInd w:w="0" w:type="dxa"/>
        <w:tblCellMar>
          <w:top w:w="0" w:type="dxa"/>
          <w:left w:w="0" w:type="dxa"/>
          <w:bottom w:w="0" w:type="dxa"/>
          <w:right w:w="0" w:type="dxa"/>
        </w:tblCellMar>
      </w:tblPr>
      <w:tr>
        <w:trPr>
          <w:trHeight w:val="251"/>
        </w:trPr>
        <w:tc>
          <w:tcPr>
            <w:tcW w:w="2240" w:type="dxa"/>
            <w:vAlign w:val="bottom"/>
            <w:shd w:val="clear" w:color="auto" w:fill="BF2115"/>
          </w:tcPr>
          <w:p>
            <w:pPr>
              <w:spacing w:after="0"/>
              <w:rPr>
                <w:sz w:val="21"/>
                <w:szCs w:val="21"/>
                <w:color w:val="auto"/>
              </w:rPr>
            </w:pPr>
          </w:p>
        </w:tc>
        <w:tc>
          <w:tcPr>
            <w:tcW w:w="1580" w:type="dxa"/>
            <w:vAlign w:val="bottom"/>
            <w:shd w:val="clear" w:color="auto" w:fill="BF2115"/>
          </w:tcPr>
          <w:p>
            <w:pPr>
              <w:spacing w:after="0"/>
              <w:rPr>
                <w:sz w:val="21"/>
                <w:szCs w:val="21"/>
                <w:color w:val="auto"/>
              </w:rPr>
            </w:pPr>
          </w:p>
        </w:tc>
        <w:tc>
          <w:tcPr>
            <w:tcW w:w="1700" w:type="dxa"/>
            <w:vAlign w:val="bottom"/>
            <w:shd w:val="clear" w:color="auto" w:fill="BF2115"/>
          </w:tcPr>
          <w:p>
            <w:pPr>
              <w:spacing w:after="0"/>
              <w:rPr>
                <w:sz w:val="21"/>
                <w:szCs w:val="21"/>
                <w:color w:val="auto"/>
              </w:rPr>
            </w:pPr>
          </w:p>
        </w:tc>
        <w:tc>
          <w:tcPr>
            <w:tcW w:w="1500" w:type="dxa"/>
            <w:vAlign w:val="bottom"/>
            <w:shd w:val="clear" w:color="auto" w:fill="BF2115"/>
          </w:tcPr>
          <w:p>
            <w:pPr>
              <w:spacing w:after="0"/>
              <w:rPr>
                <w:sz w:val="21"/>
                <w:szCs w:val="21"/>
                <w:color w:val="auto"/>
              </w:rPr>
            </w:pPr>
          </w:p>
        </w:tc>
        <w:tc>
          <w:tcPr>
            <w:tcW w:w="1480" w:type="dxa"/>
            <w:vAlign w:val="bottom"/>
            <w:shd w:val="clear" w:color="auto" w:fill="BF2115"/>
          </w:tcPr>
          <w:p>
            <w:pPr>
              <w:spacing w:after="0"/>
              <w:rPr>
                <w:sz w:val="21"/>
                <w:szCs w:val="21"/>
                <w:color w:val="auto"/>
              </w:rPr>
            </w:pPr>
          </w:p>
        </w:tc>
        <w:tc>
          <w:tcPr>
            <w:tcW w:w="1480" w:type="dxa"/>
            <w:vAlign w:val="bottom"/>
            <w:shd w:val="clear" w:color="auto" w:fill="BF2115"/>
          </w:tcPr>
          <w:p>
            <w:pPr>
              <w:jc w:val="right"/>
              <w:ind w:right="319"/>
              <w:spacing w:after="0"/>
              <w:rPr>
                <w:sz w:val="20"/>
                <w:szCs w:val="20"/>
                <w:color w:val="auto"/>
              </w:rPr>
            </w:pPr>
            <w:r>
              <w:rPr>
                <w:rFonts w:ascii="Arial" w:cs="Arial" w:eastAsia="Arial" w:hAnsi="Arial"/>
                <w:sz w:val="16"/>
                <w:szCs w:val="16"/>
                <w:color w:val="FFFFFF"/>
              </w:rPr>
              <w:t>Total Equity</w:t>
            </w:r>
          </w:p>
        </w:tc>
        <w:tc>
          <w:tcPr>
            <w:tcW w:w="1440" w:type="dxa"/>
            <w:vAlign w:val="bottom"/>
            <w:shd w:val="clear" w:color="auto" w:fill="BF2115"/>
          </w:tcPr>
          <w:p>
            <w:pPr>
              <w:spacing w:after="0"/>
              <w:rPr>
                <w:sz w:val="21"/>
                <w:szCs w:val="21"/>
                <w:color w:val="auto"/>
              </w:rPr>
            </w:pPr>
          </w:p>
        </w:tc>
        <w:tc>
          <w:tcPr>
            <w:tcW w:w="0" w:type="dxa"/>
            <w:vAlign w:val="bottom"/>
          </w:tcPr>
          <w:p>
            <w:pPr>
              <w:spacing w:after="0"/>
              <w:rPr>
                <w:sz w:val="1"/>
                <w:szCs w:val="1"/>
                <w:color w:val="auto"/>
              </w:rPr>
            </w:pPr>
          </w:p>
        </w:tc>
      </w:tr>
      <w:tr>
        <w:trPr>
          <w:trHeight w:val="251"/>
        </w:trPr>
        <w:tc>
          <w:tcPr>
            <w:tcW w:w="2240" w:type="dxa"/>
            <w:vAlign w:val="bottom"/>
            <w:shd w:val="clear" w:color="auto" w:fill="BF2115"/>
          </w:tcPr>
          <w:p>
            <w:pPr>
              <w:spacing w:after="0"/>
              <w:rPr>
                <w:sz w:val="21"/>
                <w:szCs w:val="21"/>
                <w:color w:val="auto"/>
              </w:rPr>
            </w:pPr>
          </w:p>
        </w:tc>
        <w:tc>
          <w:tcPr>
            <w:tcW w:w="1580" w:type="dxa"/>
            <w:vAlign w:val="bottom"/>
            <w:shd w:val="clear" w:color="auto" w:fill="BF2115"/>
          </w:tcPr>
          <w:p>
            <w:pPr>
              <w:jc w:val="right"/>
              <w:ind w:right="59"/>
              <w:spacing w:after="0"/>
              <w:rPr>
                <w:sz w:val="20"/>
                <w:szCs w:val="20"/>
                <w:color w:val="auto"/>
              </w:rPr>
            </w:pPr>
            <w:r>
              <w:rPr>
                <w:rFonts w:ascii="Arial" w:cs="Arial" w:eastAsia="Arial" w:hAnsi="Arial"/>
                <w:sz w:val="16"/>
                <w:szCs w:val="16"/>
                <w:color w:val="FFFFFF"/>
              </w:rPr>
              <w:t>LTIP / Performance</w:t>
            </w:r>
          </w:p>
        </w:tc>
        <w:tc>
          <w:tcPr>
            <w:tcW w:w="1700" w:type="dxa"/>
            <w:vAlign w:val="bottom"/>
            <w:shd w:val="clear" w:color="auto" w:fill="BF2115"/>
          </w:tcPr>
          <w:p>
            <w:pPr>
              <w:jc w:val="right"/>
              <w:ind w:right="219"/>
              <w:spacing w:after="0"/>
              <w:rPr>
                <w:sz w:val="20"/>
                <w:szCs w:val="20"/>
                <w:color w:val="auto"/>
              </w:rPr>
            </w:pPr>
            <w:r>
              <w:rPr>
                <w:rFonts w:ascii="Arial" w:cs="Arial" w:eastAsia="Arial" w:hAnsi="Arial"/>
                <w:sz w:val="16"/>
                <w:szCs w:val="16"/>
                <w:color w:val="FFFFFF"/>
              </w:rPr>
              <w:t>Restricted Shares</w:t>
            </w:r>
          </w:p>
        </w:tc>
        <w:tc>
          <w:tcPr>
            <w:tcW w:w="1500" w:type="dxa"/>
            <w:vAlign w:val="bottom"/>
            <w:shd w:val="clear" w:color="auto" w:fill="BF2115"/>
          </w:tcPr>
          <w:p>
            <w:pPr>
              <w:jc w:val="right"/>
              <w:ind w:right="279"/>
              <w:spacing w:after="0"/>
              <w:rPr>
                <w:sz w:val="20"/>
                <w:szCs w:val="20"/>
                <w:color w:val="auto"/>
              </w:rPr>
            </w:pPr>
            <w:r>
              <w:rPr>
                <w:rFonts w:ascii="Arial" w:cs="Arial" w:eastAsia="Arial" w:hAnsi="Arial"/>
                <w:sz w:val="16"/>
                <w:szCs w:val="16"/>
                <w:color w:val="FFFFFF"/>
              </w:rPr>
              <w:t>Stock Options</w:t>
            </w:r>
          </w:p>
        </w:tc>
        <w:tc>
          <w:tcPr>
            <w:tcW w:w="1480" w:type="dxa"/>
            <w:vAlign w:val="bottom"/>
            <w:vMerge w:val="restart"/>
            <w:shd w:val="clear" w:color="auto" w:fill="BF2115"/>
          </w:tcPr>
          <w:p>
            <w:pPr>
              <w:jc w:val="right"/>
              <w:ind w:right="359"/>
              <w:spacing w:after="0"/>
              <w:rPr>
                <w:sz w:val="20"/>
                <w:szCs w:val="20"/>
                <w:color w:val="auto"/>
              </w:rPr>
            </w:pPr>
            <w:r>
              <w:rPr>
                <w:rFonts w:ascii="Arial" w:cs="Arial" w:eastAsia="Arial" w:hAnsi="Arial"/>
                <w:sz w:val="16"/>
                <w:szCs w:val="16"/>
                <w:color w:val="FFFFFF"/>
              </w:rPr>
              <w:t>FY 2018 ($)</w:t>
            </w:r>
          </w:p>
        </w:tc>
        <w:tc>
          <w:tcPr>
            <w:tcW w:w="1480" w:type="dxa"/>
            <w:vAlign w:val="bottom"/>
            <w:vMerge w:val="restart"/>
            <w:shd w:val="clear" w:color="auto" w:fill="BF2115"/>
          </w:tcPr>
          <w:p>
            <w:pPr>
              <w:jc w:val="right"/>
              <w:ind w:right="379"/>
              <w:spacing w:after="0"/>
              <w:rPr>
                <w:sz w:val="20"/>
                <w:szCs w:val="20"/>
                <w:color w:val="auto"/>
              </w:rPr>
            </w:pPr>
            <w:r>
              <w:rPr>
                <w:rFonts w:ascii="Arial" w:cs="Arial" w:eastAsia="Arial" w:hAnsi="Arial"/>
                <w:sz w:val="16"/>
                <w:szCs w:val="16"/>
                <w:color w:val="FFFFFF"/>
              </w:rPr>
              <w:t>FY 2017 ($)</w:t>
            </w:r>
          </w:p>
        </w:tc>
        <w:tc>
          <w:tcPr>
            <w:tcW w:w="1440" w:type="dxa"/>
            <w:vAlign w:val="bottom"/>
            <w:vMerge w:val="restart"/>
            <w:shd w:val="clear" w:color="auto" w:fill="BF2115"/>
          </w:tcPr>
          <w:p>
            <w:pPr>
              <w:jc w:val="right"/>
              <w:ind w:right="239"/>
              <w:spacing w:after="0"/>
              <w:rPr>
                <w:sz w:val="20"/>
                <w:szCs w:val="20"/>
                <w:color w:val="auto"/>
              </w:rPr>
            </w:pPr>
            <w:r>
              <w:rPr>
                <w:rFonts w:ascii="Arial" w:cs="Arial" w:eastAsia="Arial" w:hAnsi="Arial"/>
                <w:sz w:val="16"/>
                <w:szCs w:val="16"/>
                <w:color w:val="FFFFFF"/>
              </w:rPr>
              <w:t>% Increase</w:t>
            </w:r>
            <w:r>
              <w:rPr>
                <w:rFonts w:ascii="Arial" w:cs="Arial" w:eastAsia="Arial" w:hAnsi="Arial"/>
                <w:sz w:val="21"/>
                <w:szCs w:val="21"/>
                <w:color w:val="FFFFFF"/>
                <w:vertAlign w:val="superscript"/>
              </w:rPr>
              <w:t>(1)</w:t>
            </w:r>
          </w:p>
        </w:tc>
        <w:tc>
          <w:tcPr>
            <w:tcW w:w="0" w:type="dxa"/>
            <w:vAlign w:val="bottom"/>
          </w:tcPr>
          <w:p>
            <w:pPr>
              <w:spacing w:after="0"/>
              <w:rPr>
                <w:sz w:val="1"/>
                <w:szCs w:val="1"/>
                <w:color w:val="auto"/>
              </w:rPr>
            </w:pPr>
          </w:p>
        </w:tc>
      </w:tr>
      <w:tr>
        <w:trPr>
          <w:trHeight w:val="147"/>
        </w:trPr>
        <w:tc>
          <w:tcPr>
            <w:tcW w:w="2240" w:type="dxa"/>
            <w:vAlign w:val="bottom"/>
            <w:vMerge w:val="restart"/>
            <w:shd w:val="clear" w:color="auto" w:fill="BF2115"/>
          </w:tcPr>
          <w:p>
            <w:pPr>
              <w:ind w:left="40"/>
              <w:spacing w:after="0"/>
              <w:rPr>
                <w:sz w:val="20"/>
                <w:szCs w:val="20"/>
                <w:color w:val="auto"/>
              </w:rPr>
            </w:pPr>
            <w:r>
              <w:rPr>
                <w:rFonts w:ascii="Arial" w:cs="Arial" w:eastAsia="Arial" w:hAnsi="Arial"/>
                <w:sz w:val="16"/>
                <w:szCs w:val="16"/>
                <w:color w:val="FFFFFF"/>
              </w:rPr>
              <w:t>Name</w:t>
            </w:r>
          </w:p>
        </w:tc>
        <w:tc>
          <w:tcPr>
            <w:tcW w:w="1580" w:type="dxa"/>
            <w:vAlign w:val="bottom"/>
            <w:vMerge w:val="restart"/>
            <w:shd w:val="clear" w:color="auto" w:fill="BF2115"/>
          </w:tcPr>
          <w:p>
            <w:pPr>
              <w:jc w:val="right"/>
              <w:ind w:right="139"/>
              <w:spacing w:after="0"/>
              <w:rPr>
                <w:sz w:val="20"/>
                <w:szCs w:val="20"/>
                <w:color w:val="auto"/>
              </w:rPr>
            </w:pPr>
            <w:r>
              <w:rPr>
                <w:rFonts w:ascii="Arial" w:cs="Arial" w:eastAsia="Arial" w:hAnsi="Arial"/>
                <w:sz w:val="16"/>
                <w:szCs w:val="16"/>
                <w:color w:val="FFFFFF"/>
              </w:rPr>
              <w:t>Shares (50%) ($)</w:t>
            </w:r>
          </w:p>
        </w:tc>
        <w:tc>
          <w:tcPr>
            <w:tcW w:w="1700" w:type="dxa"/>
            <w:vAlign w:val="bottom"/>
            <w:vMerge w:val="restart"/>
            <w:shd w:val="clear" w:color="auto" w:fill="BF2115"/>
          </w:tcPr>
          <w:p>
            <w:pPr>
              <w:jc w:val="right"/>
              <w:ind w:right="519"/>
              <w:spacing w:after="0"/>
              <w:rPr>
                <w:sz w:val="20"/>
                <w:szCs w:val="20"/>
                <w:color w:val="auto"/>
              </w:rPr>
            </w:pPr>
            <w:r>
              <w:rPr>
                <w:rFonts w:ascii="Arial" w:cs="Arial" w:eastAsia="Arial" w:hAnsi="Arial"/>
                <w:sz w:val="16"/>
                <w:szCs w:val="16"/>
                <w:color w:val="FFFFFF"/>
              </w:rPr>
              <w:t>(25%) ($)</w:t>
            </w:r>
          </w:p>
        </w:tc>
        <w:tc>
          <w:tcPr>
            <w:tcW w:w="1500" w:type="dxa"/>
            <w:vAlign w:val="bottom"/>
            <w:vMerge w:val="restart"/>
            <w:shd w:val="clear" w:color="auto" w:fill="BF2115"/>
          </w:tcPr>
          <w:p>
            <w:pPr>
              <w:jc w:val="right"/>
              <w:ind w:right="439"/>
              <w:spacing w:after="0"/>
              <w:rPr>
                <w:sz w:val="20"/>
                <w:szCs w:val="20"/>
                <w:color w:val="auto"/>
              </w:rPr>
            </w:pPr>
            <w:r>
              <w:rPr>
                <w:rFonts w:ascii="Arial" w:cs="Arial" w:eastAsia="Arial" w:hAnsi="Arial"/>
                <w:sz w:val="16"/>
                <w:szCs w:val="16"/>
                <w:color w:val="FFFFFF"/>
              </w:rPr>
              <w:t>(25%) ($)</w:t>
            </w:r>
          </w:p>
        </w:tc>
        <w:tc>
          <w:tcPr>
            <w:tcW w:w="1480" w:type="dxa"/>
            <w:vAlign w:val="bottom"/>
            <w:vMerge w:val="continue"/>
            <w:shd w:val="clear" w:color="auto" w:fill="BF2115"/>
          </w:tcPr>
          <w:p>
            <w:pPr>
              <w:spacing w:after="0"/>
              <w:rPr>
                <w:sz w:val="12"/>
                <w:szCs w:val="12"/>
                <w:color w:val="auto"/>
              </w:rPr>
            </w:pPr>
          </w:p>
        </w:tc>
        <w:tc>
          <w:tcPr>
            <w:tcW w:w="1480" w:type="dxa"/>
            <w:vAlign w:val="bottom"/>
            <w:vMerge w:val="continue"/>
            <w:shd w:val="clear" w:color="auto" w:fill="BF2115"/>
          </w:tcPr>
          <w:p>
            <w:pPr>
              <w:spacing w:after="0"/>
              <w:rPr>
                <w:sz w:val="12"/>
                <w:szCs w:val="12"/>
                <w:color w:val="auto"/>
              </w:rPr>
            </w:pPr>
          </w:p>
        </w:tc>
        <w:tc>
          <w:tcPr>
            <w:tcW w:w="1440" w:type="dxa"/>
            <w:vAlign w:val="bottom"/>
            <w:vMerge w:val="continue"/>
            <w:shd w:val="clear" w:color="auto" w:fill="BF2115"/>
          </w:tcPr>
          <w:p>
            <w:pPr>
              <w:spacing w:after="0"/>
              <w:rPr>
                <w:sz w:val="12"/>
                <w:szCs w:val="12"/>
                <w:color w:val="auto"/>
              </w:rPr>
            </w:pPr>
          </w:p>
        </w:tc>
        <w:tc>
          <w:tcPr>
            <w:tcW w:w="0" w:type="dxa"/>
            <w:vAlign w:val="bottom"/>
          </w:tcPr>
          <w:p>
            <w:pPr>
              <w:spacing w:after="0"/>
              <w:rPr>
                <w:sz w:val="1"/>
                <w:szCs w:val="1"/>
                <w:color w:val="auto"/>
              </w:rPr>
            </w:pPr>
          </w:p>
        </w:tc>
      </w:tr>
      <w:tr>
        <w:trPr>
          <w:trHeight w:val="68"/>
        </w:trPr>
        <w:tc>
          <w:tcPr>
            <w:tcW w:w="2240" w:type="dxa"/>
            <w:vAlign w:val="bottom"/>
            <w:vMerge w:val="continue"/>
            <w:shd w:val="clear" w:color="auto" w:fill="BF2115"/>
          </w:tcPr>
          <w:p>
            <w:pPr>
              <w:spacing w:after="0"/>
              <w:rPr>
                <w:sz w:val="5"/>
                <w:szCs w:val="5"/>
                <w:color w:val="auto"/>
              </w:rPr>
            </w:pPr>
          </w:p>
        </w:tc>
        <w:tc>
          <w:tcPr>
            <w:tcW w:w="1580" w:type="dxa"/>
            <w:vAlign w:val="bottom"/>
            <w:vMerge w:val="continue"/>
            <w:shd w:val="clear" w:color="auto" w:fill="BF2115"/>
          </w:tcPr>
          <w:p>
            <w:pPr>
              <w:spacing w:after="0"/>
              <w:rPr>
                <w:sz w:val="5"/>
                <w:szCs w:val="5"/>
                <w:color w:val="auto"/>
              </w:rPr>
            </w:pPr>
          </w:p>
        </w:tc>
        <w:tc>
          <w:tcPr>
            <w:tcW w:w="1700" w:type="dxa"/>
            <w:vAlign w:val="bottom"/>
            <w:vMerge w:val="continue"/>
            <w:shd w:val="clear" w:color="auto" w:fill="BF2115"/>
          </w:tcPr>
          <w:p>
            <w:pPr>
              <w:spacing w:after="0"/>
              <w:rPr>
                <w:sz w:val="5"/>
                <w:szCs w:val="5"/>
                <w:color w:val="auto"/>
              </w:rPr>
            </w:pPr>
          </w:p>
        </w:tc>
        <w:tc>
          <w:tcPr>
            <w:tcW w:w="1500" w:type="dxa"/>
            <w:vAlign w:val="bottom"/>
            <w:vMerge w:val="continue"/>
            <w:shd w:val="clear" w:color="auto" w:fill="BF2115"/>
          </w:tcPr>
          <w:p>
            <w:pPr>
              <w:spacing w:after="0"/>
              <w:rPr>
                <w:sz w:val="5"/>
                <w:szCs w:val="5"/>
                <w:color w:val="auto"/>
              </w:rPr>
            </w:pPr>
          </w:p>
        </w:tc>
        <w:tc>
          <w:tcPr>
            <w:tcW w:w="1480" w:type="dxa"/>
            <w:vAlign w:val="bottom"/>
            <w:shd w:val="clear" w:color="auto" w:fill="BF2115"/>
          </w:tcPr>
          <w:p>
            <w:pPr>
              <w:spacing w:after="0"/>
              <w:rPr>
                <w:sz w:val="5"/>
                <w:szCs w:val="5"/>
                <w:color w:val="auto"/>
              </w:rPr>
            </w:pPr>
          </w:p>
        </w:tc>
        <w:tc>
          <w:tcPr>
            <w:tcW w:w="1480" w:type="dxa"/>
            <w:vAlign w:val="bottom"/>
            <w:shd w:val="clear" w:color="auto" w:fill="BF2115"/>
          </w:tcPr>
          <w:p>
            <w:pPr>
              <w:spacing w:after="0"/>
              <w:rPr>
                <w:sz w:val="5"/>
                <w:szCs w:val="5"/>
                <w:color w:val="auto"/>
              </w:rPr>
            </w:pPr>
          </w:p>
        </w:tc>
        <w:tc>
          <w:tcPr>
            <w:tcW w:w="1440" w:type="dxa"/>
            <w:vAlign w:val="bottom"/>
            <w:shd w:val="clear" w:color="auto" w:fill="BF2115"/>
          </w:tcPr>
          <w:p>
            <w:pPr>
              <w:spacing w:after="0"/>
              <w:rPr>
                <w:sz w:val="5"/>
                <w:szCs w:val="5"/>
                <w:color w:val="auto"/>
              </w:rPr>
            </w:pPr>
          </w:p>
        </w:tc>
        <w:tc>
          <w:tcPr>
            <w:tcW w:w="0" w:type="dxa"/>
            <w:vAlign w:val="bottom"/>
          </w:tcPr>
          <w:p>
            <w:pPr>
              <w:spacing w:after="0"/>
              <w:rPr>
                <w:sz w:val="1"/>
                <w:szCs w:val="1"/>
                <w:color w:val="auto"/>
              </w:rPr>
            </w:pPr>
          </w:p>
        </w:tc>
      </w:tr>
      <w:tr>
        <w:trPr>
          <w:trHeight w:val="233"/>
        </w:trPr>
        <w:tc>
          <w:tcPr>
            <w:tcW w:w="2240" w:type="dxa"/>
            <w:vAlign w:val="bottom"/>
          </w:tcPr>
          <w:p>
            <w:pPr>
              <w:ind w:left="40"/>
              <w:spacing w:after="0"/>
              <w:rPr>
                <w:sz w:val="20"/>
                <w:szCs w:val="20"/>
                <w:color w:val="auto"/>
              </w:rPr>
            </w:pPr>
            <w:r>
              <w:rPr>
                <w:rFonts w:ascii="Arial" w:cs="Arial" w:eastAsia="Arial" w:hAnsi="Arial"/>
                <w:sz w:val="16"/>
                <w:szCs w:val="16"/>
                <w:color w:val="auto"/>
              </w:rPr>
              <w:t>Michael J. Happe</w:t>
            </w:r>
          </w:p>
        </w:tc>
        <w:tc>
          <w:tcPr>
            <w:tcW w:w="1580" w:type="dxa"/>
            <w:vAlign w:val="bottom"/>
          </w:tcPr>
          <w:p>
            <w:pPr>
              <w:jc w:val="right"/>
              <w:ind w:right="39"/>
              <w:spacing w:after="0"/>
              <w:rPr>
                <w:sz w:val="20"/>
                <w:szCs w:val="20"/>
                <w:color w:val="auto"/>
              </w:rPr>
            </w:pPr>
            <w:r>
              <w:rPr>
                <w:rFonts w:ascii="Arial" w:cs="Arial" w:eastAsia="Arial" w:hAnsi="Arial"/>
                <w:sz w:val="16"/>
                <w:szCs w:val="16"/>
                <w:color w:val="auto"/>
              </w:rPr>
              <w:t>828,104</w:t>
            </w:r>
          </w:p>
        </w:tc>
        <w:tc>
          <w:tcPr>
            <w:tcW w:w="1700" w:type="dxa"/>
            <w:vAlign w:val="bottom"/>
          </w:tcPr>
          <w:p>
            <w:pPr>
              <w:jc w:val="right"/>
              <w:ind w:right="59"/>
              <w:spacing w:after="0"/>
              <w:rPr>
                <w:sz w:val="20"/>
                <w:szCs w:val="20"/>
                <w:color w:val="auto"/>
              </w:rPr>
            </w:pPr>
            <w:r>
              <w:rPr>
                <w:rFonts w:ascii="Arial" w:cs="Arial" w:eastAsia="Arial" w:hAnsi="Arial"/>
                <w:sz w:val="16"/>
                <w:szCs w:val="16"/>
                <w:color w:val="auto"/>
              </w:rPr>
              <w:t>414,074</w:t>
            </w:r>
          </w:p>
        </w:tc>
        <w:tc>
          <w:tcPr>
            <w:tcW w:w="1500" w:type="dxa"/>
            <w:vAlign w:val="bottom"/>
          </w:tcPr>
          <w:p>
            <w:pPr>
              <w:jc w:val="right"/>
              <w:ind w:right="79"/>
              <w:spacing w:after="0"/>
              <w:rPr>
                <w:sz w:val="20"/>
                <w:szCs w:val="20"/>
                <w:color w:val="auto"/>
              </w:rPr>
            </w:pPr>
            <w:r>
              <w:rPr>
                <w:rFonts w:ascii="Arial" w:cs="Arial" w:eastAsia="Arial" w:hAnsi="Arial"/>
                <w:sz w:val="16"/>
                <w:szCs w:val="16"/>
                <w:color w:val="auto"/>
              </w:rPr>
              <w:t>414,062</w:t>
            </w:r>
          </w:p>
        </w:tc>
        <w:tc>
          <w:tcPr>
            <w:tcW w:w="1480" w:type="dxa"/>
            <w:vAlign w:val="bottom"/>
          </w:tcPr>
          <w:p>
            <w:pPr>
              <w:jc w:val="right"/>
              <w:ind w:right="99"/>
              <w:spacing w:after="0"/>
              <w:rPr>
                <w:sz w:val="20"/>
                <w:szCs w:val="20"/>
                <w:color w:val="auto"/>
              </w:rPr>
            </w:pPr>
            <w:r>
              <w:rPr>
                <w:rFonts w:ascii="Arial" w:cs="Arial" w:eastAsia="Arial" w:hAnsi="Arial"/>
                <w:sz w:val="16"/>
                <w:szCs w:val="16"/>
                <w:color w:val="auto"/>
              </w:rPr>
              <w:t>1,656,241</w:t>
            </w:r>
          </w:p>
        </w:tc>
        <w:tc>
          <w:tcPr>
            <w:tcW w:w="1480" w:type="dxa"/>
            <w:vAlign w:val="bottom"/>
          </w:tcPr>
          <w:p>
            <w:pPr>
              <w:jc w:val="right"/>
              <w:ind w:right="99"/>
              <w:spacing w:after="0"/>
              <w:rPr>
                <w:sz w:val="20"/>
                <w:szCs w:val="20"/>
                <w:color w:val="auto"/>
              </w:rPr>
            </w:pPr>
            <w:r>
              <w:rPr>
                <w:rFonts w:ascii="Arial" w:cs="Arial" w:eastAsia="Arial" w:hAnsi="Arial"/>
                <w:sz w:val="16"/>
                <w:szCs w:val="16"/>
                <w:color w:val="auto"/>
              </w:rPr>
              <w:t>1,252,145</w:t>
            </w:r>
          </w:p>
        </w:tc>
        <w:tc>
          <w:tcPr>
            <w:tcW w:w="1440" w:type="dxa"/>
            <w:vAlign w:val="bottom"/>
          </w:tcPr>
          <w:p>
            <w:pPr>
              <w:jc w:val="right"/>
              <w:spacing w:after="0"/>
              <w:rPr>
                <w:sz w:val="20"/>
                <w:szCs w:val="20"/>
                <w:color w:val="auto"/>
              </w:rPr>
            </w:pPr>
            <w:r>
              <w:rPr>
                <w:rFonts w:ascii="Arial" w:cs="Arial" w:eastAsia="Arial" w:hAnsi="Arial"/>
                <w:sz w:val="16"/>
                <w:szCs w:val="16"/>
                <w:color w:val="auto"/>
              </w:rPr>
              <w:t>32.3 %</w:t>
            </w:r>
          </w:p>
        </w:tc>
        <w:tc>
          <w:tcPr>
            <w:tcW w:w="0" w:type="dxa"/>
            <w:vAlign w:val="bottom"/>
          </w:tcPr>
          <w:p>
            <w:pPr>
              <w:spacing w:after="0"/>
              <w:rPr>
                <w:sz w:val="1"/>
                <w:szCs w:val="1"/>
                <w:color w:val="auto"/>
              </w:rPr>
            </w:pPr>
          </w:p>
        </w:tc>
      </w:tr>
      <w:tr>
        <w:trPr>
          <w:trHeight w:val="253"/>
        </w:trPr>
        <w:tc>
          <w:tcPr>
            <w:tcW w:w="2240" w:type="dxa"/>
            <w:vAlign w:val="bottom"/>
            <w:shd w:val="clear" w:color="auto" w:fill="ACACAC"/>
          </w:tcPr>
          <w:p>
            <w:pPr>
              <w:ind w:left="40"/>
              <w:spacing w:after="0"/>
              <w:rPr>
                <w:sz w:val="20"/>
                <w:szCs w:val="20"/>
                <w:color w:val="auto"/>
              </w:rPr>
            </w:pPr>
            <w:r>
              <w:rPr>
                <w:rFonts w:ascii="Arial" w:cs="Arial" w:eastAsia="Arial" w:hAnsi="Arial"/>
                <w:sz w:val="16"/>
                <w:szCs w:val="16"/>
                <w:color w:val="auto"/>
              </w:rPr>
              <w:t>Bryan L. Hughes</w:t>
            </w:r>
          </w:p>
        </w:tc>
        <w:tc>
          <w:tcPr>
            <w:tcW w:w="1580" w:type="dxa"/>
            <w:vAlign w:val="bottom"/>
            <w:shd w:val="clear" w:color="auto" w:fill="ACACAC"/>
          </w:tcPr>
          <w:p>
            <w:pPr>
              <w:jc w:val="right"/>
              <w:ind w:right="39"/>
              <w:spacing w:after="0"/>
              <w:rPr>
                <w:sz w:val="20"/>
                <w:szCs w:val="20"/>
                <w:color w:val="auto"/>
              </w:rPr>
            </w:pPr>
            <w:r>
              <w:rPr>
                <w:rFonts w:ascii="Arial" w:cs="Arial" w:eastAsia="Arial" w:hAnsi="Arial"/>
                <w:sz w:val="16"/>
                <w:szCs w:val="16"/>
                <w:color w:val="auto"/>
              </w:rPr>
              <w:t>247,486</w:t>
            </w:r>
          </w:p>
        </w:tc>
        <w:tc>
          <w:tcPr>
            <w:tcW w:w="1700" w:type="dxa"/>
            <w:vAlign w:val="bottom"/>
            <w:shd w:val="clear" w:color="auto" w:fill="ACACAC"/>
          </w:tcPr>
          <w:p>
            <w:pPr>
              <w:jc w:val="right"/>
              <w:ind w:right="59"/>
              <w:spacing w:after="0"/>
              <w:rPr>
                <w:sz w:val="20"/>
                <w:szCs w:val="20"/>
                <w:color w:val="auto"/>
              </w:rPr>
            </w:pPr>
            <w:r>
              <w:rPr>
                <w:rFonts w:ascii="Arial" w:cs="Arial" w:eastAsia="Arial" w:hAnsi="Arial"/>
                <w:sz w:val="16"/>
                <w:szCs w:val="16"/>
                <w:color w:val="auto"/>
              </w:rPr>
              <w:t>123,743</w:t>
            </w:r>
          </w:p>
        </w:tc>
        <w:tc>
          <w:tcPr>
            <w:tcW w:w="1500" w:type="dxa"/>
            <w:vAlign w:val="bottom"/>
            <w:shd w:val="clear" w:color="auto" w:fill="ACACAC"/>
          </w:tcPr>
          <w:p>
            <w:pPr>
              <w:jc w:val="right"/>
              <w:ind w:right="79"/>
              <w:spacing w:after="0"/>
              <w:rPr>
                <w:sz w:val="20"/>
                <w:szCs w:val="20"/>
                <w:color w:val="auto"/>
              </w:rPr>
            </w:pPr>
            <w:r>
              <w:rPr>
                <w:rFonts w:ascii="Arial" w:cs="Arial" w:eastAsia="Arial" w:hAnsi="Arial"/>
                <w:sz w:val="16"/>
                <w:szCs w:val="16"/>
                <w:color w:val="auto"/>
              </w:rPr>
              <w:t>123,753</w:t>
            </w:r>
          </w:p>
        </w:tc>
        <w:tc>
          <w:tcPr>
            <w:tcW w:w="1480" w:type="dxa"/>
            <w:vAlign w:val="bottom"/>
            <w:shd w:val="clear" w:color="auto" w:fill="ACACAC"/>
          </w:tcPr>
          <w:p>
            <w:pPr>
              <w:jc w:val="right"/>
              <w:ind w:right="99"/>
              <w:spacing w:after="0"/>
              <w:rPr>
                <w:sz w:val="20"/>
                <w:szCs w:val="20"/>
                <w:color w:val="auto"/>
              </w:rPr>
            </w:pPr>
            <w:r>
              <w:rPr>
                <w:rFonts w:ascii="Arial" w:cs="Arial" w:eastAsia="Arial" w:hAnsi="Arial"/>
                <w:sz w:val="16"/>
                <w:szCs w:val="16"/>
                <w:color w:val="auto"/>
              </w:rPr>
              <w:t>494,981</w:t>
            </w:r>
          </w:p>
        </w:tc>
        <w:tc>
          <w:tcPr>
            <w:tcW w:w="1480" w:type="dxa"/>
            <w:vAlign w:val="bottom"/>
            <w:shd w:val="clear" w:color="auto" w:fill="ACACAC"/>
          </w:tcPr>
          <w:p>
            <w:pPr>
              <w:jc w:val="right"/>
              <w:ind w:right="99"/>
              <w:spacing w:after="0"/>
              <w:rPr>
                <w:sz w:val="20"/>
                <w:szCs w:val="20"/>
                <w:color w:val="auto"/>
              </w:rPr>
            </w:pPr>
            <w:r>
              <w:rPr>
                <w:rFonts w:ascii="Arial" w:cs="Arial" w:eastAsia="Arial" w:hAnsi="Arial"/>
                <w:sz w:val="16"/>
                <w:szCs w:val="16"/>
                <w:color w:val="auto"/>
              </w:rPr>
              <w:t>451,886</w:t>
            </w:r>
          </w:p>
        </w:tc>
        <w:tc>
          <w:tcPr>
            <w:tcW w:w="1440" w:type="dxa"/>
            <w:vAlign w:val="bottom"/>
            <w:shd w:val="clear" w:color="auto" w:fill="ACACAC"/>
          </w:tcPr>
          <w:p>
            <w:pPr>
              <w:jc w:val="right"/>
              <w:spacing w:after="0"/>
              <w:rPr>
                <w:sz w:val="20"/>
                <w:szCs w:val="20"/>
                <w:color w:val="auto"/>
              </w:rPr>
            </w:pPr>
            <w:r>
              <w:rPr>
                <w:rFonts w:ascii="Arial" w:cs="Arial" w:eastAsia="Arial" w:hAnsi="Arial"/>
                <w:sz w:val="16"/>
                <w:szCs w:val="16"/>
                <w:color w:val="auto"/>
              </w:rPr>
              <w:t>9.5 %</w:t>
            </w:r>
          </w:p>
        </w:tc>
        <w:tc>
          <w:tcPr>
            <w:tcW w:w="0" w:type="dxa"/>
            <w:vAlign w:val="bottom"/>
          </w:tcPr>
          <w:p>
            <w:pPr>
              <w:spacing w:after="0"/>
              <w:rPr>
                <w:sz w:val="1"/>
                <w:szCs w:val="1"/>
                <w:color w:val="auto"/>
              </w:rPr>
            </w:pPr>
          </w:p>
        </w:tc>
      </w:tr>
      <w:tr>
        <w:trPr>
          <w:trHeight w:val="243"/>
        </w:trPr>
        <w:tc>
          <w:tcPr>
            <w:tcW w:w="2240" w:type="dxa"/>
            <w:vAlign w:val="bottom"/>
          </w:tcPr>
          <w:p>
            <w:pPr>
              <w:ind w:left="40"/>
              <w:spacing w:after="0"/>
              <w:rPr>
                <w:sz w:val="20"/>
                <w:szCs w:val="20"/>
                <w:color w:val="auto"/>
              </w:rPr>
            </w:pPr>
            <w:r>
              <w:rPr>
                <w:rFonts w:ascii="Arial" w:cs="Arial" w:eastAsia="Arial" w:hAnsi="Arial"/>
                <w:sz w:val="16"/>
                <w:szCs w:val="16"/>
                <w:color w:val="auto"/>
              </w:rPr>
              <w:t>Stacy L. Bogart</w:t>
            </w:r>
            <w:r>
              <w:rPr>
                <w:rFonts w:ascii="Arial" w:cs="Arial" w:eastAsia="Arial" w:hAnsi="Arial"/>
                <w:sz w:val="21"/>
                <w:szCs w:val="21"/>
                <w:color w:val="auto"/>
                <w:vertAlign w:val="superscript"/>
              </w:rPr>
              <w:t>(2)</w:t>
            </w:r>
          </w:p>
        </w:tc>
        <w:tc>
          <w:tcPr>
            <w:tcW w:w="1580" w:type="dxa"/>
            <w:vAlign w:val="bottom"/>
          </w:tcPr>
          <w:p>
            <w:pPr>
              <w:jc w:val="right"/>
              <w:ind w:right="39"/>
              <w:spacing w:after="0"/>
              <w:rPr>
                <w:sz w:val="20"/>
                <w:szCs w:val="20"/>
                <w:color w:val="auto"/>
              </w:rPr>
            </w:pPr>
            <w:r>
              <w:rPr>
                <w:rFonts w:ascii="Arial" w:cs="Arial" w:eastAsia="Arial" w:hAnsi="Arial"/>
                <w:sz w:val="16"/>
                <w:szCs w:val="16"/>
                <w:color w:val="auto"/>
              </w:rPr>
              <w:t>146,653</w:t>
            </w:r>
          </w:p>
        </w:tc>
        <w:tc>
          <w:tcPr>
            <w:tcW w:w="1700" w:type="dxa"/>
            <w:vAlign w:val="bottom"/>
          </w:tcPr>
          <w:p>
            <w:pPr>
              <w:jc w:val="right"/>
              <w:ind w:right="59"/>
              <w:spacing w:after="0"/>
              <w:rPr>
                <w:sz w:val="20"/>
                <w:szCs w:val="20"/>
                <w:color w:val="auto"/>
              </w:rPr>
            </w:pPr>
            <w:r>
              <w:rPr>
                <w:rFonts w:ascii="Arial" w:cs="Arial" w:eastAsia="Arial" w:hAnsi="Arial"/>
                <w:sz w:val="16"/>
                <w:szCs w:val="16"/>
                <w:color w:val="auto"/>
              </w:rPr>
              <w:t>554,500</w:t>
            </w:r>
          </w:p>
        </w:tc>
        <w:tc>
          <w:tcPr>
            <w:tcW w:w="1500" w:type="dxa"/>
            <w:vAlign w:val="bottom"/>
          </w:tcPr>
          <w:p>
            <w:pPr>
              <w:jc w:val="right"/>
              <w:ind w:right="79"/>
              <w:spacing w:after="0"/>
              <w:rPr>
                <w:sz w:val="20"/>
                <w:szCs w:val="20"/>
                <w:color w:val="auto"/>
              </w:rPr>
            </w:pPr>
            <w:r>
              <w:rPr>
                <w:rFonts w:ascii="Arial" w:cs="Arial" w:eastAsia="Arial" w:hAnsi="Arial"/>
                <w:sz w:val="16"/>
                <w:szCs w:val="16"/>
                <w:color w:val="auto"/>
              </w:rPr>
              <w:t>0</w:t>
            </w:r>
          </w:p>
        </w:tc>
        <w:tc>
          <w:tcPr>
            <w:tcW w:w="1480" w:type="dxa"/>
            <w:vAlign w:val="bottom"/>
          </w:tcPr>
          <w:p>
            <w:pPr>
              <w:jc w:val="right"/>
              <w:ind w:right="99"/>
              <w:spacing w:after="0"/>
              <w:rPr>
                <w:sz w:val="20"/>
                <w:szCs w:val="20"/>
                <w:color w:val="auto"/>
              </w:rPr>
            </w:pPr>
            <w:r>
              <w:rPr>
                <w:rFonts w:ascii="Arial" w:cs="Arial" w:eastAsia="Arial" w:hAnsi="Arial"/>
                <w:sz w:val="16"/>
                <w:szCs w:val="16"/>
                <w:color w:val="auto"/>
              </w:rPr>
              <w:t>701,153</w:t>
            </w:r>
          </w:p>
        </w:tc>
        <w:tc>
          <w:tcPr>
            <w:tcW w:w="1480" w:type="dxa"/>
            <w:vAlign w:val="bottom"/>
          </w:tcPr>
          <w:p>
            <w:pPr>
              <w:jc w:val="right"/>
              <w:ind w:right="99"/>
              <w:spacing w:after="0"/>
              <w:rPr>
                <w:sz w:val="20"/>
                <w:szCs w:val="20"/>
                <w:color w:val="auto"/>
              </w:rPr>
            </w:pPr>
            <w:r>
              <w:rPr>
                <w:rFonts w:ascii="Arial" w:cs="Arial" w:eastAsia="Arial" w:hAnsi="Arial"/>
                <w:sz w:val="16"/>
                <w:szCs w:val="16"/>
                <w:color w:val="auto"/>
              </w:rPr>
              <w:t>N/A</w:t>
            </w:r>
          </w:p>
        </w:tc>
        <w:tc>
          <w:tcPr>
            <w:tcW w:w="1440" w:type="dxa"/>
            <w:vAlign w:val="bottom"/>
          </w:tcPr>
          <w:p>
            <w:pPr>
              <w:jc w:val="right"/>
              <w:ind w:right="139"/>
              <w:spacing w:after="0"/>
              <w:rPr>
                <w:sz w:val="20"/>
                <w:szCs w:val="20"/>
                <w:color w:val="auto"/>
              </w:rPr>
            </w:pPr>
            <w:r>
              <w:rPr>
                <w:rFonts w:ascii="Arial" w:cs="Arial" w:eastAsia="Arial" w:hAnsi="Arial"/>
                <w:sz w:val="16"/>
                <w:szCs w:val="16"/>
                <w:color w:val="auto"/>
              </w:rPr>
              <w:t>N/A</w:t>
            </w:r>
          </w:p>
        </w:tc>
        <w:tc>
          <w:tcPr>
            <w:tcW w:w="0" w:type="dxa"/>
            <w:vAlign w:val="bottom"/>
          </w:tcPr>
          <w:p>
            <w:pPr>
              <w:spacing w:after="0"/>
              <w:rPr>
                <w:sz w:val="1"/>
                <w:szCs w:val="1"/>
                <w:color w:val="auto"/>
              </w:rPr>
            </w:pPr>
          </w:p>
        </w:tc>
      </w:tr>
      <w:tr>
        <w:trPr>
          <w:trHeight w:val="243"/>
        </w:trPr>
        <w:tc>
          <w:tcPr>
            <w:tcW w:w="2240" w:type="dxa"/>
            <w:vAlign w:val="bottom"/>
            <w:shd w:val="clear" w:color="auto" w:fill="ACACAC"/>
          </w:tcPr>
          <w:p>
            <w:pPr>
              <w:ind w:left="40"/>
              <w:spacing w:after="0"/>
              <w:rPr>
                <w:sz w:val="20"/>
                <w:szCs w:val="20"/>
                <w:color w:val="auto"/>
              </w:rPr>
            </w:pPr>
            <w:r>
              <w:rPr>
                <w:rFonts w:ascii="Arial" w:cs="Arial" w:eastAsia="Arial" w:hAnsi="Arial"/>
                <w:sz w:val="16"/>
                <w:szCs w:val="16"/>
                <w:color w:val="auto"/>
              </w:rPr>
              <w:t>Donald J. Clark</w:t>
            </w:r>
            <w:r>
              <w:rPr>
                <w:rFonts w:ascii="Arial" w:cs="Arial" w:eastAsia="Arial" w:hAnsi="Arial"/>
                <w:sz w:val="21"/>
                <w:szCs w:val="21"/>
                <w:color w:val="auto"/>
                <w:vertAlign w:val="superscript"/>
              </w:rPr>
              <w:t>(3)</w:t>
            </w:r>
          </w:p>
        </w:tc>
        <w:tc>
          <w:tcPr>
            <w:tcW w:w="1580" w:type="dxa"/>
            <w:vAlign w:val="bottom"/>
            <w:shd w:val="clear" w:color="auto" w:fill="ACACAC"/>
          </w:tcPr>
          <w:p>
            <w:pPr>
              <w:jc w:val="right"/>
              <w:ind w:right="39"/>
              <w:spacing w:after="0"/>
              <w:rPr>
                <w:sz w:val="20"/>
                <w:szCs w:val="20"/>
                <w:color w:val="auto"/>
              </w:rPr>
            </w:pPr>
            <w:r>
              <w:rPr>
                <w:rFonts w:ascii="Arial" w:cs="Arial" w:eastAsia="Arial" w:hAnsi="Arial"/>
                <w:sz w:val="16"/>
                <w:szCs w:val="16"/>
                <w:color w:val="auto"/>
              </w:rPr>
              <w:t>N/A</w:t>
            </w:r>
          </w:p>
        </w:tc>
        <w:tc>
          <w:tcPr>
            <w:tcW w:w="1700" w:type="dxa"/>
            <w:vAlign w:val="bottom"/>
            <w:shd w:val="clear" w:color="auto" w:fill="ACACAC"/>
          </w:tcPr>
          <w:p>
            <w:pPr>
              <w:jc w:val="right"/>
              <w:ind w:right="59"/>
              <w:spacing w:after="0"/>
              <w:rPr>
                <w:sz w:val="20"/>
                <w:szCs w:val="20"/>
                <w:color w:val="auto"/>
              </w:rPr>
            </w:pPr>
            <w:r>
              <w:rPr>
                <w:rFonts w:ascii="Arial" w:cs="Arial" w:eastAsia="Arial" w:hAnsi="Arial"/>
                <w:sz w:val="16"/>
                <w:szCs w:val="16"/>
                <w:color w:val="auto"/>
              </w:rPr>
              <w:t>N/A</w:t>
            </w:r>
          </w:p>
        </w:tc>
        <w:tc>
          <w:tcPr>
            <w:tcW w:w="1500" w:type="dxa"/>
            <w:vAlign w:val="bottom"/>
            <w:shd w:val="clear" w:color="auto" w:fill="ACACAC"/>
          </w:tcPr>
          <w:p>
            <w:pPr>
              <w:jc w:val="right"/>
              <w:ind w:right="79"/>
              <w:spacing w:after="0"/>
              <w:rPr>
                <w:sz w:val="20"/>
                <w:szCs w:val="20"/>
                <w:color w:val="auto"/>
              </w:rPr>
            </w:pPr>
            <w:r>
              <w:rPr>
                <w:rFonts w:ascii="Arial" w:cs="Arial" w:eastAsia="Arial" w:hAnsi="Arial"/>
                <w:sz w:val="16"/>
                <w:szCs w:val="16"/>
                <w:color w:val="auto"/>
              </w:rPr>
              <w:t>N/A</w:t>
            </w:r>
          </w:p>
        </w:tc>
        <w:tc>
          <w:tcPr>
            <w:tcW w:w="1480" w:type="dxa"/>
            <w:vAlign w:val="bottom"/>
            <w:shd w:val="clear" w:color="auto" w:fill="ACACAC"/>
          </w:tcPr>
          <w:p>
            <w:pPr>
              <w:jc w:val="right"/>
              <w:ind w:right="99"/>
              <w:spacing w:after="0"/>
              <w:rPr>
                <w:sz w:val="20"/>
                <w:szCs w:val="20"/>
                <w:color w:val="auto"/>
              </w:rPr>
            </w:pPr>
            <w:r>
              <w:rPr>
                <w:rFonts w:ascii="Arial" w:cs="Arial" w:eastAsia="Arial" w:hAnsi="Arial"/>
                <w:sz w:val="16"/>
                <w:szCs w:val="16"/>
                <w:color w:val="auto"/>
              </w:rPr>
              <w:t>N/A</w:t>
            </w:r>
          </w:p>
        </w:tc>
        <w:tc>
          <w:tcPr>
            <w:tcW w:w="1480" w:type="dxa"/>
            <w:vAlign w:val="bottom"/>
            <w:shd w:val="clear" w:color="auto" w:fill="ACACAC"/>
          </w:tcPr>
          <w:p>
            <w:pPr>
              <w:jc w:val="right"/>
              <w:ind w:right="99"/>
              <w:spacing w:after="0"/>
              <w:rPr>
                <w:sz w:val="20"/>
                <w:szCs w:val="20"/>
                <w:color w:val="auto"/>
              </w:rPr>
            </w:pPr>
            <w:r>
              <w:rPr>
                <w:rFonts w:ascii="Arial" w:cs="Arial" w:eastAsia="Arial" w:hAnsi="Arial"/>
                <w:sz w:val="16"/>
                <w:szCs w:val="16"/>
                <w:color w:val="auto"/>
              </w:rPr>
              <w:t>N/A</w:t>
            </w:r>
          </w:p>
        </w:tc>
        <w:tc>
          <w:tcPr>
            <w:tcW w:w="1440" w:type="dxa"/>
            <w:vAlign w:val="bottom"/>
            <w:shd w:val="clear" w:color="auto" w:fill="ACACAC"/>
          </w:tcPr>
          <w:p>
            <w:pPr>
              <w:jc w:val="right"/>
              <w:ind w:right="139"/>
              <w:spacing w:after="0"/>
              <w:rPr>
                <w:sz w:val="20"/>
                <w:szCs w:val="20"/>
                <w:color w:val="auto"/>
              </w:rPr>
            </w:pPr>
            <w:r>
              <w:rPr>
                <w:rFonts w:ascii="Arial" w:cs="Arial" w:eastAsia="Arial" w:hAnsi="Arial"/>
                <w:sz w:val="16"/>
                <w:szCs w:val="16"/>
                <w:color w:val="auto"/>
              </w:rPr>
              <w:t>N/A</w:t>
            </w:r>
          </w:p>
        </w:tc>
        <w:tc>
          <w:tcPr>
            <w:tcW w:w="0" w:type="dxa"/>
            <w:vAlign w:val="bottom"/>
          </w:tcPr>
          <w:p>
            <w:pPr>
              <w:spacing w:after="0"/>
              <w:rPr>
                <w:sz w:val="1"/>
                <w:szCs w:val="1"/>
                <w:color w:val="auto"/>
              </w:rPr>
            </w:pPr>
          </w:p>
        </w:tc>
      </w:tr>
      <w:tr>
        <w:trPr>
          <w:trHeight w:val="248"/>
        </w:trPr>
        <w:tc>
          <w:tcPr>
            <w:tcW w:w="2240" w:type="dxa"/>
            <w:vAlign w:val="bottom"/>
          </w:tcPr>
          <w:p>
            <w:pPr>
              <w:ind w:left="40"/>
              <w:spacing w:after="0"/>
              <w:rPr>
                <w:sz w:val="20"/>
                <w:szCs w:val="20"/>
                <w:color w:val="auto"/>
              </w:rPr>
            </w:pPr>
            <w:r>
              <w:rPr>
                <w:rFonts w:ascii="Arial" w:cs="Arial" w:eastAsia="Arial" w:hAnsi="Arial"/>
                <w:sz w:val="16"/>
                <w:szCs w:val="16"/>
                <w:color w:val="auto"/>
              </w:rPr>
              <w:t>Brian D. Hazelton</w:t>
            </w:r>
            <w:r>
              <w:rPr>
                <w:rFonts w:ascii="Arial" w:cs="Arial" w:eastAsia="Arial" w:hAnsi="Arial"/>
                <w:sz w:val="21"/>
                <w:szCs w:val="21"/>
                <w:color w:val="auto"/>
                <w:vertAlign w:val="superscript"/>
              </w:rPr>
              <w:t>(4)</w:t>
            </w:r>
          </w:p>
        </w:tc>
        <w:tc>
          <w:tcPr>
            <w:tcW w:w="1580" w:type="dxa"/>
            <w:vAlign w:val="bottom"/>
          </w:tcPr>
          <w:p>
            <w:pPr>
              <w:jc w:val="right"/>
              <w:ind w:right="39"/>
              <w:spacing w:after="0"/>
              <w:rPr>
                <w:sz w:val="20"/>
                <w:szCs w:val="20"/>
                <w:color w:val="auto"/>
              </w:rPr>
            </w:pPr>
            <w:r>
              <w:rPr>
                <w:rFonts w:ascii="Arial" w:cs="Arial" w:eastAsia="Arial" w:hAnsi="Arial"/>
                <w:sz w:val="16"/>
                <w:szCs w:val="16"/>
                <w:color w:val="auto"/>
              </w:rPr>
              <w:t>243,578</w:t>
            </w:r>
          </w:p>
        </w:tc>
        <w:tc>
          <w:tcPr>
            <w:tcW w:w="1700" w:type="dxa"/>
            <w:vAlign w:val="bottom"/>
          </w:tcPr>
          <w:p>
            <w:pPr>
              <w:jc w:val="right"/>
              <w:ind w:right="59"/>
              <w:spacing w:after="0"/>
              <w:rPr>
                <w:sz w:val="20"/>
                <w:szCs w:val="20"/>
                <w:color w:val="auto"/>
              </w:rPr>
            </w:pPr>
            <w:r>
              <w:rPr>
                <w:rFonts w:ascii="Arial" w:cs="Arial" w:eastAsia="Arial" w:hAnsi="Arial"/>
                <w:sz w:val="16"/>
                <w:szCs w:val="16"/>
                <w:color w:val="auto"/>
              </w:rPr>
              <w:t>121,789</w:t>
            </w:r>
          </w:p>
        </w:tc>
        <w:tc>
          <w:tcPr>
            <w:tcW w:w="1500" w:type="dxa"/>
            <w:vAlign w:val="bottom"/>
          </w:tcPr>
          <w:p>
            <w:pPr>
              <w:jc w:val="right"/>
              <w:ind w:right="79"/>
              <w:spacing w:after="0"/>
              <w:rPr>
                <w:sz w:val="20"/>
                <w:szCs w:val="20"/>
                <w:color w:val="auto"/>
              </w:rPr>
            </w:pPr>
            <w:r>
              <w:rPr>
                <w:rFonts w:ascii="Arial" w:cs="Arial" w:eastAsia="Arial" w:hAnsi="Arial"/>
                <w:sz w:val="16"/>
                <w:szCs w:val="16"/>
                <w:color w:val="auto"/>
              </w:rPr>
              <w:t>121,802</w:t>
            </w:r>
          </w:p>
        </w:tc>
        <w:tc>
          <w:tcPr>
            <w:tcW w:w="1480" w:type="dxa"/>
            <w:vAlign w:val="bottom"/>
          </w:tcPr>
          <w:p>
            <w:pPr>
              <w:jc w:val="right"/>
              <w:ind w:right="99"/>
              <w:spacing w:after="0"/>
              <w:rPr>
                <w:sz w:val="20"/>
                <w:szCs w:val="20"/>
                <w:color w:val="auto"/>
              </w:rPr>
            </w:pPr>
            <w:r>
              <w:rPr>
                <w:rFonts w:ascii="Arial" w:cs="Arial" w:eastAsia="Arial" w:hAnsi="Arial"/>
                <w:sz w:val="16"/>
                <w:szCs w:val="16"/>
                <w:color w:val="auto"/>
              </w:rPr>
              <w:t>487,170</w:t>
            </w:r>
          </w:p>
        </w:tc>
        <w:tc>
          <w:tcPr>
            <w:tcW w:w="1480" w:type="dxa"/>
            <w:vAlign w:val="bottom"/>
          </w:tcPr>
          <w:p>
            <w:pPr>
              <w:jc w:val="right"/>
              <w:ind w:right="99"/>
              <w:spacing w:after="0"/>
              <w:rPr>
                <w:sz w:val="20"/>
                <w:szCs w:val="20"/>
                <w:color w:val="auto"/>
              </w:rPr>
            </w:pPr>
            <w:r>
              <w:rPr>
                <w:rFonts w:ascii="Arial" w:cs="Arial" w:eastAsia="Arial" w:hAnsi="Arial"/>
                <w:sz w:val="16"/>
                <w:szCs w:val="16"/>
                <w:color w:val="auto"/>
              </w:rPr>
              <w:t>608,468</w:t>
            </w:r>
          </w:p>
        </w:tc>
        <w:tc>
          <w:tcPr>
            <w:tcW w:w="1440" w:type="dxa"/>
            <w:vAlign w:val="bottom"/>
          </w:tcPr>
          <w:p>
            <w:pPr>
              <w:jc w:val="right"/>
              <w:spacing w:after="0"/>
              <w:rPr>
                <w:sz w:val="20"/>
                <w:szCs w:val="20"/>
                <w:color w:val="auto"/>
              </w:rPr>
            </w:pPr>
            <w:r>
              <w:rPr>
                <w:rFonts w:ascii="Arial" w:cs="Arial" w:eastAsia="Arial" w:hAnsi="Arial"/>
                <w:sz w:val="16"/>
                <w:szCs w:val="16"/>
                <w:color w:val="auto"/>
              </w:rPr>
              <w:t>(19.9)%</w:t>
            </w:r>
          </w:p>
        </w:tc>
        <w:tc>
          <w:tcPr>
            <w:tcW w:w="0" w:type="dxa"/>
            <w:vAlign w:val="bottom"/>
          </w:tcPr>
          <w:p>
            <w:pPr>
              <w:spacing w:after="0"/>
              <w:rPr>
                <w:sz w:val="1"/>
                <w:szCs w:val="1"/>
                <w:color w:val="auto"/>
              </w:rPr>
            </w:pPr>
          </w:p>
        </w:tc>
      </w:tr>
    </w:tbl>
    <w:p>
      <w:pPr>
        <w:ind w:left="220" w:hanging="212"/>
        <w:spacing w:after="0"/>
        <w:tabs>
          <w:tab w:leader="none" w:pos="220" w:val="left"/>
        </w:tabs>
        <w:numPr>
          <w:ilvl w:val="0"/>
          <w:numId w:val="34"/>
        </w:numPr>
        <w:rPr>
          <w:rFonts w:ascii="Arial" w:cs="Arial" w:eastAsia="Arial" w:hAnsi="Arial"/>
          <w:sz w:val="14"/>
          <w:szCs w:val="14"/>
          <w:color w:val="auto"/>
        </w:rPr>
      </w:pPr>
      <w:r>
        <w:rPr>
          <w:rFonts w:ascii="Arial" w:cs="Arial" w:eastAsia="Arial" w:hAnsi="Arial"/>
          <w:sz w:val="14"/>
          <w:szCs w:val="14"/>
          <w:color w:val="auto"/>
        </w:rPr>
        <w:t>To perform this calculation, we assumed that the Fiscal 2017 and Fiscal 2018 equity awards were earned at target.</w:t>
      </w:r>
    </w:p>
    <w:p>
      <w:pPr>
        <w:spacing w:after="0" w:line="1" w:lineRule="exact"/>
        <w:rPr>
          <w:rFonts w:ascii="Arial" w:cs="Arial" w:eastAsia="Arial" w:hAnsi="Arial"/>
          <w:sz w:val="14"/>
          <w:szCs w:val="14"/>
          <w:color w:val="auto"/>
        </w:rPr>
      </w:pPr>
    </w:p>
    <w:p>
      <w:pPr>
        <w:ind w:right="160" w:firstLine="8"/>
        <w:spacing w:after="0" w:line="241" w:lineRule="auto"/>
        <w:tabs>
          <w:tab w:leader="none" w:pos="216" w:val="left"/>
        </w:tabs>
        <w:numPr>
          <w:ilvl w:val="0"/>
          <w:numId w:val="34"/>
        </w:numPr>
        <w:rPr>
          <w:rFonts w:ascii="Arial" w:cs="Arial" w:eastAsia="Arial" w:hAnsi="Arial"/>
          <w:sz w:val="14"/>
          <w:szCs w:val="14"/>
          <w:color w:val="auto"/>
        </w:rPr>
      </w:pPr>
      <w:r>
        <w:rPr>
          <w:rFonts w:ascii="Arial" w:cs="Arial" w:eastAsia="Arial" w:hAnsi="Arial"/>
          <w:sz w:val="14"/>
          <w:szCs w:val="14"/>
          <w:color w:val="auto"/>
        </w:rPr>
        <w:t>Ms. Bogart received a new hire stock award of 10,000 shares of restricted stock on January 2, 2018 and a pro-rated Fiscal 2018-2020 LTIP award with a target value of 3,303 shares.</w:t>
      </w:r>
    </w:p>
    <w:p>
      <w:pPr>
        <w:ind w:left="220" w:hanging="212"/>
        <w:spacing w:after="0"/>
        <w:tabs>
          <w:tab w:leader="none" w:pos="220" w:val="left"/>
        </w:tabs>
        <w:numPr>
          <w:ilvl w:val="0"/>
          <w:numId w:val="34"/>
        </w:numPr>
        <w:rPr>
          <w:rFonts w:ascii="Arial" w:cs="Arial" w:eastAsia="Arial" w:hAnsi="Arial"/>
          <w:sz w:val="14"/>
          <w:szCs w:val="14"/>
          <w:color w:val="auto"/>
        </w:rPr>
      </w:pPr>
      <w:r>
        <w:rPr>
          <w:rFonts w:ascii="Arial" w:cs="Arial" w:eastAsia="Arial" w:hAnsi="Arial"/>
          <w:sz w:val="14"/>
          <w:szCs w:val="14"/>
          <w:color w:val="auto"/>
        </w:rPr>
        <w:t>Under the terms of his employment agreement, Mr. Clark is not eligible to participate in the Company's equity plans or receive any equity awards.</w:t>
      </w:r>
    </w:p>
    <w:p>
      <w:pPr>
        <w:spacing w:after="0" w:line="1" w:lineRule="exact"/>
        <w:rPr>
          <w:rFonts w:ascii="Arial" w:cs="Arial" w:eastAsia="Arial" w:hAnsi="Arial"/>
          <w:sz w:val="14"/>
          <w:szCs w:val="14"/>
          <w:color w:val="auto"/>
        </w:rPr>
      </w:pPr>
    </w:p>
    <w:p>
      <w:pPr>
        <w:ind w:left="220" w:hanging="212"/>
        <w:spacing w:after="0"/>
        <w:tabs>
          <w:tab w:leader="none" w:pos="220" w:val="left"/>
        </w:tabs>
        <w:numPr>
          <w:ilvl w:val="0"/>
          <w:numId w:val="34"/>
        </w:numPr>
        <w:rPr>
          <w:rFonts w:ascii="Arial" w:cs="Arial" w:eastAsia="Arial" w:hAnsi="Arial"/>
          <w:sz w:val="14"/>
          <w:szCs w:val="14"/>
          <w:color w:val="auto"/>
        </w:rPr>
      </w:pPr>
      <w:r>
        <w:rPr>
          <w:rFonts w:ascii="Arial" w:cs="Arial" w:eastAsia="Arial" w:hAnsi="Arial"/>
          <w:sz w:val="14"/>
          <w:szCs w:val="14"/>
          <w:color w:val="auto"/>
        </w:rPr>
        <w:t>Mr. Hazelton received a new hire stock award of 4,000 shares on August 26, 2016.</w:t>
      </w:r>
    </w:p>
    <w:p>
      <w:pPr>
        <w:spacing w:after="0" w:line="192" w:lineRule="exact"/>
        <w:rPr>
          <w:sz w:val="20"/>
          <w:szCs w:val="20"/>
          <w:color w:val="auto"/>
        </w:rPr>
      </w:pPr>
    </w:p>
    <w:p>
      <w:pPr>
        <w:spacing w:after="0"/>
        <w:rPr>
          <w:sz w:val="20"/>
          <w:szCs w:val="20"/>
          <w:color w:val="auto"/>
        </w:rPr>
      </w:pPr>
      <w:r>
        <w:rPr>
          <w:rFonts w:ascii="Arial" w:cs="Arial" w:eastAsia="Arial" w:hAnsi="Arial"/>
          <w:sz w:val="22"/>
          <w:szCs w:val="22"/>
          <w:color w:val="828282"/>
        </w:rPr>
        <w:t>Payout of the Fiscal 2016-2018 LTIP Cycle</w:t>
      </w:r>
    </w:p>
    <w:p>
      <w:pPr>
        <w:spacing w:after="0" w:line="188" w:lineRule="exact"/>
        <w:rPr>
          <w:sz w:val="20"/>
          <w:szCs w:val="20"/>
          <w:color w:val="auto"/>
        </w:rPr>
      </w:pPr>
    </w:p>
    <w:p>
      <w:pPr>
        <w:ind w:right="60"/>
        <w:spacing w:after="0" w:line="260" w:lineRule="auto"/>
        <w:rPr>
          <w:sz w:val="20"/>
          <w:szCs w:val="20"/>
          <w:color w:val="auto"/>
        </w:rPr>
      </w:pPr>
      <w:r>
        <w:rPr>
          <w:rFonts w:ascii="Arial" w:cs="Arial" w:eastAsia="Arial" w:hAnsi="Arial"/>
          <w:sz w:val="16"/>
          <w:szCs w:val="16"/>
          <w:color w:val="auto"/>
        </w:rPr>
        <w:t>Prior to the Fiscal 2017-2019 LTIP, the award opportunity was expressed as a target dollar value rather than a number of shares, with the payment delivered in the form of restricted stock as determined at the end of the three-year performance period, with a one-year holding requirement following the grant of shares.</w:t>
      </w: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24</w:t>
      </w:r>
    </w:p>
    <w:p>
      <w:pPr>
        <w:sectPr>
          <w:pgSz w:w="11900" w:h="16838" w:orient="portrait"/>
          <w:cols w:equalWidth="0" w:num="1">
            <w:col w:w="11420"/>
          </w:cols>
          <w:pgMar w:left="240" w:top="303" w:right="239" w:bottom="1440" w:gutter="0" w:footer="0" w:header="0"/>
          <w:type w:val="continuous"/>
        </w:sectPr>
      </w:pPr>
    </w:p>
    <w:bookmarkStart w:id="28" w:name="page29"/>
    <w:bookmarkEnd w:id="28"/>
    <w:p>
      <w:pPr>
        <w:ind w:left="40"/>
        <w:spacing w:after="0"/>
        <w:rPr>
          <w:rFonts w:ascii="Arial" w:cs="Arial" w:eastAsia="Arial" w:hAnsi="Arial"/>
          <w:sz w:val="16"/>
          <w:szCs w:val="16"/>
          <w:u w:val="single" w:color="auto"/>
          <w:color w:val="0000EE"/>
        </w:rPr>
      </w:pPr>
      <w:r>
        <w:rPr>
          <w:rFonts w:ascii="Arial" w:cs="Arial" w:eastAsia="Arial" w:hAnsi="Arial"/>
          <w:sz w:val="16"/>
          <w:szCs w:val="16"/>
          <w:u w:val="single" w:color="auto"/>
          <w:color w:val="0000EE"/>
        </w:rPr>
        <w:drawing>
          <wp:anchor simplePos="0" relativeHeight="251657728" behindDoc="1" locked="0" layoutInCell="0" allowOverlap="1">
            <wp:simplePos x="0" y="0"/>
            <wp:positionH relativeFrom="page">
              <wp:posOffset>5946140</wp:posOffset>
            </wp:positionH>
            <wp:positionV relativeFrom="page">
              <wp:posOffset>191770</wp:posOffset>
            </wp:positionV>
            <wp:extent cx="1440815" cy="20574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clrChange>
                        <a:clrFrom>
                          <a:srgbClr val="FFFFFF"/>
                        </a:clrFrom>
                        <a:clrTo>
                          <a:srgbClr val="FFFFFF">
                            <a:alpha val="0"/>
                          </a:srgbClr>
                        </a:clrTo>
                      </a:clrChange>
                      <a:extLst>
                        <a:ext uri="{28A0092B-C50C-407E-A947-70E740481C1C}"/>
                      </a:extLst>
                    </a:blip>
                    <a:srcRect/>
                    <a:stretch>
                      <a:fillRect/>
                    </a:stretch>
                  </pic:blipFill>
                  <pic:spPr bwMode="auto">
                    <a:xfrm>
                      <a:off x="0" y="0"/>
                      <a:ext cx="1440815" cy="205740"/>
                    </a:xfrm>
                    <a:prstGeom prst="rect">
                      <a:avLst/>
                    </a:prstGeom>
                    <a:noFill/>
                  </pic:spPr>
                </pic:pic>
              </a:graphicData>
            </a:graphic>
          </wp:anchor>
        </w:drawing>
      </w:r>
      <w:hyperlink w:anchor="page4">
        <w:r>
          <w:rPr>
            <w:rFonts w:ascii="Arial" w:cs="Arial" w:eastAsia="Arial" w:hAnsi="Arial"/>
            <w:sz w:val="16"/>
            <w:szCs w:val="16"/>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104775</wp:posOffset>
            </wp:positionV>
            <wp:extent cx="7246620" cy="889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393" w:lineRule="exact"/>
        <w:rPr>
          <w:sz w:val="20"/>
          <w:szCs w:val="20"/>
          <w:color w:val="auto"/>
        </w:rPr>
      </w:pPr>
    </w:p>
    <w:p>
      <w:pPr>
        <w:ind w:right="100"/>
        <w:spacing w:after="0" w:line="250" w:lineRule="auto"/>
        <w:rPr>
          <w:sz w:val="20"/>
          <w:szCs w:val="20"/>
          <w:color w:val="auto"/>
        </w:rPr>
      </w:pPr>
      <w:r>
        <w:rPr>
          <w:rFonts w:ascii="Arial" w:cs="Arial" w:eastAsia="Arial" w:hAnsi="Arial"/>
          <w:sz w:val="16"/>
          <w:szCs w:val="16"/>
          <w:color w:val="auto"/>
        </w:rPr>
        <w:t>For the Fiscal 2016-2018 LTIP, the Committee used the metric of return on equity, or ROE, which is an additional financial metric separate from the metrics utilized under the OICP, as it provides another measurement of NEO effectiveness. The awards were determined based on our three-year average ROE performance. The payout scale for the ROE measure below provided for a minimum award of 0% of the shares granted and a maximum award of 150% of the shares granted. Actual ROE for the Fiscal 2016-2018 LTIP was 19.7%, thus 150% of the incentive opportunity was achieved. The table below reflects the amount paid to eligible NEOs under the Fiscal 2016-2018 LTIP.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6239510</wp:posOffset>
            </wp:positionH>
            <wp:positionV relativeFrom="paragraph">
              <wp:posOffset>196215</wp:posOffset>
            </wp:positionV>
            <wp:extent cx="8890" cy="27432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8890" cy="274320"/>
                    </a:xfrm>
                    <a:prstGeom prst="rect">
                      <a:avLst/>
                    </a:prstGeom>
                    <a:noFill/>
                  </pic:spPr>
                </pic:pic>
              </a:graphicData>
            </a:graphic>
          </wp:anchor>
        </w:drawing>
        <w:drawing>
          <wp:anchor simplePos="0" relativeHeight="251657728" behindDoc="1" locked="0" layoutInCell="0" allowOverlap="1">
            <wp:simplePos x="0" y="0"/>
            <wp:positionH relativeFrom="column">
              <wp:posOffset>5227955</wp:posOffset>
            </wp:positionH>
            <wp:positionV relativeFrom="paragraph">
              <wp:posOffset>196215</wp:posOffset>
            </wp:positionV>
            <wp:extent cx="8890" cy="27432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8890" cy="274320"/>
                    </a:xfrm>
                    <a:prstGeom prst="rect">
                      <a:avLst/>
                    </a:prstGeom>
                    <a:noFill/>
                  </pic:spPr>
                </pic:pic>
              </a:graphicData>
            </a:graphic>
          </wp:anchor>
        </w:drawing>
        <w:drawing>
          <wp:anchor simplePos="0" relativeHeight="251657728" behindDoc="1" locked="0" layoutInCell="0" allowOverlap="1">
            <wp:simplePos x="0" y="0"/>
            <wp:positionH relativeFrom="column">
              <wp:posOffset>4215765</wp:posOffset>
            </wp:positionH>
            <wp:positionV relativeFrom="paragraph">
              <wp:posOffset>196215</wp:posOffset>
            </wp:positionV>
            <wp:extent cx="8890" cy="27432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8890" cy="274320"/>
                    </a:xfrm>
                    <a:prstGeom prst="rect">
                      <a:avLst/>
                    </a:prstGeom>
                    <a:noFill/>
                  </pic:spPr>
                </pic:pic>
              </a:graphicData>
            </a:graphic>
          </wp:anchor>
        </w:drawing>
        <w:drawing>
          <wp:anchor simplePos="0" relativeHeight="251657728" behindDoc="1" locked="0" layoutInCell="0" allowOverlap="1">
            <wp:simplePos x="0" y="0"/>
            <wp:positionH relativeFrom="column">
              <wp:posOffset>3203575</wp:posOffset>
            </wp:positionH>
            <wp:positionV relativeFrom="paragraph">
              <wp:posOffset>196215</wp:posOffset>
            </wp:positionV>
            <wp:extent cx="8890" cy="27432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8890" cy="274320"/>
                    </a:xfrm>
                    <a:prstGeom prst="rect">
                      <a:avLst/>
                    </a:prstGeom>
                    <a:noFill/>
                  </pic:spPr>
                </pic:pic>
              </a:graphicData>
            </a:graphic>
          </wp:anchor>
        </w:drawing>
        <w:drawing>
          <wp:anchor simplePos="0" relativeHeight="251657728" behindDoc="1" locked="0" layoutInCell="0" allowOverlap="1">
            <wp:simplePos x="0" y="0"/>
            <wp:positionH relativeFrom="column">
              <wp:posOffset>2192020</wp:posOffset>
            </wp:positionH>
            <wp:positionV relativeFrom="paragraph">
              <wp:posOffset>196215</wp:posOffset>
            </wp:positionV>
            <wp:extent cx="8890" cy="27432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8890" cy="274320"/>
                    </a:xfrm>
                    <a:prstGeom prst="rect">
                      <a:avLst/>
                    </a:prstGeom>
                    <a:noFill/>
                  </pic:spPr>
                </pic:pic>
              </a:graphicData>
            </a:graphic>
          </wp:anchor>
        </w:drawing>
        <w:drawing>
          <wp:anchor simplePos="0" relativeHeight="251657728" behindDoc="1" locked="0" layoutInCell="0" allowOverlap="1">
            <wp:simplePos x="0" y="0"/>
            <wp:positionH relativeFrom="column">
              <wp:posOffset>1171575</wp:posOffset>
            </wp:positionH>
            <wp:positionV relativeFrom="paragraph">
              <wp:posOffset>196215</wp:posOffset>
            </wp:positionV>
            <wp:extent cx="8890" cy="27432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8890" cy="274320"/>
                    </a:xfrm>
                    <a:prstGeom prst="rect">
                      <a:avLst/>
                    </a:prstGeom>
                    <a:noFill/>
                  </pic:spPr>
                </pic:pic>
              </a:graphicData>
            </a:graphic>
          </wp:anchor>
        </w:drawing>
      </w:r>
    </w:p>
    <w:p>
      <w:pPr>
        <w:spacing w:after="0" w:line="289"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1880" w:type="dxa"/>
            <w:vAlign w:val="bottom"/>
            <w:shd w:val="clear" w:color="auto" w:fill="BF2115"/>
          </w:tcPr>
          <w:p>
            <w:pPr>
              <w:spacing w:after="0"/>
              <w:rPr>
                <w:sz w:val="18"/>
                <w:szCs w:val="18"/>
                <w:color w:val="auto"/>
              </w:rPr>
            </w:pPr>
          </w:p>
        </w:tc>
        <w:tc>
          <w:tcPr>
            <w:tcW w:w="1420" w:type="dxa"/>
            <w:vAlign w:val="bottom"/>
            <w:shd w:val="clear" w:color="auto" w:fill="BF2115"/>
          </w:tcPr>
          <w:p>
            <w:pPr>
              <w:spacing w:after="0"/>
              <w:rPr>
                <w:sz w:val="18"/>
                <w:szCs w:val="18"/>
                <w:color w:val="auto"/>
              </w:rPr>
            </w:pPr>
          </w:p>
        </w:tc>
        <w:tc>
          <w:tcPr>
            <w:tcW w:w="1800" w:type="dxa"/>
            <w:vAlign w:val="bottom"/>
            <w:shd w:val="clear" w:color="auto" w:fill="BF2115"/>
          </w:tcPr>
          <w:p>
            <w:pPr>
              <w:jc w:val="center"/>
              <w:ind w:left="19"/>
              <w:spacing w:after="0"/>
              <w:rPr>
                <w:sz w:val="20"/>
                <w:szCs w:val="20"/>
                <w:color w:val="auto"/>
              </w:rPr>
            </w:pPr>
            <w:r>
              <w:rPr>
                <w:rFonts w:ascii="Arial" w:cs="Arial" w:eastAsia="Arial" w:hAnsi="Arial"/>
                <w:sz w:val="16"/>
                <w:szCs w:val="16"/>
                <w:color w:val="FFFFFF"/>
              </w:rPr>
              <w:t>Threshold (10%</w:t>
            </w:r>
          </w:p>
        </w:tc>
        <w:tc>
          <w:tcPr>
            <w:tcW w:w="1480" w:type="dxa"/>
            <w:vAlign w:val="bottom"/>
            <w:shd w:val="clear" w:color="auto" w:fill="BF2115"/>
          </w:tcPr>
          <w:p>
            <w:pPr>
              <w:jc w:val="center"/>
              <w:spacing w:after="0"/>
              <w:rPr>
                <w:sz w:val="20"/>
                <w:szCs w:val="20"/>
                <w:color w:val="auto"/>
              </w:rPr>
            </w:pPr>
            <w:r>
              <w:rPr>
                <w:rFonts w:ascii="Arial" w:cs="Arial" w:eastAsia="Arial" w:hAnsi="Arial"/>
                <w:sz w:val="16"/>
                <w:szCs w:val="16"/>
                <w:color w:val="FFFFFF"/>
              </w:rPr>
              <w:t>Target (100%</w:t>
            </w:r>
          </w:p>
        </w:tc>
        <w:tc>
          <w:tcPr>
            <w:tcW w:w="1740" w:type="dxa"/>
            <w:vAlign w:val="bottom"/>
            <w:shd w:val="clear" w:color="auto" w:fill="BF2115"/>
          </w:tcPr>
          <w:p>
            <w:pPr>
              <w:jc w:val="center"/>
              <w:spacing w:after="0"/>
              <w:rPr>
                <w:sz w:val="20"/>
                <w:szCs w:val="20"/>
                <w:color w:val="auto"/>
              </w:rPr>
            </w:pPr>
            <w:r>
              <w:rPr>
                <w:rFonts w:ascii="Arial" w:cs="Arial" w:eastAsia="Arial" w:hAnsi="Arial"/>
                <w:sz w:val="16"/>
                <w:szCs w:val="16"/>
                <w:color w:val="FFFFFF"/>
              </w:rPr>
              <w:t>Maximum (150%</w:t>
            </w:r>
          </w:p>
        </w:tc>
        <w:tc>
          <w:tcPr>
            <w:tcW w:w="1440" w:type="dxa"/>
            <w:vAlign w:val="bottom"/>
            <w:shd w:val="clear" w:color="auto" w:fill="BF2115"/>
          </w:tcPr>
          <w:p>
            <w:pPr>
              <w:jc w:val="center"/>
              <w:spacing w:after="0"/>
              <w:rPr>
                <w:sz w:val="20"/>
                <w:szCs w:val="20"/>
                <w:color w:val="auto"/>
              </w:rPr>
            </w:pPr>
            <w:r>
              <w:rPr>
                <w:rFonts w:ascii="Arial" w:cs="Arial" w:eastAsia="Arial" w:hAnsi="Arial"/>
                <w:sz w:val="16"/>
                <w:szCs w:val="16"/>
                <w:color w:val="FFFFFF"/>
              </w:rPr>
              <w:t>FY 16-18</w:t>
            </w:r>
          </w:p>
        </w:tc>
        <w:tc>
          <w:tcPr>
            <w:tcW w:w="1660" w:type="dxa"/>
            <w:vAlign w:val="bottom"/>
            <w:shd w:val="clear" w:color="auto" w:fill="BF2115"/>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1880" w:type="dxa"/>
            <w:vAlign w:val="bottom"/>
            <w:shd w:val="clear" w:color="auto" w:fill="BF2115"/>
          </w:tcPr>
          <w:p>
            <w:pPr>
              <w:ind w:left="40"/>
              <w:spacing w:after="0"/>
              <w:rPr>
                <w:sz w:val="20"/>
                <w:szCs w:val="20"/>
                <w:color w:val="auto"/>
              </w:rPr>
            </w:pPr>
            <w:r>
              <w:rPr>
                <w:rFonts w:ascii="Arial" w:cs="Arial" w:eastAsia="Arial" w:hAnsi="Arial"/>
                <w:sz w:val="16"/>
                <w:szCs w:val="16"/>
                <w:color w:val="FFFFFF"/>
              </w:rPr>
              <w:t>Metric</w:t>
            </w:r>
          </w:p>
        </w:tc>
        <w:tc>
          <w:tcPr>
            <w:tcW w:w="1420" w:type="dxa"/>
            <w:vAlign w:val="bottom"/>
            <w:shd w:val="clear" w:color="auto" w:fill="BF2115"/>
          </w:tcPr>
          <w:p>
            <w:pPr>
              <w:jc w:val="center"/>
              <w:ind w:left="39"/>
              <w:spacing w:after="0"/>
              <w:rPr>
                <w:sz w:val="20"/>
                <w:szCs w:val="20"/>
                <w:color w:val="auto"/>
              </w:rPr>
            </w:pPr>
            <w:r>
              <w:rPr>
                <w:rFonts w:ascii="Arial" w:cs="Arial" w:eastAsia="Arial" w:hAnsi="Arial"/>
                <w:sz w:val="16"/>
                <w:szCs w:val="16"/>
                <w:color w:val="FFFFFF"/>
              </w:rPr>
              <w:t>Weight</w:t>
            </w:r>
          </w:p>
        </w:tc>
        <w:tc>
          <w:tcPr>
            <w:tcW w:w="1800" w:type="dxa"/>
            <w:vAlign w:val="bottom"/>
            <w:shd w:val="clear" w:color="auto" w:fill="BF2115"/>
          </w:tcPr>
          <w:p>
            <w:pPr>
              <w:jc w:val="center"/>
              <w:ind w:left="39"/>
              <w:spacing w:after="0"/>
              <w:rPr>
                <w:sz w:val="20"/>
                <w:szCs w:val="20"/>
                <w:color w:val="auto"/>
              </w:rPr>
            </w:pPr>
            <w:r>
              <w:rPr>
                <w:rFonts w:ascii="Arial" w:cs="Arial" w:eastAsia="Arial" w:hAnsi="Arial"/>
                <w:sz w:val="16"/>
                <w:szCs w:val="16"/>
                <w:color w:val="FFFFFF"/>
              </w:rPr>
              <w:t>Payout)</w:t>
            </w:r>
          </w:p>
        </w:tc>
        <w:tc>
          <w:tcPr>
            <w:tcW w:w="1480" w:type="dxa"/>
            <w:vAlign w:val="bottom"/>
            <w:shd w:val="clear" w:color="auto" w:fill="BF2115"/>
          </w:tcPr>
          <w:p>
            <w:pPr>
              <w:jc w:val="center"/>
              <w:spacing w:after="0"/>
              <w:rPr>
                <w:sz w:val="20"/>
                <w:szCs w:val="20"/>
                <w:color w:val="auto"/>
              </w:rPr>
            </w:pPr>
            <w:r>
              <w:rPr>
                <w:rFonts w:ascii="Arial" w:cs="Arial" w:eastAsia="Arial" w:hAnsi="Arial"/>
                <w:sz w:val="16"/>
                <w:szCs w:val="16"/>
                <w:color w:val="FFFFFF"/>
              </w:rPr>
              <w:t>Payout)</w:t>
            </w:r>
          </w:p>
        </w:tc>
        <w:tc>
          <w:tcPr>
            <w:tcW w:w="1740" w:type="dxa"/>
            <w:vAlign w:val="bottom"/>
            <w:shd w:val="clear" w:color="auto" w:fill="BF2115"/>
          </w:tcPr>
          <w:p>
            <w:pPr>
              <w:jc w:val="center"/>
              <w:spacing w:after="0"/>
              <w:rPr>
                <w:sz w:val="20"/>
                <w:szCs w:val="20"/>
                <w:color w:val="auto"/>
              </w:rPr>
            </w:pPr>
            <w:r>
              <w:rPr>
                <w:rFonts w:ascii="Arial" w:cs="Arial" w:eastAsia="Arial" w:hAnsi="Arial"/>
                <w:sz w:val="16"/>
                <w:szCs w:val="16"/>
                <w:color w:val="FFFFFF"/>
              </w:rPr>
              <w:t>Payout)</w:t>
            </w:r>
          </w:p>
        </w:tc>
        <w:tc>
          <w:tcPr>
            <w:tcW w:w="1440" w:type="dxa"/>
            <w:vAlign w:val="bottom"/>
            <w:shd w:val="clear" w:color="auto" w:fill="BF2115"/>
          </w:tcPr>
          <w:p>
            <w:pPr>
              <w:jc w:val="center"/>
              <w:spacing w:after="0"/>
              <w:rPr>
                <w:sz w:val="20"/>
                <w:szCs w:val="20"/>
                <w:color w:val="auto"/>
              </w:rPr>
            </w:pPr>
            <w:r>
              <w:rPr>
                <w:rFonts w:ascii="Arial" w:cs="Arial" w:eastAsia="Arial" w:hAnsi="Arial"/>
                <w:sz w:val="16"/>
                <w:szCs w:val="16"/>
                <w:color w:val="FFFFFF"/>
              </w:rPr>
              <w:t>Performance</w:t>
            </w:r>
          </w:p>
        </w:tc>
        <w:tc>
          <w:tcPr>
            <w:tcW w:w="1660" w:type="dxa"/>
            <w:vAlign w:val="bottom"/>
            <w:shd w:val="clear" w:color="auto" w:fill="BF2115"/>
          </w:tcPr>
          <w:p>
            <w:pPr>
              <w:jc w:val="center"/>
              <w:spacing w:after="0"/>
              <w:rPr>
                <w:sz w:val="20"/>
                <w:szCs w:val="20"/>
                <w:color w:val="auto"/>
              </w:rPr>
            </w:pPr>
            <w:r>
              <w:rPr>
                <w:rFonts w:ascii="Arial" w:cs="Arial" w:eastAsia="Arial" w:hAnsi="Arial"/>
                <w:sz w:val="16"/>
                <w:szCs w:val="16"/>
                <w:color w:val="FFFFFF"/>
              </w:rPr>
              <w:t>Actual Payout %</w:t>
            </w:r>
          </w:p>
        </w:tc>
        <w:tc>
          <w:tcPr>
            <w:tcW w:w="0" w:type="dxa"/>
            <w:vAlign w:val="bottom"/>
          </w:tcPr>
          <w:p>
            <w:pPr>
              <w:spacing w:after="0"/>
              <w:rPr>
                <w:sz w:val="1"/>
                <w:szCs w:val="1"/>
                <w:color w:val="auto"/>
              </w:rPr>
            </w:pPr>
          </w:p>
        </w:tc>
      </w:tr>
      <w:tr>
        <w:trPr>
          <w:trHeight w:val="218"/>
        </w:trPr>
        <w:tc>
          <w:tcPr>
            <w:tcW w:w="1880" w:type="dxa"/>
            <w:vAlign w:val="bottom"/>
          </w:tcPr>
          <w:p>
            <w:pPr>
              <w:jc w:val="center"/>
              <w:spacing w:after="0"/>
              <w:rPr>
                <w:sz w:val="20"/>
                <w:szCs w:val="20"/>
                <w:color w:val="auto"/>
              </w:rPr>
            </w:pPr>
            <w:r>
              <w:rPr>
                <w:rFonts w:ascii="Arial" w:cs="Arial" w:eastAsia="Arial" w:hAnsi="Arial"/>
                <w:sz w:val="16"/>
                <w:szCs w:val="16"/>
                <w:color w:val="auto"/>
              </w:rPr>
              <w:t>ROE (3-year</w:t>
            </w:r>
          </w:p>
        </w:tc>
        <w:tc>
          <w:tcPr>
            <w:tcW w:w="1420" w:type="dxa"/>
            <w:vAlign w:val="bottom"/>
            <w:vMerge w:val="restart"/>
          </w:tcPr>
          <w:p>
            <w:pPr>
              <w:jc w:val="right"/>
              <w:ind w:right="299"/>
              <w:spacing w:after="0"/>
              <w:rPr>
                <w:sz w:val="20"/>
                <w:szCs w:val="20"/>
                <w:color w:val="auto"/>
              </w:rPr>
            </w:pPr>
            <w:r>
              <w:rPr>
                <w:rFonts w:ascii="Arial" w:cs="Arial" w:eastAsia="Arial" w:hAnsi="Arial"/>
                <w:sz w:val="16"/>
                <w:szCs w:val="16"/>
                <w:color w:val="auto"/>
              </w:rPr>
              <w:t>100.0%</w:t>
            </w:r>
          </w:p>
        </w:tc>
        <w:tc>
          <w:tcPr>
            <w:tcW w:w="1800" w:type="dxa"/>
            <w:vAlign w:val="bottom"/>
            <w:vMerge w:val="restart"/>
          </w:tcPr>
          <w:p>
            <w:pPr>
              <w:jc w:val="center"/>
              <w:ind w:left="19"/>
              <w:spacing w:after="0"/>
              <w:rPr>
                <w:sz w:val="20"/>
                <w:szCs w:val="20"/>
                <w:color w:val="auto"/>
              </w:rPr>
            </w:pPr>
            <w:r>
              <w:rPr>
                <w:rFonts w:ascii="Arial" w:cs="Arial" w:eastAsia="Arial" w:hAnsi="Arial"/>
                <w:sz w:val="16"/>
                <w:szCs w:val="16"/>
                <w:color w:val="auto"/>
              </w:rPr>
              <w:t>12.7%</w:t>
            </w:r>
          </w:p>
        </w:tc>
        <w:tc>
          <w:tcPr>
            <w:tcW w:w="1480" w:type="dxa"/>
            <w:vAlign w:val="bottom"/>
            <w:vMerge w:val="restart"/>
          </w:tcPr>
          <w:p>
            <w:pPr>
              <w:jc w:val="center"/>
              <w:spacing w:after="0"/>
              <w:rPr>
                <w:sz w:val="20"/>
                <w:szCs w:val="20"/>
                <w:color w:val="auto"/>
              </w:rPr>
            </w:pPr>
            <w:r>
              <w:rPr>
                <w:rFonts w:ascii="Arial" w:cs="Arial" w:eastAsia="Arial" w:hAnsi="Arial"/>
                <w:sz w:val="16"/>
                <w:szCs w:val="16"/>
                <w:color w:val="auto"/>
              </w:rPr>
              <w:t>15.9%</w:t>
            </w:r>
          </w:p>
        </w:tc>
        <w:tc>
          <w:tcPr>
            <w:tcW w:w="1740" w:type="dxa"/>
            <w:vAlign w:val="bottom"/>
            <w:vMerge w:val="restart"/>
          </w:tcPr>
          <w:p>
            <w:pPr>
              <w:jc w:val="center"/>
              <w:spacing w:after="0"/>
              <w:rPr>
                <w:sz w:val="20"/>
                <w:szCs w:val="20"/>
                <w:color w:val="auto"/>
              </w:rPr>
            </w:pPr>
            <w:r>
              <w:rPr>
                <w:rFonts w:ascii="Arial" w:cs="Arial" w:eastAsia="Arial" w:hAnsi="Arial"/>
                <w:sz w:val="16"/>
                <w:szCs w:val="16"/>
                <w:color w:val="auto"/>
              </w:rPr>
              <w:t>19.1%</w:t>
            </w:r>
          </w:p>
        </w:tc>
        <w:tc>
          <w:tcPr>
            <w:tcW w:w="1440" w:type="dxa"/>
            <w:vAlign w:val="bottom"/>
            <w:vMerge w:val="restart"/>
          </w:tcPr>
          <w:p>
            <w:pPr>
              <w:jc w:val="center"/>
              <w:spacing w:after="0"/>
              <w:rPr>
                <w:sz w:val="20"/>
                <w:szCs w:val="20"/>
                <w:color w:val="auto"/>
              </w:rPr>
            </w:pPr>
            <w:r>
              <w:rPr>
                <w:rFonts w:ascii="Arial" w:cs="Arial" w:eastAsia="Arial" w:hAnsi="Arial"/>
                <w:sz w:val="16"/>
                <w:szCs w:val="16"/>
                <w:color w:val="auto"/>
              </w:rPr>
              <w:t>19.7%</w:t>
            </w:r>
          </w:p>
        </w:tc>
        <w:tc>
          <w:tcPr>
            <w:tcW w:w="1660" w:type="dxa"/>
            <w:vAlign w:val="bottom"/>
            <w:vMerge w:val="restart"/>
          </w:tcPr>
          <w:p>
            <w:pPr>
              <w:jc w:val="right"/>
              <w:ind w:right="439"/>
              <w:spacing w:after="0"/>
              <w:rPr>
                <w:sz w:val="20"/>
                <w:szCs w:val="20"/>
                <w:color w:val="auto"/>
              </w:rPr>
            </w:pPr>
            <w:r>
              <w:rPr>
                <w:rFonts w:ascii="Arial" w:cs="Arial" w:eastAsia="Arial" w:hAnsi="Arial"/>
                <w:sz w:val="16"/>
                <w:szCs w:val="16"/>
                <w:color w:val="auto"/>
              </w:rPr>
              <w:t>150.0%</w:t>
            </w:r>
          </w:p>
        </w:tc>
        <w:tc>
          <w:tcPr>
            <w:tcW w:w="0" w:type="dxa"/>
            <w:vAlign w:val="bottom"/>
          </w:tcPr>
          <w:p>
            <w:pPr>
              <w:spacing w:after="0"/>
              <w:rPr>
                <w:sz w:val="1"/>
                <w:szCs w:val="1"/>
                <w:color w:val="auto"/>
              </w:rPr>
            </w:pPr>
          </w:p>
        </w:tc>
      </w:tr>
      <w:tr>
        <w:trPr>
          <w:trHeight w:val="100"/>
        </w:trPr>
        <w:tc>
          <w:tcPr>
            <w:tcW w:w="1880" w:type="dxa"/>
            <w:vAlign w:val="bottom"/>
            <w:vMerge w:val="restart"/>
          </w:tcPr>
          <w:p>
            <w:pPr>
              <w:jc w:val="center"/>
              <w:spacing w:after="0"/>
              <w:rPr>
                <w:sz w:val="20"/>
                <w:szCs w:val="20"/>
                <w:color w:val="auto"/>
              </w:rPr>
            </w:pPr>
            <w:r>
              <w:rPr>
                <w:rFonts w:ascii="Arial" w:cs="Arial" w:eastAsia="Arial" w:hAnsi="Arial"/>
                <w:sz w:val="16"/>
                <w:szCs w:val="16"/>
                <w:color w:val="auto"/>
              </w:rPr>
              <w:t>cumulative)</w:t>
            </w:r>
          </w:p>
        </w:tc>
        <w:tc>
          <w:tcPr>
            <w:tcW w:w="1420" w:type="dxa"/>
            <w:vAlign w:val="bottom"/>
            <w:vMerge w:val="continue"/>
          </w:tcPr>
          <w:p>
            <w:pPr>
              <w:spacing w:after="0"/>
              <w:rPr>
                <w:sz w:val="8"/>
                <w:szCs w:val="8"/>
                <w:color w:val="auto"/>
              </w:rPr>
            </w:pPr>
          </w:p>
        </w:tc>
        <w:tc>
          <w:tcPr>
            <w:tcW w:w="1800" w:type="dxa"/>
            <w:vAlign w:val="bottom"/>
            <w:vMerge w:val="continue"/>
          </w:tcPr>
          <w:p>
            <w:pPr>
              <w:spacing w:after="0"/>
              <w:rPr>
                <w:sz w:val="8"/>
                <w:szCs w:val="8"/>
                <w:color w:val="auto"/>
              </w:rPr>
            </w:pPr>
          </w:p>
        </w:tc>
        <w:tc>
          <w:tcPr>
            <w:tcW w:w="1480" w:type="dxa"/>
            <w:vAlign w:val="bottom"/>
            <w:vMerge w:val="continue"/>
          </w:tcPr>
          <w:p>
            <w:pPr>
              <w:spacing w:after="0"/>
              <w:rPr>
                <w:sz w:val="8"/>
                <w:szCs w:val="8"/>
                <w:color w:val="auto"/>
              </w:rPr>
            </w:pPr>
          </w:p>
        </w:tc>
        <w:tc>
          <w:tcPr>
            <w:tcW w:w="1740" w:type="dxa"/>
            <w:vAlign w:val="bottom"/>
            <w:vMerge w:val="continue"/>
          </w:tcPr>
          <w:p>
            <w:pPr>
              <w:spacing w:after="0"/>
              <w:rPr>
                <w:sz w:val="8"/>
                <w:szCs w:val="8"/>
                <w:color w:val="auto"/>
              </w:rPr>
            </w:pPr>
          </w:p>
        </w:tc>
        <w:tc>
          <w:tcPr>
            <w:tcW w:w="1440" w:type="dxa"/>
            <w:vAlign w:val="bottom"/>
            <w:vMerge w:val="continue"/>
          </w:tcPr>
          <w:p>
            <w:pPr>
              <w:spacing w:after="0"/>
              <w:rPr>
                <w:sz w:val="8"/>
                <w:szCs w:val="8"/>
                <w:color w:val="auto"/>
              </w:rPr>
            </w:pPr>
          </w:p>
        </w:tc>
        <w:tc>
          <w:tcPr>
            <w:tcW w:w="166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5"/>
        </w:trPr>
        <w:tc>
          <w:tcPr>
            <w:tcW w:w="1880" w:type="dxa"/>
            <w:vAlign w:val="bottom"/>
            <w:vMerge w:val="continue"/>
          </w:tcPr>
          <w:p>
            <w:pPr>
              <w:spacing w:after="0"/>
              <w:rPr>
                <w:sz w:val="8"/>
                <w:szCs w:val="8"/>
                <w:color w:val="auto"/>
              </w:rPr>
            </w:pPr>
          </w:p>
        </w:tc>
        <w:tc>
          <w:tcPr>
            <w:tcW w:w="1420" w:type="dxa"/>
            <w:vAlign w:val="bottom"/>
          </w:tcPr>
          <w:p>
            <w:pPr>
              <w:spacing w:after="0"/>
              <w:rPr>
                <w:sz w:val="8"/>
                <w:szCs w:val="8"/>
                <w:color w:val="auto"/>
              </w:rPr>
            </w:pPr>
          </w:p>
        </w:tc>
        <w:tc>
          <w:tcPr>
            <w:tcW w:w="1800" w:type="dxa"/>
            <w:vAlign w:val="bottom"/>
          </w:tcPr>
          <w:p>
            <w:pPr>
              <w:spacing w:after="0"/>
              <w:rPr>
                <w:sz w:val="8"/>
                <w:szCs w:val="8"/>
                <w:color w:val="auto"/>
              </w:rPr>
            </w:pPr>
          </w:p>
        </w:tc>
        <w:tc>
          <w:tcPr>
            <w:tcW w:w="1480" w:type="dxa"/>
            <w:vAlign w:val="bottom"/>
          </w:tcPr>
          <w:p>
            <w:pPr>
              <w:spacing w:after="0"/>
              <w:rPr>
                <w:sz w:val="8"/>
                <w:szCs w:val="8"/>
                <w:color w:val="auto"/>
              </w:rPr>
            </w:pPr>
          </w:p>
        </w:tc>
        <w:tc>
          <w:tcPr>
            <w:tcW w:w="1740" w:type="dxa"/>
            <w:vAlign w:val="bottom"/>
          </w:tcPr>
          <w:p>
            <w:pPr>
              <w:spacing w:after="0"/>
              <w:rPr>
                <w:sz w:val="8"/>
                <w:szCs w:val="8"/>
                <w:color w:val="auto"/>
              </w:rPr>
            </w:pPr>
          </w:p>
        </w:tc>
        <w:tc>
          <w:tcPr>
            <w:tcW w:w="1440" w:type="dxa"/>
            <w:vAlign w:val="bottom"/>
          </w:tcPr>
          <w:p>
            <w:pPr>
              <w:spacing w:after="0"/>
              <w:rPr>
                <w:sz w:val="8"/>
                <w:szCs w:val="8"/>
                <w:color w:val="auto"/>
              </w:rPr>
            </w:pPr>
          </w:p>
        </w:tc>
        <w:tc>
          <w:tcPr>
            <w:tcW w:w="166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16"/>
          <w:szCs w:val="16"/>
          <w:color w:val="auto"/>
        </w:rPr>
        <w:t>For the Fiscal 2016-2018 LTIP, out of our current NEOs, only Mr. Happe was employed at the time of the award and eligible to participate in the award. Mr.</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Happe received $719,231, which was 150% of his target Fiscal 2016-2018 LTIP award of $479,487.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194945</wp:posOffset>
            </wp:positionV>
            <wp:extent cx="7272020" cy="425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303"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spacing w:after="0"/>
        <w:rPr>
          <w:sz w:val="20"/>
          <w:szCs w:val="20"/>
          <w:color w:val="auto"/>
        </w:rPr>
      </w:pPr>
      <w:r>
        <w:rPr>
          <w:rFonts w:ascii="Arial" w:cs="Arial" w:eastAsia="Arial" w:hAnsi="Arial"/>
          <w:sz w:val="29"/>
          <w:szCs w:val="29"/>
          <w:color w:val="BF2115"/>
        </w:rPr>
        <w:t>Benefits</w:t>
      </w:r>
    </w:p>
    <w:p>
      <w:pPr>
        <w:spacing w:after="0" w:line="280" w:lineRule="exact"/>
        <w:rPr>
          <w:sz w:val="20"/>
          <w:szCs w:val="20"/>
          <w:color w:val="auto"/>
        </w:rPr>
      </w:pPr>
    </w:p>
    <w:p>
      <w:pPr>
        <w:ind w:right="20"/>
        <w:spacing w:after="0" w:line="253" w:lineRule="auto"/>
        <w:rPr>
          <w:sz w:val="20"/>
          <w:szCs w:val="20"/>
          <w:color w:val="auto"/>
        </w:rPr>
      </w:pPr>
      <w:r>
        <w:rPr>
          <w:rFonts w:ascii="Arial" w:cs="Arial" w:eastAsia="Arial" w:hAnsi="Arial"/>
          <w:sz w:val="16"/>
          <w:szCs w:val="16"/>
          <w:color w:val="auto"/>
        </w:rPr>
        <w:t>Our NEOs are eligible to participate in the same benefit plans designed for all of our full-time employees. The basic insurance package includes health, dental, disability and basic group life insurance.</w:t>
      </w:r>
    </w:p>
    <w:p>
      <w:pPr>
        <w:spacing w:after="0" w:line="174" w:lineRule="exact"/>
        <w:rPr>
          <w:sz w:val="20"/>
          <w:szCs w:val="20"/>
          <w:color w:val="auto"/>
        </w:rPr>
      </w:pPr>
    </w:p>
    <w:p>
      <w:pPr>
        <w:ind w:right="280"/>
        <w:spacing w:after="0" w:line="251" w:lineRule="auto"/>
        <w:rPr>
          <w:sz w:val="20"/>
          <w:szCs w:val="20"/>
          <w:color w:val="auto"/>
        </w:rPr>
      </w:pPr>
      <w:r>
        <w:rPr>
          <w:rFonts w:ascii="Arial" w:cs="Arial" w:eastAsia="Arial" w:hAnsi="Arial"/>
          <w:sz w:val="16"/>
          <w:szCs w:val="16"/>
          <w:color w:val="auto"/>
        </w:rPr>
        <w:t>Except as specifically summarized in this Compensation Discussion and Analysis, we do not currently provide payments and benefits for NEOs following his or her retirement, including, but not limited to, tax-qualified defined benefit plans and supplemental executive retirement plans.</w:t>
      </w:r>
    </w:p>
    <w:p>
      <w:pPr>
        <w:spacing w:after="0" w:line="181" w:lineRule="exact"/>
        <w:rPr>
          <w:sz w:val="20"/>
          <w:szCs w:val="20"/>
          <w:color w:val="auto"/>
        </w:rPr>
      </w:pPr>
    </w:p>
    <w:p>
      <w:pPr>
        <w:ind w:right="460"/>
        <w:spacing w:after="0" w:line="249" w:lineRule="auto"/>
        <w:rPr>
          <w:sz w:val="20"/>
          <w:szCs w:val="20"/>
          <w:color w:val="auto"/>
        </w:rPr>
      </w:pPr>
      <w:r>
        <w:rPr>
          <w:rFonts w:ascii="Arial" w:cs="Arial" w:eastAsia="Arial" w:hAnsi="Arial"/>
          <w:sz w:val="22"/>
          <w:szCs w:val="22"/>
          <w:color w:val="828282"/>
        </w:rPr>
        <w:t>Profit Sharing and Deferred Savings and Investment Plan</w:t>
      </w:r>
    </w:p>
    <w:p>
      <w:pPr>
        <w:spacing w:after="0" w:line="172" w:lineRule="exact"/>
        <w:rPr>
          <w:sz w:val="20"/>
          <w:szCs w:val="20"/>
          <w:color w:val="auto"/>
        </w:rPr>
      </w:pPr>
    </w:p>
    <w:p>
      <w:pPr>
        <w:spacing w:after="0" w:line="247" w:lineRule="auto"/>
        <w:rPr>
          <w:sz w:val="20"/>
          <w:szCs w:val="20"/>
          <w:color w:val="auto"/>
        </w:rPr>
      </w:pPr>
      <w:r>
        <w:rPr>
          <w:rFonts w:ascii="Arial" w:cs="Arial" w:eastAsia="Arial" w:hAnsi="Arial"/>
          <w:sz w:val="16"/>
          <w:szCs w:val="16"/>
          <w:color w:val="auto"/>
        </w:rPr>
        <w:t>We maintain a 401(k) plan, the Winnebago Industries, Inc. Profit Sharing and Deferred Savings and Investment Plan (the "401(k) Plan"), which is a tax-qualified defined contribution plan maintained for the benefit of substantially all hourly and salaried employees, including our executives. The 401(k) Plan offers NEOs and all other employees the opportunity to defer a percentage of income that is a part of their base compensation. Effective January 1, 2018, the Company matching contribution increased to $0.50 per $1.00 of employee contribution up to 6% of the base compensation deferred by employees (subject to IRS limits and non-discrimination testing), subject to a 2-year, pro-rata vesting period. Although executives, including the NEOs, are eligible to participate in the 401(k) Plan, the application of the annual limitation on contributions under the Internal Revenue Code prevents executives from participating at the same level as non-executives. This compensation element is tax-deferred and is not intended to affect the value of any other compensation element.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right="400"/>
        <w:spacing w:after="0" w:line="249" w:lineRule="auto"/>
        <w:rPr>
          <w:sz w:val="20"/>
          <w:szCs w:val="20"/>
          <w:color w:val="auto"/>
        </w:rPr>
      </w:pPr>
      <w:r>
        <w:rPr>
          <w:rFonts w:ascii="Arial" w:cs="Arial" w:eastAsia="Arial" w:hAnsi="Arial"/>
          <w:sz w:val="22"/>
          <w:szCs w:val="22"/>
          <w:color w:val="828282"/>
        </w:rPr>
        <w:t>Executive Deferred Compensation Plan (2007) (Non-Qualified Deferred Compensation Plan)</w:t>
      </w:r>
    </w:p>
    <w:p>
      <w:pPr>
        <w:spacing w:after="0" w:line="172" w:lineRule="exact"/>
        <w:rPr>
          <w:sz w:val="20"/>
          <w:szCs w:val="20"/>
          <w:color w:val="auto"/>
        </w:rPr>
      </w:pPr>
    </w:p>
    <w:p>
      <w:pPr>
        <w:ind w:right="60"/>
        <w:spacing w:after="0" w:line="248" w:lineRule="auto"/>
        <w:rPr>
          <w:sz w:val="20"/>
          <w:szCs w:val="20"/>
          <w:color w:val="auto"/>
        </w:rPr>
      </w:pPr>
      <w:r>
        <w:rPr>
          <w:rFonts w:ascii="Arial" w:cs="Arial" w:eastAsia="Arial" w:hAnsi="Arial"/>
          <w:sz w:val="16"/>
          <w:szCs w:val="16"/>
          <w:color w:val="auto"/>
        </w:rPr>
        <w:t>Under the Executive Deferred Compensation Plan, executive officers and certain key employees may annually choose to defer up to 50% of their salary and up to 100% of their cash incentive awards. The Committee may, from time to time and in its sole and absolute discretion, select the available investments in which a participant's deferred benefit account may be deemed invested and each participant may designate the investments in which his or her deferred benefit account will be deemed invested. The Company does not provide any matching contributions to the Executive Deferred Compensation Plan.</w:t>
      </w:r>
    </w:p>
    <w:p>
      <w:pPr>
        <w:spacing w:after="0" w:line="185" w:lineRule="exact"/>
        <w:rPr>
          <w:sz w:val="20"/>
          <w:szCs w:val="20"/>
          <w:color w:val="auto"/>
        </w:rPr>
      </w:pPr>
    </w:p>
    <w:p>
      <w:pPr>
        <w:spacing w:after="0"/>
        <w:rPr>
          <w:sz w:val="20"/>
          <w:szCs w:val="20"/>
          <w:color w:val="auto"/>
        </w:rPr>
      </w:pPr>
      <w:r>
        <w:rPr>
          <w:rFonts w:ascii="Arial" w:cs="Arial" w:eastAsia="Arial" w:hAnsi="Arial"/>
          <w:sz w:val="22"/>
          <w:szCs w:val="22"/>
          <w:color w:val="828282"/>
        </w:rPr>
        <w:t>Perquisites</w:t>
      </w:r>
    </w:p>
    <w:p>
      <w:pPr>
        <w:spacing w:after="0" w:line="188" w:lineRule="exact"/>
        <w:rPr>
          <w:sz w:val="20"/>
          <w:szCs w:val="20"/>
          <w:color w:val="auto"/>
        </w:rPr>
      </w:pPr>
    </w:p>
    <w:p>
      <w:pPr>
        <w:ind w:right="60"/>
        <w:spacing w:after="0" w:line="248" w:lineRule="auto"/>
        <w:rPr>
          <w:sz w:val="20"/>
          <w:szCs w:val="20"/>
          <w:color w:val="auto"/>
        </w:rPr>
      </w:pPr>
      <w:r>
        <w:rPr>
          <w:rFonts w:ascii="Arial" w:cs="Arial" w:eastAsia="Arial" w:hAnsi="Arial"/>
          <w:sz w:val="16"/>
          <w:szCs w:val="16"/>
          <w:color w:val="auto"/>
        </w:rPr>
        <w:t>We provide NEOs with limited perquisites that the Committee believes are reasonable and consistent with the overall compensation program to better enable us to attract and retain superior employees for key positions. The Committee periodically reviews the levels of perquisites and other personal benefits provided to NEOs. Based upon this periodic review, perquisites are awarded or adjusted on an individual basis. NEOs are not automatically awarded all, or in equal amounts, perquisites granted by the Company.</w:t>
      </w:r>
    </w:p>
    <w:p>
      <w:pPr>
        <w:spacing w:after="0" w:line="182" w:lineRule="exact"/>
        <w:rPr>
          <w:sz w:val="20"/>
          <w:szCs w:val="20"/>
          <w:color w:val="auto"/>
        </w:rPr>
      </w:pPr>
    </w:p>
    <w:p>
      <w:pPr>
        <w:spacing w:after="0"/>
        <w:rPr>
          <w:sz w:val="20"/>
          <w:szCs w:val="20"/>
          <w:color w:val="auto"/>
        </w:rPr>
      </w:pPr>
      <w:r>
        <w:rPr>
          <w:rFonts w:ascii="Arial" w:cs="Arial" w:eastAsia="Arial" w:hAnsi="Arial"/>
          <w:sz w:val="16"/>
          <w:szCs w:val="16"/>
          <w:color w:val="auto"/>
        </w:rPr>
        <w:t>The perquisites provided to our NEOs include:</w:t>
      </w:r>
    </w:p>
    <w:p>
      <w:pPr>
        <w:spacing w:after="0" w:line="194" w:lineRule="exact"/>
        <w:rPr>
          <w:sz w:val="20"/>
          <w:szCs w:val="20"/>
          <w:color w:val="auto"/>
        </w:rPr>
      </w:pPr>
    </w:p>
    <w:p>
      <w:pPr>
        <w:ind w:left="660" w:right="40" w:hanging="334"/>
        <w:spacing w:after="0" w:line="246" w:lineRule="auto"/>
        <w:tabs>
          <w:tab w:leader="none" w:pos="660" w:val="left"/>
        </w:tabs>
        <w:numPr>
          <w:ilvl w:val="0"/>
          <w:numId w:val="35"/>
        </w:numPr>
        <w:rPr>
          <w:rFonts w:ascii="Arial" w:cs="Arial" w:eastAsia="Arial" w:hAnsi="Arial"/>
          <w:sz w:val="16"/>
          <w:szCs w:val="16"/>
          <w:color w:val="auto"/>
        </w:rPr>
      </w:pPr>
      <w:r>
        <w:rPr>
          <w:rFonts w:ascii="Arial" w:cs="Arial" w:eastAsia="Arial" w:hAnsi="Arial"/>
          <w:sz w:val="16"/>
          <w:szCs w:val="16"/>
          <w:color w:val="BF2115"/>
        </w:rPr>
        <w:t xml:space="preserve">Executive Physical. </w:t>
      </w:r>
      <w:r>
        <w:rPr>
          <w:rFonts w:ascii="Arial" w:cs="Arial" w:eastAsia="Arial" w:hAnsi="Arial"/>
          <w:sz w:val="16"/>
          <w:szCs w:val="16"/>
          <w:color w:val="000000"/>
        </w:rPr>
        <w:t>In an effort to encourage executives to monitor</w:t>
      </w:r>
      <w:r>
        <w:rPr>
          <w:rFonts w:ascii="Arial" w:cs="Arial" w:eastAsia="Arial" w:hAnsi="Arial"/>
          <w:sz w:val="16"/>
          <w:szCs w:val="16"/>
          <w:color w:val="BF2115"/>
        </w:rPr>
        <w:t xml:space="preserve"> </w:t>
      </w:r>
      <w:r>
        <w:rPr>
          <w:rFonts w:ascii="Arial" w:cs="Arial" w:eastAsia="Arial" w:hAnsi="Arial"/>
          <w:sz w:val="16"/>
          <w:szCs w:val="16"/>
          <w:color w:val="000000"/>
        </w:rPr>
        <w:t>and maintain good health, we pay for voluntary annual physical examinations for executives, including the NEOs.</w:t>
      </w:r>
    </w:p>
    <w:p>
      <w:pPr>
        <w:spacing w:after="0" w:line="1" w:lineRule="exact"/>
        <w:rPr>
          <w:rFonts w:ascii="Arial" w:cs="Arial" w:eastAsia="Arial" w:hAnsi="Arial"/>
          <w:sz w:val="16"/>
          <w:szCs w:val="16"/>
          <w:color w:val="auto"/>
        </w:rPr>
      </w:pPr>
    </w:p>
    <w:p>
      <w:pPr>
        <w:ind w:left="660" w:right="20" w:hanging="334"/>
        <w:spacing w:after="0" w:line="250" w:lineRule="auto"/>
        <w:tabs>
          <w:tab w:leader="none" w:pos="660" w:val="left"/>
        </w:tabs>
        <w:numPr>
          <w:ilvl w:val="0"/>
          <w:numId w:val="35"/>
        </w:numPr>
        <w:rPr>
          <w:rFonts w:ascii="Arial" w:cs="Arial" w:eastAsia="Arial" w:hAnsi="Arial"/>
          <w:sz w:val="16"/>
          <w:szCs w:val="16"/>
          <w:color w:val="auto"/>
        </w:rPr>
      </w:pPr>
      <w:r>
        <w:rPr>
          <w:rFonts w:ascii="Arial" w:cs="Arial" w:eastAsia="Arial" w:hAnsi="Arial"/>
          <w:sz w:val="16"/>
          <w:szCs w:val="16"/>
          <w:color w:val="BF2115"/>
        </w:rPr>
        <w:t xml:space="preserve">Recreational Vehicle Use. </w:t>
      </w:r>
      <w:r>
        <w:rPr>
          <w:rFonts w:ascii="Arial" w:cs="Arial" w:eastAsia="Arial" w:hAnsi="Arial"/>
          <w:sz w:val="16"/>
          <w:szCs w:val="16"/>
          <w:color w:val="000000"/>
        </w:rPr>
        <w:t>Our executives, including NEOs, have</w:t>
      </w:r>
      <w:r>
        <w:rPr>
          <w:rFonts w:ascii="Arial" w:cs="Arial" w:eastAsia="Arial" w:hAnsi="Arial"/>
          <w:sz w:val="16"/>
          <w:szCs w:val="16"/>
          <w:color w:val="BF2115"/>
        </w:rPr>
        <w:t xml:space="preserve"> </w:t>
      </w:r>
      <w:r>
        <w:rPr>
          <w:rFonts w:ascii="Arial" w:cs="Arial" w:eastAsia="Arial" w:hAnsi="Arial"/>
          <w:sz w:val="16"/>
          <w:szCs w:val="16"/>
          <w:color w:val="000000"/>
        </w:rPr>
        <w:t>the opportunity to utilize our recreational vehicles on a periodic and temporary basis. We encourage the executive to have a first-hand understanding of the recreational vehicle lifestyle experienced by our customers and to provide the executive with the opportunity to</w:t>
      </w:r>
    </w:p>
    <w:p>
      <w:pPr>
        <w:spacing w:after="0" w:line="200" w:lineRule="exact"/>
        <w:rPr>
          <w:sz w:val="20"/>
          <w:szCs w:val="20"/>
          <w:color w:val="auto"/>
        </w:rPr>
      </w:pPr>
    </w:p>
    <w:p>
      <w:pPr>
        <w:sectPr>
          <w:pgSz w:w="11900" w:h="16838" w:orient="portrait"/>
          <w:cols w:equalWidth="0" w:num="2">
            <w:col w:w="5460" w:space="480"/>
            <w:col w:w="5480"/>
          </w:cols>
          <w:pgMar w:left="240" w:top="303" w:right="239" w:bottom="1440" w:gutter="0" w:footer="0" w:header="0"/>
          <w:type w:val="continuous"/>
        </w:sectPr>
      </w:pPr>
    </w:p>
    <w:p>
      <w:pPr>
        <w:spacing w:after="0" w:line="39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25</w:t>
      </w:r>
    </w:p>
    <w:p>
      <w:pPr>
        <w:sectPr>
          <w:pgSz w:w="11900" w:h="16838" w:orient="portrait"/>
          <w:cols w:equalWidth="0" w:num="1">
            <w:col w:w="11420"/>
          </w:cols>
          <w:pgMar w:left="240" w:top="303" w:right="239" w:bottom="1440" w:gutter="0" w:footer="0" w:header="0"/>
          <w:type w:val="continuous"/>
        </w:sectPr>
      </w:pPr>
    </w:p>
    <w:bookmarkStart w:id="29" w:name="page30"/>
    <w:bookmarkEnd w:id="29"/>
    <w:p>
      <w:pPr>
        <w:ind w:left="40"/>
        <w:spacing w:after="0"/>
        <w:rPr>
          <w:rFonts w:ascii="Arial" w:cs="Arial" w:eastAsia="Arial" w:hAnsi="Arial"/>
          <w:sz w:val="16"/>
          <w:szCs w:val="16"/>
          <w:u w:val="single" w:color="auto"/>
          <w:color w:val="0000EE"/>
        </w:rPr>
      </w:pPr>
      <w:r>
        <w:rPr>
          <w:rFonts w:ascii="Arial" w:cs="Arial" w:eastAsia="Arial" w:hAnsi="Arial"/>
          <w:sz w:val="16"/>
          <w:szCs w:val="16"/>
          <w:u w:val="single" w:color="auto"/>
          <w:color w:val="0000EE"/>
        </w:rPr>
        <w:drawing>
          <wp:anchor simplePos="0" relativeHeight="251657728" behindDoc="1" locked="0" layoutInCell="0" allowOverlap="1">
            <wp:simplePos x="0" y="0"/>
            <wp:positionH relativeFrom="page">
              <wp:posOffset>5946140</wp:posOffset>
            </wp:positionH>
            <wp:positionV relativeFrom="page">
              <wp:posOffset>191770</wp:posOffset>
            </wp:positionV>
            <wp:extent cx="1440815" cy="20574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clrChange>
                        <a:clrFrom>
                          <a:srgbClr val="FFFFFF"/>
                        </a:clrFrom>
                        <a:clrTo>
                          <a:srgbClr val="FFFFFF">
                            <a:alpha val="0"/>
                          </a:srgbClr>
                        </a:clrTo>
                      </a:clrChange>
                      <a:extLst>
                        <a:ext uri="{28A0092B-C50C-407E-A947-70E740481C1C}"/>
                      </a:extLst>
                    </a:blip>
                    <a:srcRect/>
                    <a:stretch>
                      <a:fillRect/>
                    </a:stretch>
                  </pic:blipFill>
                  <pic:spPr bwMode="auto">
                    <a:xfrm>
                      <a:off x="0" y="0"/>
                      <a:ext cx="1440815" cy="205740"/>
                    </a:xfrm>
                    <a:prstGeom prst="rect">
                      <a:avLst/>
                    </a:prstGeom>
                    <a:noFill/>
                  </pic:spPr>
                </pic:pic>
              </a:graphicData>
            </a:graphic>
          </wp:anchor>
        </w:drawing>
      </w:r>
      <w:hyperlink w:anchor="page4">
        <w:r>
          <w:rPr>
            <w:rFonts w:ascii="Arial" w:cs="Arial" w:eastAsia="Arial" w:hAnsi="Arial"/>
            <w:sz w:val="16"/>
            <w:szCs w:val="16"/>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104775</wp:posOffset>
            </wp:positionV>
            <wp:extent cx="7246620" cy="889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31" w:lineRule="exact"/>
        <w:rPr>
          <w:sz w:val="20"/>
          <w:szCs w:val="20"/>
          <w:color w:val="auto"/>
        </w:rPr>
      </w:pPr>
    </w:p>
    <w:p>
      <w:pPr>
        <w:ind w:left="660"/>
        <w:spacing w:after="0"/>
        <w:tabs>
          <w:tab w:leader="none" w:pos="6580" w:val="left"/>
        </w:tabs>
        <w:rPr>
          <w:sz w:val="20"/>
          <w:szCs w:val="20"/>
          <w:color w:val="auto"/>
        </w:rPr>
      </w:pPr>
      <w:r>
        <w:rPr>
          <w:rFonts w:ascii="Arial" w:cs="Arial" w:eastAsia="Arial" w:hAnsi="Arial"/>
          <w:sz w:val="16"/>
          <w:szCs w:val="16"/>
          <w:color w:val="auto"/>
        </w:rPr>
        <w:t>evaluate product design and efficiency.</w:t>
      </w:r>
      <w:r>
        <w:rPr>
          <w:sz w:val="20"/>
          <w:szCs w:val="20"/>
          <w:color w:val="auto"/>
        </w:rPr>
        <w:tab/>
      </w:r>
      <w:r>
        <w:rPr>
          <w:rFonts w:ascii="Arial" w:cs="Arial" w:eastAsia="Arial" w:hAnsi="Arial"/>
          <w:sz w:val="16"/>
          <w:szCs w:val="16"/>
          <w:color w:val="auto"/>
        </w:rPr>
        <w:t>frequent travel is required.</w:t>
      </w:r>
    </w:p>
    <w:p>
      <w:pPr>
        <w:spacing w:after="0" w:line="46" w:lineRule="exact"/>
        <w:rPr>
          <w:sz w:val="20"/>
          <w:szCs w:val="20"/>
          <w:color w:val="auto"/>
        </w:rPr>
      </w:pPr>
    </w:p>
    <w:p>
      <w:pPr>
        <w:ind w:left="340"/>
        <w:spacing w:after="0"/>
        <w:tabs>
          <w:tab w:leader="none" w:pos="640" w:val="left"/>
          <w:tab w:leader="none" w:pos="6240" w:val="left"/>
          <w:tab w:leader="none" w:pos="6580" w:val="left"/>
        </w:tabs>
        <w:rPr>
          <w:sz w:val="20"/>
          <w:szCs w:val="20"/>
          <w:color w:val="auto"/>
        </w:rPr>
      </w:pPr>
      <w:r>
        <w:rPr>
          <w:rFonts w:ascii="Arial" w:cs="Arial" w:eastAsia="Arial" w:hAnsi="Arial"/>
          <w:sz w:val="16"/>
          <w:szCs w:val="16"/>
          <w:color w:val="auto"/>
        </w:rPr>
        <w:t>•</w:t>
      </w:r>
      <w:r>
        <w:rPr>
          <w:sz w:val="20"/>
          <w:szCs w:val="20"/>
          <w:color w:val="auto"/>
        </w:rPr>
        <w:tab/>
      </w:r>
      <w:r>
        <w:rPr>
          <w:rFonts w:ascii="Arial" w:cs="Arial" w:eastAsia="Arial" w:hAnsi="Arial"/>
          <w:sz w:val="16"/>
          <w:szCs w:val="16"/>
          <w:color w:val="BF2115"/>
        </w:rPr>
        <w:t xml:space="preserve">Company Aircraft. </w:t>
      </w:r>
      <w:r>
        <w:rPr>
          <w:rFonts w:ascii="Arial" w:cs="Arial" w:eastAsia="Arial" w:hAnsi="Arial"/>
          <w:sz w:val="16"/>
          <w:szCs w:val="16"/>
          <w:color w:val="000000"/>
        </w:rPr>
        <w:t>Our aircraft, which was only in service for</w:t>
      </w:r>
      <w:r>
        <w:rPr>
          <w:sz w:val="20"/>
          <w:szCs w:val="20"/>
          <w:color w:val="auto"/>
        </w:rPr>
        <w:tab/>
      </w:r>
      <w:r>
        <w:rPr>
          <w:rFonts w:ascii="Arial" w:cs="Arial" w:eastAsia="Arial" w:hAnsi="Arial"/>
          <w:sz w:val="16"/>
          <w:szCs w:val="16"/>
          <w:color w:val="auto"/>
        </w:rPr>
        <w:t>•</w:t>
      </w:r>
      <w:r>
        <w:rPr>
          <w:sz w:val="20"/>
          <w:szCs w:val="20"/>
          <w:color w:val="auto"/>
        </w:rPr>
        <w:tab/>
      </w:r>
      <w:r>
        <w:rPr>
          <w:rFonts w:ascii="Arial" w:cs="Arial" w:eastAsia="Arial" w:hAnsi="Arial"/>
          <w:sz w:val="16"/>
          <w:szCs w:val="16"/>
          <w:color w:val="BF2115"/>
        </w:rPr>
        <w:t xml:space="preserve">Financial &amp; Tax Planning. </w:t>
      </w:r>
      <w:r>
        <w:rPr>
          <w:rFonts w:ascii="Arial" w:cs="Arial" w:eastAsia="Arial" w:hAnsi="Arial"/>
          <w:sz w:val="16"/>
          <w:szCs w:val="16"/>
          <w:color w:val="000000"/>
        </w:rPr>
        <w:t>To address complex tax and financial</w:t>
      </w:r>
    </w:p>
    <w:p>
      <w:pPr>
        <w:spacing w:after="0" w:line="5" w:lineRule="exact"/>
        <w:rPr>
          <w:sz w:val="20"/>
          <w:szCs w:val="20"/>
          <w:color w:val="auto"/>
        </w:rPr>
      </w:pPr>
    </w:p>
    <w:p>
      <w:pPr>
        <w:ind w:left="660"/>
        <w:spacing w:after="0"/>
        <w:tabs>
          <w:tab w:leader="none" w:pos="6580" w:val="left"/>
        </w:tabs>
        <w:rPr>
          <w:sz w:val="20"/>
          <w:szCs w:val="20"/>
          <w:color w:val="auto"/>
        </w:rPr>
      </w:pPr>
      <w:r>
        <w:rPr>
          <w:rFonts w:ascii="Arial" w:cs="Arial" w:eastAsia="Arial" w:hAnsi="Arial"/>
          <w:sz w:val="16"/>
          <w:szCs w:val="16"/>
          <w:color w:val="auto"/>
        </w:rPr>
        <w:t>approximately 6 weeks during Fiscal 2018, is intended to be used</w:t>
      </w:r>
      <w:r>
        <w:rPr>
          <w:sz w:val="20"/>
          <w:szCs w:val="20"/>
          <w:color w:val="auto"/>
        </w:rPr>
        <w:tab/>
      </w:r>
      <w:r>
        <w:rPr>
          <w:rFonts w:ascii="Arial" w:cs="Arial" w:eastAsia="Arial" w:hAnsi="Arial"/>
          <w:sz w:val="16"/>
          <w:szCs w:val="16"/>
          <w:color w:val="auto"/>
        </w:rPr>
        <w:t>situations, a tax and financial planning payment is provided.</w:t>
      </w:r>
    </w:p>
    <w:p>
      <w:pPr>
        <w:spacing w:after="0" w:line="5" w:lineRule="exact"/>
        <w:rPr>
          <w:sz w:val="20"/>
          <w:szCs w:val="20"/>
          <w:color w:val="auto"/>
        </w:rPr>
      </w:pPr>
    </w:p>
    <w:p>
      <w:pPr>
        <w:ind w:left="660"/>
        <w:spacing w:after="0"/>
        <w:rPr>
          <w:sz w:val="20"/>
          <w:szCs w:val="20"/>
          <w:color w:val="auto"/>
        </w:rPr>
      </w:pPr>
      <w:r>
        <w:rPr>
          <w:rFonts w:ascii="Arial" w:cs="Arial" w:eastAsia="Arial" w:hAnsi="Arial"/>
          <w:sz w:val="16"/>
          <w:szCs w:val="16"/>
          <w:color w:val="auto"/>
        </w:rPr>
        <w:t>only in the conduct of official Company business and was only</w:t>
      </w:r>
    </w:p>
    <w:p>
      <w:pPr>
        <w:spacing w:after="0" w:line="5" w:lineRule="exact"/>
        <w:rPr>
          <w:sz w:val="20"/>
          <w:szCs w:val="20"/>
          <w:color w:val="auto"/>
        </w:rPr>
      </w:pPr>
    </w:p>
    <w:p>
      <w:pPr>
        <w:ind w:left="660"/>
        <w:spacing w:after="0"/>
        <w:rPr>
          <w:sz w:val="20"/>
          <w:szCs w:val="20"/>
          <w:color w:val="auto"/>
        </w:rPr>
      </w:pPr>
      <w:r>
        <w:rPr>
          <w:rFonts w:ascii="Arial" w:cs="Arial" w:eastAsia="Arial" w:hAnsi="Arial"/>
          <w:sz w:val="16"/>
          <w:szCs w:val="16"/>
          <w:color w:val="auto"/>
        </w:rPr>
        <w:t>used for official Company business during Fiscal 2018.</w:t>
      </w:r>
    </w:p>
    <w:p>
      <w:pPr>
        <w:spacing w:after="0" w:line="5" w:lineRule="exact"/>
        <w:rPr>
          <w:sz w:val="20"/>
          <w:szCs w:val="20"/>
          <w:color w:val="auto"/>
        </w:rPr>
      </w:pPr>
    </w:p>
    <w:p>
      <w:pPr>
        <w:ind w:left="340"/>
        <w:spacing w:after="0"/>
        <w:tabs>
          <w:tab w:leader="none" w:pos="640" w:val="left"/>
        </w:tabs>
        <w:rPr>
          <w:sz w:val="20"/>
          <w:szCs w:val="20"/>
          <w:color w:val="auto"/>
        </w:rPr>
      </w:pPr>
      <w:r>
        <w:rPr>
          <w:rFonts w:ascii="Arial" w:cs="Arial" w:eastAsia="Arial" w:hAnsi="Arial"/>
          <w:sz w:val="16"/>
          <w:szCs w:val="16"/>
          <w:color w:val="auto"/>
        </w:rPr>
        <w:t>•</w:t>
      </w:r>
      <w:r>
        <w:rPr>
          <w:sz w:val="20"/>
          <w:szCs w:val="20"/>
          <w:color w:val="auto"/>
        </w:rPr>
        <w:tab/>
      </w:r>
      <w:r>
        <w:rPr>
          <w:rFonts w:ascii="Arial" w:cs="Arial" w:eastAsia="Arial" w:hAnsi="Arial"/>
          <w:sz w:val="16"/>
          <w:szCs w:val="16"/>
          <w:color w:val="BF2115"/>
        </w:rPr>
        <w:t xml:space="preserve">Car Allowance. </w:t>
      </w:r>
      <w:r>
        <w:rPr>
          <w:rFonts w:ascii="Arial" w:cs="Arial" w:eastAsia="Arial" w:hAnsi="Arial"/>
          <w:sz w:val="16"/>
          <w:szCs w:val="16"/>
          <w:color w:val="000000"/>
        </w:rPr>
        <w:t>A car allowance is provided 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194945</wp:posOffset>
            </wp:positionV>
            <wp:extent cx="7272020" cy="425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spacing w:after="0"/>
        <w:rPr>
          <w:sz w:val="20"/>
          <w:szCs w:val="20"/>
          <w:color w:val="auto"/>
        </w:rPr>
      </w:pPr>
      <w:r>
        <w:rPr>
          <w:rFonts w:ascii="Arial" w:cs="Arial" w:eastAsia="Arial" w:hAnsi="Arial"/>
          <w:sz w:val="29"/>
          <w:szCs w:val="29"/>
          <w:color w:val="BF2115"/>
        </w:rPr>
        <w:t>Additional Compensation Policies</w:t>
      </w:r>
    </w:p>
    <w:p>
      <w:pPr>
        <w:spacing w:after="0" w:line="285" w:lineRule="exact"/>
        <w:rPr>
          <w:sz w:val="20"/>
          <w:szCs w:val="20"/>
          <w:color w:val="auto"/>
        </w:rPr>
      </w:pPr>
    </w:p>
    <w:p>
      <w:pPr>
        <w:spacing w:after="0"/>
        <w:rPr>
          <w:sz w:val="20"/>
          <w:szCs w:val="20"/>
          <w:color w:val="auto"/>
        </w:rPr>
      </w:pPr>
      <w:r>
        <w:rPr>
          <w:rFonts w:ascii="Arial" w:cs="Arial" w:eastAsia="Arial" w:hAnsi="Arial"/>
          <w:sz w:val="22"/>
          <w:szCs w:val="22"/>
          <w:color w:val="828282"/>
        </w:rPr>
        <w:t>Stock Ownership Guidelines</w:t>
      </w:r>
    </w:p>
    <w:p>
      <w:pPr>
        <w:spacing w:after="0" w:line="188" w:lineRule="exact"/>
        <w:rPr>
          <w:sz w:val="20"/>
          <w:szCs w:val="20"/>
          <w:color w:val="auto"/>
        </w:rPr>
      </w:pPr>
    </w:p>
    <w:p>
      <w:pPr>
        <w:jc w:val="both"/>
        <w:spacing w:after="0" w:line="251" w:lineRule="auto"/>
        <w:rPr>
          <w:sz w:val="20"/>
          <w:szCs w:val="20"/>
          <w:color w:val="auto"/>
        </w:rPr>
      </w:pPr>
      <w:r>
        <w:rPr>
          <w:rFonts w:ascii="Arial" w:cs="Arial" w:eastAsia="Arial" w:hAnsi="Arial"/>
          <w:sz w:val="16"/>
          <w:szCs w:val="16"/>
          <w:color w:val="auto"/>
        </w:rPr>
        <w:t>The Committee has adopted Stock Ownership Guidelines for executives. In general, each executive has five years from the date he or she becomes an executive to accumulate the appropriate number of shares. In addition, each executive is required to retain 50% of any after tax shares received from the vesting of awards or exercise of stock options until his or her ownership guideline is met. The purpose of the guidelines is to encourage our executive officers to own and retain Company shares, thereby aligning their interests with our shareholders.</w:t>
      </w:r>
    </w:p>
    <w:p>
      <w:pPr>
        <w:spacing w:after="0" w:line="81"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We review our stock ownership guidelines on a periodic basis. During our most recent evaluation in Fiscal 2018, we increased our CEO's ownership multiple from 4x to 5x base salary to align more closely with current market practices. The table below describes the current ownership guidelines for the NEOs. Each of our NEOs has either met his or her stock ownership guideline goal or is on track to meet this goal within the prescribed five-year time frame.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1694815</wp:posOffset>
            </wp:positionH>
            <wp:positionV relativeFrom="paragraph">
              <wp:posOffset>212725</wp:posOffset>
            </wp:positionV>
            <wp:extent cx="3876040" cy="33464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3876040" cy="334645"/>
                    </a:xfrm>
                    <a:prstGeom prst="rect">
                      <a:avLst/>
                    </a:prstGeom>
                    <a:noFill/>
                  </pic:spPr>
                </pic:pic>
              </a:graphicData>
            </a:graphic>
          </wp:anchor>
        </w:drawing>
      </w:r>
    </w:p>
    <w:p>
      <w:pPr>
        <w:spacing w:after="0" w:line="357" w:lineRule="exact"/>
        <w:rPr>
          <w:sz w:val="20"/>
          <w:szCs w:val="20"/>
          <w:color w:val="auto"/>
        </w:rPr>
      </w:pPr>
    </w:p>
    <w:p>
      <w:pPr>
        <w:ind w:left="6300"/>
        <w:spacing w:after="0"/>
        <w:rPr>
          <w:sz w:val="20"/>
          <w:szCs w:val="20"/>
          <w:color w:val="auto"/>
        </w:rPr>
      </w:pPr>
      <w:r>
        <w:rPr>
          <w:rFonts w:ascii="Arial" w:cs="Arial" w:eastAsia="Arial" w:hAnsi="Arial"/>
          <w:sz w:val="16"/>
          <w:szCs w:val="16"/>
          <w:color w:val="FFFFFF"/>
        </w:rPr>
        <w:t>Stock Ownership Guideline</w:t>
      </w:r>
    </w:p>
    <w:p>
      <w:pPr>
        <w:spacing w:after="0" w:line="44" w:lineRule="exact"/>
        <w:rPr>
          <w:sz w:val="20"/>
          <w:szCs w:val="20"/>
          <w:color w:val="auto"/>
        </w:rPr>
      </w:pPr>
    </w:p>
    <w:tbl>
      <w:tblPr>
        <w:tblLayout w:type="fixed"/>
        <w:tblInd w:w="0" w:type="dxa"/>
        <w:tblCellMar>
          <w:top w:w="0" w:type="dxa"/>
          <w:left w:w="0" w:type="dxa"/>
          <w:bottom w:w="0" w:type="dxa"/>
          <w:right w:w="0" w:type="dxa"/>
        </w:tblCellMar>
      </w:tblPr>
      <w:tr>
        <w:trPr>
          <w:trHeight w:val="257"/>
        </w:trPr>
        <w:tc>
          <w:tcPr>
            <w:tcW w:w="2660" w:type="dxa"/>
            <w:vAlign w:val="bottom"/>
          </w:tcPr>
          <w:p>
            <w:pPr>
              <w:spacing w:after="0"/>
              <w:rPr>
                <w:sz w:val="22"/>
                <w:szCs w:val="22"/>
                <w:color w:val="auto"/>
              </w:rPr>
            </w:pPr>
          </w:p>
        </w:tc>
        <w:tc>
          <w:tcPr>
            <w:tcW w:w="3120" w:type="dxa"/>
            <w:vAlign w:val="bottom"/>
          </w:tcPr>
          <w:p>
            <w:pPr>
              <w:ind w:left="20"/>
              <w:spacing w:after="0"/>
              <w:rPr>
                <w:sz w:val="20"/>
                <w:szCs w:val="20"/>
                <w:color w:val="auto"/>
              </w:rPr>
            </w:pPr>
            <w:r>
              <w:rPr>
                <w:rFonts w:ascii="Arial" w:cs="Arial" w:eastAsia="Arial" w:hAnsi="Arial"/>
                <w:sz w:val="16"/>
                <w:szCs w:val="16"/>
                <w:color w:val="FFFFFF"/>
              </w:rPr>
              <w:t>Name</w:t>
            </w:r>
          </w:p>
        </w:tc>
        <w:tc>
          <w:tcPr>
            <w:tcW w:w="1540" w:type="dxa"/>
            <w:vAlign w:val="bottom"/>
            <w:shd w:val="clear" w:color="auto" w:fill="BF2115"/>
          </w:tcPr>
          <w:p>
            <w:pPr>
              <w:jc w:val="center"/>
              <w:spacing w:after="0"/>
              <w:rPr>
                <w:sz w:val="20"/>
                <w:szCs w:val="20"/>
                <w:color w:val="auto"/>
              </w:rPr>
            </w:pPr>
            <w:r>
              <w:rPr>
                <w:rFonts w:ascii="Arial" w:cs="Arial" w:eastAsia="Arial" w:hAnsi="Arial"/>
                <w:sz w:val="16"/>
                <w:szCs w:val="16"/>
                <w:color w:val="FFFFFF"/>
              </w:rPr>
              <w:t>% of Salary</w:t>
            </w:r>
          </w:p>
        </w:tc>
        <w:tc>
          <w:tcPr>
            <w:tcW w:w="1460" w:type="dxa"/>
            <w:vAlign w:val="bottom"/>
            <w:shd w:val="clear" w:color="auto" w:fill="BF2115"/>
          </w:tcPr>
          <w:p>
            <w:pPr>
              <w:jc w:val="center"/>
              <w:spacing w:after="0"/>
              <w:rPr>
                <w:sz w:val="20"/>
                <w:szCs w:val="20"/>
                <w:color w:val="auto"/>
              </w:rPr>
            </w:pPr>
            <w:r>
              <w:rPr>
                <w:rFonts w:ascii="Arial" w:cs="Arial" w:eastAsia="Arial" w:hAnsi="Arial"/>
                <w:sz w:val="16"/>
                <w:szCs w:val="16"/>
                <w:color w:val="FFFFFF"/>
                <w:w w:val="99"/>
              </w:rPr>
              <w:t>$ Value</w:t>
            </w:r>
          </w:p>
        </w:tc>
        <w:tc>
          <w:tcPr>
            <w:tcW w:w="2640" w:type="dxa"/>
            <w:vAlign w:val="bottom"/>
          </w:tcPr>
          <w:p>
            <w:pPr>
              <w:spacing w:after="0"/>
              <w:rPr>
                <w:sz w:val="22"/>
                <w:szCs w:val="22"/>
                <w:color w:val="auto"/>
              </w:rPr>
            </w:pPr>
          </w:p>
        </w:tc>
      </w:tr>
      <w:tr>
        <w:trPr>
          <w:trHeight w:val="233"/>
        </w:trPr>
        <w:tc>
          <w:tcPr>
            <w:tcW w:w="2660" w:type="dxa"/>
            <w:vAlign w:val="bottom"/>
          </w:tcPr>
          <w:p>
            <w:pPr>
              <w:spacing w:after="0"/>
              <w:rPr>
                <w:sz w:val="20"/>
                <w:szCs w:val="20"/>
                <w:color w:val="auto"/>
              </w:rPr>
            </w:pPr>
          </w:p>
        </w:tc>
        <w:tc>
          <w:tcPr>
            <w:tcW w:w="3120" w:type="dxa"/>
            <w:vAlign w:val="bottom"/>
          </w:tcPr>
          <w:p>
            <w:pPr>
              <w:ind w:left="20"/>
              <w:spacing w:after="0"/>
              <w:rPr>
                <w:sz w:val="20"/>
                <w:szCs w:val="20"/>
                <w:color w:val="auto"/>
              </w:rPr>
            </w:pPr>
            <w:r>
              <w:rPr>
                <w:rFonts w:ascii="Arial" w:cs="Arial" w:eastAsia="Arial" w:hAnsi="Arial"/>
                <w:sz w:val="16"/>
                <w:szCs w:val="16"/>
                <w:color w:val="auto"/>
              </w:rPr>
              <w:t>Michael J. Happe</w:t>
            </w:r>
          </w:p>
        </w:tc>
        <w:tc>
          <w:tcPr>
            <w:tcW w:w="1540" w:type="dxa"/>
            <w:vAlign w:val="bottom"/>
          </w:tcPr>
          <w:p>
            <w:pPr>
              <w:jc w:val="center"/>
              <w:spacing w:after="0"/>
              <w:rPr>
                <w:sz w:val="20"/>
                <w:szCs w:val="20"/>
                <w:color w:val="auto"/>
              </w:rPr>
            </w:pPr>
            <w:r>
              <w:rPr>
                <w:rFonts w:ascii="Arial" w:cs="Arial" w:eastAsia="Arial" w:hAnsi="Arial"/>
                <w:sz w:val="16"/>
                <w:szCs w:val="16"/>
                <w:color w:val="auto"/>
              </w:rPr>
              <w:t>500%</w:t>
            </w:r>
          </w:p>
        </w:tc>
        <w:tc>
          <w:tcPr>
            <w:tcW w:w="1460" w:type="dxa"/>
            <w:vAlign w:val="bottom"/>
          </w:tcPr>
          <w:p>
            <w:pPr>
              <w:jc w:val="center"/>
              <w:spacing w:after="0"/>
              <w:rPr>
                <w:sz w:val="20"/>
                <w:szCs w:val="20"/>
                <w:color w:val="auto"/>
              </w:rPr>
            </w:pPr>
            <w:r>
              <w:rPr>
                <w:rFonts w:ascii="Arial" w:cs="Arial" w:eastAsia="Arial" w:hAnsi="Arial"/>
                <w:sz w:val="16"/>
                <w:szCs w:val="16"/>
                <w:color w:val="auto"/>
              </w:rPr>
              <w:t>3,125,000</w:t>
            </w:r>
          </w:p>
        </w:tc>
        <w:tc>
          <w:tcPr>
            <w:tcW w:w="2640" w:type="dxa"/>
            <w:vAlign w:val="bottom"/>
          </w:tcPr>
          <w:p>
            <w:pPr>
              <w:spacing w:after="0"/>
              <w:rPr>
                <w:sz w:val="20"/>
                <w:szCs w:val="20"/>
                <w:color w:val="auto"/>
              </w:rPr>
            </w:pPr>
          </w:p>
        </w:tc>
      </w:tr>
      <w:tr>
        <w:trPr>
          <w:trHeight w:val="253"/>
        </w:trPr>
        <w:tc>
          <w:tcPr>
            <w:tcW w:w="2660" w:type="dxa"/>
            <w:vAlign w:val="bottom"/>
          </w:tcPr>
          <w:p>
            <w:pPr>
              <w:spacing w:after="0"/>
              <w:rPr>
                <w:sz w:val="21"/>
                <w:szCs w:val="21"/>
                <w:color w:val="auto"/>
              </w:rPr>
            </w:pPr>
          </w:p>
        </w:tc>
        <w:tc>
          <w:tcPr>
            <w:tcW w:w="3120" w:type="dxa"/>
            <w:vAlign w:val="bottom"/>
            <w:shd w:val="clear" w:color="auto" w:fill="ACACAC"/>
          </w:tcPr>
          <w:p>
            <w:pPr>
              <w:ind w:left="20"/>
              <w:spacing w:after="0"/>
              <w:rPr>
                <w:sz w:val="20"/>
                <w:szCs w:val="20"/>
                <w:color w:val="auto"/>
              </w:rPr>
            </w:pPr>
            <w:r>
              <w:rPr>
                <w:rFonts w:ascii="Arial" w:cs="Arial" w:eastAsia="Arial" w:hAnsi="Arial"/>
                <w:sz w:val="16"/>
                <w:szCs w:val="16"/>
                <w:color w:val="auto"/>
              </w:rPr>
              <w:t>Bryan L. Hughes</w:t>
            </w:r>
          </w:p>
        </w:tc>
        <w:tc>
          <w:tcPr>
            <w:tcW w:w="1540" w:type="dxa"/>
            <w:vAlign w:val="bottom"/>
            <w:shd w:val="clear" w:color="auto" w:fill="ACACAC"/>
          </w:tcPr>
          <w:p>
            <w:pPr>
              <w:jc w:val="center"/>
              <w:spacing w:after="0"/>
              <w:rPr>
                <w:sz w:val="20"/>
                <w:szCs w:val="20"/>
                <w:color w:val="auto"/>
              </w:rPr>
            </w:pPr>
            <w:r>
              <w:rPr>
                <w:rFonts w:ascii="Arial" w:cs="Arial" w:eastAsia="Arial" w:hAnsi="Arial"/>
                <w:sz w:val="16"/>
                <w:szCs w:val="16"/>
                <w:color w:val="auto"/>
              </w:rPr>
              <w:t>250%</w:t>
            </w:r>
          </w:p>
        </w:tc>
        <w:tc>
          <w:tcPr>
            <w:tcW w:w="1460" w:type="dxa"/>
            <w:vAlign w:val="bottom"/>
            <w:shd w:val="clear" w:color="auto" w:fill="ACACAC"/>
          </w:tcPr>
          <w:p>
            <w:pPr>
              <w:jc w:val="center"/>
              <w:spacing w:after="0"/>
              <w:rPr>
                <w:sz w:val="20"/>
                <w:szCs w:val="20"/>
                <w:color w:val="auto"/>
              </w:rPr>
            </w:pPr>
            <w:r>
              <w:rPr>
                <w:rFonts w:ascii="Arial" w:cs="Arial" w:eastAsia="Arial" w:hAnsi="Arial"/>
                <w:sz w:val="16"/>
                <w:szCs w:val="16"/>
                <w:color w:val="auto"/>
              </w:rPr>
              <w:t>1,153,125</w:t>
            </w:r>
          </w:p>
        </w:tc>
        <w:tc>
          <w:tcPr>
            <w:tcW w:w="2640" w:type="dxa"/>
            <w:vAlign w:val="bottom"/>
          </w:tcPr>
          <w:p>
            <w:pPr>
              <w:spacing w:after="0"/>
              <w:rPr>
                <w:sz w:val="21"/>
                <w:szCs w:val="21"/>
                <w:color w:val="auto"/>
              </w:rPr>
            </w:pPr>
          </w:p>
        </w:tc>
      </w:tr>
      <w:tr>
        <w:trPr>
          <w:trHeight w:val="233"/>
        </w:trPr>
        <w:tc>
          <w:tcPr>
            <w:tcW w:w="2660" w:type="dxa"/>
            <w:vAlign w:val="bottom"/>
          </w:tcPr>
          <w:p>
            <w:pPr>
              <w:spacing w:after="0"/>
              <w:rPr>
                <w:sz w:val="20"/>
                <w:szCs w:val="20"/>
                <w:color w:val="auto"/>
              </w:rPr>
            </w:pPr>
          </w:p>
        </w:tc>
        <w:tc>
          <w:tcPr>
            <w:tcW w:w="3120" w:type="dxa"/>
            <w:vAlign w:val="bottom"/>
          </w:tcPr>
          <w:p>
            <w:pPr>
              <w:ind w:left="20"/>
              <w:spacing w:after="0"/>
              <w:rPr>
                <w:sz w:val="20"/>
                <w:szCs w:val="20"/>
                <w:color w:val="auto"/>
              </w:rPr>
            </w:pPr>
            <w:r>
              <w:rPr>
                <w:rFonts w:ascii="Arial" w:cs="Arial" w:eastAsia="Arial" w:hAnsi="Arial"/>
                <w:sz w:val="16"/>
                <w:szCs w:val="16"/>
                <w:color w:val="auto"/>
              </w:rPr>
              <w:t>Stacy L. Bogart</w:t>
            </w:r>
          </w:p>
        </w:tc>
        <w:tc>
          <w:tcPr>
            <w:tcW w:w="1540" w:type="dxa"/>
            <w:vAlign w:val="bottom"/>
          </w:tcPr>
          <w:p>
            <w:pPr>
              <w:jc w:val="center"/>
              <w:spacing w:after="0"/>
              <w:rPr>
                <w:sz w:val="20"/>
                <w:szCs w:val="20"/>
                <w:color w:val="auto"/>
              </w:rPr>
            </w:pPr>
            <w:r>
              <w:rPr>
                <w:rFonts w:ascii="Arial" w:cs="Arial" w:eastAsia="Arial" w:hAnsi="Arial"/>
                <w:sz w:val="16"/>
                <w:szCs w:val="16"/>
                <w:color w:val="auto"/>
              </w:rPr>
              <w:t>250%</w:t>
            </w:r>
          </w:p>
        </w:tc>
        <w:tc>
          <w:tcPr>
            <w:tcW w:w="1460" w:type="dxa"/>
            <w:vAlign w:val="bottom"/>
          </w:tcPr>
          <w:p>
            <w:pPr>
              <w:jc w:val="center"/>
              <w:spacing w:after="0"/>
              <w:rPr>
                <w:sz w:val="20"/>
                <w:szCs w:val="20"/>
                <w:color w:val="auto"/>
              </w:rPr>
            </w:pPr>
            <w:r>
              <w:rPr>
                <w:rFonts w:ascii="Arial" w:cs="Arial" w:eastAsia="Arial" w:hAnsi="Arial"/>
                <w:sz w:val="16"/>
                <w:szCs w:val="16"/>
                <w:color w:val="auto"/>
              </w:rPr>
              <w:t>1,037,500</w:t>
            </w:r>
          </w:p>
        </w:tc>
        <w:tc>
          <w:tcPr>
            <w:tcW w:w="2640" w:type="dxa"/>
            <w:vAlign w:val="bottom"/>
          </w:tcPr>
          <w:p>
            <w:pPr>
              <w:spacing w:after="0"/>
              <w:rPr>
                <w:sz w:val="20"/>
                <w:szCs w:val="20"/>
                <w:color w:val="auto"/>
              </w:rPr>
            </w:pPr>
          </w:p>
        </w:tc>
      </w:tr>
      <w:tr>
        <w:trPr>
          <w:trHeight w:val="253"/>
        </w:trPr>
        <w:tc>
          <w:tcPr>
            <w:tcW w:w="2660" w:type="dxa"/>
            <w:vAlign w:val="bottom"/>
          </w:tcPr>
          <w:p>
            <w:pPr>
              <w:spacing w:after="0"/>
              <w:rPr>
                <w:sz w:val="21"/>
                <w:szCs w:val="21"/>
                <w:color w:val="auto"/>
              </w:rPr>
            </w:pPr>
          </w:p>
        </w:tc>
        <w:tc>
          <w:tcPr>
            <w:tcW w:w="3120" w:type="dxa"/>
            <w:vAlign w:val="bottom"/>
            <w:shd w:val="clear" w:color="auto" w:fill="ACACAC"/>
          </w:tcPr>
          <w:p>
            <w:pPr>
              <w:ind w:left="20"/>
              <w:spacing w:after="0"/>
              <w:rPr>
                <w:sz w:val="20"/>
                <w:szCs w:val="20"/>
                <w:color w:val="auto"/>
              </w:rPr>
            </w:pPr>
            <w:r>
              <w:rPr>
                <w:rFonts w:ascii="Arial" w:cs="Arial" w:eastAsia="Arial" w:hAnsi="Arial"/>
                <w:sz w:val="16"/>
                <w:szCs w:val="16"/>
                <w:color w:val="auto"/>
              </w:rPr>
              <w:t>Donald J. Clark</w:t>
            </w:r>
          </w:p>
        </w:tc>
        <w:tc>
          <w:tcPr>
            <w:tcW w:w="1540" w:type="dxa"/>
            <w:vAlign w:val="bottom"/>
            <w:shd w:val="clear" w:color="auto" w:fill="ACACAC"/>
          </w:tcPr>
          <w:p>
            <w:pPr>
              <w:jc w:val="center"/>
              <w:spacing w:after="0"/>
              <w:rPr>
                <w:sz w:val="20"/>
                <w:szCs w:val="20"/>
                <w:color w:val="auto"/>
              </w:rPr>
            </w:pPr>
            <w:r>
              <w:rPr>
                <w:rFonts w:ascii="Arial" w:cs="Arial" w:eastAsia="Arial" w:hAnsi="Arial"/>
                <w:sz w:val="16"/>
                <w:szCs w:val="16"/>
                <w:color w:val="auto"/>
              </w:rPr>
              <w:t>250%</w:t>
            </w:r>
          </w:p>
        </w:tc>
        <w:tc>
          <w:tcPr>
            <w:tcW w:w="1460" w:type="dxa"/>
            <w:vAlign w:val="bottom"/>
            <w:shd w:val="clear" w:color="auto" w:fill="ACACAC"/>
          </w:tcPr>
          <w:p>
            <w:pPr>
              <w:jc w:val="center"/>
              <w:spacing w:after="0"/>
              <w:rPr>
                <w:sz w:val="20"/>
                <w:szCs w:val="20"/>
                <w:color w:val="auto"/>
              </w:rPr>
            </w:pPr>
            <w:r>
              <w:rPr>
                <w:rFonts w:ascii="Arial" w:cs="Arial" w:eastAsia="Arial" w:hAnsi="Arial"/>
                <w:sz w:val="16"/>
                <w:szCs w:val="16"/>
                <w:color w:val="auto"/>
              </w:rPr>
              <w:t>1,000,000</w:t>
            </w:r>
          </w:p>
        </w:tc>
        <w:tc>
          <w:tcPr>
            <w:tcW w:w="2640" w:type="dxa"/>
            <w:vAlign w:val="bottom"/>
          </w:tcPr>
          <w:p>
            <w:pPr>
              <w:spacing w:after="0"/>
              <w:rPr>
                <w:sz w:val="21"/>
                <w:szCs w:val="21"/>
                <w:color w:val="auto"/>
              </w:rPr>
            </w:pPr>
          </w:p>
        </w:tc>
      </w:tr>
      <w:tr>
        <w:trPr>
          <w:trHeight w:val="224"/>
        </w:trPr>
        <w:tc>
          <w:tcPr>
            <w:tcW w:w="2660" w:type="dxa"/>
            <w:vAlign w:val="bottom"/>
          </w:tcPr>
          <w:p>
            <w:pPr>
              <w:spacing w:after="0"/>
              <w:rPr>
                <w:sz w:val="19"/>
                <w:szCs w:val="19"/>
                <w:color w:val="auto"/>
              </w:rPr>
            </w:pPr>
          </w:p>
        </w:tc>
        <w:tc>
          <w:tcPr>
            <w:tcW w:w="3120" w:type="dxa"/>
            <w:vAlign w:val="bottom"/>
          </w:tcPr>
          <w:p>
            <w:pPr>
              <w:ind w:left="20"/>
              <w:spacing w:after="0"/>
              <w:rPr>
                <w:sz w:val="20"/>
                <w:szCs w:val="20"/>
                <w:color w:val="auto"/>
              </w:rPr>
            </w:pPr>
            <w:r>
              <w:rPr>
                <w:rFonts w:ascii="Arial" w:cs="Arial" w:eastAsia="Arial" w:hAnsi="Arial"/>
                <w:sz w:val="16"/>
                <w:szCs w:val="16"/>
                <w:color w:val="auto"/>
              </w:rPr>
              <w:t>Brian D. Hazelton</w:t>
            </w:r>
          </w:p>
        </w:tc>
        <w:tc>
          <w:tcPr>
            <w:tcW w:w="1540" w:type="dxa"/>
            <w:vAlign w:val="bottom"/>
          </w:tcPr>
          <w:p>
            <w:pPr>
              <w:jc w:val="center"/>
              <w:spacing w:after="0"/>
              <w:rPr>
                <w:sz w:val="20"/>
                <w:szCs w:val="20"/>
                <w:color w:val="auto"/>
              </w:rPr>
            </w:pPr>
            <w:r>
              <w:rPr>
                <w:rFonts w:ascii="Arial" w:cs="Arial" w:eastAsia="Arial" w:hAnsi="Arial"/>
                <w:sz w:val="16"/>
                <w:szCs w:val="16"/>
                <w:color w:val="auto"/>
              </w:rPr>
              <w:t>250%</w:t>
            </w:r>
          </w:p>
        </w:tc>
        <w:tc>
          <w:tcPr>
            <w:tcW w:w="1460" w:type="dxa"/>
            <w:vAlign w:val="bottom"/>
          </w:tcPr>
          <w:p>
            <w:pPr>
              <w:jc w:val="center"/>
              <w:spacing w:after="0"/>
              <w:rPr>
                <w:sz w:val="20"/>
                <w:szCs w:val="20"/>
                <w:color w:val="auto"/>
              </w:rPr>
            </w:pPr>
            <w:r>
              <w:rPr>
                <w:rFonts w:ascii="Arial" w:cs="Arial" w:eastAsia="Arial" w:hAnsi="Arial"/>
                <w:sz w:val="16"/>
                <w:szCs w:val="16"/>
                <w:color w:val="auto"/>
              </w:rPr>
              <w:t>1,193,500</w:t>
            </w:r>
          </w:p>
        </w:tc>
        <w:tc>
          <w:tcPr>
            <w:tcW w:w="2640" w:type="dxa"/>
            <w:vAlign w:val="bottom"/>
          </w:tcPr>
          <w:p>
            <w:pPr>
              <w:spacing w:after="0"/>
              <w:rPr>
                <w:sz w:val="19"/>
                <w:szCs w:val="19"/>
                <w:color w:val="auto"/>
              </w:rPr>
            </w:pPr>
          </w:p>
        </w:tc>
      </w:tr>
      <w:tr>
        <w:trPr>
          <w:trHeight w:val="297"/>
        </w:trPr>
        <w:tc>
          <w:tcPr>
            <w:tcW w:w="2660" w:type="dxa"/>
            <w:vAlign w:val="bottom"/>
            <w:tcBorders>
              <w:bottom w:val="single" w:sz="8" w:color="9A9A9A"/>
            </w:tcBorders>
          </w:tcPr>
          <w:p>
            <w:pPr>
              <w:spacing w:after="0"/>
              <w:rPr>
                <w:sz w:val="24"/>
                <w:szCs w:val="24"/>
                <w:color w:val="auto"/>
              </w:rPr>
            </w:pPr>
          </w:p>
        </w:tc>
        <w:tc>
          <w:tcPr>
            <w:tcW w:w="3120" w:type="dxa"/>
            <w:vAlign w:val="bottom"/>
            <w:tcBorders>
              <w:bottom w:val="single" w:sz="8" w:color="9A9A9A"/>
            </w:tcBorders>
          </w:tcPr>
          <w:p>
            <w:pPr>
              <w:spacing w:after="0"/>
              <w:rPr>
                <w:sz w:val="24"/>
                <w:szCs w:val="24"/>
                <w:color w:val="auto"/>
              </w:rPr>
            </w:pPr>
          </w:p>
        </w:tc>
        <w:tc>
          <w:tcPr>
            <w:tcW w:w="1540" w:type="dxa"/>
            <w:vAlign w:val="bottom"/>
            <w:tcBorders>
              <w:bottom w:val="single" w:sz="8" w:color="9A9A9A"/>
            </w:tcBorders>
          </w:tcPr>
          <w:p>
            <w:pPr>
              <w:spacing w:after="0"/>
              <w:rPr>
                <w:sz w:val="24"/>
                <w:szCs w:val="24"/>
                <w:color w:val="auto"/>
              </w:rPr>
            </w:pPr>
          </w:p>
        </w:tc>
        <w:tc>
          <w:tcPr>
            <w:tcW w:w="1460" w:type="dxa"/>
            <w:vAlign w:val="bottom"/>
            <w:tcBorders>
              <w:bottom w:val="single" w:sz="8" w:color="9A9A9A"/>
            </w:tcBorders>
          </w:tcPr>
          <w:p>
            <w:pPr>
              <w:spacing w:after="0"/>
              <w:rPr>
                <w:sz w:val="24"/>
                <w:szCs w:val="24"/>
                <w:color w:val="auto"/>
              </w:rPr>
            </w:pPr>
          </w:p>
        </w:tc>
        <w:tc>
          <w:tcPr>
            <w:tcW w:w="26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7230110</wp:posOffset>
            </wp:positionH>
            <wp:positionV relativeFrom="paragraph">
              <wp:posOffset>-29210</wp:posOffset>
            </wp:positionV>
            <wp:extent cx="34290" cy="4254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20"/>
          </w:cols>
          <w:pgMar w:left="240" w:top="303" w:right="239" w:bottom="1440" w:gutter="0" w:footer="0" w:header="0"/>
        </w:sectPr>
      </w:pPr>
    </w:p>
    <w:p>
      <w:pPr>
        <w:spacing w:after="0" w:line="331" w:lineRule="exact"/>
        <w:rPr>
          <w:sz w:val="20"/>
          <w:szCs w:val="20"/>
          <w:color w:val="auto"/>
        </w:rPr>
      </w:pPr>
    </w:p>
    <w:p>
      <w:pPr>
        <w:spacing w:after="0"/>
        <w:rPr>
          <w:sz w:val="20"/>
          <w:szCs w:val="20"/>
          <w:color w:val="auto"/>
        </w:rPr>
      </w:pPr>
      <w:r>
        <w:rPr>
          <w:rFonts w:ascii="Arial" w:cs="Arial" w:eastAsia="Arial" w:hAnsi="Arial"/>
          <w:sz w:val="22"/>
          <w:szCs w:val="22"/>
          <w:color w:val="828282"/>
        </w:rPr>
        <w:t>Severance and Change in Control Arrangements</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828282"/>
        </w:rPr>
        <w:t>Employment Agreements</w:t>
      </w:r>
    </w:p>
    <w:p>
      <w:pPr>
        <w:spacing w:after="0" w:line="228" w:lineRule="exact"/>
        <w:rPr>
          <w:sz w:val="20"/>
          <w:szCs w:val="20"/>
          <w:color w:val="auto"/>
        </w:rPr>
      </w:pPr>
    </w:p>
    <w:p>
      <w:pPr>
        <w:jc w:val="both"/>
        <w:spacing w:after="0" w:line="251" w:lineRule="auto"/>
        <w:rPr>
          <w:sz w:val="20"/>
          <w:szCs w:val="20"/>
          <w:color w:val="auto"/>
        </w:rPr>
      </w:pPr>
      <w:r>
        <w:rPr>
          <w:rFonts w:ascii="Arial" w:cs="Arial" w:eastAsia="Arial" w:hAnsi="Arial"/>
          <w:sz w:val="16"/>
          <w:szCs w:val="16"/>
          <w:color w:val="auto"/>
        </w:rPr>
        <w:t>Mr. Happe and Mr. Clark are the only executives with individual employment agreements with the Company. In addition, these are the only agreements that provide for severance following a termination of employment outside of a change in control of the Company.</w:t>
      </w:r>
    </w:p>
    <w:p>
      <w:pPr>
        <w:spacing w:after="0" w:line="176"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auto"/>
        </w:rPr>
        <w:t>If Mr. Happe is terminated by the Company without “Cause” or terminates employment with the Company for “Good Reason” (as such terms are defined in his employment agreement), he is entitled to severance pay of his base salary for 12 months, health insurance for 12 months, accrued unused vacation pay and a pro-rata annual incentive bonus computed at target. Mr. Happe also is subject to one-year non-competition and non-solicitation covenants following termination of employment.</w:t>
      </w:r>
    </w:p>
    <w:p>
      <w:pPr>
        <w:spacing w:after="0" w:line="182" w:lineRule="exact"/>
        <w:rPr>
          <w:sz w:val="20"/>
          <w:szCs w:val="20"/>
          <w:color w:val="auto"/>
        </w:rPr>
      </w:pPr>
    </w:p>
    <w:p>
      <w:pPr>
        <w:spacing w:after="0"/>
        <w:rPr>
          <w:sz w:val="20"/>
          <w:szCs w:val="20"/>
          <w:color w:val="auto"/>
        </w:rPr>
      </w:pPr>
      <w:r>
        <w:rPr>
          <w:rFonts w:ascii="Arial" w:cs="Arial" w:eastAsia="Arial" w:hAnsi="Arial"/>
          <w:sz w:val="16"/>
          <w:szCs w:val="16"/>
          <w:color w:val="auto"/>
        </w:rPr>
        <w:t>If Mr. Clark is terminated by the Company without “Cause” or</w:t>
      </w:r>
    </w:p>
    <w:p>
      <w:pPr>
        <w:spacing w:after="0" w:line="20" w:lineRule="exact"/>
        <w:rPr>
          <w:sz w:val="20"/>
          <w:szCs w:val="20"/>
          <w:color w:val="auto"/>
        </w:rPr>
      </w:pPr>
      <w:r>
        <w:rPr>
          <w:sz w:val="20"/>
          <w:szCs w:val="20"/>
          <w:color w:val="auto"/>
        </w:rPr>
        <w:br w:type="column"/>
      </w:r>
    </w:p>
    <w:p>
      <w:pPr>
        <w:spacing w:after="0" w:line="306" w:lineRule="exact"/>
        <w:rPr>
          <w:sz w:val="20"/>
          <w:szCs w:val="20"/>
          <w:color w:val="auto"/>
        </w:rPr>
      </w:pPr>
    </w:p>
    <w:p>
      <w:pPr>
        <w:jc w:val="both"/>
        <w:ind w:left="320"/>
        <w:spacing w:after="0" w:line="249" w:lineRule="auto"/>
        <w:rPr>
          <w:sz w:val="20"/>
          <w:szCs w:val="20"/>
          <w:color w:val="auto"/>
        </w:rPr>
      </w:pPr>
      <w:r>
        <w:rPr>
          <w:rFonts w:ascii="Arial" w:cs="Arial" w:eastAsia="Arial" w:hAnsi="Arial"/>
          <w:sz w:val="16"/>
          <w:szCs w:val="16"/>
          <w:color w:val="auto"/>
        </w:rPr>
        <w:t>terminates employment with the Company for “Good Reason” (as such terms are defined in his employment agreement), he is entitled to severance pay of his base salary for 12 months and any earned but unpaid incentive bonus due under the Grand Design Management Incentive Plan through the fiscal quarter in which the termination occurred. Mr. Clark is subject to a non-compete and non-solicitation covenant that terminates in November 2021.</w:t>
      </w:r>
    </w:p>
    <w:p>
      <w:pPr>
        <w:spacing w:after="0" w:line="392" w:lineRule="exact"/>
        <w:rPr>
          <w:sz w:val="20"/>
          <w:szCs w:val="20"/>
          <w:color w:val="auto"/>
        </w:rPr>
      </w:pPr>
    </w:p>
    <w:p>
      <w:pPr>
        <w:ind w:left="320"/>
        <w:spacing w:after="0"/>
        <w:rPr>
          <w:sz w:val="20"/>
          <w:szCs w:val="20"/>
          <w:color w:val="auto"/>
        </w:rPr>
      </w:pPr>
      <w:r>
        <w:rPr>
          <w:rFonts w:ascii="Arial" w:cs="Arial" w:eastAsia="Arial" w:hAnsi="Arial"/>
          <w:sz w:val="18"/>
          <w:szCs w:val="18"/>
          <w:color w:val="828282"/>
        </w:rPr>
        <w:t>Executive Change in Control Agreement</w:t>
      </w:r>
    </w:p>
    <w:p>
      <w:pPr>
        <w:spacing w:after="0" w:line="228" w:lineRule="exact"/>
        <w:rPr>
          <w:sz w:val="20"/>
          <w:szCs w:val="20"/>
          <w:color w:val="auto"/>
        </w:rPr>
      </w:pPr>
    </w:p>
    <w:p>
      <w:pPr>
        <w:ind w:left="320" w:right="280"/>
        <w:spacing w:after="0" w:line="260" w:lineRule="auto"/>
        <w:rPr>
          <w:sz w:val="20"/>
          <w:szCs w:val="20"/>
          <w:color w:val="auto"/>
        </w:rPr>
      </w:pPr>
      <w:r>
        <w:rPr>
          <w:rFonts w:ascii="Arial" w:cs="Arial" w:eastAsia="Arial" w:hAnsi="Arial"/>
          <w:sz w:val="16"/>
          <w:szCs w:val="16"/>
          <w:color w:val="auto"/>
        </w:rPr>
        <w:t>Each of the NEOs, including Mr. Happe and Mr. Clark, have also entered into an Executive Change of Control Agreement with the Company.</w:t>
      </w:r>
    </w:p>
    <w:p>
      <w:pPr>
        <w:spacing w:after="0" w:line="169" w:lineRule="exact"/>
        <w:rPr>
          <w:sz w:val="20"/>
          <w:szCs w:val="20"/>
          <w:color w:val="auto"/>
        </w:rPr>
      </w:pPr>
    </w:p>
    <w:p>
      <w:pPr>
        <w:ind w:left="320" w:right="80"/>
        <w:spacing w:after="0" w:line="249" w:lineRule="auto"/>
        <w:rPr>
          <w:sz w:val="20"/>
          <w:szCs w:val="20"/>
          <w:color w:val="auto"/>
        </w:rPr>
      </w:pPr>
      <w:r>
        <w:rPr>
          <w:rFonts w:ascii="Arial" w:cs="Arial" w:eastAsia="Arial" w:hAnsi="Arial"/>
          <w:sz w:val="16"/>
          <w:szCs w:val="16"/>
          <w:color w:val="auto"/>
        </w:rPr>
        <w:t>The Executive Change of Control Agreements generally provide that, in the event of a termination of the executive's employment (for a reason other than death, disability, willful misconduct, normal retirement or, under certain circumstances, a voluntary termination of employment by the executive) within two years of a change of control, such executive will receive a cash severance payment and</w:t>
      </w:r>
    </w:p>
    <w:p>
      <w:pPr>
        <w:spacing w:after="0" w:line="232" w:lineRule="exact"/>
        <w:rPr>
          <w:sz w:val="20"/>
          <w:szCs w:val="20"/>
          <w:color w:val="auto"/>
        </w:rPr>
      </w:pPr>
    </w:p>
    <w:p>
      <w:pPr>
        <w:spacing w:after="0"/>
        <w:rPr>
          <w:sz w:val="20"/>
          <w:szCs w:val="20"/>
          <w:color w:val="auto"/>
        </w:rPr>
      </w:pPr>
      <w:r>
        <w:rPr>
          <w:rFonts w:ascii="Arial" w:cs="Arial" w:eastAsia="Arial" w:hAnsi="Arial"/>
          <w:sz w:val="16"/>
          <w:szCs w:val="16"/>
          <w:color w:val="auto"/>
        </w:rPr>
        <w:t>26</w:t>
      </w:r>
    </w:p>
    <w:p>
      <w:pPr>
        <w:sectPr>
          <w:pgSz w:w="11900" w:h="16838" w:orient="portrait"/>
          <w:cols w:equalWidth="0" w:num="2">
            <w:col w:w="5480" w:space="140"/>
            <w:col w:w="5800"/>
          </w:cols>
          <w:pgMar w:left="240" w:top="303" w:right="239" w:bottom="1440" w:gutter="0" w:footer="0" w:header="0"/>
          <w:type w:val="continuous"/>
        </w:sectPr>
      </w:pPr>
    </w:p>
    <w:bookmarkStart w:id="30" w:name="page31"/>
    <w:bookmarkEnd w:id="30"/>
    <w:p>
      <w:pPr>
        <w:ind w:left="40"/>
        <w:spacing w:after="0"/>
        <w:rPr>
          <w:rFonts w:ascii="Arial" w:cs="Arial" w:eastAsia="Arial" w:hAnsi="Arial"/>
          <w:sz w:val="15"/>
          <w:szCs w:val="15"/>
          <w:u w:val="single" w:color="auto"/>
          <w:color w:val="0000EE"/>
        </w:rPr>
      </w:pPr>
      <w:r>
        <w:rPr>
          <w:rFonts w:ascii="Arial" w:cs="Arial" w:eastAsia="Arial" w:hAnsi="Arial"/>
          <w:sz w:val="15"/>
          <w:szCs w:val="15"/>
          <w:u w:val="single" w:color="auto"/>
          <w:color w:val="0000EE"/>
        </w:rPr>
        <w:drawing>
          <wp:anchor simplePos="0" relativeHeight="251657728" behindDoc="1" locked="0" layoutInCell="0" allowOverlap="1">
            <wp:simplePos x="0" y="0"/>
            <wp:positionH relativeFrom="page">
              <wp:posOffset>5946140</wp:posOffset>
            </wp:positionH>
            <wp:positionV relativeFrom="page">
              <wp:posOffset>191770</wp:posOffset>
            </wp:positionV>
            <wp:extent cx="1440815" cy="20574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clrChange>
                        <a:clrFrom>
                          <a:srgbClr val="FFFFFF"/>
                        </a:clrFrom>
                        <a:clrTo>
                          <a:srgbClr val="FFFFFF">
                            <a:alpha val="0"/>
                          </a:srgbClr>
                        </a:clrTo>
                      </a:clrChange>
                      <a:extLst>
                        <a:ext uri="{28A0092B-C50C-407E-A947-70E740481C1C}"/>
                      </a:extLst>
                    </a:blip>
                    <a:srcRect/>
                    <a:stretch>
                      <a:fillRect/>
                    </a:stretch>
                  </pic:blipFill>
                  <pic:spPr bwMode="auto">
                    <a:xfrm>
                      <a:off x="0" y="0"/>
                      <a:ext cx="1440815" cy="205740"/>
                    </a:xfrm>
                    <a:prstGeom prst="rect">
                      <a:avLst/>
                    </a:prstGeom>
                    <a:noFill/>
                  </pic:spPr>
                </pic:pic>
              </a:graphicData>
            </a:graphic>
          </wp:anchor>
        </w:drawing>
      </w:r>
      <w:hyperlink w:anchor="page4">
        <w:r>
          <w:rPr>
            <w:rFonts w:ascii="Arial" w:cs="Arial" w:eastAsia="Arial" w:hAnsi="Arial"/>
            <w:sz w:val="15"/>
            <w:szCs w:val="15"/>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112395</wp:posOffset>
            </wp:positionV>
            <wp:extent cx="7246620" cy="889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303" w:right="259" w:bottom="1440" w:gutter="0" w:footer="0" w:header="0"/>
        </w:sectPr>
      </w:pPr>
    </w:p>
    <w:p>
      <w:pPr>
        <w:spacing w:after="0" w:line="200" w:lineRule="exact"/>
        <w:rPr>
          <w:sz w:val="20"/>
          <w:szCs w:val="20"/>
          <w:color w:val="auto"/>
        </w:rPr>
      </w:pPr>
    </w:p>
    <w:p>
      <w:pPr>
        <w:spacing w:after="0" w:line="235" w:lineRule="exact"/>
        <w:rPr>
          <w:sz w:val="20"/>
          <w:szCs w:val="20"/>
          <w:color w:val="auto"/>
        </w:rPr>
      </w:pPr>
    </w:p>
    <w:p>
      <w:pPr>
        <w:spacing w:after="0" w:line="247" w:lineRule="auto"/>
        <w:rPr>
          <w:sz w:val="20"/>
          <w:szCs w:val="20"/>
          <w:color w:val="auto"/>
        </w:rPr>
      </w:pPr>
      <w:r>
        <w:rPr>
          <w:rFonts w:ascii="Arial" w:cs="Arial" w:eastAsia="Arial" w:hAnsi="Arial"/>
          <w:sz w:val="16"/>
          <w:szCs w:val="16"/>
          <w:color w:val="auto"/>
        </w:rPr>
        <w:t>certain other benefits. Benefits under the agreements are triggered by a termination of employment within three years of the change of control and the cash severance payment is defined as a multiple of three times the average of the aggregate annual taxable earnings paid to the executive during the three fiscal years immediately preceding the change of control. On October 15, 2018, the Committee approved new form agreements which the executives other than Mr. Clark are expected to enter into prior to December 31, 2018, which will result in: (a) limiting the severance trigger to a termination of employment occurring within two years of a Change in Control, (b) paying severance only relative to salary and target annual incentives rather than aggregate annual taxable earnings, and (c) a severance multiple of two times rather than three times base and bonus for all executives other than Mr. Happe. The new agreements also revise the definition of Change in Control to make it consistent with current market practices. We also changed the definition of Change in Control for our Fiscal 2019 awards granted in October 2018, as described further under "Change in Control Definitions and Triggers" on page 32. These changes were intended to align the Company’s practices with market standard practices among our peers. Due to the unique nature of Mr. Clark’s employment and compensation arrangements with the Company entered into in connection with the Grand Design acquisition, no changes were made to Mr. Clark’s Executive Change of Control Agreement.</w:t>
      </w:r>
    </w:p>
    <w:p>
      <w:pPr>
        <w:spacing w:after="0" w:line="372" w:lineRule="exact"/>
        <w:rPr>
          <w:sz w:val="20"/>
          <w:szCs w:val="20"/>
          <w:color w:val="auto"/>
        </w:rPr>
      </w:pPr>
    </w:p>
    <w:p>
      <w:pPr>
        <w:ind w:right="40"/>
        <w:spacing w:after="0" w:line="248" w:lineRule="auto"/>
        <w:rPr>
          <w:sz w:val="20"/>
          <w:szCs w:val="20"/>
          <w:color w:val="auto"/>
        </w:rPr>
      </w:pPr>
      <w:r>
        <w:rPr>
          <w:rFonts w:ascii="Arial" w:cs="Arial" w:eastAsia="Arial" w:hAnsi="Arial"/>
          <w:sz w:val="16"/>
          <w:szCs w:val="16"/>
          <w:color w:val="auto"/>
        </w:rPr>
        <w:t>The Committee believes these agreements are an important part of the total executive compensation program because they protect our interest in the continuity and stability of the executive group. The Committee also believes that these agreements reduce the executives' interest in working against a potential change of control and help to keep them focused on minimizing interruptions in business operations by reducing any concerns they may have of being terminated prematurely and without cause during any ownership transition. See “Potential Payments upon Termination or Change of Control-Executive Change of Control Agreements” below for additional detail.</w:t>
      </w:r>
    </w:p>
    <w:p>
      <w:pPr>
        <w:spacing w:after="0" w:line="251" w:lineRule="exact"/>
        <w:rPr>
          <w:sz w:val="20"/>
          <w:szCs w:val="20"/>
          <w:color w:val="auto"/>
        </w:rPr>
      </w:pPr>
    </w:p>
    <w:p>
      <w:pPr>
        <w:spacing w:after="0"/>
        <w:rPr>
          <w:sz w:val="20"/>
          <w:szCs w:val="20"/>
          <w:color w:val="auto"/>
        </w:rPr>
      </w:pPr>
      <w:r>
        <w:rPr>
          <w:rFonts w:ascii="Arial" w:cs="Arial" w:eastAsia="Arial" w:hAnsi="Arial"/>
          <w:sz w:val="22"/>
          <w:szCs w:val="22"/>
          <w:color w:val="828282"/>
        </w:rPr>
        <w:t>Insider Trading and Hedging</w:t>
      </w:r>
    </w:p>
    <w:p>
      <w:pPr>
        <w:spacing w:after="0" w:line="215" w:lineRule="exact"/>
        <w:rPr>
          <w:sz w:val="20"/>
          <w:szCs w:val="20"/>
          <w:color w:val="auto"/>
        </w:rPr>
      </w:pPr>
    </w:p>
    <w:p>
      <w:pPr>
        <w:ind w:right="100"/>
        <w:spacing w:after="0" w:line="246" w:lineRule="auto"/>
        <w:rPr>
          <w:sz w:val="20"/>
          <w:szCs w:val="20"/>
          <w:color w:val="auto"/>
        </w:rPr>
      </w:pPr>
      <w:r>
        <w:rPr>
          <w:rFonts w:ascii="Arial" w:cs="Arial" w:eastAsia="Arial" w:hAnsi="Arial"/>
          <w:sz w:val="16"/>
          <w:szCs w:val="16"/>
          <w:color w:val="auto"/>
        </w:rPr>
        <w:t>With respect to the Company's Insider Trading Policy, the policy prohibits the unauthorized disclosure of any nonpublic information acquired in the workplace and the misuse of Material Nonpublic Information (as defined in the policy) in securities trading. Additionally, pursuant to the Insider Trading Policy, all directors, officers and employees are prohibited at all times from</w:t>
      </w:r>
    </w:p>
    <w:p>
      <w:pPr>
        <w:spacing w:after="0" w:line="2" w:lineRule="exact"/>
        <w:rPr>
          <w:sz w:val="20"/>
          <w:szCs w:val="20"/>
          <w:color w:val="auto"/>
        </w:rPr>
      </w:pPr>
    </w:p>
    <w:p>
      <w:pPr>
        <w:ind w:firstLine="8"/>
        <w:spacing w:after="0" w:line="251" w:lineRule="auto"/>
        <w:tabs>
          <w:tab w:leader="none" w:pos="243" w:val="left"/>
        </w:tabs>
        <w:numPr>
          <w:ilvl w:val="0"/>
          <w:numId w:val="36"/>
        </w:numPr>
        <w:rPr>
          <w:rFonts w:ascii="Arial" w:cs="Arial" w:eastAsia="Arial" w:hAnsi="Arial"/>
          <w:sz w:val="16"/>
          <w:szCs w:val="16"/>
          <w:color w:val="auto"/>
        </w:rPr>
      </w:pPr>
      <w:r>
        <w:rPr>
          <w:rFonts w:ascii="Arial" w:cs="Arial" w:eastAsia="Arial" w:hAnsi="Arial"/>
          <w:sz w:val="16"/>
          <w:szCs w:val="16"/>
          <w:color w:val="auto"/>
        </w:rPr>
        <w:t>holding any Company securities in a margin account; (b) engaging in any transactions involving puts, calls, or other derivative transactions relating to the Company's securities; and (c) short-selling or pledging securities of the Company.</w:t>
      </w:r>
    </w:p>
    <w:p>
      <w:pPr>
        <w:spacing w:after="0" w:line="208" w:lineRule="exact"/>
        <w:rPr>
          <w:sz w:val="20"/>
          <w:szCs w:val="20"/>
          <w:color w:val="auto"/>
        </w:rPr>
      </w:pPr>
    </w:p>
    <w:p>
      <w:pPr>
        <w:spacing w:after="0"/>
        <w:rPr>
          <w:sz w:val="20"/>
          <w:szCs w:val="20"/>
          <w:color w:val="auto"/>
        </w:rPr>
      </w:pPr>
      <w:r>
        <w:rPr>
          <w:rFonts w:ascii="Arial" w:cs="Arial" w:eastAsia="Arial" w:hAnsi="Arial"/>
          <w:sz w:val="22"/>
          <w:szCs w:val="22"/>
          <w:color w:val="828282"/>
        </w:rPr>
        <w:t>Clawback Policy</w:t>
      </w:r>
    </w:p>
    <w:p>
      <w:pPr>
        <w:spacing w:after="0" w:line="215" w:lineRule="exact"/>
        <w:rPr>
          <w:sz w:val="20"/>
          <w:szCs w:val="20"/>
          <w:color w:val="auto"/>
        </w:rPr>
      </w:pPr>
    </w:p>
    <w:p>
      <w:pPr>
        <w:ind w:right="200"/>
        <w:spacing w:after="0" w:line="251" w:lineRule="auto"/>
        <w:rPr>
          <w:sz w:val="20"/>
          <w:szCs w:val="20"/>
          <w:color w:val="auto"/>
        </w:rPr>
      </w:pPr>
      <w:r>
        <w:rPr>
          <w:rFonts w:ascii="Arial" w:cs="Arial" w:eastAsia="Arial" w:hAnsi="Arial"/>
          <w:sz w:val="16"/>
          <w:szCs w:val="16"/>
          <w:color w:val="auto"/>
        </w:rPr>
        <w:t>Beginning with Fiscal 2012 incentive compensation programs, the Committee has included “clawback” provisions for each of the OICP and LTIP which, in part, provide for the recoupment of incentive compensation payouts in the event that payments are made based upon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15" w:lineRule="exact"/>
        <w:rPr>
          <w:sz w:val="20"/>
          <w:szCs w:val="20"/>
          <w:color w:val="auto"/>
        </w:rPr>
      </w:pPr>
    </w:p>
    <w:p>
      <w:pPr>
        <w:ind w:right="120"/>
        <w:spacing w:after="0" w:line="250" w:lineRule="auto"/>
        <w:rPr>
          <w:sz w:val="20"/>
          <w:szCs w:val="20"/>
          <w:color w:val="auto"/>
        </w:rPr>
      </w:pPr>
      <w:r>
        <w:rPr>
          <w:rFonts w:ascii="Arial" w:cs="Arial" w:eastAsia="Arial" w:hAnsi="Arial"/>
          <w:sz w:val="16"/>
          <w:szCs w:val="16"/>
          <w:color w:val="auto"/>
        </w:rPr>
        <w:t>the achievement of financial results that are subsequently subject to a restatement due to material noncompliance with financial reporting requirements. In addition, the Committee will amend its clawback policy as appropriate to comply with the requirements of the Dodd-Frank Wall Street Reform and Consumer Protection Act (the "Dodd-Frank Act").</w:t>
      </w:r>
    </w:p>
    <w:p>
      <w:pPr>
        <w:spacing w:after="0" w:line="249" w:lineRule="exact"/>
        <w:rPr>
          <w:sz w:val="20"/>
          <w:szCs w:val="20"/>
          <w:color w:val="auto"/>
        </w:rPr>
      </w:pPr>
    </w:p>
    <w:p>
      <w:pPr>
        <w:spacing w:after="0"/>
        <w:rPr>
          <w:sz w:val="20"/>
          <w:szCs w:val="20"/>
          <w:color w:val="auto"/>
        </w:rPr>
      </w:pPr>
      <w:r>
        <w:rPr>
          <w:rFonts w:ascii="Arial" w:cs="Arial" w:eastAsia="Arial" w:hAnsi="Arial"/>
          <w:sz w:val="22"/>
          <w:szCs w:val="22"/>
          <w:color w:val="828282"/>
        </w:rPr>
        <w:t>Tax Considerations</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828282"/>
        </w:rPr>
        <w:t>Deductibility of Executive Compensation</w:t>
      </w:r>
    </w:p>
    <w:p>
      <w:pPr>
        <w:spacing w:after="0" w:line="201" w:lineRule="exact"/>
        <w:rPr>
          <w:sz w:val="20"/>
          <w:szCs w:val="20"/>
          <w:color w:val="auto"/>
        </w:rPr>
      </w:pPr>
    </w:p>
    <w:p>
      <w:pPr>
        <w:spacing w:after="0" w:line="247" w:lineRule="auto"/>
        <w:rPr>
          <w:sz w:val="20"/>
          <w:szCs w:val="20"/>
          <w:color w:val="auto"/>
        </w:rPr>
      </w:pPr>
      <w:r>
        <w:rPr>
          <w:rFonts w:ascii="Arial" w:cs="Arial" w:eastAsia="Arial" w:hAnsi="Arial"/>
          <w:sz w:val="16"/>
          <w:szCs w:val="16"/>
          <w:color w:val="auto"/>
        </w:rPr>
        <w:t>Section 162(m) of the Code, as in effect prior to the enactment of the Tax Cuts and Jobs Act of 2017 (the "Tax Cuts Act") in December 2017, generally disallowed a tax deduction to public companies for compensation of more than $1 million paid in any taxable year to each “covered employee,” consisting of the CEO and the three other highest paid executive officers employed at the end of the year (other than the CFO). Performance-based compensation was exempt from this deduction limitation if the Company met specified requirements set forth in the Internal Revenue Code and applicable treasury regulations. As a general matter, in making its previous NEO compensation decisions, our Committee was mindful of the benefit to us of the full deductibility of compensation, while believing that we should maintain flexibility in compensating our executive officers in a manner that could best promote our corporate objectives.</w:t>
      </w:r>
    </w:p>
    <w:p>
      <w:pPr>
        <w:spacing w:after="0" w:line="185" w:lineRule="exact"/>
        <w:rPr>
          <w:sz w:val="20"/>
          <w:szCs w:val="20"/>
          <w:color w:val="auto"/>
        </w:rPr>
      </w:pPr>
    </w:p>
    <w:p>
      <w:pPr>
        <w:ind w:right="40"/>
        <w:spacing w:after="0" w:line="247" w:lineRule="auto"/>
        <w:rPr>
          <w:sz w:val="20"/>
          <w:szCs w:val="20"/>
          <w:color w:val="auto"/>
        </w:rPr>
      </w:pPr>
      <w:r>
        <w:rPr>
          <w:rFonts w:ascii="Arial" w:cs="Arial" w:eastAsia="Arial" w:hAnsi="Arial"/>
          <w:sz w:val="16"/>
          <w:szCs w:val="16"/>
          <w:color w:val="auto"/>
        </w:rPr>
        <w:t>The Tax Cuts Act retained the $1 million deduction limit, but repealed the performance-based compensation exemption from the deduction limit and expanded the definition of “covered employees,” effective for taxable years beginning after December 31, 2017. Consequently, compensation paid in Fiscal 2019 and later years to our NEOs in excess of $1 million will not be deductible unless it qualifies for transitional relief applicable to certain binding, written performance-based compensation arrangements that were in place as of November 2, 2017. No assurance can be given that the compensation associated with these awards will qualify for the transitional relief, due to ambiguities and uncertainties as to the application and interpretation of newly revised Section 162(m) and the related requirements for transitional relief.</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color w:val="828282"/>
        </w:rPr>
        <w:t>Section 409A of the Internal Revenue Code</w:t>
      </w:r>
    </w:p>
    <w:p>
      <w:pPr>
        <w:spacing w:after="0" w:line="201" w:lineRule="exact"/>
        <w:rPr>
          <w:sz w:val="20"/>
          <w:szCs w:val="20"/>
          <w:color w:val="auto"/>
        </w:rPr>
      </w:pPr>
    </w:p>
    <w:p>
      <w:pPr>
        <w:ind w:right="20"/>
        <w:spacing w:after="0" w:line="248" w:lineRule="auto"/>
        <w:rPr>
          <w:sz w:val="20"/>
          <w:szCs w:val="20"/>
          <w:color w:val="auto"/>
        </w:rPr>
      </w:pPr>
      <w:r>
        <w:rPr>
          <w:rFonts w:ascii="Arial" w:cs="Arial" w:eastAsia="Arial" w:hAnsi="Arial"/>
          <w:sz w:val="16"/>
          <w:szCs w:val="16"/>
          <w:color w:val="auto"/>
        </w:rPr>
        <w:t>Section 409A of the Internal Revenue Code deals specifically with non-qualified deferred compensation plans. Although the Company makes no guarantees with respect to exemption from, or compliance with, Section 409A of the Internal Revenue Code, we have designed all of our executive benefit plans and severance arrangements with the intention that they are exempt from, or otherwise comply with, the requirements of Section 409A of the Internal Revenue Code.</w:t>
      </w:r>
    </w:p>
    <w:p>
      <w:pPr>
        <w:spacing w:after="0" w:line="1408" w:lineRule="exact"/>
        <w:rPr>
          <w:sz w:val="20"/>
          <w:szCs w:val="20"/>
          <w:color w:val="auto"/>
        </w:rPr>
      </w:pPr>
    </w:p>
    <w:p>
      <w:pPr>
        <w:sectPr>
          <w:pgSz w:w="11900" w:h="16838" w:orient="portrait"/>
          <w:cols w:equalWidth="0" w:num="2">
            <w:col w:w="5480" w:space="460"/>
            <w:col w:w="5460"/>
          </w:cols>
          <w:pgMar w:left="240" w:top="303" w:right="259" w:bottom="1440" w:gutter="0" w:footer="0" w:header="0"/>
          <w:type w:val="continuous"/>
        </w:sectPr>
      </w:pPr>
    </w:p>
    <w:p>
      <w:pPr>
        <w:spacing w:after="0" w:line="3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27</w:t>
      </w:r>
    </w:p>
    <w:p>
      <w:pPr>
        <w:sectPr>
          <w:pgSz w:w="11900" w:h="16838" w:orient="portrait"/>
          <w:cols w:equalWidth="0" w:num="1">
            <w:col w:w="11400"/>
          </w:cols>
          <w:pgMar w:left="240" w:top="303" w:right="259" w:bottom="1440" w:gutter="0" w:footer="0" w:header="0"/>
          <w:type w:val="continuous"/>
        </w:sectPr>
      </w:pPr>
    </w:p>
    <w:bookmarkStart w:id="31" w:name="page32"/>
    <w:bookmarkEnd w:id="31"/>
    <w:p>
      <w:pPr>
        <w:ind w:left="40"/>
        <w:spacing w:after="0"/>
        <w:rPr>
          <w:rFonts w:ascii="Arial" w:cs="Arial" w:eastAsia="Arial" w:hAnsi="Arial"/>
          <w:sz w:val="15"/>
          <w:szCs w:val="15"/>
          <w:u w:val="single" w:color="auto"/>
          <w:color w:val="0000EE"/>
        </w:rPr>
      </w:pPr>
      <w:r>
        <w:rPr>
          <w:rFonts w:ascii="Arial" w:cs="Arial" w:eastAsia="Arial" w:hAnsi="Arial"/>
          <w:sz w:val="15"/>
          <w:szCs w:val="15"/>
          <w:u w:val="single" w:color="auto"/>
          <w:color w:val="0000EE"/>
        </w:rPr>
        <w:drawing>
          <wp:anchor simplePos="0" relativeHeight="251657728" behindDoc="1" locked="0" layoutInCell="0" allowOverlap="1">
            <wp:simplePos x="0" y="0"/>
            <wp:positionH relativeFrom="page">
              <wp:posOffset>5946140</wp:posOffset>
            </wp:positionH>
            <wp:positionV relativeFrom="page">
              <wp:posOffset>191770</wp:posOffset>
            </wp:positionV>
            <wp:extent cx="1440815" cy="20574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clrChange>
                        <a:clrFrom>
                          <a:srgbClr val="FFFFFF"/>
                        </a:clrFrom>
                        <a:clrTo>
                          <a:srgbClr val="FFFFFF">
                            <a:alpha val="0"/>
                          </a:srgbClr>
                        </a:clrTo>
                      </a:clrChange>
                      <a:extLst>
                        <a:ext uri="{28A0092B-C50C-407E-A947-70E740481C1C}"/>
                      </a:extLst>
                    </a:blip>
                    <a:srcRect/>
                    <a:stretch>
                      <a:fillRect/>
                    </a:stretch>
                  </pic:blipFill>
                  <pic:spPr bwMode="auto">
                    <a:xfrm>
                      <a:off x="0" y="0"/>
                      <a:ext cx="1440815" cy="205740"/>
                    </a:xfrm>
                    <a:prstGeom prst="rect">
                      <a:avLst/>
                    </a:prstGeom>
                    <a:noFill/>
                  </pic:spPr>
                </pic:pic>
              </a:graphicData>
            </a:graphic>
          </wp:anchor>
        </w:drawing>
      </w:r>
      <w:hyperlink w:anchor="page4">
        <w:r>
          <w:rPr>
            <w:rFonts w:ascii="Arial" w:cs="Arial" w:eastAsia="Arial" w:hAnsi="Arial"/>
            <w:sz w:val="15"/>
            <w:szCs w:val="15"/>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112395</wp:posOffset>
            </wp:positionV>
            <wp:extent cx="7246620" cy="889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303" w:right="239" w:bottom="1440" w:gutter="0" w:footer="0" w:header="0"/>
        </w:sectPr>
      </w:pPr>
    </w:p>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Arial" w:cs="Arial" w:eastAsia="Arial" w:hAnsi="Arial"/>
          <w:sz w:val="29"/>
          <w:szCs w:val="29"/>
          <w:color w:val="BF2115"/>
        </w:rPr>
        <w:t>Human Resources Committee Report</w:t>
      </w:r>
    </w:p>
    <w:p>
      <w:pPr>
        <w:spacing w:after="0" w:line="280" w:lineRule="exact"/>
        <w:rPr>
          <w:sz w:val="20"/>
          <w:szCs w:val="20"/>
          <w:color w:val="auto"/>
        </w:rPr>
      </w:pPr>
    </w:p>
    <w:p>
      <w:pPr>
        <w:spacing w:after="0" w:line="248" w:lineRule="auto"/>
        <w:rPr>
          <w:sz w:val="20"/>
          <w:szCs w:val="20"/>
          <w:color w:val="auto"/>
        </w:rPr>
      </w:pPr>
      <w:r>
        <w:rPr>
          <w:rFonts w:ascii="Arial" w:cs="Arial" w:eastAsia="Arial" w:hAnsi="Arial"/>
          <w:sz w:val="16"/>
          <w:szCs w:val="16"/>
          <w:color w:val="auto"/>
        </w:rPr>
        <w:t>The Human Resources Committee of the Board of Directors of Winnebago Industries, Inc. has reviewed and discussed the foregoing Compensation Discussion and Analysis as required by Item 402(b) of Regulation S-K with management and, based on such review and discussion, the Committee recommended to the Board of Directors that the Compensation Discussion and Analysis be included in the Annual Report on Form 10-K and this Proxy Statement.</w:t>
      </w:r>
    </w:p>
    <w:p>
      <w:pPr>
        <w:spacing w:after="0" w:line="182" w:lineRule="exact"/>
        <w:rPr>
          <w:sz w:val="20"/>
          <w:szCs w:val="20"/>
          <w:color w:val="auto"/>
        </w:rPr>
      </w:pPr>
    </w:p>
    <w:p>
      <w:pPr>
        <w:spacing w:after="0"/>
        <w:rPr>
          <w:sz w:val="20"/>
          <w:szCs w:val="20"/>
          <w:color w:val="auto"/>
        </w:rPr>
      </w:pPr>
      <w:r>
        <w:rPr>
          <w:rFonts w:ascii="Arial" w:cs="Arial" w:eastAsia="Arial" w:hAnsi="Arial"/>
          <w:sz w:val="16"/>
          <w:szCs w:val="16"/>
          <w:color w:val="828282"/>
        </w:rPr>
        <w:t>Human Resources Committee:</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John M. Murabito, Chair</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Robert M. Chiusano</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Christopher J. Braun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20" w:lineRule="exact"/>
        <w:rPr>
          <w:sz w:val="20"/>
          <w:szCs w:val="20"/>
          <w:color w:val="auto"/>
        </w:rPr>
      </w:pPr>
    </w:p>
    <w:p>
      <w:pPr>
        <w:ind w:right="480"/>
        <w:spacing w:after="0" w:line="249" w:lineRule="auto"/>
        <w:rPr>
          <w:sz w:val="20"/>
          <w:szCs w:val="20"/>
          <w:color w:val="auto"/>
        </w:rPr>
      </w:pPr>
      <w:r>
        <w:rPr>
          <w:rFonts w:ascii="Arial" w:cs="Arial" w:eastAsia="Arial" w:hAnsi="Arial"/>
          <w:sz w:val="22"/>
          <w:szCs w:val="22"/>
          <w:color w:val="828282"/>
        </w:rPr>
        <w:t>Human Resources Committee Interlocks and Insider Participation</w:t>
      </w:r>
    </w:p>
    <w:p>
      <w:pPr>
        <w:spacing w:after="0" w:line="172" w:lineRule="exact"/>
        <w:rPr>
          <w:sz w:val="20"/>
          <w:szCs w:val="20"/>
          <w:color w:val="auto"/>
        </w:rPr>
      </w:pPr>
    </w:p>
    <w:p>
      <w:pPr>
        <w:ind w:right="40"/>
        <w:spacing w:after="0" w:line="248" w:lineRule="auto"/>
        <w:rPr>
          <w:sz w:val="20"/>
          <w:szCs w:val="20"/>
          <w:color w:val="auto"/>
        </w:rPr>
      </w:pPr>
      <w:r>
        <w:rPr>
          <w:rFonts w:ascii="Arial" w:cs="Arial" w:eastAsia="Arial" w:hAnsi="Arial"/>
          <w:sz w:val="16"/>
          <w:szCs w:val="16"/>
          <w:color w:val="auto"/>
        </w:rPr>
        <w:t>The current members of the Human Resources Committee of the Board of Directors, Messrs. Murabito, Chiusano and Braun, were not at any time during Fiscal 2018 or at any other time a Winnebago Industries officer or employee, and no member had any relationship with the Company requiring disclosure under applicable SEC rules. No executive officer has served on the board of directors or compensation committee of any other entity that has or has had one or more executive officers who served as a member of our Board of Directors or the Human Resources Committee during Fiscal 2018.</w:t>
      </w:r>
    </w:p>
    <w:p>
      <w:pPr>
        <w:spacing w:after="0" w:line="658" w:lineRule="exact"/>
        <w:rPr>
          <w:sz w:val="20"/>
          <w:szCs w:val="20"/>
          <w:color w:val="auto"/>
        </w:rPr>
      </w:pPr>
    </w:p>
    <w:p>
      <w:pPr>
        <w:sectPr>
          <w:pgSz w:w="11900" w:h="16838" w:orient="portrait"/>
          <w:cols w:equalWidth="0" w:num="2">
            <w:col w:w="5440" w:space="500"/>
            <w:col w:w="5480"/>
          </w:cols>
          <w:pgMar w:left="240" w:top="303" w:right="239" w:bottom="1440" w:gutter="0" w:footer="0" w:header="0"/>
          <w:type w:val="continuous"/>
        </w:sectPr>
      </w:pPr>
    </w:p>
    <w:p>
      <w:pPr>
        <w:spacing w:after="0" w:line="222" w:lineRule="exact"/>
        <w:rPr>
          <w:sz w:val="20"/>
          <w:szCs w:val="20"/>
          <w:color w:val="auto"/>
        </w:rPr>
      </w:pPr>
    </w:p>
    <w:p>
      <w:pPr>
        <w:spacing w:after="0"/>
        <w:rPr>
          <w:sz w:val="20"/>
          <w:szCs w:val="20"/>
          <w:color w:val="auto"/>
        </w:rPr>
      </w:pPr>
      <w:r>
        <w:rPr>
          <w:rFonts w:ascii="Arial" w:cs="Arial" w:eastAsia="Arial" w:hAnsi="Arial"/>
          <w:sz w:val="29"/>
          <w:szCs w:val="29"/>
          <w:b w:val="1"/>
          <w:bCs w:val="1"/>
          <w:color w:val="BF2115"/>
        </w:rPr>
        <w:t>Compensation Tables and Narrative Disclosure</w:t>
      </w:r>
    </w:p>
    <w:p>
      <w:pPr>
        <w:spacing w:after="0" w:line="389" w:lineRule="exact"/>
        <w:rPr>
          <w:sz w:val="20"/>
          <w:szCs w:val="20"/>
          <w:color w:val="auto"/>
        </w:rPr>
      </w:pPr>
    </w:p>
    <w:p>
      <w:pPr>
        <w:spacing w:after="0"/>
        <w:rPr>
          <w:sz w:val="20"/>
          <w:szCs w:val="20"/>
          <w:color w:val="auto"/>
        </w:rPr>
      </w:pPr>
      <w:r>
        <w:rPr>
          <w:rFonts w:ascii="Arial" w:cs="Arial" w:eastAsia="Arial" w:hAnsi="Arial"/>
          <w:sz w:val="22"/>
          <w:szCs w:val="22"/>
          <w:color w:val="828282"/>
        </w:rPr>
        <w:t>Summary Compensation Table</w:t>
      </w:r>
    </w:p>
    <w:p>
      <w:pPr>
        <w:spacing w:after="0" w:line="201" w:lineRule="exact"/>
        <w:rPr>
          <w:sz w:val="20"/>
          <w:szCs w:val="20"/>
          <w:color w:val="auto"/>
        </w:rPr>
      </w:pPr>
    </w:p>
    <w:p>
      <w:pPr>
        <w:ind w:right="180"/>
        <w:spacing w:after="0" w:line="288" w:lineRule="auto"/>
        <w:rPr>
          <w:sz w:val="20"/>
          <w:szCs w:val="20"/>
          <w:color w:val="auto"/>
        </w:rPr>
      </w:pPr>
      <w:r>
        <w:rPr>
          <w:rFonts w:ascii="Arial" w:cs="Arial" w:eastAsia="Arial" w:hAnsi="Arial"/>
          <w:sz w:val="16"/>
          <w:szCs w:val="16"/>
          <w:color w:val="auto"/>
        </w:rPr>
        <w:t>The following tables set forth compensation information for our NEOs for services rendered in all capacities to Winnebago Industries and its subsidiaries in Fiscal years 2018, 2017, and 2016. Presentation of the reported compensation information for these years has been recast from prior years to conform to the way in which Fiscal 2018 information is reported, consistent with SEC reporting rules.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6677025</wp:posOffset>
            </wp:positionH>
            <wp:positionV relativeFrom="paragraph">
              <wp:posOffset>67310</wp:posOffset>
            </wp:positionV>
            <wp:extent cx="8890" cy="47180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8890" cy="471805"/>
                    </a:xfrm>
                    <a:prstGeom prst="rect">
                      <a:avLst/>
                    </a:prstGeom>
                    <a:noFill/>
                  </pic:spPr>
                </pic:pic>
              </a:graphicData>
            </a:graphic>
          </wp:anchor>
        </w:drawing>
        <w:drawing>
          <wp:anchor simplePos="0" relativeHeight="251657728" behindDoc="1" locked="0" layoutInCell="0" allowOverlap="1">
            <wp:simplePos x="0" y="0"/>
            <wp:positionH relativeFrom="column">
              <wp:posOffset>6025515</wp:posOffset>
            </wp:positionH>
            <wp:positionV relativeFrom="paragraph">
              <wp:posOffset>67310</wp:posOffset>
            </wp:positionV>
            <wp:extent cx="8890" cy="47180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8890" cy="471805"/>
                    </a:xfrm>
                    <a:prstGeom prst="rect">
                      <a:avLst/>
                    </a:prstGeom>
                    <a:noFill/>
                  </pic:spPr>
                </pic:pic>
              </a:graphicData>
            </a:graphic>
          </wp:anchor>
        </w:drawing>
        <w:drawing>
          <wp:anchor simplePos="0" relativeHeight="251657728" behindDoc="1" locked="0" layoutInCell="0" allowOverlap="1">
            <wp:simplePos x="0" y="0"/>
            <wp:positionH relativeFrom="column">
              <wp:posOffset>5159375</wp:posOffset>
            </wp:positionH>
            <wp:positionV relativeFrom="paragraph">
              <wp:posOffset>67310</wp:posOffset>
            </wp:positionV>
            <wp:extent cx="8890" cy="47180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8890" cy="471805"/>
                    </a:xfrm>
                    <a:prstGeom prst="rect">
                      <a:avLst/>
                    </a:prstGeom>
                    <a:noFill/>
                  </pic:spPr>
                </pic:pic>
              </a:graphicData>
            </a:graphic>
          </wp:anchor>
        </w:drawing>
        <w:drawing>
          <wp:anchor simplePos="0" relativeHeight="251657728" behindDoc="1" locked="0" layoutInCell="0" allowOverlap="1">
            <wp:simplePos x="0" y="0"/>
            <wp:positionH relativeFrom="column">
              <wp:posOffset>4293235</wp:posOffset>
            </wp:positionH>
            <wp:positionV relativeFrom="paragraph">
              <wp:posOffset>67310</wp:posOffset>
            </wp:positionV>
            <wp:extent cx="8890" cy="47180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8890" cy="471805"/>
                    </a:xfrm>
                    <a:prstGeom prst="rect">
                      <a:avLst/>
                    </a:prstGeom>
                    <a:noFill/>
                  </pic:spPr>
                </pic:pic>
              </a:graphicData>
            </a:graphic>
          </wp:anchor>
        </w:drawing>
        <w:drawing>
          <wp:anchor simplePos="0" relativeHeight="251657728" behindDoc="1" locked="0" layoutInCell="0" allowOverlap="1">
            <wp:simplePos x="0" y="0"/>
            <wp:positionH relativeFrom="column">
              <wp:posOffset>3718560</wp:posOffset>
            </wp:positionH>
            <wp:positionV relativeFrom="paragraph">
              <wp:posOffset>67310</wp:posOffset>
            </wp:positionV>
            <wp:extent cx="8890" cy="47180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8890" cy="471805"/>
                    </a:xfrm>
                    <a:prstGeom prst="rect">
                      <a:avLst/>
                    </a:prstGeom>
                    <a:noFill/>
                  </pic:spPr>
                </pic:pic>
              </a:graphicData>
            </a:graphic>
          </wp:anchor>
        </w:drawing>
        <w:drawing>
          <wp:anchor simplePos="0" relativeHeight="251657728" behindDoc="1" locked="0" layoutInCell="0" allowOverlap="1">
            <wp:simplePos x="0" y="0"/>
            <wp:positionH relativeFrom="column">
              <wp:posOffset>3143885</wp:posOffset>
            </wp:positionH>
            <wp:positionV relativeFrom="paragraph">
              <wp:posOffset>67310</wp:posOffset>
            </wp:positionV>
            <wp:extent cx="8890" cy="47180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8890" cy="471805"/>
                    </a:xfrm>
                    <a:prstGeom prst="rect">
                      <a:avLst/>
                    </a:prstGeom>
                    <a:noFill/>
                  </pic:spPr>
                </pic:pic>
              </a:graphicData>
            </a:graphic>
          </wp:anchor>
        </w:drawing>
        <w:drawing>
          <wp:anchor simplePos="0" relativeHeight="251657728" behindDoc="1" locked="0" layoutInCell="0" allowOverlap="1">
            <wp:simplePos x="0" y="0"/>
            <wp:positionH relativeFrom="column">
              <wp:posOffset>2629535</wp:posOffset>
            </wp:positionH>
            <wp:positionV relativeFrom="paragraph">
              <wp:posOffset>67310</wp:posOffset>
            </wp:positionV>
            <wp:extent cx="8890" cy="47180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8890" cy="471805"/>
                    </a:xfrm>
                    <a:prstGeom prst="rect">
                      <a:avLst/>
                    </a:prstGeom>
                    <a:noFill/>
                  </pic:spPr>
                </pic:pic>
              </a:graphicData>
            </a:graphic>
          </wp:anchor>
        </w:drawing>
        <w:drawing>
          <wp:anchor simplePos="0" relativeHeight="251657728" behindDoc="1" locked="0" layoutInCell="0" allowOverlap="1">
            <wp:simplePos x="0" y="0"/>
            <wp:positionH relativeFrom="column">
              <wp:posOffset>2114550</wp:posOffset>
            </wp:positionH>
            <wp:positionV relativeFrom="paragraph">
              <wp:posOffset>67310</wp:posOffset>
            </wp:positionV>
            <wp:extent cx="8890" cy="47180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8890" cy="471805"/>
                    </a:xfrm>
                    <a:prstGeom prst="rect">
                      <a:avLst/>
                    </a:prstGeom>
                    <a:noFill/>
                  </pic:spPr>
                </pic:pic>
              </a:graphicData>
            </a:graphic>
          </wp:anchor>
        </w:drawing>
        <w:drawing>
          <wp:anchor simplePos="0" relativeHeight="251657728" behindDoc="1" locked="0" layoutInCell="0" allowOverlap="1">
            <wp:simplePos x="0" y="0"/>
            <wp:positionH relativeFrom="column">
              <wp:posOffset>1746250</wp:posOffset>
            </wp:positionH>
            <wp:positionV relativeFrom="paragraph">
              <wp:posOffset>67310</wp:posOffset>
            </wp:positionV>
            <wp:extent cx="8890" cy="47180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8890" cy="471805"/>
                    </a:xfrm>
                    <a:prstGeom prst="rect">
                      <a:avLst/>
                    </a:prstGeom>
                    <a:noFill/>
                  </pic:spPr>
                </pic:pic>
              </a:graphicData>
            </a:graphic>
          </wp:anchor>
        </w:drawing>
      </w:r>
    </w:p>
    <w:p>
      <w:pPr>
        <w:spacing w:after="0" w:line="76"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520" w:type="dxa"/>
            <w:vAlign w:val="bottom"/>
            <w:shd w:val="clear" w:color="auto" w:fill="BF2115"/>
          </w:tcPr>
          <w:p>
            <w:pPr>
              <w:spacing w:after="0"/>
              <w:rPr>
                <w:sz w:val="13"/>
                <w:szCs w:val="13"/>
                <w:color w:val="auto"/>
              </w:rPr>
            </w:pPr>
          </w:p>
        </w:tc>
        <w:tc>
          <w:tcPr>
            <w:tcW w:w="800" w:type="dxa"/>
            <w:vAlign w:val="bottom"/>
            <w:shd w:val="clear" w:color="auto" w:fill="BF2115"/>
          </w:tcPr>
          <w:p>
            <w:pPr>
              <w:spacing w:after="0"/>
              <w:rPr>
                <w:sz w:val="13"/>
                <w:szCs w:val="13"/>
                <w:color w:val="auto"/>
              </w:rPr>
            </w:pPr>
          </w:p>
        </w:tc>
        <w:tc>
          <w:tcPr>
            <w:tcW w:w="860" w:type="dxa"/>
            <w:vAlign w:val="bottom"/>
            <w:shd w:val="clear" w:color="auto" w:fill="BF2115"/>
          </w:tcPr>
          <w:p>
            <w:pPr>
              <w:spacing w:after="0"/>
              <w:rPr>
                <w:sz w:val="13"/>
                <w:szCs w:val="13"/>
                <w:color w:val="auto"/>
              </w:rPr>
            </w:pPr>
          </w:p>
        </w:tc>
        <w:tc>
          <w:tcPr>
            <w:tcW w:w="800" w:type="dxa"/>
            <w:vAlign w:val="bottom"/>
            <w:shd w:val="clear" w:color="auto" w:fill="BF2115"/>
          </w:tcPr>
          <w:p>
            <w:pPr>
              <w:spacing w:after="0"/>
              <w:rPr>
                <w:sz w:val="13"/>
                <w:szCs w:val="13"/>
                <w:color w:val="auto"/>
              </w:rPr>
            </w:pPr>
          </w:p>
        </w:tc>
        <w:tc>
          <w:tcPr>
            <w:tcW w:w="960" w:type="dxa"/>
            <w:vAlign w:val="bottom"/>
            <w:shd w:val="clear" w:color="auto" w:fill="BF2115"/>
          </w:tcPr>
          <w:p>
            <w:pPr>
              <w:spacing w:after="0"/>
              <w:rPr>
                <w:sz w:val="13"/>
                <w:szCs w:val="13"/>
                <w:color w:val="auto"/>
              </w:rPr>
            </w:pPr>
          </w:p>
        </w:tc>
        <w:tc>
          <w:tcPr>
            <w:tcW w:w="840" w:type="dxa"/>
            <w:vAlign w:val="bottom"/>
            <w:shd w:val="clear" w:color="auto" w:fill="BF2115"/>
          </w:tcPr>
          <w:p>
            <w:pPr>
              <w:spacing w:after="0"/>
              <w:rPr>
                <w:sz w:val="13"/>
                <w:szCs w:val="13"/>
                <w:color w:val="auto"/>
              </w:rPr>
            </w:pPr>
          </w:p>
        </w:tc>
        <w:tc>
          <w:tcPr>
            <w:tcW w:w="1360" w:type="dxa"/>
            <w:vAlign w:val="bottom"/>
            <w:shd w:val="clear" w:color="auto" w:fill="BF2115"/>
          </w:tcPr>
          <w:p>
            <w:pPr>
              <w:spacing w:after="0"/>
              <w:rPr>
                <w:sz w:val="13"/>
                <w:szCs w:val="13"/>
                <w:color w:val="auto"/>
              </w:rPr>
            </w:pPr>
          </w:p>
        </w:tc>
        <w:tc>
          <w:tcPr>
            <w:tcW w:w="1360" w:type="dxa"/>
            <w:vAlign w:val="bottom"/>
            <w:shd w:val="clear" w:color="auto" w:fill="BF2115"/>
          </w:tcPr>
          <w:p>
            <w:pPr>
              <w:jc w:val="center"/>
              <w:spacing w:after="0"/>
              <w:rPr>
                <w:sz w:val="20"/>
                <w:szCs w:val="20"/>
                <w:color w:val="auto"/>
              </w:rPr>
            </w:pPr>
            <w:r>
              <w:rPr>
                <w:rFonts w:ascii="Arial" w:cs="Arial" w:eastAsia="Arial" w:hAnsi="Arial"/>
                <w:sz w:val="13"/>
                <w:szCs w:val="13"/>
                <w:b w:val="1"/>
                <w:bCs w:val="1"/>
                <w:color w:val="FFFFFF"/>
                <w:w w:val="96"/>
              </w:rPr>
              <w:t>Changes in Pension</w:t>
            </w:r>
          </w:p>
        </w:tc>
        <w:tc>
          <w:tcPr>
            <w:tcW w:w="1100" w:type="dxa"/>
            <w:vAlign w:val="bottom"/>
            <w:shd w:val="clear" w:color="auto" w:fill="BF2115"/>
          </w:tcPr>
          <w:p>
            <w:pPr>
              <w:spacing w:after="0"/>
              <w:rPr>
                <w:sz w:val="13"/>
                <w:szCs w:val="13"/>
                <w:color w:val="auto"/>
              </w:rPr>
            </w:pPr>
          </w:p>
        </w:tc>
        <w:tc>
          <w:tcPr>
            <w:tcW w:w="820" w:type="dxa"/>
            <w:vAlign w:val="bottom"/>
            <w:shd w:val="clear" w:color="auto" w:fill="BF2115"/>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2520" w:type="dxa"/>
            <w:vAlign w:val="bottom"/>
            <w:shd w:val="clear" w:color="auto" w:fill="BF2115"/>
          </w:tcPr>
          <w:p>
            <w:pPr>
              <w:spacing w:after="0"/>
              <w:rPr>
                <w:sz w:val="11"/>
                <w:szCs w:val="11"/>
                <w:color w:val="auto"/>
              </w:rPr>
            </w:pPr>
          </w:p>
        </w:tc>
        <w:tc>
          <w:tcPr>
            <w:tcW w:w="800" w:type="dxa"/>
            <w:vAlign w:val="bottom"/>
            <w:shd w:val="clear" w:color="auto" w:fill="BF2115"/>
          </w:tcPr>
          <w:p>
            <w:pPr>
              <w:spacing w:after="0"/>
              <w:rPr>
                <w:sz w:val="11"/>
                <w:szCs w:val="11"/>
                <w:color w:val="auto"/>
              </w:rPr>
            </w:pPr>
          </w:p>
        </w:tc>
        <w:tc>
          <w:tcPr>
            <w:tcW w:w="860" w:type="dxa"/>
            <w:vAlign w:val="bottom"/>
            <w:shd w:val="clear" w:color="auto" w:fill="BF2115"/>
          </w:tcPr>
          <w:p>
            <w:pPr>
              <w:spacing w:after="0"/>
              <w:rPr>
                <w:sz w:val="11"/>
                <w:szCs w:val="11"/>
                <w:color w:val="auto"/>
              </w:rPr>
            </w:pPr>
          </w:p>
        </w:tc>
        <w:tc>
          <w:tcPr>
            <w:tcW w:w="800" w:type="dxa"/>
            <w:vAlign w:val="bottom"/>
            <w:shd w:val="clear" w:color="auto" w:fill="BF2115"/>
          </w:tcPr>
          <w:p>
            <w:pPr>
              <w:spacing w:after="0"/>
              <w:rPr>
                <w:sz w:val="11"/>
                <w:szCs w:val="11"/>
                <w:color w:val="auto"/>
              </w:rPr>
            </w:pPr>
          </w:p>
        </w:tc>
        <w:tc>
          <w:tcPr>
            <w:tcW w:w="960" w:type="dxa"/>
            <w:vAlign w:val="bottom"/>
            <w:shd w:val="clear" w:color="auto" w:fill="BF2115"/>
          </w:tcPr>
          <w:p>
            <w:pPr>
              <w:spacing w:after="0"/>
              <w:rPr>
                <w:sz w:val="11"/>
                <w:szCs w:val="11"/>
                <w:color w:val="auto"/>
              </w:rPr>
            </w:pPr>
          </w:p>
        </w:tc>
        <w:tc>
          <w:tcPr>
            <w:tcW w:w="840" w:type="dxa"/>
            <w:vAlign w:val="bottom"/>
            <w:shd w:val="clear" w:color="auto" w:fill="BF2115"/>
          </w:tcPr>
          <w:p>
            <w:pPr>
              <w:spacing w:after="0"/>
              <w:rPr>
                <w:sz w:val="11"/>
                <w:szCs w:val="11"/>
                <w:color w:val="auto"/>
              </w:rPr>
            </w:pPr>
          </w:p>
        </w:tc>
        <w:tc>
          <w:tcPr>
            <w:tcW w:w="1360" w:type="dxa"/>
            <w:vAlign w:val="bottom"/>
            <w:shd w:val="clear" w:color="auto" w:fill="BF2115"/>
          </w:tcPr>
          <w:p>
            <w:pPr>
              <w:spacing w:after="0"/>
              <w:rPr>
                <w:sz w:val="11"/>
                <w:szCs w:val="11"/>
                <w:color w:val="auto"/>
              </w:rPr>
            </w:pPr>
          </w:p>
        </w:tc>
        <w:tc>
          <w:tcPr>
            <w:tcW w:w="1360" w:type="dxa"/>
            <w:vAlign w:val="bottom"/>
            <w:shd w:val="clear" w:color="auto" w:fill="BF2115"/>
          </w:tcPr>
          <w:p>
            <w:pPr>
              <w:jc w:val="center"/>
              <w:spacing w:after="0" w:line="135" w:lineRule="exact"/>
              <w:rPr>
                <w:sz w:val="20"/>
                <w:szCs w:val="20"/>
                <w:color w:val="auto"/>
              </w:rPr>
            </w:pPr>
            <w:r>
              <w:rPr>
                <w:rFonts w:ascii="Arial" w:cs="Arial" w:eastAsia="Arial" w:hAnsi="Arial"/>
                <w:sz w:val="13"/>
                <w:szCs w:val="13"/>
                <w:b w:val="1"/>
                <w:bCs w:val="1"/>
                <w:color w:val="FFFFFF"/>
                <w:w w:val="95"/>
              </w:rPr>
              <w:t>Value and Non-</w:t>
            </w:r>
          </w:p>
        </w:tc>
        <w:tc>
          <w:tcPr>
            <w:tcW w:w="1100" w:type="dxa"/>
            <w:vAlign w:val="bottom"/>
            <w:shd w:val="clear" w:color="auto" w:fill="BF2115"/>
          </w:tcPr>
          <w:p>
            <w:pPr>
              <w:jc w:val="center"/>
              <w:ind w:right="37"/>
              <w:spacing w:after="0" w:line="135" w:lineRule="exact"/>
              <w:rPr>
                <w:sz w:val="20"/>
                <w:szCs w:val="20"/>
                <w:color w:val="auto"/>
              </w:rPr>
            </w:pPr>
            <w:r>
              <w:rPr>
                <w:rFonts w:ascii="Arial" w:cs="Arial" w:eastAsia="Arial" w:hAnsi="Arial"/>
                <w:sz w:val="13"/>
                <w:szCs w:val="13"/>
                <w:b w:val="1"/>
                <w:bCs w:val="1"/>
                <w:color w:val="FFFFFF"/>
                <w:w w:val="96"/>
              </w:rPr>
              <w:t>All</w:t>
            </w:r>
          </w:p>
        </w:tc>
        <w:tc>
          <w:tcPr>
            <w:tcW w:w="820" w:type="dxa"/>
            <w:vAlign w:val="bottom"/>
            <w:shd w:val="clear" w:color="auto" w:fill="BF2115"/>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520" w:type="dxa"/>
            <w:vAlign w:val="bottom"/>
            <w:shd w:val="clear" w:color="auto" w:fill="BF2115"/>
          </w:tcPr>
          <w:p>
            <w:pPr>
              <w:spacing w:after="0"/>
              <w:rPr>
                <w:sz w:val="11"/>
                <w:szCs w:val="11"/>
                <w:color w:val="auto"/>
              </w:rPr>
            </w:pPr>
          </w:p>
        </w:tc>
        <w:tc>
          <w:tcPr>
            <w:tcW w:w="800" w:type="dxa"/>
            <w:vAlign w:val="bottom"/>
            <w:shd w:val="clear" w:color="auto" w:fill="BF2115"/>
          </w:tcPr>
          <w:p>
            <w:pPr>
              <w:spacing w:after="0"/>
              <w:rPr>
                <w:sz w:val="11"/>
                <w:szCs w:val="11"/>
                <w:color w:val="auto"/>
              </w:rPr>
            </w:pPr>
          </w:p>
        </w:tc>
        <w:tc>
          <w:tcPr>
            <w:tcW w:w="860" w:type="dxa"/>
            <w:vAlign w:val="bottom"/>
            <w:shd w:val="clear" w:color="auto" w:fill="BF2115"/>
          </w:tcPr>
          <w:p>
            <w:pPr>
              <w:spacing w:after="0"/>
              <w:rPr>
                <w:sz w:val="11"/>
                <w:szCs w:val="11"/>
                <w:color w:val="auto"/>
              </w:rPr>
            </w:pPr>
          </w:p>
        </w:tc>
        <w:tc>
          <w:tcPr>
            <w:tcW w:w="800" w:type="dxa"/>
            <w:vAlign w:val="bottom"/>
            <w:shd w:val="clear" w:color="auto" w:fill="BF2115"/>
          </w:tcPr>
          <w:p>
            <w:pPr>
              <w:spacing w:after="0"/>
              <w:rPr>
                <w:sz w:val="11"/>
                <w:szCs w:val="11"/>
                <w:color w:val="auto"/>
              </w:rPr>
            </w:pPr>
          </w:p>
        </w:tc>
        <w:tc>
          <w:tcPr>
            <w:tcW w:w="960" w:type="dxa"/>
            <w:vAlign w:val="bottom"/>
            <w:shd w:val="clear" w:color="auto" w:fill="BF2115"/>
          </w:tcPr>
          <w:p>
            <w:pPr>
              <w:spacing w:after="0"/>
              <w:rPr>
                <w:sz w:val="11"/>
                <w:szCs w:val="11"/>
                <w:color w:val="auto"/>
              </w:rPr>
            </w:pPr>
          </w:p>
        </w:tc>
        <w:tc>
          <w:tcPr>
            <w:tcW w:w="840" w:type="dxa"/>
            <w:vAlign w:val="bottom"/>
            <w:shd w:val="clear" w:color="auto" w:fill="BF2115"/>
          </w:tcPr>
          <w:p>
            <w:pPr>
              <w:jc w:val="center"/>
              <w:ind w:right="17"/>
              <w:spacing w:after="0" w:line="135" w:lineRule="exact"/>
              <w:rPr>
                <w:sz w:val="20"/>
                <w:szCs w:val="20"/>
                <w:color w:val="auto"/>
              </w:rPr>
            </w:pPr>
            <w:r>
              <w:rPr>
                <w:rFonts w:ascii="Arial" w:cs="Arial" w:eastAsia="Arial" w:hAnsi="Arial"/>
                <w:sz w:val="13"/>
                <w:szCs w:val="13"/>
                <w:b w:val="1"/>
                <w:bCs w:val="1"/>
                <w:color w:val="FFFFFF"/>
                <w:w w:val="95"/>
              </w:rPr>
              <w:t>Option</w:t>
            </w:r>
          </w:p>
        </w:tc>
        <w:tc>
          <w:tcPr>
            <w:tcW w:w="1360" w:type="dxa"/>
            <w:vAlign w:val="bottom"/>
            <w:shd w:val="clear" w:color="auto" w:fill="BF2115"/>
          </w:tcPr>
          <w:p>
            <w:pPr>
              <w:jc w:val="center"/>
              <w:spacing w:after="0" w:line="135" w:lineRule="exact"/>
              <w:rPr>
                <w:sz w:val="20"/>
                <w:szCs w:val="20"/>
                <w:color w:val="auto"/>
              </w:rPr>
            </w:pPr>
            <w:r>
              <w:rPr>
                <w:rFonts w:ascii="Arial" w:cs="Arial" w:eastAsia="Arial" w:hAnsi="Arial"/>
                <w:sz w:val="13"/>
                <w:szCs w:val="13"/>
                <w:b w:val="1"/>
                <w:bCs w:val="1"/>
                <w:color w:val="FFFFFF"/>
                <w:w w:val="97"/>
              </w:rPr>
              <w:t>Non-Equity Incentive</w:t>
            </w:r>
          </w:p>
        </w:tc>
        <w:tc>
          <w:tcPr>
            <w:tcW w:w="1360" w:type="dxa"/>
            <w:vAlign w:val="bottom"/>
            <w:shd w:val="clear" w:color="auto" w:fill="BF2115"/>
          </w:tcPr>
          <w:p>
            <w:pPr>
              <w:jc w:val="center"/>
              <w:spacing w:after="0" w:line="135" w:lineRule="exact"/>
              <w:rPr>
                <w:sz w:val="20"/>
                <w:szCs w:val="20"/>
                <w:color w:val="auto"/>
              </w:rPr>
            </w:pPr>
            <w:r>
              <w:rPr>
                <w:rFonts w:ascii="Arial" w:cs="Arial" w:eastAsia="Arial" w:hAnsi="Arial"/>
                <w:sz w:val="13"/>
                <w:szCs w:val="13"/>
                <w:b w:val="1"/>
                <w:bCs w:val="1"/>
                <w:color w:val="FFFFFF"/>
                <w:w w:val="95"/>
              </w:rPr>
              <w:t>qualified Deferred</w:t>
            </w:r>
          </w:p>
        </w:tc>
        <w:tc>
          <w:tcPr>
            <w:tcW w:w="1100" w:type="dxa"/>
            <w:vAlign w:val="bottom"/>
            <w:shd w:val="clear" w:color="auto" w:fill="BF2115"/>
          </w:tcPr>
          <w:p>
            <w:pPr>
              <w:jc w:val="center"/>
              <w:ind w:right="17"/>
              <w:spacing w:after="0" w:line="135" w:lineRule="exact"/>
              <w:rPr>
                <w:sz w:val="20"/>
                <w:szCs w:val="20"/>
                <w:color w:val="auto"/>
              </w:rPr>
            </w:pPr>
            <w:r>
              <w:rPr>
                <w:rFonts w:ascii="Arial" w:cs="Arial" w:eastAsia="Arial" w:hAnsi="Arial"/>
                <w:sz w:val="13"/>
                <w:szCs w:val="13"/>
                <w:b w:val="1"/>
                <w:bCs w:val="1"/>
                <w:color w:val="FFFFFF"/>
                <w:w w:val="97"/>
              </w:rPr>
              <w:t>Other</w:t>
            </w:r>
          </w:p>
        </w:tc>
        <w:tc>
          <w:tcPr>
            <w:tcW w:w="820" w:type="dxa"/>
            <w:vAlign w:val="bottom"/>
            <w:shd w:val="clear" w:color="auto" w:fill="BF2115"/>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520" w:type="dxa"/>
            <w:vAlign w:val="bottom"/>
            <w:shd w:val="clear" w:color="auto" w:fill="BF2115"/>
          </w:tcPr>
          <w:p>
            <w:pPr>
              <w:spacing w:after="0"/>
              <w:rPr>
                <w:sz w:val="11"/>
                <w:szCs w:val="11"/>
                <w:color w:val="auto"/>
              </w:rPr>
            </w:pPr>
          </w:p>
        </w:tc>
        <w:tc>
          <w:tcPr>
            <w:tcW w:w="800" w:type="dxa"/>
            <w:vAlign w:val="bottom"/>
            <w:shd w:val="clear" w:color="auto" w:fill="BF2115"/>
          </w:tcPr>
          <w:p>
            <w:pPr>
              <w:spacing w:after="0"/>
              <w:rPr>
                <w:sz w:val="11"/>
                <w:szCs w:val="11"/>
                <w:color w:val="auto"/>
              </w:rPr>
            </w:pPr>
          </w:p>
        </w:tc>
        <w:tc>
          <w:tcPr>
            <w:tcW w:w="860" w:type="dxa"/>
            <w:vAlign w:val="bottom"/>
            <w:shd w:val="clear" w:color="auto" w:fill="BF2115"/>
          </w:tcPr>
          <w:p>
            <w:pPr>
              <w:spacing w:after="0"/>
              <w:rPr>
                <w:sz w:val="11"/>
                <w:szCs w:val="11"/>
                <w:color w:val="auto"/>
              </w:rPr>
            </w:pPr>
          </w:p>
        </w:tc>
        <w:tc>
          <w:tcPr>
            <w:tcW w:w="800" w:type="dxa"/>
            <w:vAlign w:val="bottom"/>
            <w:shd w:val="clear" w:color="auto" w:fill="BF2115"/>
          </w:tcPr>
          <w:p>
            <w:pPr>
              <w:spacing w:after="0"/>
              <w:rPr>
                <w:sz w:val="11"/>
                <w:szCs w:val="11"/>
                <w:color w:val="auto"/>
              </w:rPr>
            </w:pPr>
          </w:p>
        </w:tc>
        <w:tc>
          <w:tcPr>
            <w:tcW w:w="960" w:type="dxa"/>
            <w:vAlign w:val="bottom"/>
            <w:shd w:val="clear" w:color="auto" w:fill="BF2115"/>
          </w:tcPr>
          <w:p>
            <w:pPr>
              <w:jc w:val="right"/>
              <w:ind w:right="296"/>
              <w:spacing w:after="0" w:line="135" w:lineRule="exact"/>
              <w:rPr>
                <w:sz w:val="20"/>
                <w:szCs w:val="20"/>
                <w:color w:val="auto"/>
              </w:rPr>
            </w:pPr>
            <w:r>
              <w:rPr>
                <w:rFonts w:ascii="Arial" w:cs="Arial" w:eastAsia="Arial" w:hAnsi="Arial"/>
                <w:sz w:val="13"/>
                <w:szCs w:val="13"/>
                <w:b w:val="1"/>
                <w:bCs w:val="1"/>
                <w:color w:val="FFFFFF"/>
              </w:rPr>
              <w:t>Stock</w:t>
            </w:r>
          </w:p>
        </w:tc>
        <w:tc>
          <w:tcPr>
            <w:tcW w:w="840" w:type="dxa"/>
            <w:vAlign w:val="bottom"/>
            <w:shd w:val="clear" w:color="auto" w:fill="BF2115"/>
          </w:tcPr>
          <w:p>
            <w:pPr>
              <w:jc w:val="center"/>
              <w:ind w:right="17"/>
              <w:spacing w:after="0" w:line="135" w:lineRule="exact"/>
              <w:rPr>
                <w:sz w:val="20"/>
                <w:szCs w:val="20"/>
                <w:color w:val="auto"/>
              </w:rPr>
            </w:pPr>
            <w:r>
              <w:rPr>
                <w:rFonts w:ascii="Arial" w:cs="Arial" w:eastAsia="Arial" w:hAnsi="Arial"/>
                <w:sz w:val="13"/>
                <w:szCs w:val="13"/>
                <w:b w:val="1"/>
                <w:bCs w:val="1"/>
                <w:color w:val="FFFFFF"/>
                <w:w w:val="98"/>
              </w:rPr>
              <w:t>Awards</w:t>
            </w:r>
            <w:r>
              <w:rPr>
                <w:rFonts w:ascii="Arial" w:cs="Arial" w:eastAsia="Arial" w:hAnsi="Arial"/>
                <w:sz w:val="8"/>
                <w:szCs w:val="8"/>
                <w:b w:val="1"/>
                <w:bCs w:val="1"/>
                <w:color w:val="FFFFFF"/>
                <w:w w:val="98"/>
              </w:rPr>
              <w:t>(2)</w:t>
            </w:r>
          </w:p>
        </w:tc>
        <w:tc>
          <w:tcPr>
            <w:tcW w:w="1360" w:type="dxa"/>
            <w:vAlign w:val="bottom"/>
            <w:shd w:val="clear" w:color="auto" w:fill="BF2115"/>
          </w:tcPr>
          <w:p>
            <w:pPr>
              <w:jc w:val="center"/>
              <w:spacing w:after="0" w:line="135" w:lineRule="exact"/>
              <w:rPr>
                <w:sz w:val="20"/>
                <w:szCs w:val="20"/>
                <w:color w:val="auto"/>
              </w:rPr>
            </w:pPr>
            <w:r>
              <w:rPr>
                <w:rFonts w:ascii="Arial" w:cs="Arial" w:eastAsia="Arial" w:hAnsi="Arial"/>
                <w:sz w:val="13"/>
                <w:szCs w:val="13"/>
                <w:b w:val="1"/>
                <w:bCs w:val="1"/>
                <w:color w:val="FFFFFF"/>
                <w:w w:val="94"/>
              </w:rPr>
              <w:t>Plan</w:t>
            </w:r>
          </w:p>
        </w:tc>
        <w:tc>
          <w:tcPr>
            <w:tcW w:w="1360" w:type="dxa"/>
            <w:vAlign w:val="bottom"/>
            <w:shd w:val="clear" w:color="auto" w:fill="BF2115"/>
          </w:tcPr>
          <w:p>
            <w:pPr>
              <w:jc w:val="center"/>
              <w:spacing w:after="0" w:line="135" w:lineRule="exact"/>
              <w:rPr>
                <w:sz w:val="20"/>
                <w:szCs w:val="20"/>
                <w:color w:val="auto"/>
              </w:rPr>
            </w:pPr>
            <w:r>
              <w:rPr>
                <w:rFonts w:ascii="Arial" w:cs="Arial" w:eastAsia="Arial" w:hAnsi="Arial"/>
                <w:sz w:val="13"/>
                <w:szCs w:val="13"/>
                <w:b w:val="1"/>
                <w:bCs w:val="1"/>
                <w:color w:val="FFFFFF"/>
                <w:w w:val="97"/>
              </w:rPr>
              <w:t>Compensation</w:t>
            </w:r>
          </w:p>
        </w:tc>
        <w:tc>
          <w:tcPr>
            <w:tcW w:w="1100" w:type="dxa"/>
            <w:vAlign w:val="bottom"/>
            <w:shd w:val="clear" w:color="auto" w:fill="BF2115"/>
          </w:tcPr>
          <w:p>
            <w:pPr>
              <w:jc w:val="center"/>
              <w:ind w:right="17"/>
              <w:spacing w:after="0" w:line="135" w:lineRule="exact"/>
              <w:rPr>
                <w:sz w:val="20"/>
                <w:szCs w:val="20"/>
                <w:color w:val="auto"/>
              </w:rPr>
            </w:pPr>
            <w:r>
              <w:rPr>
                <w:rFonts w:ascii="Arial" w:cs="Arial" w:eastAsia="Arial" w:hAnsi="Arial"/>
                <w:sz w:val="13"/>
                <w:szCs w:val="13"/>
                <w:b w:val="1"/>
                <w:bCs w:val="1"/>
                <w:color w:val="FFFFFF"/>
                <w:w w:val="95"/>
              </w:rPr>
              <w:t>Compensation</w:t>
            </w:r>
          </w:p>
        </w:tc>
        <w:tc>
          <w:tcPr>
            <w:tcW w:w="820" w:type="dxa"/>
            <w:vAlign w:val="bottom"/>
            <w:shd w:val="clear" w:color="auto" w:fill="BF2115"/>
          </w:tcPr>
          <w:p>
            <w:pPr>
              <w:spacing w:after="0"/>
              <w:rPr>
                <w:sz w:val="11"/>
                <w:szCs w:val="11"/>
                <w:color w:val="auto"/>
              </w:rPr>
            </w:pPr>
          </w:p>
        </w:tc>
        <w:tc>
          <w:tcPr>
            <w:tcW w:w="0" w:type="dxa"/>
            <w:vAlign w:val="bottom"/>
          </w:tcPr>
          <w:p>
            <w:pPr>
              <w:spacing w:after="0"/>
              <w:rPr>
                <w:sz w:val="1"/>
                <w:szCs w:val="1"/>
                <w:color w:val="auto"/>
              </w:rPr>
            </w:pPr>
          </w:p>
        </w:tc>
      </w:tr>
      <w:tr>
        <w:trPr>
          <w:trHeight w:val="178"/>
        </w:trPr>
        <w:tc>
          <w:tcPr>
            <w:tcW w:w="2520" w:type="dxa"/>
            <w:vAlign w:val="bottom"/>
            <w:tcBorders>
              <w:bottom w:val="single" w:sz="8" w:color="auto"/>
            </w:tcBorders>
            <w:shd w:val="clear" w:color="auto" w:fill="BF2115"/>
          </w:tcPr>
          <w:p>
            <w:pPr>
              <w:ind w:left="40"/>
              <w:spacing w:after="0"/>
              <w:rPr>
                <w:sz w:val="20"/>
                <w:szCs w:val="20"/>
                <w:color w:val="auto"/>
              </w:rPr>
            </w:pPr>
            <w:r>
              <w:rPr>
                <w:rFonts w:ascii="Arial" w:cs="Arial" w:eastAsia="Arial" w:hAnsi="Arial"/>
                <w:sz w:val="13"/>
                <w:szCs w:val="13"/>
                <w:b w:val="1"/>
                <w:bCs w:val="1"/>
                <w:color w:val="FFFFFF"/>
              </w:rPr>
              <w:t>Name and Principal Position</w:t>
            </w:r>
          </w:p>
        </w:tc>
        <w:tc>
          <w:tcPr>
            <w:tcW w:w="800" w:type="dxa"/>
            <w:vAlign w:val="bottom"/>
            <w:tcBorders>
              <w:bottom w:val="single" w:sz="8" w:color="auto"/>
            </w:tcBorders>
            <w:shd w:val="clear" w:color="auto" w:fill="BF2115"/>
          </w:tcPr>
          <w:p>
            <w:pPr>
              <w:jc w:val="right"/>
              <w:ind w:right="77"/>
              <w:spacing w:after="0"/>
              <w:rPr>
                <w:sz w:val="20"/>
                <w:szCs w:val="20"/>
                <w:color w:val="auto"/>
              </w:rPr>
            </w:pPr>
            <w:r>
              <w:rPr>
                <w:rFonts w:ascii="Arial" w:cs="Arial" w:eastAsia="Arial" w:hAnsi="Arial"/>
                <w:sz w:val="13"/>
                <w:szCs w:val="13"/>
                <w:b w:val="1"/>
                <w:bCs w:val="1"/>
                <w:color w:val="FFFFFF"/>
              </w:rPr>
              <w:t>Year</w:t>
            </w:r>
          </w:p>
        </w:tc>
        <w:tc>
          <w:tcPr>
            <w:tcW w:w="860" w:type="dxa"/>
            <w:vAlign w:val="bottom"/>
            <w:tcBorders>
              <w:bottom w:val="single" w:sz="8" w:color="auto"/>
            </w:tcBorders>
            <w:shd w:val="clear" w:color="auto" w:fill="BF2115"/>
          </w:tcPr>
          <w:p>
            <w:pPr>
              <w:jc w:val="right"/>
              <w:ind w:right="97"/>
              <w:spacing w:after="0"/>
              <w:rPr>
                <w:sz w:val="20"/>
                <w:szCs w:val="20"/>
                <w:color w:val="auto"/>
              </w:rPr>
            </w:pPr>
            <w:r>
              <w:rPr>
                <w:rFonts w:ascii="Arial" w:cs="Arial" w:eastAsia="Arial" w:hAnsi="Arial"/>
                <w:sz w:val="13"/>
                <w:szCs w:val="13"/>
                <w:b w:val="1"/>
                <w:bCs w:val="1"/>
                <w:color w:val="FFFFFF"/>
              </w:rPr>
              <w:t>Salary ($)</w:t>
            </w:r>
          </w:p>
        </w:tc>
        <w:tc>
          <w:tcPr>
            <w:tcW w:w="800" w:type="dxa"/>
            <w:vAlign w:val="bottom"/>
            <w:tcBorders>
              <w:bottom w:val="single" w:sz="8" w:color="auto"/>
            </w:tcBorders>
            <w:shd w:val="clear" w:color="auto" w:fill="BF2115"/>
          </w:tcPr>
          <w:p>
            <w:pPr>
              <w:jc w:val="right"/>
              <w:ind w:right="77"/>
              <w:spacing w:after="0"/>
              <w:rPr>
                <w:sz w:val="20"/>
                <w:szCs w:val="20"/>
                <w:color w:val="auto"/>
              </w:rPr>
            </w:pPr>
            <w:r>
              <w:rPr>
                <w:rFonts w:ascii="Arial" w:cs="Arial" w:eastAsia="Arial" w:hAnsi="Arial"/>
                <w:sz w:val="13"/>
                <w:szCs w:val="13"/>
                <w:b w:val="1"/>
                <w:bCs w:val="1"/>
                <w:color w:val="FFFFFF"/>
              </w:rPr>
              <w:t>Bonus ($)</w:t>
            </w:r>
          </w:p>
        </w:tc>
        <w:tc>
          <w:tcPr>
            <w:tcW w:w="960" w:type="dxa"/>
            <w:vAlign w:val="bottom"/>
            <w:tcBorders>
              <w:bottom w:val="single" w:sz="8" w:color="auto"/>
            </w:tcBorders>
            <w:shd w:val="clear" w:color="auto" w:fill="BF2115"/>
          </w:tcPr>
          <w:p>
            <w:pPr>
              <w:jc w:val="right"/>
              <w:ind w:right="96"/>
              <w:spacing w:after="0"/>
              <w:rPr>
                <w:sz w:val="20"/>
                <w:szCs w:val="20"/>
                <w:color w:val="auto"/>
              </w:rPr>
            </w:pPr>
            <w:r>
              <w:rPr>
                <w:rFonts w:ascii="Arial" w:cs="Arial" w:eastAsia="Arial" w:hAnsi="Arial"/>
                <w:sz w:val="13"/>
                <w:szCs w:val="13"/>
                <w:b w:val="1"/>
                <w:bCs w:val="1"/>
                <w:color w:val="FFFFFF"/>
              </w:rPr>
              <w:t>Awards</w:t>
            </w:r>
            <w:r>
              <w:rPr>
                <w:rFonts w:ascii="Arial" w:cs="Arial" w:eastAsia="Arial" w:hAnsi="Arial"/>
                <w:sz w:val="8"/>
                <w:szCs w:val="8"/>
                <w:b w:val="1"/>
                <w:bCs w:val="1"/>
                <w:color w:val="FFFFFF"/>
              </w:rPr>
              <w:t>(1)</w:t>
            </w:r>
            <w:r>
              <w:rPr>
                <w:rFonts w:ascii="Arial" w:cs="Arial" w:eastAsia="Arial" w:hAnsi="Arial"/>
                <w:sz w:val="13"/>
                <w:szCs w:val="13"/>
                <w:b w:val="1"/>
                <w:bCs w:val="1"/>
                <w:color w:val="FFFFFF"/>
              </w:rPr>
              <w:t xml:space="preserve"> ($)</w:t>
            </w:r>
          </w:p>
        </w:tc>
        <w:tc>
          <w:tcPr>
            <w:tcW w:w="840" w:type="dxa"/>
            <w:vAlign w:val="bottom"/>
            <w:tcBorders>
              <w:bottom w:val="single" w:sz="8" w:color="auto"/>
            </w:tcBorders>
            <w:shd w:val="clear" w:color="auto" w:fill="BF2115"/>
          </w:tcPr>
          <w:p>
            <w:pPr>
              <w:jc w:val="center"/>
              <w:ind w:right="17"/>
              <w:spacing w:after="0"/>
              <w:rPr>
                <w:sz w:val="20"/>
                <w:szCs w:val="20"/>
                <w:color w:val="auto"/>
              </w:rPr>
            </w:pPr>
            <w:r>
              <w:rPr>
                <w:rFonts w:ascii="Arial" w:cs="Arial" w:eastAsia="Arial" w:hAnsi="Arial"/>
                <w:sz w:val="13"/>
                <w:szCs w:val="13"/>
                <w:b w:val="1"/>
                <w:bCs w:val="1"/>
                <w:color w:val="FFFFFF"/>
              </w:rPr>
              <w:t>($)</w:t>
            </w:r>
          </w:p>
        </w:tc>
        <w:tc>
          <w:tcPr>
            <w:tcW w:w="1360" w:type="dxa"/>
            <w:vAlign w:val="bottom"/>
            <w:tcBorders>
              <w:bottom w:val="single" w:sz="8" w:color="auto"/>
            </w:tcBorders>
            <w:shd w:val="clear" w:color="auto" w:fill="BF2115"/>
          </w:tcPr>
          <w:p>
            <w:pPr>
              <w:jc w:val="center"/>
              <w:spacing w:after="0"/>
              <w:rPr>
                <w:sz w:val="20"/>
                <w:szCs w:val="20"/>
                <w:color w:val="auto"/>
              </w:rPr>
            </w:pPr>
            <w:r>
              <w:rPr>
                <w:rFonts w:ascii="Arial" w:cs="Arial" w:eastAsia="Arial" w:hAnsi="Arial"/>
                <w:sz w:val="13"/>
                <w:szCs w:val="13"/>
                <w:b w:val="1"/>
                <w:bCs w:val="1"/>
                <w:color w:val="FFFFFF"/>
                <w:w w:val="98"/>
              </w:rPr>
              <w:t>Compensation</w:t>
            </w:r>
            <w:r>
              <w:rPr>
                <w:rFonts w:ascii="Arial" w:cs="Arial" w:eastAsia="Arial" w:hAnsi="Arial"/>
                <w:sz w:val="8"/>
                <w:szCs w:val="8"/>
                <w:b w:val="1"/>
                <w:bCs w:val="1"/>
                <w:color w:val="FFFFFF"/>
                <w:w w:val="98"/>
              </w:rPr>
              <w:t>(3)</w:t>
            </w:r>
            <w:r>
              <w:rPr>
                <w:rFonts w:ascii="Arial" w:cs="Arial" w:eastAsia="Arial" w:hAnsi="Arial"/>
                <w:sz w:val="13"/>
                <w:szCs w:val="13"/>
                <w:b w:val="1"/>
                <w:bCs w:val="1"/>
                <w:color w:val="FFFFFF"/>
                <w:w w:val="98"/>
              </w:rPr>
              <w:t xml:space="preserve"> ($)</w:t>
            </w:r>
          </w:p>
        </w:tc>
        <w:tc>
          <w:tcPr>
            <w:tcW w:w="1360" w:type="dxa"/>
            <w:vAlign w:val="bottom"/>
            <w:tcBorders>
              <w:bottom w:val="single" w:sz="8" w:color="auto"/>
            </w:tcBorders>
            <w:shd w:val="clear" w:color="auto" w:fill="BF2115"/>
          </w:tcPr>
          <w:p>
            <w:pPr>
              <w:jc w:val="center"/>
              <w:spacing w:after="0"/>
              <w:rPr>
                <w:sz w:val="20"/>
                <w:szCs w:val="20"/>
                <w:color w:val="auto"/>
              </w:rPr>
            </w:pPr>
            <w:r>
              <w:rPr>
                <w:rFonts w:ascii="Arial" w:cs="Arial" w:eastAsia="Arial" w:hAnsi="Arial"/>
                <w:sz w:val="13"/>
                <w:szCs w:val="13"/>
                <w:b w:val="1"/>
                <w:bCs w:val="1"/>
                <w:color w:val="FFFFFF"/>
                <w:w w:val="98"/>
              </w:rPr>
              <w:t>Earnings ($)</w:t>
            </w:r>
          </w:p>
        </w:tc>
        <w:tc>
          <w:tcPr>
            <w:tcW w:w="1100" w:type="dxa"/>
            <w:vAlign w:val="bottom"/>
            <w:tcBorders>
              <w:bottom w:val="single" w:sz="8" w:color="auto"/>
            </w:tcBorders>
            <w:shd w:val="clear" w:color="auto" w:fill="BF2115"/>
          </w:tcPr>
          <w:p>
            <w:pPr>
              <w:jc w:val="center"/>
              <w:ind w:right="17"/>
              <w:spacing w:after="0"/>
              <w:rPr>
                <w:sz w:val="20"/>
                <w:szCs w:val="20"/>
                <w:color w:val="auto"/>
              </w:rPr>
            </w:pPr>
            <w:r>
              <w:rPr>
                <w:rFonts w:ascii="Arial" w:cs="Arial" w:eastAsia="Arial" w:hAnsi="Arial"/>
                <w:sz w:val="13"/>
                <w:szCs w:val="13"/>
                <w:b w:val="1"/>
                <w:bCs w:val="1"/>
                <w:color w:val="FFFFFF"/>
              </w:rPr>
              <w:t>($)</w:t>
            </w:r>
            <w:r>
              <w:rPr>
                <w:rFonts w:ascii="Arial" w:cs="Arial" w:eastAsia="Arial" w:hAnsi="Arial"/>
                <w:sz w:val="8"/>
                <w:szCs w:val="8"/>
                <w:b w:val="1"/>
                <w:bCs w:val="1"/>
                <w:color w:val="FFFFFF"/>
              </w:rPr>
              <w:t>(4)</w:t>
            </w:r>
          </w:p>
        </w:tc>
        <w:tc>
          <w:tcPr>
            <w:tcW w:w="820" w:type="dxa"/>
            <w:vAlign w:val="bottom"/>
            <w:tcBorders>
              <w:bottom w:val="single" w:sz="8" w:color="auto"/>
            </w:tcBorders>
            <w:shd w:val="clear" w:color="auto" w:fill="BF2115"/>
          </w:tcPr>
          <w:p>
            <w:pPr>
              <w:jc w:val="right"/>
              <w:ind w:right="137"/>
              <w:spacing w:after="0"/>
              <w:rPr>
                <w:sz w:val="20"/>
                <w:szCs w:val="20"/>
                <w:color w:val="auto"/>
              </w:rPr>
            </w:pPr>
            <w:r>
              <w:rPr>
                <w:rFonts w:ascii="Arial" w:cs="Arial" w:eastAsia="Arial" w:hAnsi="Arial"/>
                <w:sz w:val="13"/>
                <w:szCs w:val="13"/>
                <w:b w:val="1"/>
                <w:bCs w:val="1"/>
                <w:color w:val="FFFFFF"/>
              </w:rPr>
              <w:t>Total ($)</w:t>
            </w:r>
          </w:p>
        </w:tc>
        <w:tc>
          <w:tcPr>
            <w:tcW w:w="0" w:type="dxa"/>
            <w:vAlign w:val="bottom"/>
          </w:tcPr>
          <w:p>
            <w:pPr>
              <w:spacing w:after="0"/>
              <w:rPr>
                <w:sz w:val="1"/>
                <w:szCs w:val="1"/>
                <w:color w:val="auto"/>
              </w:rPr>
            </w:pPr>
          </w:p>
        </w:tc>
      </w:tr>
      <w:tr>
        <w:trPr>
          <w:trHeight w:val="235"/>
        </w:trPr>
        <w:tc>
          <w:tcPr>
            <w:tcW w:w="2520" w:type="dxa"/>
            <w:vAlign w:val="bottom"/>
          </w:tcPr>
          <w:p>
            <w:pPr>
              <w:ind w:left="40"/>
              <w:spacing w:after="0"/>
              <w:rPr>
                <w:sz w:val="20"/>
                <w:szCs w:val="20"/>
                <w:color w:val="auto"/>
              </w:rPr>
            </w:pPr>
            <w:r>
              <w:rPr>
                <w:rFonts w:ascii="Arial" w:cs="Arial" w:eastAsia="Arial" w:hAnsi="Arial"/>
                <w:sz w:val="16"/>
                <w:szCs w:val="16"/>
                <w:color w:val="auto"/>
              </w:rPr>
              <w:t>Michael Happe</w:t>
            </w:r>
          </w:p>
        </w:tc>
        <w:tc>
          <w:tcPr>
            <w:tcW w:w="800" w:type="dxa"/>
            <w:vAlign w:val="bottom"/>
          </w:tcPr>
          <w:p>
            <w:pPr>
              <w:jc w:val="right"/>
              <w:ind w:right="77"/>
              <w:spacing w:after="0"/>
              <w:rPr>
                <w:sz w:val="20"/>
                <w:szCs w:val="20"/>
                <w:color w:val="auto"/>
              </w:rPr>
            </w:pPr>
            <w:r>
              <w:rPr>
                <w:rFonts w:ascii="Arial" w:cs="Arial" w:eastAsia="Arial" w:hAnsi="Arial"/>
                <w:sz w:val="13"/>
                <w:szCs w:val="13"/>
                <w:color w:val="auto"/>
              </w:rPr>
              <w:t>2018</w:t>
            </w:r>
          </w:p>
        </w:tc>
        <w:tc>
          <w:tcPr>
            <w:tcW w:w="860" w:type="dxa"/>
            <w:vAlign w:val="bottom"/>
          </w:tcPr>
          <w:p>
            <w:pPr>
              <w:jc w:val="right"/>
              <w:spacing w:after="0"/>
              <w:rPr>
                <w:sz w:val="20"/>
                <w:szCs w:val="20"/>
                <w:color w:val="auto"/>
              </w:rPr>
            </w:pPr>
            <w:r>
              <w:rPr>
                <w:rFonts w:ascii="Arial" w:cs="Arial" w:eastAsia="Arial" w:hAnsi="Arial"/>
                <w:sz w:val="13"/>
                <w:szCs w:val="13"/>
                <w:color w:val="auto"/>
              </w:rPr>
              <w:t>$657,692</w:t>
            </w:r>
          </w:p>
        </w:tc>
        <w:tc>
          <w:tcPr>
            <w:tcW w:w="800" w:type="dxa"/>
            <w:vAlign w:val="bottom"/>
          </w:tcPr>
          <w:p>
            <w:pPr>
              <w:jc w:val="right"/>
              <w:spacing w:after="0"/>
              <w:rPr>
                <w:sz w:val="20"/>
                <w:szCs w:val="20"/>
                <w:color w:val="auto"/>
              </w:rPr>
            </w:pPr>
            <w:r>
              <w:rPr>
                <w:rFonts w:ascii="Arial" w:cs="Arial" w:eastAsia="Arial" w:hAnsi="Arial"/>
                <w:sz w:val="13"/>
                <w:szCs w:val="13"/>
                <w:color w:val="auto"/>
              </w:rPr>
              <w:t>-</w:t>
            </w:r>
          </w:p>
        </w:tc>
        <w:tc>
          <w:tcPr>
            <w:tcW w:w="960" w:type="dxa"/>
            <w:vAlign w:val="bottom"/>
          </w:tcPr>
          <w:p>
            <w:pPr>
              <w:jc w:val="right"/>
              <w:ind w:right="56"/>
              <w:spacing w:after="0"/>
              <w:rPr>
                <w:sz w:val="20"/>
                <w:szCs w:val="20"/>
                <w:color w:val="auto"/>
              </w:rPr>
            </w:pPr>
            <w:r>
              <w:rPr>
                <w:rFonts w:ascii="Arial" w:cs="Arial" w:eastAsia="Arial" w:hAnsi="Arial"/>
                <w:sz w:val="11"/>
                <w:szCs w:val="11"/>
                <w:color w:val="auto"/>
              </w:rPr>
              <w:t>$1,242,179</w:t>
            </w:r>
          </w:p>
        </w:tc>
        <w:tc>
          <w:tcPr>
            <w:tcW w:w="840" w:type="dxa"/>
            <w:vAlign w:val="bottom"/>
          </w:tcPr>
          <w:p>
            <w:pPr>
              <w:jc w:val="right"/>
              <w:spacing w:after="0"/>
              <w:rPr>
                <w:sz w:val="20"/>
                <w:szCs w:val="20"/>
                <w:color w:val="auto"/>
              </w:rPr>
            </w:pPr>
            <w:r>
              <w:rPr>
                <w:rFonts w:ascii="Arial" w:cs="Arial" w:eastAsia="Arial" w:hAnsi="Arial"/>
                <w:sz w:val="13"/>
                <w:szCs w:val="13"/>
                <w:color w:val="auto"/>
              </w:rPr>
              <w:t>$414,062</w:t>
            </w:r>
          </w:p>
        </w:tc>
        <w:tc>
          <w:tcPr>
            <w:tcW w:w="1360" w:type="dxa"/>
            <w:vAlign w:val="bottom"/>
          </w:tcPr>
          <w:p>
            <w:pPr>
              <w:jc w:val="right"/>
              <w:ind w:right="217"/>
              <w:spacing w:after="0"/>
              <w:rPr>
                <w:sz w:val="20"/>
                <w:szCs w:val="20"/>
                <w:color w:val="auto"/>
              </w:rPr>
            </w:pPr>
            <w:r>
              <w:rPr>
                <w:rFonts w:ascii="Arial" w:cs="Arial" w:eastAsia="Arial" w:hAnsi="Arial"/>
                <w:sz w:val="13"/>
                <w:szCs w:val="13"/>
                <w:color w:val="auto"/>
              </w:rPr>
              <w:t>$855,658</w:t>
            </w:r>
          </w:p>
        </w:tc>
        <w:tc>
          <w:tcPr>
            <w:tcW w:w="1360" w:type="dxa"/>
            <w:vAlign w:val="bottom"/>
          </w:tcPr>
          <w:p>
            <w:pPr>
              <w:jc w:val="right"/>
              <w:ind w:right="217"/>
              <w:spacing w:after="0"/>
              <w:rPr>
                <w:sz w:val="20"/>
                <w:szCs w:val="20"/>
                <w:color w:val="auto"/>
              </w:rPr>
            </w:pPr>
            <w:r>
              <w:rPr>
                <w:rFonts w:ascii="Arial" w:cs="Arial" w:eastAsia="Arial" w:hAnsi="Arial"/>
                <w:sz w:val="13"/>
                <w:szCs w:val="13"/>
                <w:color w:val="auto"/>
              </w:rPr>
              <w:t>-</w:t>
            </w:r>
          </w:p>
        </w:tc>
        <w:tc>
          <w:tcPr>
            <w:tcW w:w="1100" w:type="dxa"/>
            <w:vAlign w:val="bottom"/>
          </w:tcPr>
          <w:p>
            <w:pPr>
              <w:jc w:val="right"/>
              <w:ind w:right="177"/>
              <w:spacing w:after="0"/>
              <w:rPr>
                <w:sz w:val="20"/>
                <w:szCs w:val="20"/>
                <w:color w:val="auto"/>
              </w:rPr>
            </w:pPr>
            <w:r>
              <w:rPr>
                <w:rFonts w:ascii="Arial" w:cs="Arial" w:eastAsia="Arial" w:hAnsi="Arial"/>
                <w:sz w:val="13"/>
                <w:szCs w:val="13"/>
                <w:color w:val="auto"/>
              </w:rPr>
              <w:t>$44,082</w:t>
            </w:r>
          </w:p>
        </w:tc>
        <w:tc>
          <w:tcPr>
            <w:tcW w:w="820" w:type="dxa"/>
            <w:vAlign w:val="bottom"/>
          </w:tcPr>
          <w:p>
            <w:pPr>
              <w:jc w:val="right"/>
              <w:spacing w:after="0"/>
              <w:rPr>
                <w:sz w:val="20"/>
                <w:szCs w:val="20"/>
                <w:color w:val="auto"/>
              </w:rPr>
            </w:pPr>
            <w:r>
              <w:rPr>
                <w:rFonts w:ascii="Arial" w:cs="Arial" w:eastAsia="Arial" w:hAnsi="Arial"/>
                <w:sz w:val="13"/>
                <w:szCs w:val="13"/>
                <w:color w:val="auto"/>
              </w:rPr>
              <w:t>$3,213,673</w:t>
            </w:r>
          </w:p>
        </w:tc>
        <w:tc>
          <w:tcPr>
            <w:tcW w:w="0" w:type="dxa"/>
            <w:vAlign w:val="bottom"/>
          </w:tcPr>
          <w:p>
            <w:pPr>
              <w:spacing w:after="0"/>
              <w:rPr>
                <w:sz w:val="1"/>
                <w:szCs w:val="1"/>
                <w:color w:val="auto"/>
              </w:rPr>
            </w:pPr>
          </w:p>
        </w:tc>
      </w:tr>
      <w:tr>
        <w:trPr>
          <w:trHeight w:val="251"/>
        </w:trPr>
        <w:tc>
          <w:tcPr>
            <w:tcW w:w="2520" w:type="dxa"/>
            <w:vAlign w:val="bottom"/>
            <w:shd w:val="clear" w:color="auto" w:fill="ACACAC"/>
          </w:tcPr>
          <w:p>
            <w:pPr>
              <w:ind w:left="180"/>
              <w:spacing w:after="0"/>
              <w:rPr>
                <w:sz w:val="20"/>
                <w:szCs w:val="20"/>
                <w:color w:val="auto"/>
              </w:rPr>
            </w:pPr>
            <w:r>
              <w:rPr>
                <w:rFonts w:ascii="Arial" w:cs="Arial" w:eastAsia="Arial" w:hAnsi="Arial"/>
                <w:sz w:val="16"/>
                <w:szCs w:val="16"/>
                <w:color w:val="auto"/>
              </w:rPr>
              <w:t>President, CEO</w:t>
            </w:r>
          </w:p>
        </w:tc>
        <w:tc>
          <w:tcPr>
            <w:tcW w:w="800" w:type="dxa"/>
            <w:vAlign w:val="bottom"/>
            <w:shd w:val="clear" w:color="auto" w:fill="ACACAC"/>
          </w:tcPr>
          <w:p>
            <w:pPr>
              <w:jc w:val="right"/>
              <w:ind w:right="77"/>
              <w:spacing w:after="0"/>
              <w:rPr>
                <w:sz w:val="20"/>
                <w:szCs w:val="20"/>
                <w:color w:val="auto"/>
              </w:rPr>
            </w:pPr>
            <w:r>
              <w:rPr>
                <w:rFonts w:ascii="Arial" w:cs="Arial" w:eastAsia="Arial" w:hAnsi="Arial"/>
                <w:sz w:val="13"/>
                <w:szCs w:val="13"/>
                <w:color w:val="auto"/>
              </w:rPr>
              <w:t>2017</w:t>
            </w:r>
          </w:p>
        </w:tc>
        <w:tc>
          <w:tcPr>
            <w:tcW w:w="860" w:type="dxa"/>
            <w:vAlign w:val="bottom"/>
            <w:shd w:val="clear" w:color="auto" w:fill="ACACAC"/>
          </w:tcPr>
          <w:p>
            <w:pPr>
              <w:jc w:val="right"/>
              <w:spacing w:after="0"/>
              <w:rPr>
                <w:sz w:val="20"/>
                <w:szCs w:val="20"/>
                <w:color w:val="auto"/>
              </w:rPr>
            </w:pPr>
            <w:r>
              <w:rPr>
                <w:rFonts w:ascii="Arial" w:cs="Arial" w:eastAsia="Arial" w:hAnsi="Arial"/>
                <w:sz w:val="13"/>
                <w:szCs w:val="13"/>
                <w:color w:val="auto"/>
              </w:rPr>
              <w:t>$599,038</w:t>
            </w:r>
          </w:p>
        </w:tc>
        <w:tc>
          <w:tcPr>
            <w:tcW w:w="800" w:type="dxa"/>
            <w:vAlign w:val="bottom"/>
            <w:shd w:val="clear" w:color="auto" w:fill="ACACAC"/>
          </w:tcPr>
          <w:p>
            <w:pPr>
              <w:jc w:val="right"/>
              <w:spacing w:after="0"/>
              <w:rPr>
                <w:sz w:val="20"/>
                <w:szCs w:val="20"/>
                <w:color w:val="auto"/>
              </w:rPr>
            </w:pPr>
            <w:r>
              <w:rPr>
                <w:rFonts w:ascii="Arial" w:cs="Arial" w:eastAsia="Arial" w:hAnsi="Arial"/>
                <w:sz w:val="13"/>
                <w:szCs w:val="13"/>
                <w:color w:val="auto"/>
              </w:rPr>
              <w:t>-</w:t>
            </w:r>
          </w:p>
        </w:tc>
        <w:tc>
          <w:tcPr>
            <w:tcW w:w="960" w:type="dxa"/>
            <w:vAlign w:val="bottom"/>
            <w:shd w:val="clear" w:color="auto" w:fill="ACACAC"/>
          </w:tcPr>
          <w:p>
            <w:pPr>
              <w:jc w:val="right"/>
              <w:ind w:right="56"/>
              <w:spacing w:after="0"/>
              <w:rPr>
                <w:sz w:val="20"/>
                <w:szCs w:val="20"/>
                <w:color w:val="auto"/>
              </w:rPr>
            </w:pPr>
            <w:r>
              <w:rPr>
                <w:rFonts w:ascii="Arial" w:cs="Arial" w:eastAsia="Arial" w:hAnsi="Arial"/>
                <w:sz w:val="13"/>
                <w:szCs w:val="13"/>
                <w:color w:val="auto"/>
              </w:rPr>
              <w:t>$1,004,291</w:t>
            </w:r>
          </w:p>
        </w:tc>
        <w:tc>
          <w:tcPr>
            <w:tcW w:w="840" w:type="dxa"/>
            <w:vAlign w:val="bottom"/>
            <w:shd w:val="clear" w:color="auto" w:fill="ACACAC"/>
          </w:tcPr>
          <w:p>
            <w:pPr>
              <w:jc w:val="right"/>
              <w:spacing w:after="0"/>
              <w:rPr>
                <w:sz w:val="20"/>
                <w:szCs w:val="20"/>
                <w:color w:val="auto"/>
              </w:rPr>
            </w:pPr>
            <w:r>
              <w:rPr>
                <w:rFonts w:ascii="Arial" w:cs="Arial" w:eastAsia="Arial" w:hAnsi="Arial"/>
                <w:sz w:val="13"/>
                <w:szCs w:val="13"/>
                <w:color w:val="auto"/>
              </w:rPr>
              <w:t>$247,854</w:t>
            </w:r>
          </w:p>
        </w:tc>
        <w:tc>
          <w:tcPr>
            <w:tcW w:w="1360" w:type="dxa"/>
            <w:vAlign w:val="bottom"/>
            <w:shd w:val="clear" w:color="auto" w:fill="ACACAC"/>
          </w:tcPr>
          <w:p>
            <w:pPr>
              <w:jc w:val="right"/>
              <w:ind w:right="217"/>
              <w:spacing w:after="0"/>
              <w:rPr>
                <w:sz w:val="20"/>
                <w:szCs w:val="20"/>
                <w:color w:val="auto"/>
              </w:rPr>
            </w:pPr>
            <w:r>
              <w:rPr>
                <w:rFonts w:ascii="Arial" w:cs="Arial" w:eastAsia="Arial" w:hAnsi="Arial"/>
                <w:sz w:val="13"/>
                <w:szCs w:val="13"/>
                <w:color w:val="auto"/>
              </w:rPr>
              <w:t>$902,152</w:t>
            </w:r>
          </w:p>
        </w:tc>
        <w:tc>
          <w:tcPr>
            <w:tcW w:w="1360" w:type="dxa"/>
            <w:vAlign w:val="bottom"/>
            <w:shd w:val="clear" w:color="auto" w:fill="ACACAC"/>
          </w:tcPr>
          <w:p>
            <w:pPr>
              <w:jc w:val="right"/>
              <w:ind w:right="217"/>
              <w:spacing w:after="0"/>
              <w:rPr>
                <w:sz w:val="20"/>
                <w:szCs w:val="20"/>
                <w:color w:val="auto"/>
              </w:rPr>
            </w:pPr>
            <w:r>
              <w:rPr>
                <w:rFonts w:ascii="Arial" w:cs="Arial" w:eastAsia="Arial" w:hAnsi="Arial"/>
                <w:sz w:val="13"/>
                <w:szCs w:val="13"/>
                <w:color w:val="auto"/>
              </w:rPr>
              <w:t>-</w:t>
            </w:r>
          </w:p>
        </w:tc>
        <w:tc>
          <w:tcPr>
            <w:tcW w:w="1100" w:type="dxa"/>
            <w:vAlign w:val="bottom"/>
            <w:shd w:val="clear" w:color="auto" w:fill="ACACAC"/>
          </w:tcPr>
          <w:p>
            <w:pPr>
              <w:jc w:val="right"/>
              <w:ind w:right="177"/>
              <w:spacing w:after="0"/>
              <w:rPr>
                <w:sz w:val="20"/>
                <w:szCs w:val="20"/>
                <w:color w:val="auto"/>
              </w:rPr>
            </w:pPr>
            <w:r>
              <w:rPr>
                <w:rFonts w:ascii="Arial" w:cs="Arial" w:eastAsia="Arial" w:hAnsi="Arial"/>
                <w:sz w:val="13"/>
                <w:szCs w:val="13"/>
                <w:color w:val="auto"/>
              </w:rPr>
              <w:t>$29,843</w:t>
            </w:r>
          </w:p>
        </w:tc>
        <w:tc>
          <w:tcPr>
            <w:tcW w:w="820" w:type="dxa"/>
            <w:vAlign w:val="bottom"/>
            <w:shd w:val="clear" w:color="auto" w:fill="ACACAC"/>
          </w:tcPr>
          <w:p>
            <w:pPr>
              <w:jc w:val="right"/>
              <w:spacing w:after="0"/>
              <w:rPr>
                <w:sz w:val="20"/>
                <w:szCs w:val="20"/>
                <w:color w:val="auto"/>
              </w:rPr>
            </w:pPr>
            <w:r>
              <w:rPr>
                <w:rFonts w:ascii="Arial" w:cs="Arial" w:eastAsia="Arial" w:hAnsi="Arial"/>
                <w:sz w:val="13"/>
                <w:szCs w:val="13"/>
                <w:color w:val="auto"/>
              </w:rPr>
              <w:t>$2,783,178</w:t>
            </w:r>
          </w:p>
        </w:tc>
        <w:tc>
          <w:tcPr>
            <w:tcW w:w="0" w:type="dxa"/>
            <w:vAlign w:val="bottom"/>
          </w:tcPr>
          <w:p>
            <w:pPr>
              <w:spacing w:after="0"/>
              <w:rPr>
                <w:sz w:val="1"/>
                <w:szCs w:val="1"/>
                <w:color w:val="auto"/>
              </w:rPr>
            </w:pPr>
          </w:p>
        </w:tc>
      </w:tr>
      <w:tr>
        <w:trPr>
          <w:trHeight w:val="173"/>
        </w:trPr>
        <w:tc>
          <w:tcPr>
            <w:tcW w:w="2520" w:type="dxa"/>
            <w:vAlign w:val="bottom"/>
          </w:tcPr>
          <w:p>
            <w:pPr>
              <w:spacing w:after="0"/>
              <w:rPr>
                <w:sz w:val="15"/>
                <w:szCs w:val="15"/>
                <w:color w:val="auto"/>
              </w:rPr>
            </w:pPr>
          </w:p>
        </w:tc>
        <w:tc>
          <w:tcPr>
            <w:tcW w:w="800" w:type="dxa"/>
            <w:vAlign w:val="bottom"/>
          </w:tcPr>
          <w:p>
            <w:pPr>
              <w:jc w:val="right"/>
              <w:ind w:right="77"/>
              <w:spacing w:after="0"/>
              <w:rPr>
                <w:sz w:val="20"/>
                <w:szCs w:val="20"/>
                <w:color w:val="auto"/>
              </w:rPr>
            </w:pPr>
            <w:r>
              <w:rPr>
                <w:rFonts w:ascii="Arial" w:cs="Arial" w:eastAsia="Arial" w:hAnsi="Arial"/>
                <w:sz w:val="13"/>
                <w:szCs w:val="13"/>
                <w:color w:val="auto"/>
              </w:rPr>
              <w:t>2016</w:t>
            </w:r>
          </w:p>
        </w:tc>
        <w:tc>
          <w:tcPr>
            <w:tcW w:w="860" w:type="dxa"/>
            <w:vAlign w:val="bottom"/>
            <w:vMerge w:val="restart"/>
          </w:tcPr>
          <w:p>
            <w:pPr>
              <w:jc w:val="right"/>
              <w:spacing w:after="0"/>
              <w:rPr>
                <w:sz w:val="20"/>
                <w:szCs w:val="20"/>
                <w:color w:val="auto"/>
              </w:rPr>
            </w:pPr>
            <w:r>
              <w:rPr>
                <w:rFonts w:ascii="Arial" w:cs="Arial" w:eastAsia="Arial" w:hAnsi="Arial"/>
                <w:sz w:val="13"/>
                <w:szCs w:val="13"/>
                <w:color w:val="auto"/>
              </w:rPr>
              <w:t>$338,461</w:t>
            </w:r>
          </w:p>
        </w:tc>
        <w:tc>
          <w:tcPr>
            <w:tcW w:w="80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960" w:type="dxa"/>
            <w:vAlign w:val="bottom"/>
            <w:vMerge w:val="restart"/>
          </w:tcPr>
          <w:p>
            <w:pPr>
              <w:jc w:val="right"/>
              <w:ind w:right="56"/>
              <w:spacing w:after="0"/>
              <w:rPr>
                <w:sz w:val="20"/>
                <w:szCs w:val="20"/>
                <w:color w:val="auto"/>
              </w:rPr>
            </w:pPr>
            <w:r>
              <w:rPr>
                <w:rFonts w:ascii="Arial" w:cs="Arial" w:eastAsia="Arial" w:hAnsi="Arial"/>
                <w:sz w:val="13"/>
                <w:szCs w:val="13"/>
                <w:color w:val="auto"/>
              </w:rPr>
              <w:t>$758,835</w:t>
            </w:r>
          </w:p>
        </w:tc>
        <w:tc>
          <w:tcPr>
            <w:tcW w:w="840" w:type="dxa"/>
            <w:vAlign w:val="bottom"/>
            <w:vMerge w:val="restart"/>
          </w:tcPr>
          <w:p>
            <w:pPr>
              <w:jc w:val="right"/>
              <w:spacing w:after="0"/>
              <w:rPr>
                <w:sz w:val="20"/>
                <w:szCs w:val="20"/>
                <w:color w:val="auto"/>
              </w:rPr>
            </w:pPr>
            <w:r>
              <w:rPr>
                <w:rFonts w:ascii="Arial" w:cs="Arial" w:eastAsia="Arial" w:hAnsi="Arial"/>
                <w:sz w:val="13"/>
                <w:szCs w:val="13"/>
                <w:color w:val="auto"/>
              </w:rPr>
              <w:t>$115,800</w:t>
            </w:r>
          </w:p>
        </w:tc>
        <w:tc>
          <w:tcPr>
            <w:tcW w:w="1360" w:type="dxa"/>
            <w:vAlign w:val="bottom"/>
            <w:vMerge w:val="restart"/>
          </w:tcPr>
          <w:p>
            <w:pPr>
              <w:jc w:val="right"/>
              <w:ind w:right="217"/>
              <w:spacing w:after="0"/>
              <w:rPr>
                <w:sz w:val="20"/>
                <w:szCs w:val="20"/>
                <w:color w:val="auto"/>
              </w:rPr>
            </w:pPr>
            <w:r>
              <w:rPr>
                <w:rFonts w:ascii="Arial" w:cs="Arial" w:eastAsia="Arial" w:hAnsi="Arial"/>
                <w:sz w:val="13"/>
                <w:szCs w:val="13"/>
                <w:color w:val="auto"/>
              </w:rPr>
              <w:t>$225,280</w:t>
            </w:r>
          </w:p>
        </w:tc>
        <w:tc>
          <w:tcPr>
            <w:tcW w:w="1360" w:type="dxa"/>
            <w:vAlign w:val="bottom"/>
            <w:vMerge w:val="restart"/>
          </w:tcPr>
          <w:p>
            <w:pPr>
              <w:jc w:val="right"/>
              <w:ind w:right="217"/>
              <w:spacing w:after="0"/>
              <w:rPr>
                <w:sz w:val="20"/>
                <w:szCs w:val="20"/>
                <w:color w:val="auto"/>
              </w:rPr>
            </w:pPr>
            <w:r>
              <w:rPr>
                <w:rFonts w:ascii="Arial" w:cs="Arial" w:eastAsia="Arial" w:hAnsi="Arial"/>
                <w:sz w:val="13"/>
                <w:szCs w:val="13"/>
                <w:color w:val="auto"/>
              </w:rPr>
              <w:t>-</w:t>
            </w:r>
          </w:p>
        </w:tc>
        <w:tc>
          <w:tcPr>
            <w:tcW w:w="1100" w:type="dxa"/>
            <w:vAlign w:val="bottom"/>
            <w:vMerge w:val="restart"/>
          </w:tcPr>
          <w:p>
            <w:pPr>
              <w:jc w:val="right"/>
              <w:ind w:right="177"/>
              <w:spacing w:after="0"/>
              <w:rPr>
                <w:sz w:val="20"/>
                <w:szCs w:val="20"/>
                <w:color w:val="auto"/>
              </w:rPr>
            </w:pPr>
            <w:r>
              <w:rPr>
                <w:rFonts w:ascii="Arial" w:cs="Arial" w:eastAsia="Arial" w:hAnsi="Arial"/>
                <w:sz w:val="13"/>
                <w:szCs w:val="13"/>
                <w:color w:val="auto"/>
              </w:rPr>
              <w:t>$2,218</w:t>
            </w:r>
          </w:p>
        </w:tc>
        <w:tc>
          <w:tcPr>
            <w:tcW w:w="820" w:type="dxa"/>
            <w:vAlign w:val="bottom"/>
          </w:tcPr>
          <w:p>
            <w:pPr>
              <w:jc w:val="right"/>
              <w:spacing w:after="0"/>
              <w:rPr>
                <w:sz w:val="20"/>
                <w:szCs w:val="20"/>
                <w:color w:val="auto"/>
              </w:rPr>
            </w:pPr>
            <w:r>
              <w:rPr>
                <w:rFonts w:ascii="Arial" w:cs="Arial" w:eastAsia="Arial" w:hAnsi="Arial"/>
                <w:sz w:val="13"/>
                <w:szCs w:val="13"/>
                <w:color w:val="auto"/>
              </w:rPr>
              <w:t>$1,440,594</w:t>
            </w:r>
          </w:p>
        </w:tc>
        <w:tc>
          <w:tcPr>
            <w:tcW w:w="0" w:type="dxa"/>
            <w:vAlign w:val="bottom"/>
          </w:tcPr>
          <w:p>
            <w:pPr>
              <w:spacing w:after="0"/>
              <w:rPr>
                <w:sz w:val="1"/>
                <w:szCs w:val="1"/>
                <w:color w:val="auto"/>
              </w:rPr>
            </w:pPr>
          </w:p>
        </w:tc>
      </w:tr>
      <w:tr>
        <w:trPr>
          <w:trHeight w:val="91"/>
        </w:trPr>
        <w:tc>
          <w:tcPr>
            <w:tcW w:w="2520" w:type="dxa"/>
            <w:vAlign w:val="bottom"/>
            <w:tcBorders>
              <w:bottom w:val="single" w:sz="8" w:color="auto"/>
            </w:tcBorders>
          </w:tcPr>
          <w:p>
            <w:pPr>
              <w:spacing w:after="0"/>
              <w:rPr>
                <w:sz w:val="7"/>
                <w:szCs w:val="7"/>
                <w:color w:val="auto"/>
              </w:rPr>
            </w:pPr>
          </w:p>
        </w:tc>
        <w:tc>
          <w:tcPr>
            <w:tcW w:w="800" w:type="dxa"/>
            <w:vAlign w:val="bottom"/>
            <w:tcBorders>
              <w:bottom w:val="single" w:sz="8" w:color="auto"/>
            </w:tcBorders>
          </w:tcPr>
          <w:p>
            <w:pPr>
              <w:spacing w:after="0"/>
              <w:rPr>
                <w:sz w:val="7"/>
                <w:szCs w:val="7"/>
                <w:color w:val="auto"/>
              </w:rPr>
            </w:pPr>
          </w:p>
        </w:tc>
        <w:tc>
          <w:tcPr>
            <w:tcW w:w="860" w:type="dxa"/>
            <w:vAlign w:val="bottom"/>
            <w:tcBorders>
              <w:bottom w:val="single" w:sz="8" w:color="auto"/>
            </w:tcBorders>
            <w:vMerge w:val="continue"/>
          </w:tcPr>
          <w:p>
            <w:pPr>
              <w:spacing w:after="0"/>
              <w:rPr>
                <w:sz w:val="7"/>
                <w:szCs w:val="7"/>
                <w:color w:val="auto"/>
              </w:rPr>
            </w:pPr>
          </w:p>
        </w:tc>
        <w:tc>
          <w:tcPr>
            <w:tcW w:w="800" w:type="dxa"/>
            <w:vAlign w:val="bottom"/>
            <w:tcBorders>
              <w:bottom w:val="single" w:sz="8" w:color="auto"/>
            </w:tcBorders>
            <w:vMerge w:val="continue"/>
          </w:tcPr>
          <w:p>
            <w:pPr>
              <w:spacing w:after="0"/>
              <w:rPr>
                <w:sz w:val="7"/>
                <w:szCs w:val="7"/>
                <w:color w:val="auto"/>
              </w:rPr>
            </w:pPr>
          </w:p>
        </w:tc>
        <w:tc>
          <w:tcPr>
            <w:tcW w:w="960" w:type="dxa"/>
            <w:vAlign w:val="bottom"/>
            <w:tcBorders>
              <w:bottom w:val="single" w:sz="8" w:color="auto"/>
            </w:tcBorders>
            <w:vMerge w:val="continue"/>
          </w:tcPr>
          <w:p>
            <w:pPr>
              <w:spacing w:after="0"/>
              <w:rPr>
                <w:sz w:val="7"/>
                <w:szCs w:val="7"/>
                <w:color w:val="auto"/>
              </w:rPr>
            </w:pPr>
          </w:p>
        </w:tc>
        <w:tc>
          <w:tcPr>
            <w:tcW w:w="840" w:type="dxa"/>
            <w:vAlign w:val="bottom"/>
            <w:tcBorders>
              <w:bottom w:val="single" w:sz="8" w:color="auto"/>
            </w:tcBorders>
            <w:vMerge w:val="continue"/>
          </w:tcPr>
          <w:p>
            <w:pPr>
              <w:spacing w:after="0"/>
              <w:rPr>
                <w:sz w:val="7"/>
                <w:szCs w:val="7"/>
                <w:color w:val="auto"/>
              </w:rPr>
            </w:pPr>
          </w:p>
        </w:tc>
        <w:tc>
          <w:tcPr>
            <w:tcW w:w="1360" w:type="dxa"/>
            <w:vAlign w:val="bottom"/>
            <w:tcBorders>
              <w:bottom w:val="single" w:sz="8" w:color="auto"/>
            </w:tcBorders>
            <w:vMerge w:val="continue"/>
          </w:tcPr>
          <w:p>
            <w:pPr>
              <w:spacing w:after="0"/>
              <w:rPr>
                <w:sz w:val="7"/>
                <w:szCs w:val="7"/>
                <w:color w:val="auto"/>
              </w:rPr>
            </w:pPr>
          </w:p>
        </w:tc>
        <w:tc>
          <w:tcPr>
            <w:tcW w:w="1360" w:type="dxa"/>
            <w:vAlign w:val="bottom"/>
            <w:tcBorders>
              <w:bottom w:val="single" w:sz="8" w:color="auto"/>
            </w:tcBorders>
            <w:vMerge w:val="continue"/>
          </w:tcPr>
          <w:p>
            <w:pPr>
              <w:spacing w:after="0"/>
              <w:rPr>
                <w:sz w:val="7"/>
                <w:szCs w:val="7"/>
                <w:color w:val="auto"/>
              </w:rPr>
            </w:pPr>
          </w:p>
        </w:tc>
        <w:tc>
          <w:tcPr>
            <w:tcW w:w="1100" w:type="dxa"/>
            <w:vAlign w:val="bottom"/>
            <w:tcBorders>
              <w:bottom w:val="single" w:sz="8" w:color="auto"/>
            </w:tcBorders>
            <w:vMerge w:val="continue"/>
          </w:tcPr>
          <w:p>
            <w:pPr>
              <w:spacing w:after="0"/>
              <w:rPr>
                <w:sz w:val="7"/>
                <w:szCs w:val="7"/>
                <w:color w:val="auto"/>
              </w:rPr>
            </w:pPr>
          </w:p>
        </w:tc>
        <w:tc>
          <w:tcPr>
            <w:tcW w:w="820" w:type="dxa"/>
            <w:vAlign w:val="bottom"/>
            <w:tcBorders>
              <w:bottom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43"/>
        </w:trPr>
        <w:tc>
          <w:tcPr>
            <w:tcW w:w="2520" w:type="dxa"/>
            <w:vAlign w:val="bottom"/>
            <w:shd w:val="clear" w:color="auto" w:fill="ACACAC"/>
          </w:tcPr>
          <w:p>
            <w:pPr>
              <w:ind w:left="40"/>
              <w:spacing w:after="0"/>
              <w:rPr>
                <w:sz w:val="20"/>
                <w:szCs w:val="20"/>
                <w:color w:val="auto"/>
              </w:rPr>
            </w:pPr>
            <w:r>
              <w:rPr>
                <w:rFonts w:ascii="Arial" w:cs="Arial" w:eastAsia="Arial" w:hAnsi="Arial"/>
                <w:sz w:val="16"/>
                <w:szCs w:val="16"/>
                <w:color w:val="auto"/>
              </w:rPr>
              <w:t>Bryan L. Hughes</w:t>
            </w:r>
          </w:p>
        </w:tc>
        <w:tc>
          <w:tcPr>
            <w:tcW w:w="800" w:type="dxa"/>
            <w:vAlign w:val="bottom"/>
            <w:shd w:val="clear" w:color="auto" w:fill="ACACAC"/>
          </w:tcPr>
          <w:p>
            <w:pPr>
              <w:jc w:val="right"/>
              <w:ind w:right="77"/>
              <w:spacing w:after="0"/>
              <w:rPr>
                <w:sz w:val="20"/>
                <w:szCs w:val="20"/>
                <w:color w:val="auto"/>
              </w:rPr>
            </w:pPr>
            <w:r>
              <w:rPr>
                <w:rFonts w:ascii="Arial" w:cs="Arial" w:eastAsia="Arial" w:hAnsi="Arial"/>
                <w:sz w:val="13"/>
                <w:szCs w:val="13"/>
                <w:color w:val="auto"/>
              </w:rPr>
              <w:t>2018</w:t>
            </w:r>
          </w:p>
        </w:tc>
        <w:tc>
          <w:tcPr>
            <w:tcW w:w="860" w:type="dxa"/>
            <w:vAlign w:val="bottom"/>
            <w:shd w:val="clear" w:color="auto" w:fill="ACACAC"/>
          </w:tcPr>
          <w:p>
            <w:pPr>
              <w:jc w:val="right"/>
              <w:spacing w:after="0"/>
              <w:rPr>
                <w:sz w:val="20"/>
                <w:szCs w:val="20"/>
                <w:color w:val="auto"/>
              </w:rPr>
            </w:pPr>
            <w:r>
              <w:rPr>
                <w:rFonts w:ascii="Arial" w:cs="Arial" w:eastAsia="Arial" w:hAnsi="Arial"/>
                <w:sz w:val="13"/>
                <w:szCs w:val="13"/>
                <w:color w:val="auto"/>
              </w:rPr>
              <w:t>$457,356</w:t>
            </w:r>
          </w:p>
        </w:tc>
        <w:tc>
          <w:tcPr>
            <w:tcW w:w="800" w:type="dxa"/>
            <w:vAlign w:val="bottom"/>
            <w:shd w:val="clear" w:color="auto" w:fill="ACACAC"/>
          </w:tcPr>
          <w:p>
            <w:pPr>
              <w:jc w:val="right"/>
              <w:spacing w:after="0"/>
              <w:rPr>
                <w:sz w:val="20"/>
                <w:szCs w:val="20"/>
                <w:color w:val="auto"/>
              </w:rPr>
            </w:pPr>
            <w:r>
              <w:rPr>
                <w:rFonts w:ascii="Arial" w:cs="Arial" w:eastAsia="Arial" w:hAnsi="Arial"/>
                <w:sz w:val="13"/>
                <w:szCs w:val="13"/>
                <w:color w:val="auto"/>
              </w:rPr>
              <w:t>-</w:t>
            </w:r>
          </w:p>
        </w:tc>
        <w:tc>
          <w:tcPr>
            <w:tcW w:w="960" w:type="dxa"/>
            <w:vAlign w:val="bottom"/>
            <w:shd w:val="clear" w:color="auto" w:fill="ACACAC"/>
          </w:tcPr>
          <w:p>
            <w:pPr>
              <w:jc w:val="right"/>
              <w:ind w:right="56"/>
              <w:spacing w:after="0"/>
              <w:rPr>
                <w:sz w:val="20"/>
                <w:szCs w:val="20"/>
                <w:color w:val="auto"/>
              </w:rPr>
            </w:pPr>
            <w:r>
              <w:rPr>
                <w:rFonts w:ascii="Arial" w:cs="Arial" w:eastAsia="Arial" w:hAnsi="Arial"/>
                <w:sz w:val="13"/>
                <w:szCs w:val="13"/>
                <w:color w:val="auto"/>
              </w:rPr>
              <w:t>$371,228</w:t>
            </w:r>
          </w:p>
        </w:tc>
        <w:tc>
          <w:tcPr>
            <w:tcW w:w="840" w:type="dxa"/>
            <w:vAlign w:val="bottom"/>
            <w:shd w:val="clear" w:color="auto" w:fill="ACACAC"/>
          </w:tcPr>
          <w:p>
            <w:pPr>
              <w:jc w:val="right"/>
              <w:spacing w:after="0"/>
              <w:rPr>
                <w:sz w:val="20"/>
                <w:szCs w:val="20"/>
                <w:color w:val="auto"/>
              </w:rPr>
            </w:pPr>
            <w:r>
              <w:rPr>
                <w:rFonts w:ascii="Arial" w:cs="Arial" w:eastAsia="Arial" w:hAnsi="Arial"/>
                <w:sz w:val="13"/>
                <w:szCs w:val="13"/>
                <w:color w:val="auto"/>
              </w:rPr>
              <w:t>$123,753</w:t>
            </w:r>
          </w:p>
        </w:tc>
        <w:tc>
          <w:tcPr>
            <w:tcW w:w="1360" w:type="dxa"/>
            <w:vAlign w:val="bottom"/>
            <w:shd w:val="clear" w:color="auto" w:fill="ACACAC"/>
          </w:tcPr>
          <w:p>
            <w:pPr>
              <w:jc w:val="right"/>
              <w:ind w:right="217"/>
              <w:spacing w:after="0"/>
              <w:rPr>
                <w:sz w:val="20"/>
                <w:szCs w:val="20"/>
                <w:color w:val="auto"/>
              </w:rPr>
            </w:pPr>
            <w:r>
              <w:rPr>
                <w:rFonts w:ascii="Arial" w:cs="Arial" w:eastAsia="Arial" w:hAnsi="Arial"/>
                <w:sz w:val="13"/>
                <w:szCs w:val="13"/>
                <w:color w:val="auto"/>
              </w:rPr>
              <w:t>$405,277</w:t>
            </w:r>
          </w:p>
        </w:tc>
        <w:tc>
          <w:tcPr>
            <w:tcW w:w="1360" w:type="dxa"/>
            <w:vAlign w:val="bottom"/>
            <w:shd w:val="clear" w:color="auto" w:fill="ACACAC"/>
          </w:tcPr>
          <w:p>
            <w:pPr>
              <w:jc w:val="right"/>
              <w:ind w:right="217"/>
              <w:spacing w:after="0"/>
              <w:rPr>
                <w:sz w:val="20"/>
                <w:szCs w:val="20"/>
                <w:color w:val="auto"/>
              </w:rPr>
            </w:pPr>
            <w:r>
              <w:rPr>
                <w:rFonts w:ascii="Arial" w:cs="Arial" w:eastAsia="Arial" w:hAnsi="Arial"/>
                <w:sz w:val="13"/>
                <w:szCs w:val="13"/>
                <w:color w:val="auto"/>
              </w:rPr>
              <w:t>-</w:t>
            </w:r>
          </w:p>
        </w:tc>
        <w:tc>
          <w:tcPr>
            <w:tcW w:w="1100" w:type="dxa"/>
            <w:vAlign w:val="bottom"/>
            <w:shd w:val="clear" w:color="auto" w:fill="ACACAC"/>
          </w:tcPr>
          <w:p>
            <w:pPr>
              <w:jc w:val="right"/>
              <w:ind w:right="177"/>
              <w:spacing w:after="0"/>
              <w:rPr>
                <w:sz w:val="20"/>
                <w:szCs w:val="20"/>
                <w:color w:val="auto"/>
              </w:rPr>
            </w:pPr>
            <w:r>
              <w:rPr>
                <w:rFonts w:ascii="Arial" w:cs="Arial" w:eastAsia="Arial" w:hAnsi="Arial"/>
                <w:sz w:val="13"/>
                <w:szCs w:val="13"/>
                <w:color w:val="auto"/>
              </w:rPr>
              <w:t>$37,446</w:t>
            </w:r>
          </w:p>
        </w:tc>
        <w:tc>
          <w:tcPr>
            <w:tcW w:w="820" w:type="dxa"/>
            <w:vAlign w:val="bottom"/>
            <w:shd w:val="clear" w:color="auto" w:fill="ACACAC"/>
          </w:tcPr>
          <w:p>
            <w:pPr>
              <w:jc w:val="right"/>
              <w:spacing w:after="0"/>
              <w:rPr>
                <w:sz w:val="20"/>
                <w:szCs w:val="20"/>
                <w:color w:val="auto"/>
              </w:rPr>
            </w:pPr>
            <w:r>
              <w:rPr>
                <w:rFonts w:ascii="Arial" w:cs="Arial" w:eastAsia="Arial" w:hAnsi="Arial"/>
                <w:sz w:val="13"/>
                <w:szCs w:val="13"/>
                <w:color w:val="auto"/>
              </w:rPr>
              <w:t>$1,395,060</w:t>
            </w:r>
          </w:p>
        </w:tc>
        <w:tc>
          <w:tcPr>
            <w:tcW w:w="0" w:type="dxa"/>
            <w:vAlign w:val="bottom"/>
          </w:tcPr>
          <w:p>
            <w:pPr>
              <w:spacing w:after="0"/>
              <w:rPr>
                <w:sz w:val="1"/>
                <w:szCs w:val="1"/>
                <w:color w:val="auto"/>
              </w:rPr>
            </w:pPr>
          </w:p>
        </w:tc>
      </w:tr>
      <w:tr>
        <w:trPr>
          <w:trHeight w:val="235"/>
        </w:trPr>
        <w:tc>
          <w:tcPr>
            <w:tcW w:w="2520" w:type="dxa"/>
            <w:vAlign w:val="bottom"/>
          </w:tcPr>
          <w:p>
            <w:pPr>
              <w:ind w:left="180"/>
              <w:spacing w:after="0"/>
              <w:rPr>
                <w:sz w:val="20"/>
                <w:szCs w:val="20"/>
                <w:color w:val="auto"/>
              </w:rPr>
            </w:pPr>
            <w:r>
              <w:rPr>
                <w:rFonts w:ascii="Arial" w:cs="Arial" w:eastAsia="Arial" w:hAnsi="Arial"/>
                <w:sz w:val="16"/>
                <w:szCs w:val="16"/>
                <w:color w:val="auto"/>
              </w:rPr>
              <w:t>Vice President, CFO</w:t>
            </w:r>
          </w:p>
        </w:tc>
        <w:tc>
          <w:tcPr>
            <w:tcW w:w="800" w:type="dxa"/>
            <w:vAlign w:val="bottom"/>
          </w:tcPr>
          <w:p>
            <w:pPr>
              <w:jc w:val="right"/>
              <w:ind w:right="77"/>
              <w:spacing w:after="0"/>
              <w:rPr>
                <w:sz w:val="20"/>
                <w:szCs w:val="20"/>
                <w:color w:val="auto"/>
              </w:rPr>
            </w:pPr>
            <w:r>
              <w:rPr>
                <w:rFonts w:ascii="Arial" w:cs="Arial" w:eastAsia="Arial" w:hAnsi="Arial"/>
                <w:sz w:val="13"/>
                <w:szCs w:val="13"/>
                <w:color w:val="auto"/>
              </w:rPr>
              <w:t>2017</w:t>
            </w:r>
          </w:p>
        </w:tc>
        <w:tc>
          <w:tcPr>
            <w:tcW w:w="860" w:type="dxa"/>
            <w:vAlign w:val="bottom"/>
          </w:tcPr>
          <w:p>
            <w:pPr>
              <w:jc w:val="right"/>
              <w:spacing w:after="0"/>
              <w:rPr>
                <w:sz w:val="20"/>
                <w:szCs w:val="20"/>
                <w:color w:val="auto"/>
              </w:rPr>
            </w:pPr>
            <w:r>
              <w:rPr>
                <w:rFonts w:ascii="Arial" w:cs="Arial" w:eastAsia="Arial" w:hAnsi="Arial"/>
                <w:sz w:val="13"/>
                <w:szCs w:val="13"/>
                <w:color w:val="auto"/>
              </w:rPr>
              <w:t>$298,846</w:t>
            </w:r>
          </w:p>
        </w:tc>
        <w:tc>
          <w:tcPr>
            <w:tcW w:w="800" w:type="dxa"/>
            <w:vAlign w:val="bottom"/>
          </w:tcPr>
          <w:p>
            <w:pPr>
              <w:jc w:val="right"/>
              <w:spacing w:after="0"/>
              <w:rPr>
                <w:sz w:val="20"/>
                <w:szCs w:val="20"/>
                <w:color w:val="auto"/>
              </w:rPr>
            </w:pPr>
            <w:r>
              <w:rPr>
                <w:rFonts w:ascii="Arial" w:cs="Arial" w:eastAsia="Arial" w:hAnsi="Arial"/>
                <w:sz w:val="13"/>
                <w:szCs w:val="13"/>
                <w:color w:val="auto"/>
              </w:rPr>
              <w:t>-</w:t>
            </w:r>
          </w:p>
        </w:tc>
        <w:tc>
          <w:tcPr>
            <w:tcW w:w="960" w:type="dxa"/>
            <w:vAlign w:val="bottom"/>
          </w:tcPr>
          <w:p>
            <w:pPr>
              <w:jc w:val="right"/>
              <w:ind w:right="56"/>
              <w:spacing w:after="0"/>
              <w:rPr>
                <w:sz w:val="20"/>
                <w:szCs w:val="20"/>
                <w:color w:val="auto"/>
              </w:rPr>
            </w:pPr>
            <w:r>
              <w:rPr>
                <w:rFonts w:ascii="Arial" w:cs="Arial" w:eastAsia="Arial" w:hAnsi="Arial"/>
                <w:sz w:val="13"/>
                <w:szCs w:val="13"/>
                <w:color w:val="auto"/>
              </w:rPr>
              <w:t>$451,886</w:t>
            </w:r>
          </w:p>
        </w:tc>
        <w:tc>
          <w:tcPr>
            <w:tcW w:w="840" w:type="dxa"/>
            <w:vAlign w:val="bottom"/>
          </w:tcPr>
          <w:p>
            <w:pPr>
              <w:jc w:val="right"/>
              <w:spacing w:after="0"/>
              <w:rPr>
                <w:sz w:val="20"/>
                <w:szCs w:val="20"/>
                <w:color w:val="auto"/>
              </w:rPr>
            </w:pPr>
            <w:r>
              <w:rPr>
                <w:rFonts w:ascii="Arial" w:cs="Arial" w:eastAsia="Arial" w:hAnsi="Arial"/>
                <w:sz w:val="13"/>
                <w:szCs w:val="13"/>
                <w:color w:val="auto"/>
              </w:rPr>
              <w:t>-</w:t>
            </w:r>
          </w:p>
        </w:tc>
        <w:tc>
          <w:tcPr>
            <w:tcW w:w="1360" w:type="dxa"/>
            <w:vAlign w:val="bottom"/>
          </w:tcPr>
          <w:p>
            <w:pPr>
              <w:jc w:val="right"/>
              <w:ind w:right="217"/>
              <w:spacing w:after="0"/>
              <w:rPr>
                <w:sz w:val="20"/>
                <w:szCs w:val="20"/>
                <w:color w:val="auto"/>
              </w:rPr>
            </w:pPr>
            <w:r>
              <w:rPr>
                <w:rFonts w:ascii="Arial" w:cs="Arial" w:eastAsia="Arial" w:hAnsi="Arial"/>
                <w:sz w:val="13"/>
                <w:szCs w:val="13"/>
                <w:color w:val="auto"/>
              </w:rPr>
              <w:t>$134,497</w:t>
            </w:r>
          </w:p>
        </w:tc>
        <w:tc>
          <w:tcPr>
            <w:tcW w:w="1360" w:type="dxa"/>
            <w:vAlign w:val="bottom"/>
          </w:tcPr>
          <w:p>
            <w:pPr>
              <w:jc w:val="right"/>
              <w:ind w:right="217"/>
              <w:spacing w:after="0"/>
              <w:rPr>
                <w:sz w:val="20"/>
                <w:szCs w:val="20"/>
                <w:color w:val="auto"/>
              </w:rPr>
            </w:pPr>
            <w:r>
              <w:rPr>
                <w:rFonts w:ascii="Arial" w:cs="Arial" w:eastAsia="Arial" w:hAnsi="Arial"/>
                <w:sz w:val="13"/>
                <w:szCs w:val="13"/>
                <w:color w:val="auto"/>
              </w:rPr>
              <w:t>-</w:t>
            </w:r>
          </w:p>
        </w:tc>
        <w:tc>
          <w:tcPr>
            <w:tcW w:w="1100" w:type="dxa"/>
            <w:vAlign w:val="bottom"/>
          </w:tcPr>
          <w:p>
            <w:pPr>
              <w:jc w:val="right"/>
              <w:ind w:right="177"/>
              <w:spacing w:after="0"/>
              <w:rPr>
                <w:sz w:val="20"/>
                <w:szCs w:val="20"/>
                <w:color w:val="auto"/>
              </w:rPr>
            </w:pPr>
            <w:r>
              <w:rPr>
                <w:rFonts w:ascii="Arial" w:cs="Arial" w:eastAsia="Arial" w:hAnsi="Arial"/>
                <w:sz w:val="13"/>
                <w:szCs w:val="13"/>
                <w:color w:val="auto"/>
              </w:rPr>
              <w:t>$6,370</w:t>
            </w:r>
          </w:p>
        </w:tc>
        <w:tc>
          <w:tcPr>
            <w:tcW w:w="820" w:type="dxa"/>
            <w:vAlign w:val="bottom"/>
          </w:tcPr>
          <w:p>
            <w:pPr>
              <w:jc w:val="right"/>
              <w:spacing w:after="0"/>
              <w:rPr>
                <w:sz w:val="20"/>
                <w:szCs w:val="20"/>
                <w:color w:val="auto"/>
              </w:rPr>
            </w:pPr>
            <w:r>
              <w:rPr>
                <w:rFonts w:ascii="Arial" w:cs="Arial" w:eastAsia="Arial" w:hAnsi="Arial"/>
                <w:sz w:val="13"/>
                <w:szCs w:val="13"/>
                <w:color w:val="auto"/>
              </w:rPr>
              <w:t>$891,599</w:t>
            </w:r>
          </w:p>
        </w:tc>
        <w:tc>
          <w:tcPr>
            <w:tcW w:w="0" w:type="dxa"/>
            <w:vAlign w:val="bottom"/>
          </w:tcPr>
          <w:p>
            <w:pPr>
              <w:spacing w:after="0"/>
              <w:rPr>
                <w:sz w:val="1"/>
                <w:szCs w:val="1"/>
                <w:color w:val="auto"/>
              </w:rPr>
            </w:pPr>
          </w:p>
        </w:tc>
      </w:tr>
      <w:tr>
        <w:trPr>
          <w:trHeight w:val="278"/>
        </w:trPr>
        <w:tc>
          <w:tcPr>
            <w:tcW w:w="2520" w:type="dxa"/>
            <w:vAlign w:val="bottom"/>
            <w:tcBorders>
              <w:bottom w:val="single" w:sz="8" w:color="auto"/>
            </w:tcBorders>
            <w:shd w:val="clear" w:color="auto" w:fill="ACACAC"/>
          </w:tcPr>
          <w:p>
            <w:pPr>
              <w:spacing w:after="0"/>
              <w:rPr>
                <w:sz w:val="24"/>
                <w:szCs w:val="24"/>
                <w:color w:val="auto"/>
              </w:rPr>
            </w:pPr>
          </w:p>
        </w:tc>
        <w:tc>
          <w:tcPr>
            <w:tcW w:w="800" w:type="dxa"/>
            <w:vAlign w:val="bottom"/>
            <w:tcBorders>
              <w:bottom w:val="single" w:sz="8" w:color="auto"/>
            </w:tcBorders>
            <w:shd w:val="clear" w:color="auto" w:fill="ACACAC"/>
          </w:tcPr>
          <w:p>
            <w:pPr>
              <w:spacing w:after="0"/>
              <w:rPr>
                <w:sz w:val="24"/>
                <w:szCs w:val="24"/>
                <w:color w:val="auto"/>
              </w:rPr>
            </w:pPr>
          </w:p>
        </w:tc>
        <w:tc>
          <w:tcPr>
            <w:tcW w:w="860" w:type="dxa"/>
            <w:vAlign w:val="bottom"/>
            <w:tcBorders>
              <w:bottom w:val="single" w:sz="8" w:color="auto"/>
            </w:tcBorders>
            <w:shd w:val="clear" w:color="auto" w:fill="ACACAC"/>
          </w:tcPr>
          <w:p>
            <w:pPr>
              <w:spacing w:after="0"/>
              <w:rPr>
                <w:sz w:val="24"/>
                <w:szCs w:val="24"/>
                <w:color w:val="auto"/>
              </w:rPr>
            </w:pPr>
          </w:p>
        </w:tc>
        <w:tc>
          <w:tcPr>
            <w:tcW w:w="800" w:type="dxa"/>
            <w:vAlign w:val="bottom"/>
            <w:tcBorders>
              <w:bottom w:val="single" w:sz="8" w:color="auto"/>
            </w:tcBorders>
            <w:shd w:val="clear" w:color="auto" w:fill="ACACAC"/>
          </w:tcPr>
          <w:p>
            <w:pPr>
              <w:spacing w:after="0"/>
              <w:rPr>
                <w:sz w:val="24"/>
                <w:szCs w:val="24"/>
                <w:color w:val="auto"/>
              </w:rPr>
            </w:pPr>
          </w:p>
        </w:tc>
        <w:tc>
          <w:tcPr>
            <w:tcW w:w="960" w:type="dxa"/>
            <w:vAlign w:val="bottom"/>
            <w:tcBorders>
              <w:bottom w:val="single" w:sz="8" w:color="auto"/>
            </w:tcBorders>
            <w:shd w:val="clear" w:color="auto" w:fill="ACACAC"/>
          </w:tcPr>
          <w:p>
            <w:pPr>
              <w:spacing w:after="0"/>
              <w:rPr>
                <w:sz w:val="24"/>
                <w:szCs w:val="24"/>
                <w:color w:val="auto"/>
              </w:rPr>
            </w:pPr>
          </w:p>
        </w:tc>
        <w:tc>
          <w:tcPr>
            <w:tcW w:w="840" w:type="dxa"/>
            <w:vAlign w:val="bottom"/>
            <w:tcBorders>
              <w:bottom w:val="single" w:sz="8" w:color="auto"/>
            </w:tcBorders>
            <w:shd w:val="clear" w:color="auto" w:fill="ACACAC"/>
          </w:tcPr>
          <w:p>
            <w:pPr>
              <w:spacing w:after="0"/>
              <w:rPr>
                <w:sz w:val="24"/>
                <w:szCs w:val="24"/>
                <w:color w:val="auto"/>
              </w:rPr>
            </w:pPr>
          </w:p>
        </w:tc>
        <w:tc>
          <w:tcPr>
            <w:tcW w:w="1360" w:type="dxa"/>
            <w:vAlign w:val="bottom"/>
            <w:tcBorders>
              <w:bottom w:val="single" w:sz="8" w:color="auto"/>
            </w:tcBorders>
            <w:shd w:val="clear" w:color="auto" w:fill="ACACAC"/>
          </w:tcPr>
          <w:p>
            <w:pPr>
              <w:spacing w:after="0"/>
              <w:rPr>
                <w:sz w:val="24"/>
                <w:szCs w:val="24"/>
                <w:color w:val="auto"/>
              </w:rPr>
            </w:pPr>
          </w:p>
        </w:tc>
        <w:tc>
          <w:tcPr>
            <w:tcW w:w="1360" w:type="dxa"/>
            <w:vAlign w:val="bottom"/>
            <w:tcBorders>
              <w:bottom w:val="single" w:sz="8" w:color="auto"/>
            </w:tcBorders>
            <w:shd w:val="clear" w:color="auto" w:fill="ACACAC"/>
          </w:tcPr>
          <w:p>
            <w:pPr>
              <w:spacing w:after="0"/>
              <w:rPr>
                <w:sz w:val="24"/>
                <w:szCs w:val="24"/>
                <w:color w:val="auto"/>
              </w:rPr>
            </w:pPr>
          </w:p>
        </w:tc>
        <w:tc>
          <w:tcPr>
            <w:tcW w:w="1100" w:type="dxa"/>
            <w:vAlign w:val="bottom"/>
            <w:tcBorders>
              <w:bottom w:val="single" w:sz="8" w:color="auto"/>
            </w:tcBorders>
            <w:shd w:val="clear" w:color="auto" w:fill="ACACAC"/>
          </w:tcPr>
          <w:p>
            <w:pPr>
              <w:spacing w:after="0"/>
              <w:rPr>
                <w:sz w:val="24"/>
                <w:szCs w:val="24"/>
                <w:color w:val="auto"/>
              </w:rPr>
            </w:pPr>
          </w:p>
        </w:tc>
        <w:tc>
          <w:tcPr>
            <w:tcW w:w="820" w:type="dxa"/>
            <w:vAlign w:val="bottom"/>
            <w:tcBorders>
              <w:bottom w:val="single" w:sz="8" w:color="auto"/>
            </w:tcBorders>
            <w:shd w:val="clear" w:color="auto" w:fill="ACACAC"/>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2520" w:type="dxa"/>
            <w:vAlign w:val="bottom"/>
          </w:tcPr>
          <w:p>
            <w:pPr>
              <w:ind w:left="40"/>
              <w:spacing w:after="0" w:line="237" w:lineRule="exact"/>
              <w:rPr>
                <w:sz w:val="20"/>
                <w:szCs w:val="20"/>
                <w:color w:val="auto"/>
              </w:rPr>
            </w:pPr>
            <w:r>
              <w:rPr>
                <w:rFonts w:ascii="Arial" w:cs="Arial" w:eastAsia="Arial" w:hAnsi="Arial"/>
                <w:sz w:val="16"/>
                <w:szCs w:val="16"/>
                <w:color w:val="auto"/>
              </w:rPr>
              <w:t>Stacy L. Bogart</w:t>
            </w:r>
            <w:r>
              <w:rPr>
                <w:rFonts w:ascii="Arial" w:cs="Arial" w:eastAsia="Arial" w:hAnsi="Arial"/>
                <w:sz w:val="21"/>
                <w:szCs w:val="21"/>
                <w:color w:val="auto"/>
                <w:vertAlign w:val="superscript"/>
              </w:rPr>
              <w:t>(5)</w:t>
            </w:r>
          </w:p>
        </w:tc>
        <w:tc>
          <w:tcPr>
            <w:tcW w:w="800" w:type="dxa"/>
            <w:vAlign w:val="bottom"/>
          </w:tcPr>
          <w:p>
            <w:pPr>
              <w:jc w:val="right"/>
              <w:ind w:right="77"/>
              <w:spacing w:after="0"/>
              <w:rPr>
                <w:sz w:val="20"/>
                <w:szCs w:val="20"/>
                <w:color w:val="auto"/>
              </w:rPr>
            </w:pPr>
            <w:r>
              <w:rPr>
                <w:rFonts w:ascii="Arial" w:cs="Arial" w:eastAsia="Arial" w:hAnsi="Arial"/>
                <w:sz w:val="13"/>
                <w:szCs w:val="13"/>
                <w:color w:val="auto"/>
              </w:rPr>
              <w:t>2018</w:t>
            </w:r>
          </w:p>
        </w:tc>
        <w:tc>
          <w:tcPr>
            <w:tcW w:w="860" w:type="dxa"/>
            <w:vAlign w:val="bottom"/>
          </w:tcPr>
          <w:p>
            <w:pPr>
              <w:jc w:val="right"/>
              <w:spacing w:after="0"/>
              <w:rPr>
                <w:sz w:val="20"/>
                <w:szCs w:val="20"/>
                <w:color w:val="auto"/>
              </w:rPr>
            </w:pPr>
            <w:r>
              <w:rPr>
                <w:rFonts w:ascii="Arial" w:cs="Arial" w:eastAsia="Arial" w:hAnsi="Arial"/>
                <w:sz w:val="13"/>
                <w:szCs w:val="13"/>
                <w:color w:val="auto"/>
              </w:rPr>
              <w:t>$271,346</w:t>
            </w:r>
          </w:p>
        </w:tc>
        <w:tc>
          <w:tcPr>
            <w:tcW w:w="800" w:type="dxa"/>
            <w:vAlign w:val="bottom"/>
          </w:tcPr>
          <w:p>
            <w:pPr>
              <w:jc w:val="right"/>
              <w:spacing w:after="0"/>
              <w:rPr>
                <w:sz w:val="20"/>
                <w:szCs w:val="20"/>
                <w:color w:val="auto"/>
              </w:rPr>
            </w:pPr>
            <w:r>
              <w:rPr>
                <w:rFonts w:ascii="Arial" w:cs="Arial" w:eastAsia="Arial" w:hAnsi="Arial"/>
                <w:sz w:val="13"/>
                <w:szCs w:val="13"/>
                <w:color w:val="auto"/>
              </w:rPr>
              <w:t>$50,000</w:t>
            </w:r>
          </w:p>
        </w:tc>
        <w:tc>
          <w:tcPr>
            <w:tcW w:w="960" w:type="dxa"/>
            <w:vAlign w:val="bottom"/>
          </w:tcPr>
          <w:p>
            <w:pPr>
              <w:jc w:val="right"/>
              <w:ind w:right="56"/>
              <w:spacing w:after="0"/>
              <w:rPr>
                <w:sz w:val="20"/>
                <w:szCs w:val="20"/>
                <w:color w:val="auto"/>
              </w:rPr>
            </w:pPr>
            <w:r>
              <w:rPr>
                <w:rFonts w:ascii="Arial" w:cs="Arial" w:eastAsia="Arial" w:hAnsi="Arial"/>
                <w:sz w:val="13"/>
                <w:szCs w:val="13"/>
                <w:color w:val="auto"/>
              </w:rPr>
              <w:t>$701,153</w:t>
            </w:r>
          </w:p>
        </w:tc>
        <w:tc>
          <w:tcPr>
            <w:tcW w:w="840" w:type="dxa"/>
            <w:vAlign w:val="bottom"/>
          </w:tcPr>
          <w:p>
            <w:pPr>
              <w:jc w:val="right"/>
              <w:spacing w:after="0"/>
              <w:rPr>
                <w:sz w:val="20"/>
                <w:szCs w:val="20"/>
                <w:color w:val="auto"/>
              </w:rPr>
            </w:pPr>
            <w:r>
              <w:rPr>
                <w:rFonts w:ascii="Arial" w:cs="Arial" w:eastAsia="Arial" w:hAnsi="Arial"/>
                <w:sz w:val="13"/>
                <w:szCs w:val="13"/>
                <w:color w:val="auto"/>
              </w:rPr>
              <w:t>-</w:t>
            </w:r>
          </w:p>
        </w:tc>
        <w:tc>
          <w:tcPr>
            <w:tcW w:w="1360" w:type="dxa"/>
            <w:vAlign w:val="bottom"/>
          </w:tcPr>
          <w:p>
            <w:pPr>
              <w:jc w:val="right"/>
              <w:ind w:right="217"/>
              <w:spacing w:after="0"/>
              <w:rPr>
                <w:sz w:val="20"/>
                <w:szCs w:val="20"/>
                <w:color w:val="auto"/>
              </w:rPr>
            </w:pPr>
            <w:r>
              <w:rPr>
                <w:rFonts w:ascii="Arial" w:cs="Arial" w:eastAsia="Arial" w:hAnsi="Arial"/>
                <w:sz w:val="13"/>
                <w:szCs w:val="13"/>
                <w:color w:val="auto"/>
              </w:rPr>
              <w:t>$211,813</w:t>
            </w:r>
          </w:p>
        </w:tc>
        <w:tc>
          <w:tcPr>
            <w:tcW w:w="1360" w:type="dxa"/>
            <w:vAlign w:val="bottom"/>
          </w:tcPr>
          <w:p>
            <w:pPr>
              <w:jc w:val="right"/>
              <w:ind w:right="217"/>
              <w:spacing w:after="0"/>
              <w:rPr>
                <w:sz w:val="20"/>
                <w:szCs w:val="20"/>
                <w:color w:val="auto"/>
              </w:rPr>
            </w:pPr>
            <w:r>
              <w:rPr>
                <w:rFonts w:ascii="Arial" w:cs="Arial" w:eastAsia="Arial" w:hAnsi="Arial"/>
                <w:sz w:val="13"/>
                <w:szCs w:val="13"/>
                <w:color w:val="auto"/>
              </w:rPr>
              <w:t>-</w:t>
            </w:r>
          </w:p>
        </w:tc>
        <w:tc>
          <w:tcPr>
            <w:tcW w:w="1100" w:type="dxa"/>
            <w:vAlign w:val="bottom"/>
          </w:tcPr>
          <w:p>
            <w:pPr>
              <w:jc w:val="right"/>
              <w:ind w:right="177"/>
              <w:spacing w:after="0"/>
              <w:rPr>
                <w:sz w:val="20"/>
                <w:szCs w:val="20"/>
                <w:color w:val="auto"/>
              </w:rPr>
            </w:pPr>
            <w:r>
              <w:rPr>
                <w:rFonts w:ascii="Arial" w:cs="Arial" w:eastAsia="Arial" w:hAnsi="Arial"/>
                <w:sz w:val="13"/>
                <w:szCs w:val="13"/>
                <w:color w:val="auto"/>
              </w:rPr>
              <w:t>$25,248</w:t>
            </w:r>
          </w:p>
        </w:tc>
        <w:tc>
          <w:tcPr>
            <w:tcW w:w="820" w:type="dxa"/>
            <w:vAlign w:val="bottom"/>
          </w:tcPr>
          <w:p>
            <w:pPr>
              <w:jc w:val="right"/>
              <w:spacing w:after="0"/>
              <w:rPr>
                <w:sz w:val="20"/>
                <w:szCs w:val="20"/>
                <w:color w:val="auto"/>
              </w:rPr>
            </w:pPr>
            <w:r>
              <w:rPr>
                <w:rFonts w:ascii="Arial" w:cs="Arial" w:eastAsia="Arial" w:hAnsi="Arial"/>
                <w:sz w:val="13"/>
                <w:szCs w:val="13"/>
                <w:color w:val="auto"/>
              </w:rPr>
              <w:t>$1,259,560</w:t>
            </w:r>
          </w:p>
        </w:tc>
        <w:tc>
          <w:tcPr>
            <w:tcW w:w="0" w:type="dxa"/>
            <w:vAlign w:val="bottom"/>
          </w:tcPr>
          <w:p>
            <w:pPr>
              <w:spacing w:after="0"/>
              <w:rPr>
                <w:sz w:val="1"/>
                <w:szCs w:val="1"/>
                <w:color w:val="auto"/>
              </w:rPr>
            </w:pPr>
          </w:p>
        </w:tc>
      </w:tr>
      <w:tr>
        <w:trPr>
          <w:trHeight w:val="250"/>
        </w:trPr>
        <w:tc>
          <w:tcPr>
            <w:tcW w:w="2520" w:type="dxa"/>
            <w:vAlign w:val="bottom"/>
            <w:tcBorders>
              <w:bottom w:val="single" w:sz="8" w:color="ACACAC"/>
            </w:tcBorders>
            <w:shd w:val="clear" w:color="auto" w:fill="ACACAC"/>
          </w:tcPr>
          <w:p>
            <w:pPr>
              <w:ind w:left="180"/>
              <w:spacing w:after="0"/>
              <w:rPr>
                <w:sz w:val="20"/>
                <w:szCs w:val="20"/>
                <w:color w:val="auto"/>
              </w:rPr>
            </w:pPr>
            <w:r>
              <w:rPr>
                <w:rFonts w:ascii="Arial" w:cs="Arial" w:eastAsia="Arial" w:hAnsi="Arial"/>
                <w:sz w:val="16"/>
                <w:szCs w:val="16"/>
                <w:color w:val="auto"/>
              </w:rPr>
              <w:t>Vice President, General</w:t>
            </w:r>
          </w:p>
        </w:tc>
        <w:tc>
          <w:tcPr>
            <w:tcW w:w="800" w:type="dxa"/>
            <w:vAlign w:val="bottom"/>
            <w:tcBorders>
              <w:bottom w:val="single" w:sz="8" w:color="ACACAC"/>
            </w:tcBorders>
            <w:shd w:val="clear" w:color="auto" w:fill="ACACAC"/>
          </w:tcPr>
          <w:p>
            <w:pPr>
              <w:spacing w:after="0"/>
              <w:rPr>
                <w:sz w:val="21"/>
                <w:szCs w:val="21"/>
                <w:color w:val="auto"/>
              </w:rPr>
            </w:pPr>
          </w:p>
        </w:tc>
        <w:tc>
          <w:tcPr>
            <w:tcW w:w="860" w:type="dxa"/>
            <w:vAlign w:val="bottom"/>
            <w:tcBorders>
              <w:bottom w:val="single" w:sz="8" w:color="ACACAC"/>
            </w:tcBorders>
            <w:shd w:val="clear" w:color="auto" w:fill="ACACAC"/>
          </w:tcPr>
          <w:p>
            <w:pPr>
              <w:spacing w:after="0"/>
              <w:rPr>
                <w:sz w:val="21"/>
                <w:szCs w:val="21"/>
                <w:color w:val="auto"/>
              </w:rPr>
            </w:pPr>
          </w:p>
        </w:tc>
        <w:tc>
          <w:tcPr>
            <w:tcW w:w="800" w:type="dxa"/>
            <w:vAlign w:val="bottom"/>
            <w:tcBorders>
              <w:bottom w:val="single" w:sz="8" w:color="ACACAC"/>
            </w:tcBorders>
            <w:shd w:val="clear" w:color="auto" w:fill="ACACAC"/>
          </w:tcPr>
          <w:p>
            <w:pPr>
              <w:spacing w:after="0"/>
              <w:rPr>
                <w:sz w:val="21"/>
                <w:szCs w:val="21"/>
                <w:color w:val="auto"/>
              </w:rPr>
            </w:pPr>
          </w:p>
        </w:tc>
        <w:tc>
          <w:tcPr>
            <w:tcW w:w="960" w:type="dxa"/>
            <w:vAlign w:val="bottom"/>
            <w:tcBorders>
              <w:bottom w:val="single" w:sz="8" w:color="ACACAC"/>
            </w:tcBorders>
            <w:shd w:val="clear" w:color="auto" w:fill="ACACAC"/>
          </w:tcPr>
          <w:p>
            <w:pPr>
              <w:spacing w:after="0"/>
              <w:rPr>
                <w:sz w:val="21"/>
                <w:szCs w:val="21"/>
                <w:color w:val="auto"/>
              </w:rPr>
            </w:pPr>
          </w:p>
        </w:tc>
        <w:tc>
          <w:tcPr>
            <w:tcW w:w="840" w:type="dxa"/>
            <w:vAlign w:val="bottom"/>
            <w:tcBorders>
              <w:bottom w:val="single" w:sz="8" w:color="ACACAC"/>
            </w:tcBorders>
            <w:shd w:val="clear" w:color="auto" w:fill="ACACAC"/>
          </w:tcPr>
          <w:p>
            <w:pPr>
              <w:spacing w:after="0"/>
              <w:rPr>
                <w:sz w:val="21"/>
                <w:szCs w:val="21"/>
                <w:color w:val="auto"/>
              </w:rPr>
            </w:pPr>
          </w:p>
        </w:tc>
        <w:tc>
          <w:tcPr>
            <w:tcW w:w="1360" w:type="dxa"/>
            <w:vAlign w:val="bottom"/>
            <w:tcBorders>
              <w:bottom w:val="single" w:sz="8" w:color="ACACAC"/>
            </w:tcBorders>
            <w:shd w:val="clear" w:color="auto" w:fill="ACACAC"/>
          </w:tcPr>
          <w:p>
            <w:pPr>
              <w:spacing w:after="0"/>
              <w:rPr>
                <w:sz w:val="21"/>
                <w:szCs w:val="21"/>
                <w:color w:val="auto"/>
              </w:rPr>
            </w:pPr>
          </w:p>
        </w:tc>
        <w:tc>
          <w:tcPr>
            <w:tcW w:w="1360" w:type="dxa"/>
            <w:vAlign w:val="bottom"/>
            <w:tcBorders>
              <w:bottom w:val="single" w:sz="8" w:color="ACACAC"/>
            </w:tcBorders>
            <w:shd w:val="clear" w:color="auto" w:fill="ACACAC"/>
          </w:tcPr>
          <w:p>
            <w:pPr>
              <w:spacing w:after="0"/>
              <w:rPr>
                <w:sz w:val="21"/>
                <w:szCs w:val="21"/>
                <w:color w:val="auto"/>
              </w:rPr>
            </w:pPr>
          </w:p>
        </w:tc>
        <w:tc>
          <w:tcPr>
            <w:tcW w:w="1100" w:type="dxa"/>
            <w:vAlign w:val="bottom"/>
            <w:tcBorders>
              <w:bottom w:val="single" w:sz="8" w:color="ACACAC"/>
            </w:tcBorders>
            <w:shd w:val="clear" w:color="auto" w:fill="ACACAC"/>
          </w:tcPr>
          <w:p>
            <w:pPr>
              <w:spacing w:after="0"/>
              <w:rPr>
                <w:sz w:val="21"/>
                <w:szCs w:val="21"/>
                <w:color w:val="auto"/>
              </w:rPr>
            </w:pPr>
          </w:p>
        </w:tc>
        <w:tc>
          <w:tcPr>
            <w:tcW w:w="820" w:type="dxa"/>
            <w:vAlign w:val="bottom"/>
            <w:tcBorders>
              <w:bottom w:val="single" w:sz="8" w:color="ACACAC"/>
            </w:tcBorders>
            <w:shd w:val="clear" w:color="auto" w:fill="ACACAC"/>
          </w:tcPr>
          <w:p>
            <w:pPr>
              <w:spacing w:after="0"/>
              <w:rPr>
                <w:sz w:val="21"/>
                <w:szCs w:val="21"/>
                <w:color w:val="auto"/>
              </w:rPr>
            </w:pPr>
          </w:p>
        </w:tc>
        <w:tc>
          <w:tcPr>
            <w:tcW w:w="0" w:type="dxa"/>
            <w:vAlign w:val="bottom"/>
          </w:tcPr>
          <w:p>
            <w:pPr>
              <w:spacing w:after="0"/>
              <w:rPr>
                <w:sz w:val="1"/>
                <w:szCs w:val="1"/>
                <w:color w:val="auto"/>
              </w:rPr>
            </w:pPr>
          </w:p>
        </w:tc>
      </w:tr>
      <w:tr>
        <w:trPr>
          <w:trHeight w:val="224"/>
        </w:trPr>
        <w:tc>
          <w:tcPr>
            <w:tcW w:w="2520" w:type="dxa"/>
            <w:vAlign w:val="bottom"/>
          </w:tcPr>
          <w:p>
            <w:pPr>
              <w:ind w:left="180"/>
              <w:spacing w:after="0"/>
              <w:rPr>
                <w:sz w:val="20"/>
                <w:szCs w:val="20"/>
                <w:color w:val="auto"/>
              </w:rPr>
            </w:pPr>
            <w:r>
              <w:rPr>
                <w:rFonts w:ascii="Arial" w:cs="Arial" w:eastAsia="Arial" w:hAnsi="Arial"/>
                <w:sz w:val="16"/>
                <w:szCs w:val="16"/>
                <w:color w:val="auto"/>
              </w:rPr>
              <w:t>Counsel and Secretary</w:t>
            </w:r>
          </w:p>
        </w:tc>
        <w:tc>
          <w:tcPr>
            <w:tcW w:w="8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7"/>
        </w:trPr>
        <w:tc>
          <w:tcPr>
            <w:tcW w:w="2520" w:type="dxa"/>
            <w:vAlign w:val="bottom"/>
            <w:tcBorders>
              <w:bottom w:val="single" w:sz="8" w:color="auto"/>
            </w:tcBorders>
          </w:tcPr>
          <w:p>
            <w:pPr>
              <w:spacing w:after="0"/>
              <w:rPr>
                <w:sz w:val="4"/>
                <w:szCs w:val="4"/>
                <w:color w:val="auto"/>
              </w:rPr>
            </w:pPr>
          </w:p>
        </w:tc>
        <w:tc>
          <w:tcPr>
            <w:tcW w:w="800" w:type="dxa"/>
            <w:vAlign w:val="bottom"/>
            <w:tcBorders>
              <w:bottom w:val="single" w:sz="8" w:color="auto"/>
            </w:tcBorders>
          </w:tcPr>
          <w:p>
            <w:pPr>
              <w:spacing w:after="0"/>
              <w:rPr>
                <w:sz w:val="4"/>
                <w:szCs w:val="4"/>
                <w:color w:val="auto"/>
              </w:rPr>
            </w:pPr>
          </w:p>
        </w:tc>
        <w:tc>
          <w:tcPr>
            <w:tcW w:w="860" w:type="dxa"/>
            <w:vAlign w:val="bottom"/>
            <w:tcBorders>
              <w:bottom w:val="single" w:sz="8" w:color="auto"/>
            </w:tcBorders>
          </w:tcPr>
          <w:p>
            <w:pPr>
              <w:spacing w:after="0"/>
              <w:rPr>
                <w:sz w:val="4"/>
                <w:szCs w:val="4"/>
                <w:color w:val="auto"/>
              </w:rPr>
            </w:pPr>
          </w:p>
        </w:tc>
        <w:tc>
          <w:tcPr>
            <w:tcW w:w="800" w:type="dxa"/>
            <w:vAlign w:val="bottom"/>
            <w:tcBorders>
              <w:bottom w:val="single" w:sz="8" w:color="auto"/>
            </w:tcBorders>
          </w:tcPr>
          <w:p>
            <w:pPr>
              <w:spacing w:after="0"/>
              <w:rPr>
                <w:sz w:val="4"/>
                <w:szCs w:val="4"/>
                <w:color w:val="auto"/>
              </w:rPr>
            </w:pPr>
          </w:p>
        </w:tc>
        <w:tc>
          <w:tcPr>
            <w:tcW w:w="960" w:type="dxa"/>
            <w:vAlign w:val="bottom"/>
            <w:tcBorders>
              <w:bottom w:val="single" w:sz="8" w:color="auto"/>
            </w:tcBorders>
          </w:tcPr>
          <w:p>
            <w:pPr>
              <w:spacing w:after="0"/>
              <w:rPr>
                <w:sz w:val="4"/>
                <w:szCs w:val="4"/>
                <w:color w:val="auto"/>
              </w:rPr>
            </w:pPr>
          </w:p>
        </w:tc>
        <w:tc>
          <w:tcPr>
            <w:tcW w:w="840" w:type="dxa"/>
            <w:vAlign w:val="bottom"/>
            <w:tcBorders>
              <w:bottom w:val="single" w:sz="8" w:color="auto"/>
            </w:tcBorders>
          </w:tcPr>
          <w:p>
            <w:pPr>
              <w:spacing w:after="0"/>
              <w:rPr>
                <w:sz w:val="4"/>
                <w:szCs w:val="4"/>
                <w:color w:val="auto"/>
              </w:rPr>
            </w:pPr>
          </w:p>
        </w:tc>
        <w:tc>
          <w:tcPr>
            <w:tcW w:w="1360" w:type="dxa"/>
            <w:vAlign w:val="bottom"/>
            <w:tcBorders>
              <w:bottom w:val="single" w:sz="8" w:color="auto"/>
            </w:tcBorders>
          </w:tcPr>
          <w:p>
            <w:pPr>
              <w:spacing w:after="0"/>
              <w:rPr>
                <w:sz w:val="4"/>
                <w:szCs w:val="4"/>
                <w:color w:val="auto"/>
              </w:rPr>
            </w:pPr>
          </w:p>
        </w:tc>
        <w:tc>
          <w:tcPr>
            <w:tcW w:w="1360" w:type="dxa"/>
            <w:vAlign w:val="bottom"/>
            <w:tcBorders>
              <w:bottom w:val="single" w:sz="8" w:color="auto"/>
            </w:tcBorders>
          </w:tcPr>
          <w:p>
            <w:pPr>
              <w:spacing w:after="0"/>
              <w:rPr>
                <w:sz w:val="4"/>
                <w:szCs w:val="4"/>
                <w:color w:val="auto"/>
              </w:rPr>
            </w:pPr>
          </w:p>
        </w:tc>
        <w:tc>
          <w:tcPr>
            <w:tcW w:w="1100" w:type="dxa"/>
            <w:vAlign w:val="bottom"/>
            <w:tcBorders>
              <w:bottom w:val="single" w:sz="8" w:color="auto"/>
            </w:tcBorders>
          </w:tcPr>
          <w:p>
            <w:pPr>
              <w:spacing w:after="0"/>
              <w:rPr>
                <w:sz w:val="4"/>
                <w:szCs w:val="4"/>
                <w:color w:val="auto"/>
              </w:rPr>
            </w:pPr>
          </w:p>
        </w:tc>
        <w:tc>
          <w:tcPr>
            <w:tcW w:w="82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37"/>
        </w:trPr>
        <w:tc>
          <w:tcPr>
            <w:tcW w:w="2520" w:type="dxa"/>
            <w:vAlign w:val="bottom"/>
            <w:shd w:val="clear" w:color="auto" w:fill="ACACAC"/>
          </w:tcPr>
          <w:p>
            <w:pPr>
              <w:ind w:left="40"/>
              <w:spacing w:after="0"/>
              <w:rPr>
                <w:sz w:val="20"/>
                <w:szCs w:val="20"/>
                <w:color w:val="auto"/>
              </w:rPr>
            </w:pPr>
            <w:r>
              <w:rPr>
                <w:rFonts w:ascii="Arial" w:cs="Arial" w:eastAsia="Arial" w:hAnsi="Arial"/>
                <w:sz w:val="16"/>
                <w:szCs w:val="16"/>
                <w:color w:val="auto"/>
              </w:rPr>
              <w:t>Donald J. Clark</w:t>
            </w:r>
          </w:p>
        </w:tc>
        <w:tc>
          <w:tcPr>
            <w:tcW w:w="800" w:type="dxa"/>
            <w:vAlign w:val="bottom"/>
            <w:shd w:val="clear" w:color="auto" w:fill="ACACAC"/>
          </w:tcPr>
          <w:p>
            <w:pPr>
              <w:jc w:val="right"/>
              <w:ind w:right="77"/>
              <w:spacing w:after="0"/>
              <w:rPr>
                <w:sz w:val="20"/>
                <w:szCs w:val="20"/>
                <w:color w:val="auto"/>
              </w:rPr>
            </w:pPr>
            <w:r>
              <w:rPr>
                <w:rFonts w:ascii="Arial" w:cs="Arial" w:eastAsia="Arial" w:hAnsi="Arial"/>
                <w:sz w:val="13"/>
                <w:szCs w:val="13"/>
                <w:color w:val="auto"/>
              </w:rPr>
              <w:t>2018</w:t>
            </w:r>
          </w:p>
        </w:tc>
        <w:tc>
          <w:tcPr>
            <w:tcW w:w="860" w:type="dxa"/>
            <w:vAlign w:val="bottom"/>
            <w:shd w:val="clear" w:color="auto" w:fill="ACACAC"/>
          </w:tcPr>
          <w:p>
            <w:pPr>
              <w:jc w:val="right"/>
              <w:spacing w:after="0"/>
              <w:rPr>
                <w:sz w:val="20"/>
                <w:szCs w:val="20"/>
                <w:color w:val="auto"/>
              </w:rPr>
            </w:pPr>
            <w:r>
              <w:rPr>
                <w:rFonts w:ascii="Arial" w:cs="Arial" w:eastAsia="Arial" w:hAnsi="Arial"/>
                <w:sz w:val="13"/>
                <w:szCs w:val="13"/>
                <w:color w:val="auto"/>
              </w:rPr>
              <w:t>$400,000</w:t>
            </w:r>
          </w:p>
        </w:tc>
        <w:tc>
          <w:tcPr>
            <w:tcW w:w="800" w:type="dxa"/>
            <w:vAlign w:val="bottom"/>
            <w:shd w:val="clear" w:color="auto" w:fill="ACACAC"/>
          </w:tcPr>
          <w:p>
            <w:pPr>
              <w:jc w:val="right"/>
              <w:spacing w:after="0"/>
              <w:rPr>
                <w:sz w:val="20"/>
                <w:szCs w:val="20"/>
                <w:color w:val="auto"/>
              </w:rPr>
            </w:pPr>
            <w:r>
              <w:rPr>
                <w:rFonts w:ascii="Arial" w:cs="Arial" w:eastAsia="Arial" w:hAnsi="Arial"/>
                <w:sz w:val="13"/>
                <w:szCs w:val="13"/>
                <w:color w:val="auto"/>
              </w:rPr>
              <w:t>-</w:t>
            </w:r>
          </w:p>
        </w:tc>
        <w:tc>
          <w:tcPr>
            <w:tcW w:w="960" w:type="dxa"/>
            <w:vAlign w:val="bottom"/>
            <w:shd w:val="clear" w:color="auto" w:fill="ACACAC"/>
          </w:tcPr>
          <w:p>
            <w:pPr>
              <w:jc w:val="right"/>
              <w:ind w:right="56"/>
              <w:spacing w:after="0"/>
              <w:rPr>
                <w:sz w:val="20"/>
                <w:szCs w:val="20"/>
                <w:color w:val="auto"/>
              </w:rPr>
            </w:pPr>
            <w:r>
              <w:rPr>
                <w:rFonts w:ascii="Arial" w:cs="Arial" w:eastAsia="Arial" w:hAnsi="Arial"/>
                <w:sz w:val="13"/>
                <w:szCs w:val="13"/>
                <w:color w:val="auto"/>
              </w:rPr>
              <w:t>-</w:t>
            </w:r>
          </w:p>
        </w:tc>
        <w:tc>
          <w:tcPr>
            <w:tcW w:w="840" w:type="dxa"/>
            <w:vAlign w:val="bottom"/>
            <w:shd w:val="clear" w:color="auto" w:fill="ACACAC"/>
          </w:tcPr>
          <w:p>
            <w:pPr>
              <w:jc w:val="right"/>
              <w:spacing w:after="0"/>
              <w:rPr>
                <w:sz w:val="20"/>
                <w:szCs w:val="20"/>
                <w:color w:val="auto"/>
              </w:rPr>
            </w:pPr>
            <w:r>
              <w:rPr>
                <w:rFonts w:ascii="Arial" w:cs="Arial" w:eastAsia="Arial" w:hAnsi="Arial"/>
                <w:sz w:val="13"/>
                <w:szCs w:val="13"/>
                <w:color w:val="auto"/>
              </w:rPr>
              <w:t>-</w:t>
            </w:r>
          </w:p>
        </w:tc>
        <w:tc>
          <w:tcPr>
            <w:tcW w:w="1360" w:type="dxa"/>
            <w:vAlign w:val="bottom"/>
            <w:shd w:val="clear" w:color="auto" w:fill="ACACAC"/>
          </w:tcPr>
          <w:p>
            <w:pPr>
              <w:jc w:val="right"/>
              <w:ind w:right="217"/>
              <w:spacing w:after="0"/>
              <w:rPr>
                <w:sz w:val="20"/>
                <w:szCs w:val="20"/>
                <w:color w:val="auto"/>
              </w:rPr>
            </w:pPr>
            <w:r>
              <w:rPr>
                <w:rFonts w:ascii="Arial" w:cs="Arial" w:eastAsia="Arial" w:hAnsi="Arial"/>
                <w:sz w:val="13"/>
                <w:szCs w:val="13"/>
                <w:color w:val="auto"/>
              </w:rPr>
              <w:t>$4,574,055</w:t>
            </w:r>
          </w:p>
        </w:tc>
        <w:tc>
          <w:tcPr>
            <w:tcW w:w="1360" w:type="dxa"/>
            <w:vAlign w:val="bottom"/>
            <w:shd w:val="clear" w:color="auto" w:fill="ACACAC"/>
          </w:tcPr>
          <w:p>
            <w:pPr>
              <w:jc w:val="right"/>
              <w:ind w:right="217"/>
              <w:spacing w:after="0"/>
              <w:rPr>
                <w:sz w:val="20"/>
                <w:szCs w:val="20"/>
                <w:color w:val="auto"/>
              </w:rPr>
            </w:pPr>
            <w:r>
              <w:rPr>
                <w:rFonts w:ascii="Arial" w:cs="Arial" w:eastAsia="Arial" w:hAnsi="Arial"/>
                <w:sz w:val="13"/>
                <w:szCs w:val="13"/>
                <w:color w:val="auto"/>
              </w:rPr>
              <w:t>-</w:t>
            </w:r>
          </w:p>
        </w:tc>
        <w:tc>
          <w:tcPr>
            <w:tcW w:w="1100" w:type="dxa"/>
            <w:vAlign w:val="bottom"/>
            <w:shd w:val="clear" w:color="auto" w:fill="ACACAC"/>
          </w:tcPr>
          <w:p>
            <w:pPr>
              <w:jc w:val="right"/>
              <w:ind w:right="177"/>
              <w:spacing w:after="0"/>
              <w:rPr>
                <w:sz w:val="20"/>
                <w:szCs w:val="20"/>
                <w:color w:val="auto"/>
              </w:rPr>
            </w:pPr>
            <w:r>
              <w:rPr>
                <w:rFonts w:ascii="Arial" w:cs="Arial" w:eastAsia="Arial" w:hAnsi="Arial"/>
                <w:sz w:val="13"/>
                <w:szCs w:val="13"/>
                <w:color w:val="auto"/>
              </w:rPr>
              <w:t>-</w:t>
            </w:r>
          </w:p>
        </w:tc>
        <w:tc>
          <w:tcPr>
            <w:tcW w:w="820" w:type="dxa"/>
            <w:vAlign w:val="bottom"/>
            <w:shd w:val="clear" w:color="auto" w:fill="ACACAC"/>
          </w:tcPr>
          <w:p>
            <w:pPr>
              <w:jc w:val="right"/>
              <w:spacing w:after="0"/>
              <w:rPr>
                <w:sz w:val="20"/>
                <w:szCs w:val="20"/>
                <w:color w:val="auto"/>
              </w:rPr>
            </w:pPr>
            <w:r>
              <w:rPr>
                <w:rFonts w:ascii="Arial" w:cs="Arial" w:eastAsia="Arial" w:hAnsi="Arial"/>
                <w:sz w:val="13"/>
                <w:szCs w:val="13"/>
                <w:color w:val="auto"/>
              </w:rPr>
              <w:t>$4,974,055</w:t>
            </w:r>
          </w:p>
        </w:tc>
        <w:tc>
          <w:tcPr>
            <w:tcW w:w="0" w:type="dxa"/>
            <w:vAlign w:val="bottom"/>
          </w:tcPr>
          <w:p>
            <w:pPr>
              <w:spacing w:after="0"/>
              <w:rPr>
                <w:sz w:val="1"/>
                <w:szCs w:val="1"/>
                <w:color w:val="auto"/>
              </w:rPr>
            </w:pPr>
          </w:p>
        </w:tc>
      </w:tr>
      <w:tr>
        <w:trPr>
          <w:trHeight w:val="235"/>
        </w:trPr>
        <w:tc>
          <w:tcPr>
            <w:tcW w:w="2520" w:type="dxa"/>
            <w:vAlign w:val="bottom"/>
          </w:tcPr>
          <w:p>
            <w:pPr>
              <w:ind w:left="180"/>
              <w:spacing w:after="0"/>
              <w:rPr>
                <w:sz w:val="20"/>
                <w:szCs w:val="20"/>
                <w:color w:val="auto"/>
              </w:rPr>
            </w:pPr>
            <w:r>
              <w:rPr>
                <w:rFonts w:ascii="Arial" w:cs="Arial" w:eastAsia="Arial" w:hAnsi="Arial"/>
                <w:sz w:val="16"/>
                <w:szCs w:val="16"/>
                <w:color w:val="auto"/>
              </w:rPr>
              <w:t>President, Grand Design</w:t>
            </w:r>
          </w:p>
        </w:tc>
        <w:tc>
          <w:tcPr>
            <w:tcW w:w="800" w:type="dxa"/>
            <w:vAlign w:val="bottom"/>
          </w:tcPr>
          <w:p>
            <w:pPr>
              <w:jc w:val="right"/>
              <w:ind w:right="77"/>
              <w:spacing w:after="0"/>
              <w:rPr>
                <w:sz w:val="20"/>
                <w:szCs w:val="20"/>
                <w:color w:val="auto"/>
              </w:rPr>
            </w:pPr>
            <w:r>
              <w:rPr>
                <w:rFonts w:ascii="Arial" w:cs="Arial" w:eastAsia="Arial" w:hAnsi="Arial"/>
                <w:sz w:val="13"/>
                <w:szCs w:val="13"/>
                <w:color w:val="auto"/>
              </w:rPr>
              <w:t>2017</w:t>
            </w:r>
          </w:p>
        </w:tc>
        <w:tc>
          <w:tcPr>
            <w:tcW w:w="860" w:type="dxa"/>
            <w:vAlign w:val="bottom"/>
          </w:tcPr>
          <w:p>
            <w:pPr>
              <w:jc w:val="right"/>
              <w:spacing w:after="0"/>
              <w:rPr>
                <w:sz w:val="20"/>
                <w:szCs w:val="20"/>
                <w:color w:val="auto"/>
              </w:rPr>
            </w:pPr>
            <w:r>
              <w:rPr>
                <w:rFonts w:ascii="Arial" w:cs="Arial" w:eastAsia="Arial" w:hAnsi="Arial"/>
                <w:sz w:val="13"/>
                <w:szCs w:val="13"/>
                <w:color w:val="auto"/>
              </w:rPr>
              <w:t>$330,769</w:t>
            </w:r>
          </w:p>
        </w:tc>
        <w:tc>
          <w:tcPr>
            <w:tcW w:w="800" w:type="dxa"/>
            <w:vAlign w:val="bottom"/>
          </w:tcPr>
          <w:p>
            <w:pPr>
              <w:jc w:val="right"/>
              <w:spacing w:after="0"/>
              <w:rPr>
                <w:sz w:val="20"/>
                <w:szCs w:val="20"/>
                <w:color w:val="auto"/>
              </w:rPr>
            </w:pPr>
            <w:r>
              <w:rPr>
                <w:rFonts w:ascii="Arial" w:cs="Arial" w:eastAsia="Arial" w:hAnsi="Arial"/>
                <w:sz w:val="13"/>
                <w:szCs w:val="13"/>
                <w:color w:val="auto"/>
              </w:rPr>
              <w:t>-</w:t>
            </w:r>
          </w:p>
        </w:tc>
        <w:tc>
          <w:tcPr>
            <w:tcW w:w="960" w:type="dxa"/>
            <w:vAlign w:val="bottom"/>
          </w:tcPr>
          <w:p>
            <w:pPr>
              <w:jc w:val="right"/>
              <w:ind w:right="56"/>
              <w:spacing w:after="0"/>
              <w:rPr>
                <w:sz w:val="20"/>
                <w:szCs w:val="20"/>
                <w:color w:val="auto"/>
              </w:rPr>
            </w:pPr>
            <w:r>
              <w:rPr>
                <w:rFonts w:ascii="Arial" w:cs="Arial" w:eastAsia="Arial" w:hAnsi="Arial"/>
                <w:sz w:val="13"/>
                <w:szCs w:val="13"/>
                <w:color w:val="auto"/>
              </w:rPr>
              <w:t>-</w:t>
            </w:r>
          </w:p>
        </w:tc>
        <w:tc>
          <w:tcPr>
            <w:tcW w:w="840" w:type="dxa"/>
            <w:vAlign w:val="bottom"/>
          </w:tcPr>
          <w:p>
            <w:pPr>
              <w:jc w:val="right"/>
              <w:spacing w:after="0"/>
              <w:rPr>
                <w:sz w:val="20"/>
                <w:szCs w:val="20"/>
                <w:color w:val="auto"/>
              </w:rPr>
            </w:pPr>
            <w:r>
              <w:rPr>
                <w:rFonts w:ascii="Arial" w:cs="Arial" w:eastAsia="Arial" w:hAnsi="Arial"/>
                <w:sz w:val="13"/>
                <w:szCs w:val="13"/>
                <w:color w:val="auto"/>
              </w:rPr>
              <w:t>-</w:t>
            </w:r>
          </w:p>
        </w:tc>
        <w:tc>
          <w:tcPr>
            <w:tcW w:w="1360" w:type="dxa"/>
            <w:vAlign w:val="bottom"/>
          </w:tcPr>
          <w:p>
            <w:pPr>
              <w:jc w:val="right"/>
              <w:ind w:right="217"/>
              <w:spacing w:after="0"/>
              <w:rPr>
                <w:sz w:val="20"/>
                <w:szCs w:val="20"/>
                <w:color w:val="auto"/>
              </w:rPr>
            </w:pPr>
            <w:r>
              <w:rPr>
                <w:rFonts w:ascii="Arial" w:cs="Arial" w:eastAsia="Arial" w:hAnsi="Arial"/>
                <w:sz w:val="13"/>
                <w:szCs w:val="13"/>
                <w:color w:val="auto"/>
              </w:rPr>
              <w:t>$2,700,915</w:t>
            </w:r>
          </w:p>
        </w:tc>
        <w:tc>
          <w:tcPr>
            <w:tcW w:w="1360" w:type="dxa"/>
            <w:vAlign w:val="bottom"/>
          </w:tcPr>
          <w:p>
            <w:pPr>
              <w:jc w:val="right"/>
              <w:ind w:right="217"/>
              <w:spacing w:after="0"/>
              <w:rPr>
                <w:sz w:val="20"/>
                <w:szCs w:val="20"/>
                <w:color w:val="auto"/>
              </w:rPr>
            </w:pPr>
            <w:r>
              <w:rPr>
                <w:rFonts w:ascii="Arial" w:cs="Arial" w:eastAsia="Arial" w:hAnsi="Arial"/>
                <w:sz w:val="13"/>
                <w:szCs w:val="13"/>
                <w:color w:val="auto"/>
              </w:rPr>
              <w:t>-</w:t>
            </w:r>
          </w:p>
        </w:tc>
        <w:tc>
          <w:tcPr>
            <w:tcW w:w="1100" w:type="dxa"/>
            <w:vAlign w:val="bottom"/>
          </w:tcPr>
          <w:p>
            <w:pPr>
              <w:jc w:val="right"/>
              <w:ind w:right="177"/>
              <w:spacing w:after="0"/>
              <w:rPr>
                <w:sz w:val="20"/>
                <w:szCs w:val="20"/>
                <w:color w:val="auto"/>
              </w:rPr>
            </w:pPr>
            <w:r>
              <w:rPr>
                <w:rFonts w:ascii="Arial" w:cs="Arial" w:eastAsia="Arial" w:hAnsi="Arial"/>
                <w:sz w:val="13"/>
                <w:szCs w:val="13"/>
                <w:color w:val="auto"/>
              </w:rPr>
              <w:t>-</w:t>
            </w:r>
          </w:p>
        </w:tc>
        <w:tc>
          <w:tcPr>
            <w:tcW w:w="820" w:type="dxa"/>
            <w:vAlign w:val="bottom"/>
          </w:tcPr>
          <w:p>
            <w:pPr>
              <w:jc w:val="right"/>
              <w:spacing w:after="0"/>
              <w:rPr>
                <w:sz w:val="20"/>
                <w:szCs w:val="20"/>
                <w:color w:val="auto"/>
              </w:rPr>
            </w:pPr>
            <w:r>
              <w:rPr>
                <w:rFonts w:ascii="Arial" w:cs="Arial" w:eastAsia="Arial" w:hAnsi="Arial"/>
                <w:sz w:val="13"/>
                <w:szCs w:val="13"/>
                <w:color w:val="auto"/>
              </w:rPr>
              <w:t>$3,031,684</w:t>
            </w:r>
          </w:p>
        </w:tc>
        <w:tc>
          <w:tcPr>
            <w:tcW w:w="0" w:type="dxa"/>
            <w:vAlign w:val="bottom"/>
          </w:tcPr>
          <w:p>
            <w:pPr>
              <w:spacing w:after="0"/>
              <w:rPr>
                <w:sz w:val="1"/>
                <w:szCs w:val="1"/>
                <w:color w:val="auto"/>
              </w:rPr>
            </w:pPr>
          </w:p>
        </w:tc>
      </w:tr>
      <w:tr>
        <w:trPr>
          <w:trHeight w:val="258"/>
        </w:trPr>
        <w:tc>
          <w:tcPr>
            <w:tcW w:w="2520" w:type="dxa"/>
            <w:vAlign w:val="bottom"/>
            <w:tcBorders>
              <w:bottom w:val="single" w:sz="8" w:color="ACACAC"/>
            </w:tcBorders>
            <w:shd w:val="clear" w:color="auto" w:fill="ACACAC"/>
          </w:tcPr>
          <w:p>
            <w:pPr>
              <w:ind w:left="180"/>
              <w:spacing w:after="0"/>
              <w:rPr>
                <w:sz w:val="20"/>
                <w:szCs w:val="20"/>
                <w:color w:val="auto"/>
              </w:rPr>
            </w:pPr>
            <w:r>
              <w:rPr>
                <w:rFonts w:ascii="Arial" w:cs="Arial" w:eastAsia="Arial" w:hAnsi="Arial"/>
                <w:sz w:val="16"/>
                <w:szCs w:val="16"/>
                <w:color w:val="auto"/>
              </w:rPr>
              <w:t>Vice President, Winnebago</w:t>
            </w:r>
          </w:p>
        </w:tc>
        <w:tc>
          <w:tcPr>
            <w:tcW w:w="800" w:type="dxa"/>
            <w:vAlign w:val="bottom"/>
            <w:tcBorders>
              <w:bottom w:val="single" w:sz="8" w:color="ACACAC"/>
            </w:tcBorders>
            <w:shd w:val="clear" w:color="auto" w:fill="ACACAC"/>
          </w:tcPr>
          <w:p>
            <w:pPr>
              <w:spacing w:after="0"/>
              <w:rPr>
                <w:sz w:val="22"/>
                <w:szCs w:val="22"/>
                <w:color w:val="auto"/>
              </w:rPr>
            </w:pPr>
          </w:p>
        </w:tc>
        <w:tc>
          <w:tcPr>
            <w:tcW w:w="860" w:type="dxa"/>
            <w:vAlign w:val="bottom"/>
            <w:tcBorders>
              <w:bottom w:val="single" w:sz="8" w:color="ACACAC"/>
            </w:tcBorders>
            <w:shd w:val="clear" w:color="auto" w:fill="ACACAC"/>
          </w:tcPr>
          <w:p>
            <w:pPr>
              <w:spacing w:after="0"/>
              <w:rPr>
                <w:sz w:val="22"/>
                <w:szCs w:val="22"/>
                <w:color w:val="auto"/>
              </w:rPr>
            </w:pPr>
          </w:p>
        </w:tc>
        <w:tc>
          <w:tcPr>
            <w:tcW w:w="800" w:type="dxa"/>
            <w:vAlign w:val="bottom"/>
            <w:tcBorders>
              <w:bottom w:val="single" w:sz="8" w:color="ACACAC"/>
            </w:tcBorders>
            <w:shd w:val="clear" w:color="auto" w:fill="ACACAC"/>
          </w:tcPr>
          <w:p>
            <w:pPr>
              <w:spacing w:after="0"/>
              <w:rPr>
                <w:sz w:val="22"/>
                <w:szCs w:val="22"/>
                <w:color w:val="auto"/>
              </w:rPr>
            </w:pPr>
          </w:p>
        </w:tc>
        <w:tc>
          <w:tcPr>
            <w:tcW w:w="960" w:type="dxa"/>
            <w:vAlign w:val="bottom"/>
            <w:tcBorders>
              <w:bottom w:val="single" w:sz="8" w:color="ACACAC"/>
            </w:tcBorders>
            <w:shd w:val="clear" w:color="auto" w:fill="ACACAC"/>
          </w:tcPr>
          <w:p>
            <w:pPr>
              <w:spacing w:after="0"/>
              <w:rPr>
                <w:sz w:val="22"/>
                <w:szCs w:val="22"/>
                <w:color w:val="auto"/>
              </w:rPr>
            </w:pPr>
          </w:p>
        </w:tc>
        <w:tc>
          <w:tcPr>
            <w:tcW w:w="840" w:type="dxa"/>
            <w:vAlign w:val="bottom"/>
            <w:tcBorders>
              <w:bottom w:val="single" w:sz="8" w:color="ACACAC"/>
            </w:tcBorders>
            <w:shd w:val="clear" w:color="auto" w:fill="ACACAC"/>
          </w:tcPr>
          <w:p>
            <w:pPr>
              <w:spacing w:after="0"/>
              <w:rPr>
                <w:sz w:val="22"/>
                <w:szCs w:val="22"/>
                <w:color w:val="auto"/>
              </w:rPr>
            </w:pPr>
          </w:p>
        </w:tc>
        <w:tc>
          <w:tcPr>
            <w:tcW w:w="1360" w:type="dxa"/>
            <w:vAlign w:val="bottom"/>
            <w:tcBorders>
              <w:bottom w:val="single" w:sz="8" w:color="ACACAC"/>
            </w:tcBorders>
            <w:shd w:val="clear" w:color="auto" w:fill="ACACAC"/>
          </w:tcPr>
          <w:p>
            <w:pPr>
              <w:spacing w:after="0"/>
              <w:rPr>
                <w:sz w:val="22"/>
                <w:szCs w:val="22"/>
                <w:color w:val="auto"/>
              </w:rPr>
            </w:pPr>
          </w:p>
        </w:tc>
        <w:tc>
          <w:tcPr>
            <w:tcW w:w="1360" w:type="dxa"/>
            <w:vAlign w:val="bottom"/>
            <w:tcBorders>
              <w:bottom w:val="single" w:sz="8" w:color="ACACAC"/>
            </w:tcBorders>
            <w:shd w:val="clear" w:color="auto" w:fill="ACACAC"/>
          </w:tcPr>
          <w:p>
            <w:pPr>
              <w:spacing w:after="0"/>
              <w:rPr>
                <w:sz w:val="22"/>
                <w:szCs w:val="22"/>
                <w:color w:val="auto"/>
              </w:rPr>
            </w:pPr>
          </w:p>
        </w:tc>
        <w:tc>
          <w:tcPr>
            <w:tcW w:w="1100" w:type="dxa"/>
            <w:vAlign w:val="bottom"/>
            <w:tcBorders>
              <w:bottom w:val="single" w:sz="8" w:color="ACACAC"/>
            </w:tcBorders>
            <w:shd w:val="clear" w:color="auto" w:fill="ACACAC"/>
          </w:tcPr>
          <w:p>
            <w:pPr>
              <w:spacing w:after="0"/>
              <w:rPr>
                <w:sz w:val="22"/>
                <w:szCs w:val="22"/>
                <w:color w:val="auto"/>
              </w:rPr>
            </w:pPr>
          </w:p>
        </w:tc>
        <w:tc>
          <w:tcPr>
            <w:tcW w:w="820" w:type="dxa"/>
            <w:vAlign w:val="bottom"/>
            <w:tcBorders>
              <w:bottom w:val="single" w:sz="8" w:color="ACACAC"/>
            </w:tcBorders>
            <w:shd w:val="clear" w:color="auto" w:fill="ACACAC"/>
          </w:tcPr>
          <w:p>
            <w:pPr>
              <w:spacing w:after="0"/>
              <w:rPr>
                <w:sz w:val="22"/>
                <w:szCs w:val="22"/>
                <w:color w:val="auto"/>
              </w:rPr>
            </w:pPr>
          </w:p>
        </w:tc>
        <w:tc>
          <w:tcPr>
            <w:tcW w:w="0" w:type="dxa"/>
            <w:vAlign w:val="bottom"/>
          </w:tcPr>
          <w:p>
            <w:pPr>
              <w:spacing w:after="0"/>
              <w:rPr>
                <w:sz w:val="1"/>
                <w:szCs w:val="1"/>
                <w:color w:val="auto"/>
              </w:rPr>
            </w:pPr>
          </w:p>
        </w:tc>
      </w:tr>
      <w:tr>
        <w:trPr>
          <w:trHeight w:val="224"/>
        </w:trPr>
        <w:tc>
          <w:tcPr>
            <w:tcW w:w="2520" w:type="dxa"/>
            <w:vAlign w:val="bottom"/>
          </w:tcPr>
          <w:p>
            <w:pPr>
              <w:ind w:left="180"/>
              <w:spacing w:after="0"/>
              <w:rPr>
                <w:sz w:val="20"/>
                <w:szCs w:val="20"/>
                <w:color w:val="auto"/>
              </w:rPr>
            </w:pPr>
            <w:r>
              <w:rPr>
                <w:rFonts w:ascii="Arial" w:cs="Arial" w:eastAsia="Arial" w:hAnsi="Arial"/>
                <w:sz w:val="16"/>
                <w:szCs w:val="16"/>
                <w:color w:val="auto"/>
              </w:rPr>
              <w:t>Industries, Inc.</w:t>
            </w:r>
          </w:p>
        </w:tc>
        <w:tc>
          <w:tcPr>
            <w:tcW w:w="8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7"/>
        </w:trPr>
        <w:tc>
          <w:tcPr>
            <w:tcW w:w="2520" w:type="dxa"/>
            <w:vAlign w:val="bottom"/>
            <w:tcBorders>
              <w:bottom w:val="single" w:sz="8" w:color="auto"/>
            </w:tcBorders>
          </w:tcPr>
          <w:p>
            <w:pPr>
              <w:spacing w:after="0"/>
              <w:rPr>
                <w:sz w:val="4"/>
                <w:szCs w:val="4"/>
                <w:color w:val="auto"/>
              </w:rPr>
            </w:pPr>
          </w:p>
        </w:tc>
        <w:tc>
          <w:tcPr>
            <w:tcW w:w="800" w:type="dxa"/>
            <w:vAlign w:val="bottom"/>
            <w:tcBorders>
              <w:bottom w:val="single" w:sz="8" w:color="auto"/>
            </w:tcBorders>
          </w:tcPr>
          <w:p>
            <w:pPr>
              <w:spacing w:after="0"/>
              <w:rPr>
                <w:sz w:val="4"/>
                <w:szCs w:val="4"/>
                <w:color w:val="auto"/>
              </w:rPr>
            </w:pPr>
          </w:p>
        </w:tc>
        <w:tc>
          <w:tcPr>
            <w:tcW w:w="860" w:type="dxa"/>
            <w:vAlign w:val="bottom"/>
            <w:tcBorders>
              <w:bottom w:val="single" w:sz="8" w:color="auto"/>
            </w:tcBorders>
          </w:tcPr>
          <w:p>
            <w:pPr>
              <w:spacing w:after="0"/>
              <w:rPr>
                <w:sz w:val="4"/>
                <w:szCs w:val="4"/>
                <w:color w:val="auto"/>
              </w:rPr>
            </w:pPr>
          </w:p>
        </w:tc>
        <w:tc>
          <w:tcPr>
            <w:tcW w:w="800" w:type="dxa"/>
            <w:vAlign w:val="bottom"/>
            <w:tcBorders>
              <w:bottom w:val="single" w:sz="8" w:color="auto"/>
            </w:tcBorders>
          </w:tcPr>
          <w:p>
            <w:pPr>
              <w:spacing w:after="0"/>
              <w:rPr>
                <w:sz w:val="4"/>
                <w:szCs w:val="4"/>
                <w:color w:val="auto"/>
              </w:rPr>
            </w:pPr>
          </w:p>
        </w:tc>
        <w:tc>
          <w:tcPr>
            <w:tcW w:w="960" w:type="dxa"/>
            <w:vAlign w:val="bottom"/>
            <w:tcBorders>
              <w:bottom w:val="single" w:sz="8" w:color="auto"/>
            </w:tcBorders>
          </w:tcPr>
          <w:p>
            <w:pPr>
              <w:spacing w:after="0"/>
              <w:rPr>
                <w:sz w:val="4"/>
                <w:szCs w:val="4"/>
                <w:color w:val="auto"/>
              </w:rPr>
            </w:pPr>
          </w:p>
        </w:tc>
        <w:tc>
          <w:tcPr>
            <w:tcW w:w="840" w:type="dxa"/>
            <w:vAlign w:val="bottom"/>
            <w:tcBorders>
              <w:bottom w:val="single" w:sz="8" w:color="auto"/>
            </w:tcBorders>
          </w:tcPr>
          <w:p>
            <w:pPr>
              <w:spacing w:after="0"/>
              <w:rPr>
                <w:sz w:val="4"/>
                <w:szCs w:val="4"/>
                <w:color w:val="auto"/>
              </w:rPr>
            </w:pPr>
          </w:p>
        </w:tc>
        <w:tc>
          <w:tcPr>
            <w:tcW w:w="1360" w:type="dxa"/>
            <w:vAlign w:val="bottom"/>
            <w:tcBorders>
              <w:bottom w:val="single" w:sz="8" w:color="auto"/>
            </w:tcBorders>
          </w:tcPr>
          <w:p>
            <w:pPr>
              <w:spacing w:after="0"/>
              <w:rPr>
                <w:sz w:val="4"/>
                <w:szCs w:val="4"/>
                <w:color w:val="auto"/>
              </w:rPr>
            </w:pPr>
          </w:p>
        </w:tc>
        <w:tc>
          <w:tcPr>
            <w:tcW w:w="1360" w:type="dxa"/>
            <w:vAlign w:val="bottom"/>
            <w:tcBorders>
              <w:bottom w:val="single" w:sz="8" w:color="auto"/>
            </w:tcBorders>
          </w:tcPr>
          <w:p>
            <w:pPr>
              <w:spacing w:after="0"/>
              <w:rPr>
                <w:sz w:val="4"/>
                <w:szCs w:val="4"/>
                <w:color w:val="auto"/>
              </w:rPr>
            </w:pPr>
          </w:p>
        </w:tc>
        <w:tc>
          <w:tcPr>
            <w:tcW w:w="1100" w:type="dxa"/>
            <w:vAlign w:val="bottom"/>
            <w:tcBorders>
              <w:bottom w:val="single" w:sz="8" w:color="auto"/>
            </w:tcBorders>
          </w:tcPr>
          <w:p>
            <w:pPr>
              <w:spacing w:after="0"/>
              <w:rPr>
                <w:sz w:val="4"/>
                <w:szCs w:val="4"/>
                <w:color w:val="auto"/>
              </w:rPr>
            </w:pPr>
          </w:p>
        </w:tc>
        <w:tc>
          <w:tcPr>
            <w:tcW w:w="82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37"/>
        </w:trPr>
        <w:tc>
          <w:tcPr>
            <w:tcW w:w="2520" w:type="dxa"/>
            <w:vAlign w:val="bottom"/>
            <w:shd w:val="clear" w:color="auto" w:fill="ACACAC"/>
          </w:tcPr>
          <w:p>
            <w:pPr>
              <w:ind w:left="40"/>
              <w:spacing w:after="0"/>
              <w:rPr>
                <w:sz w:val="20"/>
                <w:szCs w:val="20"/>
                <w:color w:val="auto"/>
              </w:rPr>
            </w:pPr>
            <w:r>
              <w:rPr>
                <w:rFonts w:ascii="Arial" w:cs="Arial" w:eastAsia="Arial" w:hAnsi="Arial"/>
                <w:sz w:val="16"/>
                <w:szCs w:val="16"/>
                <w:color w:val="auto"/>
              </w:rPr>
              <w:t>Brian D. Hazelton</w:t>
            </w:r>
          </w:p>
        </w:tc>
        <w:tc>
          <w:tcPr>
            <w:tcW w:w="800" w:type="dxa"/>
            <w:vAlign w:val="bottom"/>
            <w:shd w:val="clear" w:color="auto" w:fill="ACACAC"/>
          </w:tcPr>
          <w:p>
            <w:pPr>
              <w:jc w:val="right"/>
              <w:ind w:right="77"/>
              <w:spacing w:after="0"/>
              <w:rPr>
                <w:sz w:val="20"/>
                <w:szCs w:val="20"/>
                <w:color w:val="auto"/>
              </w:rPr>
            </w:pPr>
            <w:r>
              <w:rPr>
                <w:rFonts w:ascii="Arial" w:cs="Arial" w:eastAsia="Arial" w:hAnsi="Arial"/>
                <w:sz w:val="13"/>
                <w:szCs w:val="13"/>
                <w:color w:val="auto"/>
              </w:rPr>
              <w:t>2018</w:t>
            </w:r>
          </w:p>
        </w:tc>
        <w:tc>
          <w:tcPr>
            <w:tcW w:w="860" w:type="dxa"/>
            <w:vAlign w:val="bottom"/>
            <w:shd w:val="clear" w:color="auto" w:fill="ACACAC"/>
          </w:tcPr>
          <w:p>
            <w:pPr>
              <w:jc w:val="right"/>
              <w:spacing w:after="0"/>
              <w:rPr>
                <w:sz w:val="20"/>
                <w:szCs w:val="20"/>
                <w:color w:val="auto"/>
              </w:rPr>
            </w:pPr>
            <w:r>
              <w:rPr>
                <w:rFonts w:ascii="Arial" w:cs="Arial" w:eastAsia="Arial" w:hAnsi="Arial"/>
                <w:sz w:val="13"/>
                <w:szCs w:val="13"/>
                <w:color w:val="auto"/>
              </w:rPr>
              <w:t>$472,588</w:t>
            </w:r>
          </w:p>
        </w:tc>
        <w:tc>
          <w:tcPr>
            <w:tcW w:w="800" w:type="dxa"/>
            <w:vAlign w:val="bottom"/>
            <w:shd w:val="clear" w:color="auto" w:fill="ACACAC"/>
          </w:tcPr>
          <w:p>
            <w:pPr>
              <w:jc w:val="right"/>
              <w:spacing w:after="0"/>
              <w:rPr>
                <w:sz w:val="20"/>
                <w:szCs w:val="20"/>
                <w:color w:val="auto"/>
              </w:rPr>
            </w:pPr>
            <w:r>
              <w:rPr>
                <w:rFonts w:ascii="Arial" w:cs="Arial" w:eastAsia="Arial" w:hAnsi="Arial"/>
                <w:sz w:val="13"/>
                <w:szCs w:val="13"/>
                <w:color w:val="auto"/>
              </w:rPr>
              <w:t>-</w:t>
            </w:r>
          </w:p>
        </w:tc>
        <w:tc>
          <w:tcPr>
            <w:tcW w:w="960" w:type="dxa"/>
            <w:vAlign w:val="bottom"/>
            <w:shd w:val="clear" w:color="auto" w:fill="ACACAC"/>
          </w:tcPr>
          <w:p>
            <w:pPr>
              <w:jc w:val="right"/>
              <w:ind w:right="56"/>
              <w:spacing w:after="0"/>
              <w:rPr>
                <w:sz w:val="20"/>
                <w:szCs w:val="20"/>
                <w:color w:val="auto"/>
              </w:rPr>
            </w:pPr>
            <w:r>
              <w:rPr>
                <w:rFonts w:ascii="Arial" w:cs="Arial" w:eastAsia="Arial" w:hAnsi="Arial"/>
                <w:sz w:val="13"/>
                <w:szCs w:val="13"/>
                <w:color w:val="auto"/>
              </w:rPr>
              <w:t>$365,368</w:t>
            </w:r>
          </w:p>
        </w:tc>
        <w:tc>
          <w:tcPr>
            <w:tcW w:w="840" w:type="dxa"/>
            <w:vAlign w:val="bottom"/>
            <w:shd w:val="clear" w:color="auto" w:fill="ACACAC"/>
          </w:tcPr>
          <w:p>
            <w:pPr>
              <w:jc w:val="right"/>
              <w:spacing w:after="0"/>
              <w:rPr>
                <w:sz w:val="20"/>
                <w:szCs w:val="20"/>
                <w:color w:val="auto"/>
              </w:rPr>
            </w:pPr>
            <w:r>
              <w:rPr>
                <w:rFonts w:ascii="Arial" w:cs="Arial" w:eastAsia="Arial" w:hAnsi="Arial"/>
                <w:sz w:val="13"/>
                <w:szCs w:val="13"/>
                <w:color w:val="auto"/>
              </w:rPr>
              <w:t>$121,802</w:t>
            </w:r>
          </w:p>
        </w:tc>
        <w:tc>
          <w:tcPr>
            <w:tcW w:w="1360" w:type="dxa"/>
            <w:vAlign w:val="bottom"/>
            <w:shd w:val="clear" w:color="auto" w:fill="ACACAC"/>
          </w:tcPr>
          <w:p>
            <w:pPr>
              <w:jc w:val="right"/>
              <w:ind w:right="217"/>
              <w:spacing w:after="0"/>
              <w:rPr>
                <w:sz w:val="20"/>
                <w:szCs w:val="20"/>
                <w:color w:val="auto"/>
              </w:rPr>
            </w:pPr>
            <w:r>
              <w:rPr>
                <w:rFonts w:ascii="Arial" w:cs="Arial" w:eastAsia="Arial" w:hAnsi="Arial"/>
                <w:sz w:val="13"/>
                <w:szCs w:val="13"/>
                <w:color w:val="auto"/>
              </w:rPr>
              <w:t>$173,054</w:t>
            </w:r>
          </w:p>
        </w:tc>
        <w:tc>
          <w:tcPr>
            <w:tcW w:w="1360" w:type="dxa"/>
            <w:vAlign w:val="bottom"/>
            <w:shd w:val="clear" w:color="auto" w:fill="ACACAC"/>
          </w:tcPr>
          <w:p>
            <w:pPr>
              <w:jc w:val="right"/>
              <w:ind w:right="217"/>
              <w:spacing w:after="0"/>
              <w:rPr>
                <w:sz w:val="20"/>
                <w:szCs w:val="20"/>
                <w:color w:val="auto"/>
              </w:rPr>
            </w:pPr>
            <w:r>
              <w:rPr>
                <w:rFonts w:ascii="Arial" w:cs="Arial" w:eastAsia="Arial" w:hAnsi="Arial"/>
                <w:sz w:val="13"/>
                <w:szCs w:val="13"/>
                <w:color w:val="auto"/>
              </w:rPr>
              <w:t>-</w:t>
            </w:r>
          </w:p>
        </w:tc>
        <w:tc>
          <w:tcPr>
            <w:tcW w:w="1100" w:type="dxa"/>
            <w:vAlign w:val="bottom"/>
            <w:shd w:val="clear" w:color="auto" w:fill="ACACAC"/>
          </w:tcPr>
          <w:p>
            <w:pPr>
              <w:jc w:val="right"/>
              <w:ind w:right="177"/>
              <w:spacing w:after="0"/>
              <w:rPr>
                <w:sz w:val="20"/>
                <w:szCs w:val="20"/>
                <w:color w:val="auto"/>
              </w:rPr>
            </w:pPr>
            <w:r>
              <w:rPr>
                <w:rFonts w:ascii="Arial" w:cs="Arial" w:eastAsia="Arial" w:hAnsi="Arial"/>
                <w:sz w:val="13"/>
                <w:szCs w:val="13"/>
                <w:color w:val="auto"/>
              </w:rPr>
              <w:t>$39,945</w:t>
            </w:r>
          </w:p>
        </w:tc>
        <w:tc>
          <w:tcPr>
            <w:tcW w:w="820" w:type="dxa"/>
            <w:vAlign w:val="bottom"/>
            <w:shd w:val="clear" w:color="auto" w:fill="ACACAC"/>
          </w:tcPr>
          <w:p>
            <w:pPr>
              <w:jc w:val="right"/>
              <w:spacing w:after="0"/>
              <w:rPr>
                <w:sz w:val="20"/>
                <w:szCs w:val="20"/>
                <w:color w:val="auto"/>
              </w:rPr>
            </w:pPr>
            <w:r>
              <w:rPr>
                <w:rFonts w:ascii="Arial" w:cs="Arial" w:eastAsia="Arial" w:hAnsi="Arial"/>
                <w:sz w:val="13"/>
                <w:szCs w:val="13"/>
                <w:color w:val="auto"/>
              </w:rPr>
              <w:t>$1,172,757</w:t>
            </w:r>
          </w:p>
        </w:tc>
        <w:tc>
          <w:tcPr>
            <w:tcW w:w="0" w:type="dxa"/>
            <w:vAlign w:val="bottom"/>
          </w:tcPr>
          <w:p>
            <w:pPr>
              <w:spacing w:after="0"/>
              <w:rPr>
                <w:sz w:val="1"/>
                <w:szCs w:val="1"/>
                <w:color w:val="auto"/>
              </w:rPr>
            </w:pPr>
          </w:p>
        </w:tc>
      </w:tr>
      <w:tr>
        <w:trPr>
          <w:trHeight w:val="235"/>
        </w:trPr>
        <w:tc>
          <w:tcPr>
            <w:tcW w:w="2520" w:type="dxa"/>
            <w:vAlign w:val="bottom"/>
          </w:tcPr>
          <w:p>
            <w:pPr>
              <w:ind w:left="180"/>
              <w:spacing w:after="0"/>
              <w:rPr>
                <w:sz w:val="20"/>
                <w:szCs w:val="20"/>
                <w:color w:val="auto"/>
              </w:rPr>
            </w:pPr>
            <w:r>
              <w:rPr>
                <w:rFonts w:ascii="Arial" w:cs="Arial" w:eastAsia="Arial" w:hAnsi="Arial"/>
                <w:sz w:val="16"/>
                <w:szCs w:val="16"/>
                <w:color w:val="auto"/>
              </w:rPr>
              <w:t>Vice President and</w:t>
            </w:r>
          </w:p>
        </w:tc>
        <w:tc>
          <w:tcPr>
            <w:tcW w:w="800" w:type="dxa"/>
            <w:vAlign w:val="bottom"/>
          </w:tcPr>
          <w:p>
            <w:pPr>
              <w:jc w:val="right"/>
              <w:ind w:right="77"/>
              <w:spacing w:after="0"/>
              <w:rPr>
                <w:sz w:val="20"/>
                <w:szCs w:val="20"/>
                <w:color w:val="auto"/>
              </w:rPr>
            </w:pPr>
            <w:r>
              <w:rPr>
                <w:rFonts w:ascii="Arial" w:cs="Arial" w:eastAsia="Arial" w:hAnsi="Arial"/>
                <w:sz w:val="13"/>
                <w:szCs w:val="13"/>
                <w:color w:val="auto"/>
              </w:rPr>
              <w:t>2017</w:t>
            </w:r>
          </w:p>
        </w:tc>
        <w:tc>
          <w:tcPr>
            <w:tcW w:w="860" w:type="dxa"/>
            <w:vAlign w:val="bottom"/>
          </w:tcPr>
          <w:p>
            <w:pPr>
              <w:jc w:val="right"/>
              <w:spacing w:after="0"/>
              <w:rPr>
                <w:sz w:val="20"/>
                <w:szCs w:val="20"/>
                <w:color w:val="auto"/>
              </w:rPr>
            </w:pPr>
            <w:r>
              <w:rPr>
                <w:rFonts w:ascii="Arial" w:cs="Arial" w:eastAsia="Arial" w:hAnsi="Arial"/>
                <w:sz w:val="13"/>
                <w:szCs w:val="13"/>
                <w:color w:val="auto"/>
              </w:rPr>
              <w:t>$558,827</w:t>
            </w:r>
          </w:p>
        </w:tc>
        <w:tc>
          <w:tcPr>
            <w:tcW w:w="800" w:type="dxa"/>
            <w:vAlign w:val="bottom"/>
          </w:tcPr>
          <w:p>
            <w:pPr>
              <w:jc w:val="right"/>
              <w:spacing w:after="0"/>
              <w:rPr>
                <w:sz w:val="20"/>
                <w:szCs w:val="20"/>
                <w:color w:val="auto"/>
              </w:rPr>
            </w:pPr>
            <w:r>
              <w:rPr>
                <w:rFonts w:ascii="Arial" w:cs="Arial" w:eastAsia="Arial" w:hAnsi="Arial"/>
                <w:sz w:val="13"/>
                <w:szCs w:val="13"/>
                <w:color w:val="auto"/>
              </w:rPr>
              <w:t>-</w:t>
            </w:r>
          </w:p>
        </w:tc>
        <w:tc>
          <w:tcPr>
            <w:tcW w:w="960" w:type="dxa"/>
            <w:vAlign w:val="bottom"/>
          </w:tcPr>
          <w:p>
            <w:pPr>
              <w:jc w:val="right"/>
              <w:ind w:right="56"/>
              <w:spacing w:after="0"/>
              <w:rPr>
                <w:sz w:val="20"/>
                <w:szCs w:val="20"/>
                <w:color w:val="auto"/>
              </w:rPr>
            </w:pPr>
            <w:r>
              <w:rPr>
                <w:rFonts w:ascii="Arial" w:cs="Arial" w:eastAsia="Arial" w:hAnsi="Arial"/>
                <w:sz w:val="13"/>
                <w:szCs w:val="13"/>
                <w:color w:val="auto"/>
              </w:rPr>
              <w:t>$551,208</w:t>
            </w:r>
          </w:p>
        </w:tc>
        <w:tc>
          <w:tcPr>
            <w:tcW w:w="840" w:type="dxa"/>
            <w:vAlign w:val="bottom"/>
          </w:tcPr>
          <w:p>
            <w:pPr>
              <w:jc w:val="right"/>
              <w:spacing w:after="0"/>
              <w:rPr>
                <w:sz w:val="20"/>
                <w:szCs w:val="20"/>
                <w:color w:val="auto"/>
              </w:rPr>
            </w:pPr>
            <w:r>
              <w:rPr>
                <w:rFonts w:ascii="Arial" w:cs="Arial" w:eastAsia="Arial" w:hAnsi="Arial"/>
                <w:sz w:val="13"/>
                <w:szCs w:val="13"/>
                <w:color w:val="auto"/>
              </w:rPr>
              <w:t>$57,260</w:t>
            </w:r>
          </w:p>
        </w:tc>
        <w:tc>
          <w:tcPr>
            <w:tcW w:w="1360" w:type="dxa"/>
            <w:vAlign w:val="bottom"/>
          </w:tcPr>
          <w:p>
            <w:pPr>
              <w:jc w:val="right"/>
              <w:ind w:right="217"/>
              <w:spacing w:after="0"/>
              <w:rPr>
                <w:sz w:val="20"/>
                <w:szCs w:val="20"/>
                <w:color w:val="auto"/>
              </w:rPr>
            </w:pPr>
            <w:r>
              <w:rPr>
                <w:rFonts w:ascii="Arial" w:cs="Arial" w:eastAsia="Arial" w:hAnsi="Arial"/>
                <w:sz w:val="13"/>
                <w:szCs w:val="13"/>
                <w:color w:val="auto"/>
              </w:rPr>
              <w:t>$207,298</w:t>
            </w:r>
          </w:p>
        </w:tc>
        <w:tc>
          <w:tcPr>
            <w:tcW w:w="1360" w:type="dxa"/>
            <w:vAlign w:val="bottom"/>
          </w:tcPr>
          <w:p>
            <w:pPr>
              <w:jc w:val="right"/>
              <w:ind w:right="217"/>
              <w:spacing w:after="0"/>
              <w:rPr>
                <w:sz w:val="20"/>
                <w:szCs w:val="20"/>
                <w:color w:val="auto"/>
              </w:rPr>
            </w:pPr>
            <w:r>
              <w:rPr>
                <w:rFonts w:ascii="Arial" w:cs="Arial" w:eastAsia="Arial" w:hAnsi="Arial"/>
                <w:sz w:val="13"/>
                <w:szCs w:val="13"/>
                <w:color w:val="auto"/>
              </w:rPr>
              <w:t>-</w:t>
            </w:r>
          </w:p>
        </w:tc>
        <w:tc>
          <w:tcPr>
            <w:tcW w:w="1100" w:type="dxa"/>
            <w:vAlign w:val="bottom"/>
          </w:tcPr>
          <w:p>
            <w:pPr>
              <w:jc w:val="right"/>
              <w:ind w:right="177"/>
              <w:spacing w:after="0"/>
              <w:rPr>
                <w:sz w:val="20"/>
                <w:szCs w:val="20"/>
                <w:color w:val="auto"/>
              </w:rPr>
            </w:pPr>
            <w:r>
              <w:rPr>
                <w:rFonts w:ascii="Arial" w:cs="Arial" w:eastAsia="Arial" w:hAnsi="Arial"/>
                <w:sz w:val="13"/>
                <w:szCs w:val="13"/>
                <w:color w:val="auto"/>
              </w:rPr>
              <w:t>$23,089</w:t>
            </w:r>
          </w:p>
        </w:tc>
        <w:tc>
          <w:tcPr>
            <w:tcW w:w="820" w:type="dxa"/>
            <w:vAlign w:val="bottom"/>
          </w:tcPr>
          <w:p>
            <w:pPr>
              <w:jc w:val="right"/>
              <w:spacing w:after="0"/>
              <w:rPr>
                <w:sz w:val="20"/>
                <w:szCs w:val="20"/>
                <w:color w:val="auto"/>
              </w:rPr>
            </w:pPr>
            <w:r>
              <w:rPr>
                <w:rFonts w:ascii="Arial" w:cs="Arial" w:eastAsia="Arial" w:hAnsi="Arial"/>
                <w:sz w:val="13"/>
                <w:szCs w:val="13"/>
                <w:color w:val="auto"/>
              </w:rPr>
              <w:t>$1,397,682</w:t>
            </w:r>
          </w:p>
        </w:tc>
        <w:tc>
          <w:tcPr>
            <w:tcW w:w="0" w:type="dxa"/>
            <w:vAlign w:val="bottom"/>
          </w:tcPr>
          <w:p>
            <w:pPr>
              <w:spacing w:after="0"/>
              <w:rPr>
                <w:sz w:val="1"/>
                <w:szCs w:val="1"/>
                <w:color w:val="auto"/>
              </w:rPr>
            </w:pPr>
          </w:p>
        </w:tc>
      </w:tr>
      <w:tr>
        <w:trPr>
          <w:trHeight w:val="258"/>
        </w:trPr>
        <w:tc>
          <w:tcPr>
            <w:tcW w:w="2520" w:type="dxa"/>
            <w:vAlign w:val="bottom"/>
            <w:tcBorders>
              <w:bottom w:val="single" w:sz="8" w:color="ACACAC"/>
            </w:tcBorders>
            <w:shd w:val="clear" w:color="auto" w:fill="ACACAC"/>
          </w:tcPr>
          <w:p>
            <w:pPr>
              <w:ind w:left="180"/>
              <w:spacing w:after="0"/>
              <w:rPr>
                <w:sz w:val="20"/>
                <w:szCs w:val="20"/>
                <w:color w:val="auto"/>
              </w:rPr>
            </w:pPr>
            <w:r>
              <w:rPr>
                <w:rFonts w:ascii="Arial" w:cs="Arial" w:eastAsia="Arial" w:hAnsi="Arial"/>
                <w:sz w:val="16"/>
                <w:szCs w:val="16"/>
                <w:color w:val="auto"/>
              </w:rPr>
              <w:t>General Manager,</w:t>
            </w:r>
          </w:p>
        </w:tc>
        <w:tc>
          <w:tcPr>
            <w:tcW w:w="800" w:type="dxa"/>
            <w:vAlign w:val="bottom"/>
            <w:tcBorders>
              <w:bottom w:val="single" w:sz="8" w:color="ACACAC"/>
            </w:tcBorders>
            <w:shd w:val="clear" w:color="auto" w:fill="ACACAC"/>
          </w:tcPr>
          <w:p>
            <w:pPr>
              <w:spacing w:after="0"/>
              <w:rPr>
                <w:sz w:val="22"/>
                <w:szCs w:val="22"/>
                <w:color w:val="auto"/>
              </w:rPr>
            </w:pPr>
          </w:p>
        </w:tc>
        <w:tc>
          <w:tcPr>
            <w:tcW w:w="860" w:type="dxa"/>
            <w:vAlign w:val="bottom"/>
            <w:tcBorders>
              <w:bottom w:val="single" w:sz="8" w:color="ACACAC"/>
            </w:tcBorders>
            <w:shd w:val="clear" w:color="auto" w:fill="ACACAC"/>
          </w:tcPr>
          <w:p>
            <w:pPr>
              <w:spacing w:after="0"/>
              <w:rPr>
                <w:sz w:val="22"/>
                <w:szCs w:val="22"/>
                <w:color w:val="auto"/>
              </w:rPr>
            </w:pPr>
          </w:p>
        </w:tc>
        <w:tc>
          <w:tcPr>
            <w:tcW w:w="800" w:type="dxa"/>
            <w:vAlign w:val="bottom"/>
            <w:tcBorders>
              <w:bottom w:val="single" w:sz="8" w:color="ACACAC"/>
            </w:tcBorders>
            <w:shd w:val="clear" w:color="auto" w:fill="ACACAC"/>
          </w:tcPr>
          <w:p>
            <w:pPr>
              <w:spacing w:after="0"/>
              <w:rPr>
                <w:sz w:val="22"/>
                <w:szCs w:val="22"/>
                <w:color w:val="auto"/>
              </w:rPr>
            </w:pPr>
          </w:p>
        </w:tc>
        <w:tc>
          <w:tcPr>
            <w:tcW w:w="960" w:type="dxa"/>
            <w:vAlign w:val="bottom"/>
            <w:tcBorders>
              <w:bottom w:val="single" w:sz="8" w:color="ACACAC"/>
            </w:tcBorders>
            <w:shd w:val="clear" w:color="auto" w:fill="ACACAC"/>
          </w:tcPr>
          <w:p>
            <w:pPr>
              <w:spacing w:after="0"/>
              <w:rPr>
                <w:sz w:val="22"/>
                <w:szCs w:val="22"/>
                <w:color w:val="auto"/>
              </w:rPr>
            </w:pPr>
          </w:p>
        </w:tc>
        <w:tc>
          <w:tcPr>
            <w:tcW w:w="840" w:type="dxa"/>
            <w:vAlign w:val="bottom"/>
            <w:tcBorders>
              <w:bottom w:val="single" w:sz="8" w:color="ACACAC"/>
            </w:tcBorders>
            <w:shd w:val="clear" w:color="auto" w:fill="ACACAC"/>
          </w:tcPr>
          <w:p>
            <w:pPr>
              <w:spacing w:after="0"/>
              <w:rPr>
                <w:sz w:val="22"/>
                <w:szCs w:val="22"/>
                <w:color w:val="auto"/>
              </w:rPr>
            </w:pPr>
          </w:p>
        </w:tc>
        <w:tc>
          <w:tcPr>
            <w:tcW w:w="1360" w:type="dxa"/>
            <w:vAlign w:val="bottom"/>
            <w:tcBorders>
              <w:bottom w:val="single" w:sz="8" w:color="ACACAC"/>
            </w:tcBorders>
            <w:shd w:val="clear" w:color="auto" w:fill="ACACAC"/>
          </w:tcPr>
          <w:p>
            <w:pPr>
              <w:spacing w:after="0"/>
              <w:rPr>
                <w:sz w:val="22"/>
                <w:szCs w:val="22"/>
                <w:color w:val="auto"/>
              </w:rPr>
            </w:pPr>
          </w:p>
        </w:tc>
        <w:tc>
          <w:tcPr>
            <w:tcW w:w="1360" w:type="dxa"/>
            <w:vAlign w:val="bottom"/>
            <w:tcBorders>
              <w:bottom w:val="single" w:sz="8" w:color="ACACAC"/>
            </w:tcBorders>
            <w:shd w:val="clear" w:color="auto" w:fill="ACACAC"/>
          </w:tcPr>
          <w:p>
            <w:pPr>
              <w:spacing w:after="0"/>
              <w:rPr>
                <w:sz w:val="22"/>
                <w:szCs w:val="22"/>
                <w:color w:val="auto"/>
              </w:rPr>
            </w:pPr>
          </w:p>
        </w:tc>
        <w:tc>
          <w:tcPr>
            <w:tcW w:w="1100" w:type="dxa"/>
            <w:vAlign w:val="bottom"/>
            <w:tcBorders>
              <w:bottom w:val="single" w:sz="8" w:color="ACACAC"/>
            </w:tcBorders>
            <w:shd w:val="clear" w:color="auto" w:fill="ACACAC"/>
          </w:tcPr>
          <w:p>
            <w:pPr>
              <w:spacing w:after="0"/>
              <w:rPr>
                <w:sz w:val="22"/>
                <w:szCs w:val="22"/>
                <w:color w:val="auto"/>
              </w:rPr>
            </w:pPr>
          </w:p>
        </w:tc>
        <w:tc>
          <w:tcPr>
            <w:tcW w:w="820" w:type="dxa"/>
            <w:vAlign w:val="bottom"/>
            <w:tcBorders>
              <w:bottom w:val="single" w:sz="8" w:color="ACACAC"/>
            </w:tcBorders>
            <w:shd w:val="clear" w:color="auto" w:fill="ACACAC"/>
          </w:tcPr>
          <w:p>
            <w:pPr>
              <w:spacing w:after="0"/>
              <w:rPr>
                <w:sz w:val="22"/>
                <w:szCs w:val="22"/>
                <w:color w:val="auto"/>
              </w:rPr>
            </w:pPr>
          </w:p>
        </w:tc>
        <w:tc>
          <w:tcPr>
            <w:tcW w:w="0" w:type="dxa"/>
            <w:vAlign w:val="bottom"/>
          </w:tcPr>
          <w:p>
            <w:pPr>
              <w:spacing w:after="0"/>
              <w:rPr>
                <w:sz w:val="1"/>
                <w:szCs w:val="1"/>
                <w:color w:val="auto"/>
              </w:rPr>
            </w:pPr>
          </w:p>
        </w:tc>
      </w:tr>
      <w:tr>
        <w:trPr>
          <w:trHeight w:val="224"/>
        </w:trPr>
        <w:tc>
          <w:tcPr>
            <w:tcW w:w="2520" w:type="dxa"/>
            <w:vAlign w:val="bottom"/>
          </w:tcPr>
          <w:p>
            <w:pPr>
              <w:ind w:left="180"/>
              <w:spacing w:after="0"/>
              <w:rPr>
                <w:sz w:val="20"/>
                <w:szCs w:val="20"/>
                <w:color w:val="auto"/>
              </w:rPr>
            </w:pPr>
            <w:r>
              <w:rPr>
                <w:rFonts w:ascii="Arial" w:cs="Arial" w:eastAsia="Arial" w:hAnsi="Arial"/>
                <w:sz w:val="16"/>
                <w:szCs w:val="16"/>
                <w:color w:val="auto"/>
              </w:rPr>
              <w:t>Motorhomes</w:t>
            </w:r>
          </w:p>
        </w:tc>
        <w:tc>
          <w:tcPr>
            <w:tcW w:w="8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7"/>
        </w:trPr>
        <w:tc>
          <w:tcPr>
            <w:tcW w:w="2520" w:type="dxa"/>
            <w:vAlign w:val="bottom"/>
            <w:tcBorders>
              <w:bottom w:val="single" w:sz="8" w:color="auto"/>
            </w:tcBorders>
          </w:tcPr>
          <w:p>
            <w:pPr>
              <w:spacing w:after="0"/>
              <w:rPr>
                <w:sz w:val="4"/>
                <w:szCs w:val="4"/>
                <w:color w:val="auto"/>
              </w:rPr>
            </w:pPr>
          </w:p>
        </w:tc>
        <w:tc>
          <w:tcPr>
            <w:tcW w:w="800" w:type="dxa"/>
            <w:vAlign w:val="bottom"/>
            <w:tcBorders>
              <w:bottom w:val="single" w:sz="8" w:color="auto"/>
            </w:tcBorders>
          </w:tcPr>
          <w:p>
            <w:pPr>
              <w:spacing w:after="0"/>
              <w:rPr>
                <w:sz w:val="4"/>
                <w:szCs w:val="4"/>
                <w:color w:val="auto"/>
              </w:rPr>
            </w:pPr>
          </w:p>
        </w:tc>
        <w:tc>
          <w:tcPr>
            <w:tcW w:w="860" w:type="dxa"/>
            <w:vAlign w:val="bottom"/>
            <w:tcBorders>
              <w:bottom w:val="single" w:sz="8" w:color="auto"/>
            </w:tcBorders>
          </w:tcPr>
          <w:p>
            <w:pPr>
              <w:spacing w:after="0"/>
              <w:rPr>
                <w:sz w:val="4"/>
                <w:szCs w:val="4"/>
                <w:color w:val="auto"/>
              </w:rPr>
            </w:pPr>
          </w:p>
        </w:tc>
        <w:tc>
          <w:tcPr>
            <w:tcW w:w="800" w:type="dxa"/>
            <w:vAlign w:val="bottom"/>
            <w:tcBorders>
              <w:bottom w:val="single" w:sz="8" w:color="auto"/>
            </w:tcBorders>
          </w:tcPr>
          <w:p>
            <w:pPr>
              <w:spacing w:after="0"/>
              <w:rPr>
                <w:sz w:val="4"/>
                <w:szCs w:val="4"/>
                <w:color w:val="auto"/>
              </w:rPr>
            </w:pPr>
          </w:p>
        </w:tc>
        <w:tc>
          <w:tcPr>
            <w:tcW w:w="960" w:type="dxa"/>
            <w:vAlign w:val="bottom"/>
            <w:tcBorders>
              <w:bottom w:val="single" w:sz="8" w:color="auto"/>
            </w:tcBorders>
          </w:tcPr>
          <w:p>
            <w:pPr>
              <w:spacing w:after="0"/>
              <w:rPr>
                <w:sz w:val="4"/>
                <w:szCs w:val="4"/>
                <w:color w:val="auto"/>
              </w:rPr>
            </w:pPr>
          </w:p>
        </w:tc>
        <w:tc>
          <w:tcPr>
            <w:tcW w:w="840" w:type="dxa"/>
            <w:vAlign w:val="bottom"/>
            <w:tcBorders>
              <w:bottom w:val="single" w:sz="8" w:color="auto"/>
            </w:tcBorders>
          </w:tcPr>
          <w:p>
            <w:pPr>
              <w:spacing w:after="0"/>
              <w:rPr>
                <w:sz w:val="4"/>
                <w:szCs w:val="4"/>
                <w:color w:val="auto"/>
              </w:rPr>
            </w:pPr>
          </w:p>
        </w:tc>
        <w:tc>
          <w:tcPr>
            <w:tcW w:w="1360" w:type="dxa"/>
            <w:vAlign w:val="bottom"/>
            <w:tcBorders>
              <w:bottom w:val="single" w:sz="8" w:color="auto"/>
            </w:tcBorders>
          </w:tcPr>
          <w:p>
            <w:pPr>
              <w:spacing w:after="0"/>
              <w:rPr>
                <w:sz w:val="4"/>
                <w:szCs w:val="4"/>
                <w:color w:val="auto"/>
              </w:rPr>
            </w:pPr>
          </w:p>
        </w:tc>
        <w:tc>
          <w:tcPr>
            <w:tcW w:w="1360" w:type="dxa"/>
            <w:vAlign w:val="bottom"/>
            <w:tcBorders>
              <w:bottom w:val="single" w:sz="8" w:color="auto"/>
            </w:tcBorders>
          </w:tcPr>
          <w:p>
            <w:pPr>
              <w:spacing w:after="0"/>
              <w:rPr>
                <w:sz w:val="4"/>
                <w:szCs w:val="4"/>
                <w:color w:val="auto"/>
              </w:rPr>
            </w:pPr>
          </w:p>
        </w:tc>
        <w:tc>
          <w:tcPr>
            <w:tcW w:w="1100" w:type="dxa"/>
            <w:vAlign w:val="bottom"/>
            <w:tcBorders>
              <w:bottom w:val="single" w:sz="8" w:color="auto"/>
            </w:tcBorders>
          </w:tcPr>
          <w:p>
            <w:pPr>
              <w:spacing w:after="0"/>
              <w:rPr>
                <w:sz w:val="4"/>
                <w:szCs w:val="4"/>
                <w:color w:val="auto"/>
              </w:rPr>
            </w:pPr>
          </w:p>
        </w:tc>
        <w:tc>
          <w:tcPr>
            <w:tcW w:w="82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433"/>
        </w:trPr>
        <w:tc>
          <w:tcPr>
            <w:tcW w:w="25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960" w:type="dxa"/>
            <w:vAlign w:val="bottom"/>
          </w:tcPr>
          <w:p>
            <w:pPr>
              <w:jc w:val="right"/>
              <w:ind w:right="76"/>
              <w:spacing w:after="0"/>
              <w:rPr>
                <w:sz w:val="20"/>
                <w:szCs w:val="20"/>
                <w:color w:val="auto"/>
              </w:rPr>
            </w:pPr>
            <w:r>
              <w:rPr>
                <w:rFonts w:ascii="Arial" w:cs="Arial" w:eastAsia="Arial" w:hAnsi="Arial"/>
                <w:sz w:val="16"/>
                <w:szCs w:val="16"/>
                <w:color w:val="auto"/>
              </w:rPr>
              <w:t>28</w:t>
            </w:r>
          </w:p>
        </w:tc>
        <w:tc>
          <w:tcPr>
            <w:tcW w:w="8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303" w:right="239" w:bottom="1440" w:gutter="0" w:footer="0" w:header="0"/>
          <w:type w:val="continuous"/>
        </w:sectPr>
      </w:pPr>
    </w:p>
    <w:bookmarkStart w:id="32" w:name="page33"/>
    <w:bookmarkEnd w:id="32"/>
    <w:p>
      <w:pPr>
        <w:ind w:left="40"/>
        <w:spacing w:after="0"/>
        <w:rPr>
          <w:rFonts w:ascii="Arial" w:cs="Arial" w:eastAsia="Arial" w:hAnsi="Arial"/>
          <w:sz w:val="16"/>
          <w:szCs w:val="16"/>
          <w:u w:val="single" w:color="auto"/>
          <w:color w:val="0000EE"/>
        </w:rPr>
      </w:pPr>
      <w:r>
        <w:rPr>
          <w:rFonts w:ascii="Arial" w:cs="Arial" w:eastAsia="Arial" w:hAnsi="Arial"/>
          <w:sz w:val="16"/>
          <w:szCs w:val="16"/>
          <w:u w:val="single" w:color="auto"/>
          <w:color w:val="0000EE"/>
        </w:rPr>
        <w:drawing>
          <wp:anchor simplePos="0" relativeHeight="251657728" behindDoc="1" locked="0" layoutInCell="0" allowOverlap="1">
            <wp:simplePos x="0" y="0"/>
            <wp:positionH relativeFrom="page">
              <wp:posOffset>5946140</wp:posOffset>
            </wp:positionH>
            <wp:positionV relativeFrom="page">
              <wp:posOffset>191770</wp:posOffset>
            </wp:positionV>
            <wp:extent cx="1440815" cy="20574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clrChange>
                        <a:clrFrom>
                          <a:srgbClr val="FFFFFF"/>
                        </a:clrFrom>
                        <a:clrTo>
                          <a:srgbClr val="FFFFFF">
                            <a:alpha val="0"/>
                          </a:srgbClr>
                        </a:clrTo>
                      </a:clrChange>
                      <a:extLst>
                        <a:ext uri="{28A0092B-C50C-407E-A947-70E740481C1C}"/>
                      </a:extLst>
                    </a:blip>
                    <a:srcRect/>
                    <a:stretch>
                      <a:fillRect/>
                    </a:stretch>
                  </pic:blipFill>
                  <pic:spPr bwMode="auto">
                    <a:xfrm>
                      <a:off x="0" y="0"/>
                      <a:ext cx="1440815" cy="205740"/>
                    </a:xfrm>
                    <a:prstGeom prst="rect">
                      <a:avLst/>
                    </a:prstGeom>
                    <a:noFill/>
                  </pic:spPr>
                </pic:pic>
              </a:graphicData>
            </a:graphic>
          </wp:anchor>
        </w:drawing>
      </w:r>
      <w:hyperlink w:anchor="page4">
        <w:r>
          <w:rPr>
            <w:rFonts w:ascii="Arial" w:cs="Arial" w:eastAsia="Arial" w:hAnsi="Arial"/>
            <w:sz w:val="16"/>
            <w:szCs w:val="16"/>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104775</wp:posOffset>
            </wp:positionV>
            <wp:extent cx="7246620" cy="889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61" w:lineRule="exact"/>
        <w:rPr>
          <w:sz w:val="20"/>
          <w:szCs w:val="20"/>
          <w:color w:val="auto"/>
        </w:rPr>
      </w:pPr>
    </w:p>
    <w:p>
      <w:pPr>
        <w:ind w:left="340" w:hanging="332"/>
        <w:spacing w:after="0"/>
        <w:tabs>
          <w:tab w:leader="none" w:pos="340" w:val="left"/>
        </w:tabs>
        <w:numPr>
          <w:ilvl w:val="0"/>
          <w:numId w:val="37"/>
        </w:numPr>
        <w:rPr>
          <w:rFonts w:ascii="Arial" w:cs="Arial" w:eastAsia="Arial" w:hAnsi="Arial"/>
          <w:sz w:val="13"/>
          <w:szCs w:val="13"/>
          <w:color w:val="auto"/>
        </w:rPr>
      </w:pPr>
      <w:r>
        <w:rPr>
          <w:rFonts w:ascii="Arial" w:cs="Arial" w:eastAsia="Arial" w:hAnsi="Arial"/>
          <w:sz w:val="14"/>
          <w:szCs w:val="14"/>
          <w:color w:val="auto"/>
        </w:rPr>
        <w:t>The table below illustrates the three categories of stock awards as presented above:</w:t>
      </w:r>
    </w:p>
    <w:p>
      <w:pPr>
        <w:spacing w:after="0" w:line="131" w:lineRule="exact"/>
        <w:rPr>
          <w:sz w:val="20"/>
          <w:szCs w:val="20"/>
          <w:color w:val="auto"/>
        </w:rPr>
      </w:pPr>
    </w:p>
    <w:tbl>
      <w:tblPr>
        <w:tblLayout w:type="fixed"/>
        <w:tblInd w:w="1160" w:type="dxa"/>
        <w:tblCellMar>
          <w:top w:w="0" w:type="dxa"/>
          <w:left w:w="0" w:type="dxa"/>
          <w:bottom w:w="0" w:type="dxa"/>
          <w:right w:w="0" w:type="dxa"/>
        </w:tblCellMar>
      </w:tblPr>
      <w:tr>
        <w:trPr>
          <w:trHeight w:val="258"/>
        </w:trPr>
        <w:tc>
          <w:tcPr>
            <w:tcW w:w="2080" w:type="dxa"/>
            <w:vAlign w:val="bottom"/>
            <w:shd w:val="clear" w:color="auto" w:fill="BF2115"/>
          </w:tcPr>
          <w:p>
            <w:pPr>
              <w:spacing w:after="0"/>
              <w:rPr>
                <w:sz w:val="22"/>
                <w:szCs w:val="22"/>
                <w:color w:val="auto"/>
              </w:rPr>
            </w:pPr>
          </w:p>
        </w:tc>
        <w:tc>
          <w:tcPr>
            <w:tcW w:w="820" w:type="dxa"/>
            <w:vAlign w:val="bottom"/>
            <w:shd w:val="clear" w:color="auto" w:fill="BF2115"/>
          </w:tcPr>
          <w:p>
            <w:pPr>
              <w:spacing w:after="0"/>
              <w:rPr>
                <w:sz w:val="22"/>
                <w:szCs w:val="22"/>
                <w:color w:val="auto"/>
              </w:rPr>
            </w:pPr>
          </w:p>
        </w:tc>
        <w:tc>
          <w:tcPr>
            <w:tcW w:w="280" w:type="dxa"/>
            <w:vAlign w:val="bottom"/>
            <w:shd w:val="clear" w:color="auto" w:fill="BF2115"/>
          </w:tcPr>
          <w:p>
            <w:pPr>
              <w:spacing w:after="0"/>
              <w:rPr>
                <w:sz w:val="22"/>
                <w:szCs w:val="22"/>
                <w:color w:val="auto"/>
              </w:rPr>
            </w:pPr>
          </w:p>
        </w:tc>
        <w:tc>
          <w:tcPr>
            <w:tcW w:w="1520" w:type="dxa"/>
            <w:vAlign w:val="bottom"/>
            <w:shd w:val="clear" w:color="auto" w:fill="BF2115"/>
          </w:tcPr>
          <w:p>
            <w:pPr>
              <w:spacing w:after="0"/>
              <w:rPr>
                <w:sz w:val="22"/>
                <w:szCs w:val="22"/>
                <w:color w:val="auto"/>
              </w:rPr>
            </w:pPr>
          </w:p>
        </w:tc>
        <w:tc>
          <w:tcPr>
            <w:tcW w:w="320" w:type="dxa"/>
            <w:vAlign w:val="bottom"/>
            <w:shd w:val="clear" w:color="auto" w:fill="BF2115"/>
          </w:tcPr>
          <w:p>
            <w:pPr>
              <w:spacing w:after="0"/>
              <w:rPr>
                <w:sz w:val="22"/>
                <w:szCs w:val="22"/>
                <w:color w:val="auto"/>
              </w:rPr>
            </w:pPr>
          </w:p>
        </w:tc>
        <w:tc>
          <w:tcPr>
            <w:tcW w:w="2720" w:type="dxa"/>
            <w:vAlign w:val="bottom"/>
            <w:gridSpan w:val="2"/>
            <w:shd w:val="clear" w:color="auto" w:fill="BF2115"/>
          </w:tcPr>
          <w:p>
            <w:pPr>
              <w:jc w:val="right"/>
              <w:ind w:right="508"/>
              <w:spacing w:after="0"/>
              <w:rPr>
                <w:sz w:val="20"/>
                <w:szCs w:val="20"/>
                <w:color w:val="auto"/>
              </w:rPr>
            </w:pPr>
            <w:r>
              <w:rPr>
                <w:rFonts w:ascii="Arial" w:cs="Arial" w:eastAsia="Arial" w:hAnsi="Arial"/>
                <w:sz w:val="14"/>
                <w:szCs w:val="14"/>
                <w:b w:val="1"/>
                <w:bCs w:val="1"/>
                <w:color w:val="FFFFFF"/>
              </w:rPr>
              <w:t>Performance-Based Plans</w:t>
            </w:r>
          </w:p>
        </w:tc>
        <w:tc>
          <w:tcPr>
            <w:tcW w:w="360" w:type="dxa"/>
            <w:vAlign w:val="bottom"/>
            <w:shd w:val="clear" w:color="auto" w:fill="BF2115"/>
          </w:tcPr>
          <w:p>
            <w:pPr>
              <w:spacing w:after="0"/>
              <w:rPr>
                <w:sz w:val="22"/>
                <w:szCs w:val="22"/>
                <w:color w:val="auto"/>
              </w:rPr>
            </w:pPr>
          </w:p>
        </w:tc>
        <w:tc>
          <w:tcPr>
            <w:tcW w:w="1220" w:type="dxa"/>
            <w:vAlign w:val="bottom"/>
            <w:shd w:val="clear" w:color="auto" w:fill="BF2115"/>
          </w:tcPr>
          <w:p>
            <w:pPr>
              <w:spacing w:after="0"/>
              <w:rPr>
                <w:sz w:val="22"/>
                <w:szCs w:val="22"/>
                <w:color w:val="auto"/>
              </w:rPr>
            </w:pPr>
          </w:p>
        </w:tc>
      </w:tr>
      <w:tr>
        <w:trPr>
          <w:trHeight w:val="201"/>
        </w:trPr>
        <w:tc>
          <w:tcPr>
            <w:tcW w:w="2080" w:type="dxa"/>
            <w:vAlign w:val="bottom"/>
            <w:shd w:val="clear" w:color="auto" w:fill="BF2115"/>
          </w:tcPr>
          <w:p>
            <w:pPr>
              <w:spacing w:after="0"/>
              <w:rPr>
                <w:sz w:val="17"/>
                <w:szCs w:val="17"/>
                <w:color w:val="auto"/>
              </w:rPr>
            </w:pPr>
          </w:p>
        </w:tc>
        <w:tc>
          <w:tcPr>
            <w:tcW w:w="820" w:type="dxa"/>
            <w:vAlign w:val="bottom"/>
            <w:shd w:val="clear" w:color="auto" w:fill="BF2115"/>
          </w:tcPr>
          <w:p>
            <w:pPr>
              <w:spacing w:after="0"/>
              <w:rPr>
                <w:sz w:val="17"/>
                <w:szCs w:val="17"/>
                <w:color w:val="auto"/>
              </w:rPr>
            </w:pPr>
          </w:p>
        </w:tc>
        <w:tc>
          <w:tcPr>
            <w:tcW w:w="280" w:type="dxa"/>
            <w:vAlign w:val="bottom"/>
            <w:shd w:val="clear" w:color="auto" w:fill="BF2115"/>
          </w:tcPr>
          <w:p>
            <w:pPr>
              <w:spacing w:after="0"/>
              <w:rPr>
                <w:sz w:val="17"/>
                <w:szCs w:val="17"/>
                <w:color w:val="auto"/>
              </w:rPr>
            </w:pPr>
          </w:p>
        </w:tc>
        <w:tc>
          <w:tcPr>
            <w:tcW w:w="1520" w:type="dxa"/>
            <w:vAlign w:val="bottom"/>
            <w:shd w:val="clear" w:color="auto" w:fill="BF2115"/>
          </w:tcPr>
          <w:p>
            <w:pPr>
              <w:jc w:val="center"/>
              <w:ind w:right="48"/>
              <w:spacing w:after="0"/>
              <w:rPr>
                <w:sz w:val="20"/>
                <w:szCs w:val="20"/>
                <w:color w:val="auto"/>
              </w:rPr>
            </w:pPr>
            <w:r>
              <w:rPr>
                <w:rFonts w:ascii="Arial" w:cs="Arial" w:eastAsia="Arial" w:hAnsi="Arial"/>
                <w:sz w:val="14"/>
                <w:szCs w:val="14"/>
                <w:b w:val="1"/>
                <w:bCs w:val="1"/>
                <w:color w:val="FFFFFF"/>
              </w:rPr>
              <w:t>Non-Performance-</w:t>
            </w:r>
          </w:p>
        </w:tc>
        <w:tc>
          <w:tcPr>
            <w:tcW w:w="320" w:type="dxa"/>
            <w:vAlign w:val="bottom"/>
            <w:shd w:val="clear" w:color="auto" w:fill="BF2115"/>
          </w:tcPr>
          <w:p>
            <w:pPr>
              <w:spacing w:after="0"/>
              <w:rPr>
                <w:sz w:val="17"/>
                <w:szCs w:val="17"/>
                <w:color w:val="auto"/>
              </w:rPr>
            </w:pPr>
          </w:p>
        </w:tc>
        <w:tc>
          <w:tcPr>
            <w:tcW w:w="1340" w:type="dxa"/>
            <w:vAlign w:val="bottom"/>
            <w:shd w:val="clear" w:color="auto" w:fill="BF2115"/>
          </w:tcPr>
          <w:p>
            <w:pPr>
              <w:jc w:val="center"/>
              <w:ind w:right="308"/>
              <w:spacing w:after="0"/>
              <w:rPr>
                <w:sz w:val="20"/>
                <w:szCs w:val="20"/>
                <w:color w:val="auto"/>
              </w:rPr>
            </w:pPr>
            <w:r>
              <w:rPr>
                <w:rFonts w:ascii="Arial" w:cs="Arial" w:eastAsia="Arial" w:hAnsi="Arial"/>
                <w:sz w:val="14"/>
                <w:szCs w:val="14"/>
                <w:b w:val="1"/>
                <w:bCs w:val="1"/>
                <w:color w:val="FFFFFF"/>
              </w:rPr>
              <w:t>Annual</w:t>
            </w:r>
          </w:p>
        </w:tc>
        <w:tc>
          <w:tcPr>
            <w:tcW w:w="1380" w:type="dxa"/>
            <w:vAlign w:val="bottom"/>
            <w:shd w:val="clear" w:color="auto" w:fill="BF2115"/>
          </w:tcPr>
          <w:p>
            <w:pPr>
              <w:spacing w:after="0"/>
              <w:rPr>
                <w:sz w:val="17"/>
                <w:szCs w:val="17"/>
                <w:color w:val="auto"/>
              </w:rPr>
            </w:pPr>
          </w:p>
        </w:tc>
        <w:tc>
          <w:tcPr>
            <w:tcW w:w="360" w:type="dxa"/>
            <w:vAlign w:val="bottom"/>
            <w:shd w:val="clear" w:color="auto" w:fill="BF2115"/>
          </w:tcPr>
          <w:p>
            <w:pPr>
              <w:spacing w:after="0"/>
              <w:rPr>
                <w:sz w:val="17"/>
                <w:szCs w:val="17"/>
                <w:color w:val="auto"/>
              </w:rPr>
            </w:pPr>
          </w:p>
        </w:tc>
        <w:tc>
          <w:tcPr>
            <w:tcW w:w="1220" w:type="dxa"/>
            <w:vAlign w:val="bottom"/>
            <w:shd w:val="clear" w:color="auto" w:fill="BF2115"/>
          </w:tcPr>
          <w:p>
            <w:pPr>
              <w:jc w:val="center"/>
              <w:ind w:right="248"/>
              <w:spacing w:after="0"/>
              <w:rPr>
                <w:sz w:val="20"/>
                <w:szCs w:val="20"/>
                <w:color w:val="auto"/>
              </w:rPr>
            </w:pPr>
            <w:r>
              <w:rPr>
                <w:rFonts w:ascii="Arial" w:cs="Arial" w:eastAsia="Arial" w:hAnsi="Arial"/>
                <w:sz w:val="14"/>
                <w:szCs w:val="14"/>
                <w:b w:val="1"/>
                <w:bCs w:val="1"/>
                <w:color w:val="FFFFFF"/>
              </w:rPr>
              <w:t>Total</w:t>
            </w:r>
          </w:p>
        </w:tc>
      </w:tr>
      <w:tr>
        <w:trPr>
          <w:trHeight w:val="162"/>
        </w:trPr>
        <w:tc>
          <w:tcPr>
            <w:tcW w:w="2080" w:type="dxa"/>
            <w:vAlign w:val="bottom"/>
            <w:shd w:val="clear" w:color="auto" w:fill="BF2115"/>
          </w:tcPr>
          <w:p>
            <w:pPr>
              <w:spacing w:after="0"/>
              <w:rPr>
                <w:sz w:val="14"/>
                <w:szCs w:val="14"/>
                <w:color w:val="auto"/>
              </w:rPr>
            </w:pPr>
          </w:p>
        </w:tc>
        <w:tc>
          <w:tcPr>
            <w:tcW w:w="820" w:type="dxa"/>
            <w:vAlign w:val="bottom"/>
            <w:shd w:val="clear" w:color="auto" w:fill="BF2115"/>
          </w:tcPr>
          <w:p>
            <w:pPr>
              <w:jc w:val="center"/>
              <w:ind w:left="48"/>
              <w:spacing w:after="0"/>
              <w:rPr>
                <w:sz w:val="20"/>
                <w:szCs w:val="20"/>
                <w:color w:val="auto"/>
              </w:rPr>
            </w:pPr>
            <w:r>
              <w:rPr>
                <w:rFonts w:ascii="Arial" w:cs="Arial" w:eastAsia="Arial" w:hAnsi="Arial"/>
                <w:sz w:val="14"/>
                <w:szCs w:val="14"/>
                <w:b w:val="1"/>
                <w:bCs w:val="1"/>
                <w:color w:val="FFFFFF"/>
              </w:rPr>
              <w:t>Fiscal</w:t>
            </w:r>
          </w:p>
        </w:tc>
        <w:tc>
          <w:tcPr>
            <w:tcW w:w="280" w:type="dxa"/>
            <w:vAlign w:val="bottom"/>
            <w:shd w:val="clear" w:color="auto" w:fill="BF2115"/>
          </w:tcPr>
          <w:p>
            <w:pPr>
              <w:spacing w:after="0"/>
              <w:rPr>
                <w:sz w:val="14"/>
                <w:szCs w:val="14"/>
                <w:color w:val="auto"/>
              </w:rPr>
            </w:pPr>
          </w:p>
        </w:tc>
        <w:tc>
          <w:tcPr>
            <w:tcW w:w="1520" w:type="dxa"/>
            <w:vAlign w:val="bottom"/>
            <w:shd w:val="clear" w:color="auto" w:fill="BF2115"/>
          </w:tcPr>
          <w:p>
            <w:pPr>
              <w:jc w:val="center"/>
              <w:ind w:right="48"/>
              <w:spacing w:after="0"/>
              <w:rPr>
                <w:sz w:val="20"/>
                <w:szCs w:val="20"/>
                <w:color w:val="auto"/>
              </w:rPr>
            </w:pPr>
            <w:r>
              <w:rPr>
                <w:rFonts w:ascii="Arial" w:cs="Arial" w:eastAsia="Arial" w:hAnsi="Arial"/>
                <w:sz w:val="14"/>
                <w:szCs w:val="14"/>
                <w:b w:val="1"/>
                <w:bCs w:val="1"/>
                <w:color w:val="FFFFFF"/>
              </w:rPr>
              <w:t>Based Restricted</w:t>
            </w:r>
          </w:p>
        </w:tc>
        <w:tc>
          <w:tcPr>
            <w:tcW w:w="320" w:type="dxa"/>
            <w:vAlign w:val="bottom"/>
            <w:shd w:val="clear" w:color="auto" w:fill="BF2115"/>
          </w:tcPr>
          <w:p>
            <w:pPr>
              <w:spacing w:after="0"/>
              <w:rPr>
                <w:sz w:val="14"/>
                <w:szCs w:val="14"/>
                <w:color w:val="auto"/>
              </w:rPr>
            </w:pPr>
          </w:p>
        </w:tc>
        <w:tc>
          <w:tcPr>
            <w:tcW w:w="1340" w:type="dxa"/>
            <w:vAlign w:val="bottom"/>
            <w:shd w:val="clear" w:color="auto" w:fill="BF2115"/>
          </w:tcPr>
          <w:p>
            <w:pPr>
              <w:jc w:val="center"/>
              <w:ind w:right="308"/>
              <w:spacing w:after="0"/>
              <w:rPr>
                <w:sz w:val="20"/>
                <w:szCs w:val="20"/>
                <w:color w:val="auto"/>
              </w:rPr>
            </w:pPr>
            <w:r>
              <w:rPr>
                <w:rFonts w:ascii="Arial" w:cs="Arial" w:eastAsia="Arial" w:hAnsi="Arial"/>
                <w:sz w:val="14"/>
                <w:szCs w:val="14"/>
                <w:b w:val="1"/>
                <w:bCs w:val="1"/>
                <w:color w:val="FFFFFF"/>
              </w:rPr>
              <w:t>Incentive</w:t>
            </w:r>
          </w:p>
        </w:tc>
        <w:tc>
          <w:tcPr>
            <w:tcW w:w="1380" w:type="dxa"/>
            <w:vAlign w:val="bottom"/>
            <w:shd w:val="clear" w:color="auto" w:fill="BF2115"/>
          </w:tcPr>
          <w:p>
            <w:pPr>
              <w:jc w:val="right"/>
              <w:spacing w:after="0"/>
              <w:rPr>
                <w:sz w:val="20"/>
                <w:szCs w:val="20"/>
                <w:color w:val="auto"/>
              </w:rPr>
            </w:pPr>
            <w:r>
              <w:rPr>
                <w:rFonts w:ascii="Arial" w:cs="Arial" w:eastAsia="Arial" w:hAnsi="Arial"/>
                <w:sz w:val="14"/>
                <w:szCs w:val="14"/>
                <w:b w:val="1"/>
                <w:bCs w:val="1"/>
                <w:color w:val="FFFFFF"/>
              </w:rPr>
              <w:t>LTIP / Performance</w:t>
            </w:r>
          </w:p>
        </w:tc>
        <w:tc>
          <w:tcPr>
            <w:tcW w:w="360" w:type="dxa"/>
            <w:vAlign w:val="bottom"/>
            <w:shd w:val="clear" w:color="auto" w:fill="BF2115"/>
          </w:tcPr>
          <w:p>
            <w:pPr>
              <w:spacing w:after="0"/>
              <w:rPr>
                <w:sz w:val="14"/>
                <w:szCs w:val="14"/>
                <w:color w:val="auto"/>
              </w:rPr>
            </w:pPr>
          </w:p>
        </w:tc>
        <w:tc>
          <w:tcPr>
            <w:tcW w:w="1220" w:type="dxa"/>
            <w:vAlign w:val="bottom"/>
            <w:shd w:val="clear" w:color="auto" w:fill="BF2115"/>
          </w:tcPr>
          <w:p>
            <w:pPr>
              <w:jc w:val="center"/>
              <w:ind w:right="248"/>
              <w:spacing w:after="0"/>
              <w:rPr>
                <w:sz w:val="20"/>
                <w:szCs w:val="20"/>
                <w:color w:val="auto"/>
              </w:rPr>
            </w:pPr>
            <w:r>
              <w:rPr>
                <w:rFonts w:ascii="Arial" w:cs="Arial" w:eastAsia="Arial" w:hAnsi="Arial"/>
                <w:sz w:val="14"/>
                <w:szCs w:val="14"/>
                <w:b w:val="1"/>
                <w:bCs w:val="1"/>
                <w:color w:val="FFFFFF"/>
                <w:w w:val="99"/>
              </w:rPr>
              <w:t>Stock</w:t>
            </w:r>
          </w:p>
        </w:tc>
      </w:tr>
      <w:tr>
        <w:trPr>
          <w:trHeight w:val="202"/>
        </w:trPr>
        <w:tc>
          <w:tcPr>
            <w:tcW w:w="2080" w:type="dxa"/>
            <w:vAlign w:val="bottom"/>
            <w:tcBorders>
              <w:bottom w:val="single" w:sz="8" w:color="auto"/>
            </w:tcBorders>
            <w:shd w:val="clear" w:color="auto" w:fill="BF2115"/>
          </w:tcPr>
          <w:p>
            <w:pPr>
              <w:ind w:left="20"/>
              <w:spacing w:after="0"/>
              <w:rPr>
                <w:sz w:val="20"/>
                <w:szCs w:val="20"/>
                <w:color w:val="auto"/>
              </w:rPr>
            </w:pPr>
            <w:r>
              <w:rPr>
                <w:rFonts w:ascii="Arial" w:cs="Arial" w:eastAsia="Arial" w:hAnsi="Arial"/>
                <w:sz w:val="14"/>
                <w:szCs w:val="14"/>
                <w:b w:val="1"/>
                <w:bCs w:val="1"/>
                <w:color w:val="FFFFFF"/>
              </w:rPr>
              <w:t>Name</w:t>
            </w:r>
          </w:p>
        </w:tc>
        <w:tc>
          <w:tcPr>
            <w:tcW w:w="820" w:type="dxa"/>
            <w:vAlign w:val="bottom"/>
            <w:tcBorders>
              <w:bottom w:val="single" w:sz="8" w:color="auto"/>
            </w:tcBorders>
            <w:shd w:val="clear" w:color="auto" w:fill="BF2115"/>
          </w:tcPr>
          <w:p>
            <w:pPr>
              <w:jc w:val="center"/>
              <w:ind w:left="48"/>
              <w:spacing w:after="0"/>
              <w:rPr>
                <w:sz w:val="20"/>
                <w:szCs w:val="20"/>
                <w:color w:val="auto"/>
              </w:rPr>
            </w:pPr>
            <w:r>
              <w:rPr>
                <w:rFonts w:ascii="Arial" w:cs="Arial" w:eastAsia="Arial" w:hAnsi="Arial"/>
                <w:sz w:val="14"/>
                <w:szCs w:val="14"/>
                <w:b w:val="1"/>
                <w:bCs w:val="1"/>
                <w:color w:val="FFFFFF"/>
                <w:w w:val="98"/>
              </w:rPr>
              <w:t>Year</w:t>
            </w:r>
          </w:p>
        </w:tc>
        <w:tc>
          <w:tcPr>
            <w:tcW w:w="280" w:type="dxa"/>
            <w:vAlign w:val="bottom"/>
            <w:tcBorders>
              <w:bottom w:val="single" w:sz="8" w:color="auto"/>
            </w:tcBorders>
            <w:shd w:val="clear" w:color="auto" w:fill="BF2115"/>
          </w:tcPr>
          <w:p>
            <w:pPr>
              <w:spacing w:after="0"/>
              <w:rPr>
                <w:sz w:val="17"/>
                <w:szCs w:val="17"/>
                <w:color w:val="auto"/>
              </w:rPr>
            </w:pPr>
          </w:p>
        </w:tc>
        <w:tc>
          <w:tcPr>
            <w:tcW w:w="1520" w:type="dxa"/>
            <w:vAlign w:val="bottom"/>
            <w:tcBorders>
              <w:bottom w:val="single" w:sz="8" w:color="auto"/>
            </w:tcBorders>
            <w:shd w:val="clear" w:color="auto" w:fill="BF2115"/>
          </w:tcPr>
          <w:p>
            <w:pPr>
              <w:jc w:val="center"/>
              <w:ind w:right="48"/>
              <w:spacing w:after="0"/>
              <w:rPr>
                <w:sz w:val="20"/>
                <w:szCs w:val="20"/>
                <w:color w:val="auto"/>
              </w:rPr>
            </w:pPr>
            <w:r>
              <w:rPr>
                <w:rFonts w:ascii="Arial" w:cs="Arial" w:eastAsia="Arial" w:hAnsi="Arial"/>
                <w:sz w:val="14"/>
                <w:szCs w:val="14"/>
                <w:b w:val="1"/>
                <w:bCs w:val="1"/>
                <w:color w:val="FFFFFF"/>
                <w:w w:val="98"/>
              </w:rPr>
              <w:t>Stock Grant</w:t>
            </w:r>
            <w:r>
              <w:rPr>
                <w:rFonts w:ascii="Arial" w:cs="Arial" w:eastAsia="Arial" w:hAnsi="Arial"/>
                <w:sz w:val="17"/>
                <w:szCs w:val="17"/>
                <w:b w:val="1"/>
                <w:bCs w:val="1"/>
                <w:color w:val="FFFFFF"/>
                <w:w w:val="98"/>
                <w:vertAlign w:val="superscript"/>
              </w:rPr>
              <w:t>(a)</w:t>
            </w:r>
          </w:p>
        </w:tc>
        <w:tc>
          <w:tcPr>
            <w:tcW w:w="320" w:type="dxa"/>
            <w:vAlign w:val="bottom"/>
            <w:tcBorders>
              <w:bottom w:val="single" w:sz="8" w:color="auto"/>
            </w:tcBorders>
            <w:shd w:val="clear" w:color="auto" w:fill="BF2115"/>
          </w:tcPr>
          <w:p>
            <w:pPr>
              <w:spacing w:after="0"/>
              <w:rPr>
                <w:sz w:val="17"/>
                <w:szCs w:val="17"/>
                <w:color w:val="auto"/>
              </w:rPr>
            </w:pPr>
          </w:p>
        </w:tc>
        <w:tc>
          <w:tcPr>
            <w:tcW w:w="1340" w:type="dxa"/>
            <w:vAlign w:val="bottom"/>
            <w:tcBorders>
              <w:bottom w:val="single" w:sz="8" w:color="auto"/>
            </w:tcBorders>
            <w:shd w:val="clear" w:color="auto" w:fill="BF2115"/>
          </w:tcPr>
          <w:p>
            <w:pPr>
              <w:jc w:val="center"/>
              <w:ind w:right="308"/>
              <w:spacing w:after="0"/>
              <w:rPr>
                <w:sz w:val="20"/>
                <w:szCs w:val="20"/>
                <w:color w:val="auto"/>
              </w:rPr>
            </w:pPr>
            <w:r>
              <w:rPr>
                <w:rFonts w:ascii="Arial" w:cs="Arial" w:eastAsia="Arial" w:hAnsi="Arial"/>
                <w:sz w:val="14"/>
                <w:szCs w:val="14"/>
                <w:b w:val="1"/>
                <w:bCs w:val="1"/>
                <w:color w:val="FFFFFF"/>
                <w:w w:val="92"/>
              </w:rPr>
              <w:t>Plans</w:t>
            </w:r>
            <w:r>
              <w:rPr>
                <w:rFonts w:ascii="Arial" w:cs="Arial" w:eastAsia="Arial" w:hAnsi="Arial"/>
                <w:sz w:val="17"/>
                <w:szCs w:val="17"/>
                <w:b w:val="1"/>
                <w:bCs w:val="1"/>
                <w:color w:val="FFFFFF"/>
                <w:w w:val="92"/>
                <w:vertAlign w:val="superscript"/>
              </w:rPr>
              <w:t>(b)</w:t>
            </w:r>
          </w:p>
        </w:tc>
        <w:tc>
          <w:tcPr>
            <w:tcW w:w="1380" w:type="dxa"/>
            <w:vAlign w:val="bottom"/>
            <w:tcBorders>
              <w:bottom w:val="single" w:sz="8" w:color="auto"/>
            </w:tcBorders>
            <w:shd w:val="clear" w:color="auto" w:fill="BF2115"/>
          </w:tcPr>
          <w:p>
            <w:pPr>
              <w:jc w:val="right"/>
              <w:ind w:right="348"/>
              <w:spacing w:after="0"/>
              <w:rPr>
                <w:sz w:val="20"/>
                <w:szCs w:val="20"/>
                <w:color w:val="auto"/>
              </w:rPr>
            </w:pPr>
            <w:r>
              <w:rPr>
                <w:rFonts w:ascii="Arial" w:cs="Arial" w:eastAsia="Arial" w:hAnsi="Arial"/>
                <w:sz w:val="14"/>
                <w:szCs w:val="14"/>
                <w:b w:val="1"/>
                <w:bCs w:val="1"/>
                <w:color w:val="FFFFFF"/>
              </w:rPr>
              <w:t>Shares</w:t>
            </w:r>
            <w:r>
              <w:rPr>
                <w:rFonts w:ascii="Arial" w:cs="Arial" w:eastAsia="Arial" w:hAnsi="Arial"/>
                <w:sz w:val="17"/>
                <w:szCs w:val="17"/>
                <w:b w:val="1"/>
                <w:bCs w:val="1"/>
                <w:color w:val="FFFFFF"/>
                <w:vertAlign w:val="superscript"/>
              </w:rPr>
              <w:t>(c)</w:t>
            </w:r>
          </w:p>
        </w:tc>
        <w:tc>
          <w:tcPr>
            <w:tcW w:w="360" w:type="dxa"/>
            <w:vAlign w:val="bottom"/>
            <w:tcBorders>
              <w:bottom w:val="single" w:sz="8" w:color="auto"/>
            </w:tcBorders>
            <w:shd w:val="clear" w:color="auto" w:fill="BF2115"/>
          </w:tcPr>
          <w:p>
            <w:pPr>
              <w:spacing w:after="0"/>
              <w:rPr>
                <w:sz w:val="17"/>
                <w:szCs w:val="17"/>
                <w:color w:val="auto"/>
              </w:rPr>
            </w:pPr>
          </w:p>
        </w:tc>
        <w:tc>
          <w:tcPr>
            <w:tcW w:w="1220" w:type="dxa"/>
            <w:vAlign w:val="bottom"/>
            <w:tcBorders>
              <w:bottom w:val="single" w:sz="8" w:color="auto"/>
            </w:tcBorders>
            <w:shd w:val="clear" w:color="auto" w:fill="BF2115"/>
          </w:tcPr>
          <w:p>
            <w:pPr>
              <w:jc w:val="center"/>
              <w:ind w:right="228"/>
              <w:spacing w:after="0"/>
              <w:rPr>
                <w:sz w:val="20"/>
                <w:szCs w:val="20"/>
                <w:color w:val="auto"/>
              </w:rPr>
            </w:pPr>
            <w:r>
              <w:rPr>
                <w:rFonts w:ascii="Arial" w:cs="Arial" w:eastAsia="Arial" w:hAnsi="Arial"/>
                <w:sz w:val="14"/>
                <w:szCs w:val="14"/>
                <w:b w:val="1"/>
                <w:bCs w:val="1"/>
                <w:color w:val="FFFFFF"/>
              </w:rPr>
              <w:t>Awards</w:t>
            </w:r>
          </w:p>
        </w:tc>
      </w:tr>
      <w:tr>
        <w:trPr>
          <w:trHeight w:val="211"/>
        </w:trPr>
        <w:tc>
          <w:tcPr>
            <w:tcW w:w="2080" w:type="dxa"/>
            <w:vAlign w:val="bottom"/>
          </w:tcPr>
          <w:p>
            <w:pPr>
              <w:ind w:left="20"/>
              <w:spacing w:after="0"/>
              <w:rPr>
                <w:sz w:val="20"/>
                <w:szCs w:val="20"/>
                <w:color w:val="auto"/>
              </w:rPr>
            </w:pPr>
            <w:r>
              <w:rPr>
                <w:rFonts w:ascii="Arial" w:cs="Arial" w:eastAsia="Arial" w:hAnsi="Arial"/>
                <w:sz w:val="14"/>
                <w:szCs w:val="14"/>
                <w:color w:val="auto"/>
              </w:rPr>
              <w:t>Michael J. Happe</w:t>
            </w:r>
          </w:p>
        </w:tc>
        <w:tc>
          <w:tcPr>
            <w:tcW w:w="820" w:type="dxa"/>
            <w:vAlign w:val="bottom"/>
          </w:tcPr>
          <w:p>
            <w:pPr>
              <w:jc w:val="center"/>
              <w:ind w:left="28"/>
              <w:spacing w:after="0"/>
              <w:rPr>
                <w:sz w:val="20"/>
                <w:szCs w:val="20"/>
                <w:color w:val="auto"/>
              </w:rPr>
            </w:pPr>
            <w:r>
              <w:rPr>
                <w:rFonts w:ascii="Arial" w:cs="Arial" w:eastAsia="Arial" w:hAnsi="Arial"/>
                <w:sz w:val="14"/>
                <w:szCs w:val="14"/>
                <w:color w:val="auto"/>
              </w:rPr>
              <w:t>2018</w:t>
            </w:r>
          </w:p>
        </w:tc>
        <w:tc>
          <w:tcPr>
            <w:tcW w:w="280" w:type="dxa"/>
            <w:vAlign w:val="bottom"/>
          </w:tcPr>
          <w:p>
            <w:pPr>
              <w:jc w:val="right"/>
              <w:spacing w:after="0"/>
              <w:rPr>
                <w:sz w:val="20"/>
                <w:szCs w:val="20"/>
                <w:color w:val="auto"/>
              </w:rPr>
            </w:pPr>
            <w:r>
              <w:rPr>
                <w:rFonts w:ascii="Arial" w:cs="Arial" w:eastAsia="Arial" w:hAnsi="Arial"/>
                <w:sz w:val="14"/>
                <w:szCs w:val="14"/>
                <w:color w:val="auto"/>
              </w:rPr>
              <w:t>$</w:t>
            </w:r>
          </w:p>
        </w:tc>
        <w:tc>
          <w:tcPr>
            <w:tcW w:w="1520" w:type="dxa"/>
            <w:vAlign w:val="bottom"/>
          </w:tcPr>
          <w:p>
            <w:pPr>
              <w:jc w:val="right"/>
              <w:spacing w:after="0"/>
              <w:rPr>
                <w:sz w:val="20"/>
                <w:szCs w:val="20"/>
                <w:color w:val="auto"/>
              </w:rPr>
            </w:pPr>
            <w:r>
              <w:rPr>
                <w:rFonts w:ascii="Arial" w:cs="Arial" w:eastAsia="Arial" w:hAnsi="Arial"/>
                <w:sz w:val="14"/>
                <w:szCs w:val="14"/>
                <w:color w:val="auto"/>
              </w:rPr>
              <w:t>414,074</w:t>
            </w:r>
          </w:p>
        </w:tc>
        <w:tc>
          <w:tcPr>
            <w:tcW w:w="32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1340" w:type="dxa"/>
            <w:vAlign w:val="bottom"/>
          </w:tcPr>
          <w:p>
            <w:pPr>
              <w:jc w:val="right"/>
              <w:spacing w:after="0"/>
              <w:rPr>
                <w:sz w:val="20"/>
                <w:szCs w:val="20"/>
                <w:color w:val="auto"/>
              </w:rPr>
            </w:pPr>
            <w:r>
              <w:rPr>
                <w:rFonts w:ascii="Arial" w:cs="Arial" w:eastAsia="Arial" w:hAnsi="Arial"/>
                <w:sz w:val="14"/>
                <w:szCs w:val="14"/>
                <w:color w:val="auto"/>
              </w:rPr>
              <w:t>—  $</w:t>
            </w:r>
          </w:p>
        </w:tc>
        <w:tc>
          <w:tcPr>
            <w:tcW w:w="1380" w:type="dxa"/>
            <w:vAlign w:val="bottom"/>
          </w:tcPr>
          <w:p>
            <w:pPr>
              <w:jc w:val="right"/>
              <w:spacing w:after="0"/>
              <w:rPr>
                <w:sz w:val="20"/>
                <w:szCs w:val="20"/>
                <w:color w:val="auto"/>
              </w:rPr>
            </w:pPr>
            <w:r>
              <w:rPr>
                <w:rFonts w:ascii="Arial" w:cs="Arial" w:eastAsia="Arial" w:hAnsi="Arial"/>
                <w:sz w:val="14"/>
                <w:szCs w:val="14"/>
                <w:color w:val="auto"/>
              </w:rPr>
              <w:t>828,104</w:t>
            </w:r>
          </w:p>
        </w:tc>
        <w:tc>
          <w:tcPr>
            <w:tcW w:w="360" w:type="dxa"/>
            <w:vAlign w:val="bottom"/>
          </w:tcPr>
          <w:p>
            <w:pPr>
              <w:jc w:val="right"/>
              <w:ind w:right="148"/>
              <w:spacing w:after="0"/>
              <w:rPr>
                <w:sz w:val="20"/>
                <w:szCs w:val="20"/>
                <w:color w:val="auto"/>
              </w:rPr>
            </w:pPr>
            <w:r>
              <w:rPr>
                <w:rFonts w:ascii="Arial" w:cs="Arial" w:eastAsia="Arial" w:hAnsi="Arial"/>
                <w:sz w:val="14"/>
                <w:szCs w:val="14"/>
                <w:color w:val="auto"/>
              </w:rPr>
              <w:t>$</w:t>
            </w:r>
          </w:p>
        </w:tc>
        <w:tc>
          <w:tcPr>
            <w:tcW w:w="1220" w:type="dxa"/>
            <w:vAlign w:val="bottom"/>
          </w:tcPr>
          <w:p>
            <w:pPr>
              <w:jc w:val="right"/>
              <w:ind w:right="28"/>
              <w:spacing w:after="0"/>
              <w:rPr>
                <w:sz w:val="20"/>
                <w:szCs w:val="20"/>
                <w:color w:val="auto"/>
              </w:rPr>
            </w:pPr>
            <w:r>
              <w:rPr>
                <w:rFonts w:ascii="Arial" w:cs="Arial" w:eastAsia="Arial" w:hAnsi="Arial"/>
                <w:sz w:val="14"/>
                <w:szCs w:val="14"/>
                <w:color w:val="auto"/>
              </w:rPr>
              <w:t>1,242,179</w:t>
            </w:r>
          </w:p>
        </w:tc>
      </w:tr>
      <w:tr>
        <w:trPr>
          <w:trHeight w:val="39"/>
        </w:trPr>
        <w:tc>
          <w:tcPr>
            <w:tcW w:w="2080" w:type="dxa"/>
            <w:vAlign w:val="bottom"/>
          </w:tcPr>
          <w:p>
            <w:pPr>
              <w:spacing w:after="0"/>
              <w:rPr>
                <w:sz w:val="3"/>
                <w:szCs w:val="3"/>
                <w:color w:val="auto"/>
              </w:rPr>
            </w:pPr>
          </w:p>
        </w:tc>
        <w:tc>
          <w:tcPr>
            <w:tcW w:w="820" w:type="dxa"/>
            <w:vAlign w:val="bottom"/>
          </w:tcPr>
          <w:p>
            <w:pPr>
              <w:spacing w:after="0"/>
              <w:rPr>
                <w:sz w:val="3"/>
                <w:szCs w:val="3"/>
                <w:color w:val="auto"/>
              </w:rPr>
            </w:pPr>
          </w:p>
        </w:tc>
        <w:tc>
          <w:tcPr>
            <w:tcW w:w="280" w:type="dxa"/>
            <w:vAlign w:val="bottom"/>
          </w:tcPr>
          <w:p>
            <w:pPr>
              <w:spacing w:after="0"/>
              <w:rPr>
                <w:sz w:val="3"/>
                <w:szCs w:val="3"/>
                <w:color w:val="auto"/>
              </w:rPr>
            </w:pPr>
          </w:p>
        </w:tc>
        <w:tc>
          <w:tcPr>
            <w:tcW w:w="1520" w:type="dxa"/>
            <w:vAlign w:val="bottom"/>
          </w:tcPr>
          <w:p>
            <w:pPr>
              <w:spacing w:after="0"/>
              <w:rPr>
                <w:sz w:val="3"/>
                <w:szCs w:val="3"/>
                <w:color w:val="auto"/>
              </w:rPr>
            </w:pPr>
          </w:p>
        </w:tc>
        <w:tc>
          <w:tcPr>
            <w:tcW w:w="3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1380" w:type="dxa"/>
            <w:vAlign w:val="bottom"/>
          </w:tcPr>
          <w:p>
            <w:pPr>
              <w:spacing w:after="0"/>
              <w:rPr>
                <w:sz w:val="3"/>
                <w:szCs w:val="3"/>
                <w:color w:val="auto"/>
              </w:rPr>
            </w:pPr>
          </w:p>
        </w:tc>
        <w:tc>
          <w:tcPr>
            <w:tcW w:w="360" w:type="dxa"/>
            <w:vAlign w:val="bottom"/>
          </w:tcPr>
          <w:p>
            <w:pPr>
              <w:spacing w:after="0"/>
              <w:rPr>
                <w:sz w:val="3"/>
                <w:szCs w:val="3"/>
                <w:color w:val="auto"/>
              </w:rPr>
            </w:pPr>
          </w:p>
        </w:tc>
        <w:tc>
          <w:tcPr>
            <w:tcW w:w="1220" w:type="dxa"/>
            <w:vAlign w:val="bottom"/>
          </w:tcPr>
          <w:p>
            <w:pPr>
              <w:spacing w:after="0"/>
              <w:rPr>
                <w:sz w:val="3"/>
                <w:szCs w:val="3"/>
                <w:color w:val="auto"/>
              </w:rPr>
            </w:pPr>
          </w:p>
        </w:tc>
      </w:tr>
      <w:tr>
        <w:trPr>
          <w:trHeight w:val="250"/>
        </w:trPr>
        <w:tc>
          <w:tcPr>
            <w:tcW w:w="2080" w:type="dxa"/>
            <w:vAlign w:val="bottom"/>
            <w:tcBorders>
              <w:bottom w:val="single" w:sz="8" w:color="ACACAC"/>
            </w:tcBorders>
            <w:shd w:val="clear" w:color="auto" w:fill="ACACAC"/>
          </w:tcPr>
          <w:p>
            <w:pPr>
              <w:spacing w:after="0"/>
              <w:rPr>
                <w:sz w:val="21"/>
                <w:szCs w:val="21"/>
                <w:color w:val="auto"/>
              </w:rPr>
            </w:pPr>
          </w:p>
        </w:tc>
        <w:tc>
          <w:tcPr>
            <w:tcW w:w="820" w:type="dxa"/>
            <w:vAlign w:val="bottom"/>
            <w:tcBorders>
              <w:bottom w:val="single" w:sz="8" w:color="ACACAC"/>
            </w:tcBorders>
            <w:shd w:val="clear" w:color="auto" w:fill="ACACAC"/>
          </w:tcPr>
          <w:p>
            <w:pPr>
              <w:jc w:val="center"/>
              <w:ind w:left="28"/>
              <w:spacing w:after="0"/>
              <w:rPr>
                <w:sz w:val="20"/>
                <w:szCs w:val="20"/>
                <w:color w:val="auto"/>
              </w:rPr>
            </w:pPr>
            <w:r>
              <w:rPr>
                <w:rFonts w:ascii="Arial" w:cs="Arial" w:eastAsia="Arial" w:hAnsi="Arial"/>
                <w:sz w:val="14"/>
                <w:szCs w:val="14"/>
                <w:color w:val="auto"/>
              </w:rPr>
              <w:t>2017</w:t>
            </w:r>
          </w:p>
        </w:tc>
        <w:tc>
          <w:tcPr>
            <w:tcW w:w="280" w:type="dxa"/>
            <w:vAlign w:val="bottom"/>
            <w:tcBorders>
              <w:bottom w:val="single" w:sz="8" w:color="ACACAC"/>
            </w:tcBorders>
            <w:shd w:val="clear" w:color="auto" w:fill="ACACAC"/>
          </w:tcPr>
          <w:p>
            <w:pPr>
              <w:spacing w:after="0"/>
              <w:rPr>
                <w:sz w:val="21"/>
                <w:szCs w:val="21"/>
                <w:color w:val="auto"/>
              </w:rPr>
            </w:pPr>
          </w:p>
        </w:tc>
        <w:tc>
          <w:tcPr>
            <w:tcW w:w="1520" w:type="dxa"/>
            <w:vAlign w:val="bottom"/>
            <w:tcBorders>
              <w:bottom w:val="single" w:sz="8" w:color="ACACAC"/>
            </w:tcBorders>
            <w:shd w:val="clear" w:color="auto" w:fill="ACACAC"/>
          </w:tcPr>
          <w:p>
            <w:pPr>
              <w:jc w:val="right"/>
              <w:spacing w:after="0"/>
              <w:rPr>
                <w:sz w:val="20"/>
                <w:szCs w:val="20"/>
                <w:color w:val="auto"/>
              </w:rPr>
            </w:pPr>
            <w:r>
              <w:rPr>
                <w:rFonts w:ascii="Arial" w:cs="Arial" w:eastAsia="Arial" w:hAnsi="Arial"/>
                <w:sz w:val="14"/>
                <w:szCs w:val="14"/>
                <w:color w:val="auto"/>
              </w:rPr>
              <w:t>370,937</w:t>
            </w:r>
          </w:p>
        </w:tc>
        <w:tc>
          <w:tcPr>
            <w:tcW w:w="320" w:type="dxa"/>
            <w:vAlign w:val="bottom"/>
            <w:tcBorders>
              <w:bottom w:val="single" w:sz="8" w:color="ACACAC"/>
            </w:tcBorders>
            <w:shd w:val="clear" w:color="auto" w:fill="ACACAC"/>
          </w:tcPr>
          <w:p>
            <w:pPr>
              <w:spacing w:after="0"/>
              <w:rPr>
                <w:sz w:val="21"/>
                <w:szCs w:val="21"/>
                <w:color w:val="auto"/>
              </w:rPr>
            </w:pPr>
          </w:p>
        </w:tc>
        <w:tc>
          <w:tcPr>
            <w:tcW w:w="1340" w:type="dxa"/>
            <w:vAlign w:val="bottom"/>
            <w:tcBorders>
              <w:bottom w:val="single" w:sz="8" w:color="ACACAC"/>
            </w:tcBorders>
            <w:shd w:val="clear" w:color="auto" w:fill="ACACAC"/>
          </w:tcPr>
          <w:p>
            <w:pPr>
              <w:jc w:val="right"/>
              <w:ind w:right="128"/>
              <w:spacing w:after="0"/>
              <w:rPr>
                <w:sz w:val="20"/>
                <w:szCs w:val="20"/>
                <w:color w:val="auto"/>
              </w:rPr>
            </w:pPr>
            <w:r>
              <w:rPr>
                <w:rFonts w:ascii="Arial" w:cs="Arial" w:eastAsia="Arial" w:hAnsi="Arial"/>
                <w:sz w:val="14"/>
                <w:szCs w:val="14"/>
                <w:color w:val="auto"/>
              </w:rPr>
              <w:t>—</w:t>
            </w:r>
          </w:p>
        </w:tc>
        <w:tc>
          <w:tcPr>
            <w:tcW w:w="1380" w:type="dxa"/>
            <w:vAlign w:val="bottom"/>
            <w:tcBorders>
              <w:bottom w:val="single" w:sz="8" w:color="ACACAC"/>
            </w:tcBorders>
            <w:shd w:val="clear" w:color="auto" w:fill="ACACAC"/>
          </w:tcPr>
          <w:p>
            <w:pPr>
              <w:jc w:val="right"/>
              <w:spacing w:after="0"/>
              <w:rPr>
                <w:sz w:val="20"/>
                <w:szCs w:val="20"/>
                <w:color w:val="auto"/>
              </w:rPr>
            </w:pPr>
            <w:r>
              <w:rPr>
                <w:rFonts w:ascii="Arial" w:cs="Arial" w:eastAsia="Arial" w:hAnsi="Arial"/>
                <w:sz w:val="14"/>
                <w:szCs w:val="14"/>
                <w:color w:val="auto"/>
              </w:rPr>
              <w:t>633,354</w:t>
            </w:r>
          </w:p>
        </w:tc>
        <w:tc>
          <w:tcPr>
            <w:tcW w:w="360" w:type="dxa"/>
            <w:vAlign w:val="bottom"/>
            <w:tcBorders>
              <w:bottom w:val="single" w:sz="8" w:color="ACACAC"/>
            </w:tcBorders>
            <w:shd w:val="clear" w:color="auto" w:fill="ACACAC"/>
          </w:tcPr>
          <w:p>
            <w:pPr>
              <w:spacing w:after="0"/>
              <w:rPr>
                <w:sz w:val="21"/>
                <w:szCs w:val="21"/>
                <w:color w:val="auto"/>
              </w:rPr>
            </w:pPr>
          </w:p>
        </w:tc>
        <w:tc>
          <w:tcPr>
            <w:tcW w:w="1220" w:type="dxa"/>
            <w:vAlign w:val="bottom"/>
            <w:tcBorders>
              <w:bottom w:val="single" w:sz="8" w:color="ACACAC"/>
            </w:tcBorders>
            <w:shd w:val="clear" w:color="auto" w:fill="ACACAC"/>
          </w:tcPr>
          <w:p>
            <w:pPr>
              <w:jc w:val="right"/>
              <w:ind w:right="28"/>
              <w:spacing w:after="0"/>
              <w:rPr>
                <w:sz w:val="20"/>
                <w:szCs w:val="20"/>
                <w:color w:val="auto"/>
              </w:rPr>
            </w:pPr>
            <w:r>
              <w:rPr>
                <w:rFonts w:ascii="Arial" w:cs="Arial" w:eastAsia="Arial" w:hAnsi="Arial"/>
                <w:sz w:val="14"/>
                <w:szCs w:val="14"/>
                <w:color w:val="auto"/>
              </w:rPr>
              <w:t>1,004,291</w:t>
            </w:r>
          </w:p>
        </w:tc>
      </w:tr>
      <w:tr>
        <w:trPr>
          <w:trHeight w:val="231"/>
        </w:trPr>
        <w:tc>
          <w:tcPr>
            <w:tcW w:w="2080" w:type="dxa"/>
            <w:vAlign w:val="bottom"/>
          </w:tcPr>
          <w:p>
            <w:pPr>
              <w:spacing w:after="0"/>
              <w:rPr>
                <w:sz w:val="20"/>
                <w:szCs w:val="20"/>
                <w:color w:val="auto"/>
              </w:rPr>
            </w:pPr>
          </w:p>
        </w:tc>
        <w:tc>
          <w:tcPr>
            <w:tcW w:w="820" w:type="dxa"/>
            <w:vAlign w:val="bottom"/>
          </w:tcPr>
          <w:p>
            <w:pPr>
              <w:jc w:val="center"/>
              <w:ind w:left="28"/>
              <w:spacing w:after="0"/>
              <w:rPr>
                <w:sz w:val="20"/>
                <w:szCs w:val="20"/>
                <w:color w:val="auto"/>
              </w:rPr>
            </w:pPr>
            <w:r>
              <w:rPr>
                <w:rFonts w:ascii="Arial" w:cs="Arial" w:eastAsia="Arial" w:hAnsi="Arial"/>
                <w:sz w:val="14"/>
                <w:szCs w:val="14"/>
                <w:color w:val="auto"/>
              </w:rPr>
              <w:t>2016</w:t>
            </w:r>
          </w:p>
        </w:tc>
        <w:tc>
          <w:tcPr>
            <w:tcW w:w="280" w:type="dxa"/>
            <w:vAlign w:val="bottom"/>
          </w:tcPr>
          <w:p>
            <w:pPr>
              <w:spacing w:after="0"/>
              <w:rPr>
                <w:sz w:val="20"/>
                <w:szCs w:val="20"/>
                <w:color w:val="auto"/>
              </w:rPr>
            </w:pPr>
          </w:p>
        </w:tc>
        <w:tc>
          <w:tcPr>
            <w:tcW w:w="1520" w:type="dxa"/>
            <w:vAlign w:val="bottom"/>
          </w:tcPr>
          <w:p>
            <w:pPr>
              <w:jc w:val="right"/>
              <w:spacing w:after="0"/>
              <w:rPr>
                <w:sz w:val="20"/>
                <w:szCs w:val="20"/>
                <w:color w:val="auto"/>
              </w:rPr>
            </w:pPr>
            <w:r>
              <w:rPr>
                <w:rFonts w:ascii="Arial" w:cs="Arial" w:eastAsia="Arial" w:hAnsi="Arial"/>
                <w:sz w:val="14"/>
                <w:szCs w:val="14"/>
                <w:color w:val="auto"/>
              </w:rPr>
              <w:t>166,700</w:t>
            </w:r>
          </w:p>
        </w:tc>
        <w:tc>
          <w:tcPr>
            <w:tcW w:w="320" w:type="dxa"/>
            <w:vAlign w:val="bottom"/>
          </w:tcPr>
          <w:p>
            <w:pPr>
              <w:spacing w:after="0"/>
              <w:rPr>
                <w:sz w:val="20"/>
                <w:szCs w:val="20"/>
                <w:color w:val="auto"/>
              </w:rPr>
            </w:pPr>
          </w:p>
        </w:tc>
        <w:tc>
          <w:tcPr>
            <w:tcW w:w="1340" w:type="dxa"/>
            <w:vAlign w:val="bottom"/>
          </w:tcPr>
          <w:p>
            <w:pPr>
              <w:jc w:val="right"/>
              <w:ind w:right="128"/>
              <w:spacing w:after="0"/>
              <w:rPr>
                <w:sz w:val="20"/>
                <w:szCs w:val="20"/>
                <w:color w:val="auto"/>
              </w:rPr>
            </w:pPr>
            <w:r>
              <w:rPr>
                <w:rFonts w:ascii="Arial" w:cs="Arial" w:eastAsia="Arial" w:hAnsi="Arial"/>
                <w:sz w:val="14"/>
                <w:szCs w:val="14"/>
                <w:color w:val="auto"/>
              </w:rPr>
              <w:t>112,648</w:t>
            </w:r>
          </w:p>
        </w:tc>
        <w:tc>
          <w:tcPr>
            <w:tcW w:w="1380" w:type="dxa"/>
            <w:vAlign w:val="bottom"/>
          </w:tcPr>
          <w:p>
            <w:pPr>
              <w:jc w:val="right"/>
              <w:spacing w:after="0"/>
              <w:rPr>
                <w:sz w:val="20"/>
                <w:szCs w:val="20"/>
                <w:color w:val="auto"/>
              </w:rPr>
            </w:pPr>
            <w:r>
              <w:rPr>
                <w:rFonts w:ascii="Arial" w:cs="Arial" w:eastAsia="Arial" w:hAnsi="Arial"/>
                <w:sz w:val="14"/>
                <w:szCs w:val="14"/>
                <w:color w:val="auto"/>
              </w:rPr>
              <w:t>479,487</w:t>
            </w:r>
          </w:p>
        </w:tc>
        <w:tc>
          <w:tcPr>
            <w:tcW w:w="360" w:type="dxa"/>
            <w:vAlign w:val="bottom"/>
          </w:tcPr>
          <w:p>
            <w:pPr>
              <w:spacing w:after="0"/>
              <w:rPr>
                <w:sz w:val="20"/>
                <w:szCs w:val="20"/>
                <w:color w:val="auto"/>
              </w:rPr>
            </w:pPr>
          </w:p>
        </w:tc>
        <w:tc>
          <w:tcPr>
            <w:tcW w:w="1220" w:type="dxa"/>
            <w:vAlign w:val="bottom"/>
          </w:tcPr>
          <w:p>
            <w:pPr>
              <w:jc w:val="right"/>
              <w:ind w:right="28"/>
              <w:spacing w:after="0"/>
              <w:rPr>
                <w:sz w:val="20"/>
                <w:szCs w:val="20"/>
                <w:color w:val="auto"/>
              </w:rPr>
            </w:pPr>
            <w:r>
              <w:rPr>
                <w:rFonts w:ascii="Arial" w:cs="Arial" w:eastAsia="Arial" w:hAnsi="Arial"/>
                <w:sz w:val="14"/>
                <w:szCs w:val="14"/>
                <w:color w:val="auto"/>
              </w:rPr>
              <w:t>758,835</w:t>
            </w:r>
          </w:p>
        </w:tc>
      </w:tr>
      <w:tr>
        <w:trPr>
          <w:trHeight w:val="39"/>
        </w:trPr>
        <w:tc>
          <w:tcPr>
            <w:tcW w:w="2080" w:type="dxa"/>
            <w:vAlign w:val="bottom"/>
            <w:tcBorders>
              <w:bottom w:val="single" w:sz="8" w:color="auto"/>
            </w:tcBorders>
          </w:tcPr>
          <w:p>
            <w:pPr>
              <w:spacing w:after="0"/>
              <w:rPr>
                <w:sz w:val="3"/>
                <w:szCs w:val="3"/>
                <w:color w:val="auto"/>
              </w:rPr>
            </w:pPr>
          </w:p>
        </w:tc>
        <w:tc>
          <w:tcPr>
            <w:tcW w:w="820" w:type="dxa"/>
            <w:vAlign w:val="bottom"/>
            <w:tcBorders>
              <w:bottom w:val="single" w:sz="8" w:color="auto"/>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1520" w:type="dxa"/>
            <w:vAlign w:val="bottom"/>
            <w:tcBorders>
              <w:bottom w:val="single" w:sz="8" w:color="auto"/>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340" w:type="dxa"/>
            <w:vAlign w:val="bottom"/>
            <w:tcBorders>
              <w:bottom w:val="single" w:sz="8" w:color="auto"/>
            </w:tcBorders>
          </w:tcPr>
          <w:p>
            <w:pPr>
              <w:spacing w:after="0"/>
              <w:rPr>
                <w:sz w:val="3"/>
                <w:szCs w:val="3"/>
                <w:color w:val="auto"/>
              </w:rPr>
            </w:pPr>
          </w:p>
        </w:tc>
        <w:tc>
          <w:tcPr>
            <w:tcW w:w="1380" w:type="dxa"/>
            <w:vAlign w:val="bottom"/>
            <w:tcBorders>
              <w:bottom w:val="single" w:sz="8" w:color="auto"/>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220" w:type="dxa"/>
            <w:vAlign w:val="bottom"/>
            <w:tcBorders>
              <w:bottom w:val="single" w:sz="8" w:color="auto"/>
            </w:tcBorders>
          </w:tcPr>
          <w:p>
            <w:pPr>
              <w:spacing w:after="0"/>
              <w:rPr>
                <w:sz w:val="3"/>
                <w:szCs w:val="3"/>
                <w:color w:val="auto"/>
              </w:rPr>
            </w:pPr>
          </w:p>
        </w:tc>
      </w:tr>
      <w:tr>
        <w:trPr>
          <w:trHeight w:val="230"/>
        </w:trPr>
        <w:tc>
          <w:tcPr>
            <w:tcW w:w="2080" w:type="dxa"/>
            <w:vAlign w:val="bottom"/>
            <w:tcBorders>
              <w:bottom w:val="single" w:sz="8" w:color="ACACAC"/>
            </w:tcBorders>
            <w:shd w:val="clear" w:color="auto" w:fill="ACACAC"/>
          </w:tcPr>
          <w:p>
            <w:pPr>
              <w:ind w:left="20"/>
              <w:spacing w:after="0"/>
              <w:rPr>
                <w:sz w:val="20"/>
                <w:szCs w:val="20"/>
                <w:color w:val="auto"/>
              </w:rPr>
            </w:pPr>
            <w:r>
              <w:rPr>
                <w:rFonts w:ascii="Arial" w:cs="Arial" w:eastAsia="Arial" w:hAnsi="Arial"/>
                <w:sz w:val="14"/>
                <w:szCs w:val="14"/>
                <w:color w:val="auto"/>
              </w:rPr>
              <w:t>Bryan L. Hughes</w:t>
            </w:r>
          </w:p>
        </w:tc>
        <w:tc>
          <w:tcPr>
            <w:tcW w:w="820" w:type="dxa"/>
            <w:vAlign w:val="bottom"/>
            <w:tcBorders>
              <w:bottom w:val="single" w:sz="8" w:color="ACACAC"/>
            </w:tcBorders>
            <w:shd w:val="clear" w:color="auto" w:fill="ACACAC"/>
          </w:tcPr>
          <w:p>
            <w:pPr>
              <w:jc w:val="center"/>
              <w:ind w:left="28"/>
              <w:spacing w:after="0"/>
              <w:rPr>
                <w:sz w:val="20"/>
                <w:szCs w:val="20"/>
                <w:color w:val="auto"/>
              </w:rPr>
            </w:pPr>
            <w:r>
              <w:rPr>
                <w:rFonts w:ascii="Arial" w:cs="Arial" w:eastAsia="Arial" w:hAnsi="Arial"/>
                <w:sz w:val="14"/>
                <w:szCs w:val="14"/>
                <w:color w:val="auto"/>
              </w:rPr>
              <w:t>2018</w:t>
            </w:r>
          </w:p>
        </w:tc>
        <w:tc>
          <w:tcPr>
            <w:tcW w:w="280" w:type="dxa"/>
            <w:vAlign w:val="bottom"/>
            <w:tcBorders>
              <w:bottom w:val="single" w:sz="8" w:color="ACACAC"/>
            </w:tcBorders>
            <w:shd w:val="clear" w:color="auto" w:fill="ACACAC"/>
          </w:tcPr>
          <w:p>
            <w:pPr>
              <w:spacing w:after="0"/>
              <w:rPr>
                <w:sz w:val="20"/>
                <w:szCs w:val="20"/>
                <w:color w:val="auto"/>
              </w:rPr>
            </w:pPr>
          </w:p>
        </w:tc>
        <w:tc>
          <w:tcPr>
            <w:tcW w:w="1520" w:type="dxa"/>
            <w:vAlign w:val="bottom"/>
            <w:tcBorders>
              <w:bottom w:val="single" w:sz="8" w:color="ACACAC"/>
            </w:tcBorders>
            <w:shd w:val="clear" w:color="auto" w:fill="ACACAC"/>
          </w:tcPr>
          <w:p>
            <w:pPr>
              <w:jc w:val="right"/>
              <w:spacing w:after="0"/>
              <w:rPr>
                <w:sz w:val="20"/>
                <w:szCs w:val="20"/>
                <w:color w:val="auto"/>
              </w:rPr>
            </w:pPr>
            <w:r>
              <w:rPr>
                <w:rFonts w:ascii="Arial" w:cs="Arial" w:eastAsia="Arial" w:hAnsi="Arial"/>
                <w:sz w:val="14"/>
                <w:szCs w:val="14"/>
                <w:color w:val="auto"/>
              </w:rPr>
              <w:t>123,743</w:t>
            </w:r>
          </w:p>
        </w:tc>
        <w:tc>
          <w:tcPr>
            <w:tcW w:w="320" w:type="dxa"/>
            <w:vAlign w:val="bottom"/>
            <w:tcBorders>
              <w:bottom w:val="single" w:sz="8" w:color="ACACAC"/>
            </w:tcBorders>
            <w:shd w:val="clear" w:color="auto" w:fill="ACACAC"/>
          </w:tcPr>
          <w:p>
            <w:pPr>
              <w:spacing w:after="0"/>
              <w:rPr>
                <w:sz w:val="20"/>
                <w:szCs w:val="20"/>
                <w:color w:val="auto"/>
              </w:rPr>
            </w:pPr>
          </w:p>
        </w:tc>
        <w:tc>
          <w:tcPr>
            <w:tcW w:w="1340" w:type="dxa"/>
            <w:vAlign w:val="bottom"/>
            <w:tcBorders>
              <w:bottom w:val="single" w:sz="8" w:color="ACACAC"/>
            </w:tcBorders>
            <w:shd w:val="clear" w:color="auto" w:fill="ACACAC"/>
          </w:tcPr>
          <w:p>
            <w:pPr>
              <w:jc w:val="right"/>
              <w:ind w:right="128"/>
              <w:spacing w:after="0"/>
              <w:rPr>
                <w:sz w:val="20"/>
                <w:szCs w:val="20"/>
                <w:color w:val="auto"/>
              </w:rPr>
            </w:pPr>
            <w:r>
              <w:rPr>
                <w:rFonts w:ascii="Arial" w:cs="Arial" w:eastAsia="Arial" w:hAnsi="Arial"/>
                <w:sz w:val="14"/>
                <w:szCs w:val="14"/>
                <w:color w:val="auto"/>
              </w:rPr>
              <w:t>—</w:t>
            </w:r>
          </w:p>
        </w:tc>
        <w:tc>
          <w:tcPr>
            <w:tcW w:w="1380" w:type="dxa"/>
            <w:vAlign w:val="bottom"/>
            <w:tcBorders>
              <w:bottom w:val="single" w:sz="8" w:color="ACACAC"/>
            </w:tcBorders>
            <w:shd w:val="clear" w:color="auto" w:fill="ACACAC"/>
          </w:tcPr>
          <w:p>
            <w:pPr>
              <w:jc w:val="right"/>
              <w:spacing w:after="0"/>
              <w:rPr>
                <w:sz w:val="20"/>
                <w:szCs w:val="20"/>
                <w:color w:val="auto"/>
              </w:rPr>
            </w:pPr>
            <w:r>
              <w:rPr>
                <w:rFonts w:ascii="Arial" w:cs="Arial" w:eastAsia="Arial" w:hAnsi="Arial"/>
                <w:sz w:val="14"/>
                <w:szCs w:val="14"/>
                <w:color w:val="auto"/>
              </w:rPr>
              <w:t>247,486</w:t>
            </w:r>
          </w:p>
        </w:tc>
        <w:tc>
          <w:tcPr>
            <w:tcW w:w="360" w:type="dxa"/>
            <w:vAlign w:val="bottom"/>
            <w:tcBorders>
              <w:bottom w:val="single" w:sz="8" w:color="ACACAC"/>
            </w:tcBorders>
            <w:shd w:val="clear" w:color="auto" w:fill="ACACAC"/>
          </w:tcPr>
          <w:p>
            <w:pPr>
              <w:spacing w:after="0"/>
              <w:rPr>
                <w:sz w:val="20"/>
                <w:szCs w:val="20"/>
                <w:color w:val="auto"/>
              </w:rPr>
            </w:pPr>
          </w:p>
        </w:tc>
        <w:tc>
          <w:tcPr>
            <w:tcW w:w="1220" w:type="dxa"/>
            <w:vAlign w:val="bottom"/>
            <w:tcBorders>
              <w:bottom w:val="single" w:sz="8" w:color="ACACAC"/>
            </w:tcBorders>
            <w:shd w:val="clear" w:color="auto" w:fill="ACACAC"/>
          </w:tcPr>
          <w:p>
            <w:pPr>
              <w:jc w:val="right"/>
              <w:ind w:right="28"/>
              <w:spacing w:after="0"/>
              <w:rPr>
                <w:sz w:val="20"/>
                <w:szCs w:val="20"/>
                <w:color w:val="auto"/>
              </w:rPr>
            </w:pPr>
            <w:r>
              <w:rPr>
                <w:rFonts w:ascii="Arial" w:cs="Arial" w:eastAsia="Arial" w:hAnsi="Arial"/>
                <w:sz w:val="14"/>
                <w:szCs w:val="14"/>
                <w:color w:val="auto"/>
              </w:rPr>
              <w:t>371,228</w:t>
            </w:r>
          </w:p>
        </w:tc>
      </w:tr>
      <w:tr>
        <w:trPr>
          <w:trHeight w:val="231"/>
        </w:trPr>
        <w:tc>
          <w:tcPr>
            <w:tcW w:w="2080" w:type="dxa"/>
            <w:vAlign w:val="bottom"/>
          </w:tcPr>
          <w:p>
            <w:pPr>
              <w:spacing w:after="0"/>
              <w:rPr>
                <w:sz w:val="20"/>
                <w:szCs w:val="20"/>
                <w:color w:val="auto"/>
              </w:rPr>
            </w:pPr>
          </w:p>
        </w:tc>
        <w:tc>
          <w:tcPr>
            <w:tcW w:w="820" w:type="dxa"/>
            <w:vAlign w:val="bottom"/>
          </w:tcPr>
          <w:p>
            <w:pPr>
              <w:jc w:val="center"/>
              <w:ind w:left="28"/>
              <w:spacing w:after="0"/>
              <w:rPr>
                <w:sz w:val="20"/>
                <w:szCs w:val="20"/>
                <w:color w:val="auto"/>
              </w:rPr>
            </w:pPr>
            <w:r>
              <w:rPr>
                <w:rFonts w:ascii="Arial" w:cs="Arial" w:eastAsia="Arial" w:hAnsi="Arial"/>
                <w:sz w:val="14"/>
                <w:szCs w:val="14"/>
                <w:color w:val="auto"/>
              </w:rPr>
              <w:t>2017</w:t>
            </w:r>
          </w:p>
        </w:tc>
        <w:tc>
          <w:tcPr>
            <w:tcW w:w="280" w:type="dxa"/>
            <w:vAlign w:val="bottom"/>
          </w:tcPr>
          <w:p>
            <w:pPr>
              <w:spacing w:after="0"/>
              <w:rPr>
                <w:sz w:val="20"/>
                <w:szCs w:val="20"/>
                <w:color w:val="auto"/>
              </w:rPr>
            </w:pPr>
          </w:p>
        </w:tc>
        <w:tc>
          <w:tcPr>
            <w:tcW w:w="1520" w:type="dxa"/>
            <w:vAlign w:val="bottom"/>
          </w:tcPr>
          <w:p>
            <w:pPr>
              <w:jc w:val="right"/>
              <w:spacing w:after="0"/>
              <w:rPr>
                <w:sz w:val="20"/>
                <w:szCs w:val="20"/>
                <w:color w:val="auto"/>
              </w:rPr>
            </w:pPr>
            <w:r>
              <w:rPr>
                <w:rFonts w:ascii="Arial" w:cs="Arial" w:eastAsia="Arial" w:hAnsi="Arial"/>
                <w:sz w:val="14"/>
                <w:szCs w:val="14"/>
                <w:color w:val="auto"/>
              </w:rPr>
              <w:t>280,500</w:t>
            </w:r>
          </w:p>
        </w:tc>
        <w:tc>
          <w:tcPr>
            <w:tcW w:w="320" w:type="dxa"/>
            <w:vAlign w:val="bottom"/>
          </w:tcPr>
          <w:p>
            <w:pPr>
              <w:spacing w:after="0"/>
              <w:rPr>
                <w:sz w:val="20"/>
                <w:szCs w:val="20"/>
                <w:color w:val="auto"/>
              </w:rPr>
            </w:pPr>
          </w:p>
        </w:tc>
        <w:tc>
          <w:tcPr>
            <w:tcW w:w="134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1380" w:type="dxa"/>
            <w:vAlign w:val="bottom"/>
          </w:tcPr>
          <w:p>
            <w:pPr>
              <w:jc w:val="right"/>
              <w:spacing w:after="0"/>
              <w:rPr>
                <w:sz w:val="20"/>
                <w:szCs w:val="20"/>
                <w:color w:val="auto"/>
              </w:rPr>
            </w:pPr>
            <w:r>
              <w:rPr>
                <w:rFonts w:ascii="Arial" w:cs="Arial" w:eastAsia="Arial" w:hAnsi="Arial"/>
                <w:sz w:val="14"/>
                <w:szCs w:val="14"/>
                <w:color w:val="auto"/>
              </w:rPr>
              <w:t>171,386</w:t>
            </w:r>
          </w:p>
        </w:tc>
        <w:tc>
          <w:tcPr>
            <w:tcW w:w="360" w:type="dxa"/>
            <w:vAlign w:val="bottom"/>
          </w:tcPr>
          <w:p>
            <w:pPr>
              <w:spacing w:after="0"/>
              <w:rPr>
                <w:sz w:val="20"/>
                <w:szCs w:val="20"/>
                <w:color w:val="auto"/>
              </w:rPr>
            </w:pPr>
          </w:p>
        </w:tc>
        <w:tc>
          <w:tcPr>
            <w:tcW w:w="1220" w:type="dxa"/>
            <w:vAlign w:val="bottom"/>
          </w:tcPr>
          <w:p>
            <w:pPr>
              <w:jc w:val="right"/>
              <w:ind w:right="28"/>
              <w:spacing w:after="0"/>
              <w:rPr>
                <w:sz w:val="20"/>
                <w:szCs w:val="20"/>
                <w:color w:val="auto"/>
              </w:rPr>
            </w:pPr>
            <w:r>
              <w:rPr>
                <w:rFonts w:ascii="Arial" w:cs="Arial" w:eastAsia="Arial" w:hAnsi="Arial"/>
                <w:sz w:val="14"/>
                <w:szCs w:val="14"/>
                <w:color w:val="auto"/>
              </w:rPr>
              <w:t>451,886</w:t>
            </w:r>
          </w:p>
        </w:tc>
      </w:tr>
      <w:tr>
        <w:trPr>
          <w:trHeight w:val="39"/>
        </w:trPr>
        <w:tc>
          <w:tcPr>
            <w:tcW w:w="2080" w:type="dxa"/>
            <w:vAlign w:val="bottom"/>
            <w:tcBorders>
              <w:bottom w:val="single" w:sz="8" w:color="auto"/>
            </w:tcBorders>
          </w:tcPr>
          <w:p>
            <w:pPr>
              <w:spacing w:after="0"/>
              <w:rPr>
                <w:sz w:val="3"/>
                <w:szCs w:val="3"/>
                <w:color w:val="auto"/>
              </w:rPr>
            </w:pPr>
          </w:p>
        </w:tc>
        <w:tc>
          <w:tcPr>
            <w:tcW w:w="820" w:type="dxa"/>
            <w:vAlign w:val="bottom"/>
            <w:tcBorders>
              <w:bottom w:val="single" w:sz="8" w:color="auto"/>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1520" w:type="dxa"/>
            <w:vAlign w:val="bottom"/>
            <w:tcBorders>
              <w:bottom w:val="single" w:sz="8" w:color="auto"/>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340" w:type="dxa"/>
            <w:vAlign w:val="bottom"/>
            <w:tcBorders>
              <w:bottom w:val="single" w:sz="8" w:color="auto"/>
            </w:tcBorders>
          </w:tcPr>
          <w:p>
            <w:pPr>
              <w:spacing w:after="0"/>
              <w:rPr>
                <w:sz w:val="3"/>
                <w:szCs w:val="3"/>
                <w:color w:val="auto"/>
              </w:rPr>
            </w:pPr>
          </w:p>
        </w:tc>
        <w:tc>
          <w:tcPr>
            <w:tcW w:w="1380" w:type="dxa"/>
            <w:vAlign w:val="bottom"/>
            <w:tcBorders>
              <w:bottom w:val="single" w:sz="8" w:color="auto"/>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220" w:type="dxa"/>
            <w:vAlign w:val="bottom"/>
            <w:tcBorders>
              <w:bottom w:val="single" w:sz="8" w:color="auto"/>
            </w:tcBorders>
          </w:tcPr>
          <w:p>
            <w:pPr>
              <w:spacing w:after="0"/>
              <w:rPr>
                <w:sz w:val="3"/>
                <w:szCs w:val="3"/>
                <w:color w:val="auto"/>
              </w:rPr>
            </w:pPr>
          </w:p>
        </w:tc>
      </w:tr>
      <w:tr>
        <w:trPr>
          <w:trHeight w:val="250"/>
        </w:trPr>
        <w:tc>
          <w:tcPr>
            <w:tcW w:w="2080" w:type="dxa"/>
            <w:vAlign w:val="bottom"/>
            <w:shd w:val="clear" w:color="auto" w:fill="ACACAC"/>
          </w:tcPr>
          <w:p>
            <w:pPr>
              <w:ind w:left="20"/>
              <w:spacing w:after="0"/>
              <w:rPr>
                <w:sz w:val="20"/>
                <w:szCs w:val="20"/>
                <w:color w:val="auto"/>
              </w:rPr>
            </w:pPr>
            <w:r>
              <w:rPr>
                <w:rFonts w:ascii="Arial" w:cs="Arial" w:eastAsia="Arial" w:hAnsi="Arial"/>
                <w:sz w:val="14"/>
                <w:szCs w:val="14"/>
                <w:color w:val="auto"/>
              </w:rPr>
              <w:t xml:space="preserve">Stacy L. Bogart </w:t>
            </w:r>
            <w:r>
              <w:rPr>
                <w:rFonts w:ascii="Arial" w:cs="Arial" w:eastAsia="Arial" w:hAnsi="Arial"/>
                <w:sz w:val="17"/>
                <w:szCs w:val="17"/>
                <w:color w:val="auto"/>
                <w:vertAlign w:val="superscript"/>
              </w:rPr>
              <w:t>(d)</w:t>
            </w:r>
          </w:p>
        </w:tc>
        <w:tc>
          <w:tcPr>
            <w:tcW w:w="820" w:type="dxa"/>
            <w:vAlign w:val="bottom"/>
            <w:shd w:val="clear" w:color="auto" w:fill="ACACAC"/>
          </w:tcPr>
          <w:p>
            <w:pPr>
              <w:jc w:val="center"/>
              <w:ind w:left="28"/>
              <w:spacing w:after="0"/>
              <w:rPr>
                <w:sz w:val="20"/>
                <w:szCs w:val="20"/>
                <w:color w:val="auto"/>
              </w:rPr>
            </w:pPr>
            <w:r>
              <w:rPr>
                <w:rFonts w:ascii="Arial" w:cs="Arial" w:eastAsia="Arial" w:hAnsi="Arial"/>
                <w:sz w:val="14"/>
                <w:szCs w:val="14"/>
                <w:color w:val="auto"/>
              </w:rPr>
              <w:t>2018</w:t>
            </w:r>
          </w:p>
        </w:tc>
        <w:tc>
          <w:tcPr>
            <w:tcW w:w="280" w:type="dxa"/>
            <w:vAlign w:val="bottom"/>
            <w:shd w:val="clear" w:color="auto" w:fill="ACACAC"/>
          </w:tcPr>
          <w:p>
            <w:pPr>
              <w:spacing w:after="0"/>
              <w:rPr>
                <w:sz w:val="21"/>
                <w:szCs w:val="21"/>
                <w:color w:val="auto"/>
              </w:rPr>
            </w:pPr>
          </w:p>
        </w:tc>
        <w:tc>
          <w:tcPr>
            <w:tcW w:w="1520" w:type="dxa"/>
            <w:vAlign w:val="bottom"/>
            <w:shd w:val="clear" w:color="auto" w:fill="ACACAC"/>
          </w:tcPr>
          <w:p>
            <w:pPr>
              <w:jc w:val="right"/>
              <w:spacing w:after="0"/>
              <w:rPr>
                <w:sz w:val="20"/>
                <w:szCs w:val="20"/>
                <w:color w:val="auto"/>
              </w:rPr>
            </w:pPr>
            <w:r>
              <w:rPr>
                <w:rFonts w:ascii="Arial" w:cs="Arial" w:eastAsia="Arial" w:hAnsi="Arial"/>
                <w:sz w:val="14"/>
                <w:szCs w:val="14"/>
                <w:color w:val="auto"/>
              </w:rPr>
              <w:t>554,500</w:t>
            </w:r>
          </w:p>
        </w:tc>
        <w:tc>
          <w:tcPr>
            <w:tcW w:w="320" w:type="dxa"/>
            <w:vAlign w:val="bottom"/>
            <w:shd w:val="clear" w:color="auto" w:fill="ACACAC"/>
          </w:tcPr>
          <w:p>
            <w:pPr>
              <w:spacing w:after="0"/>
              <w:rPr>
                <w:sz w:val="21"/>
                <w:szCs w:val="21"/>
                <w:color w:val="auto"/>
              </w:rPr>
            </w:pPr>
          </w:p>
        </w:tc>
        <w:tc>
          <w:tcPr>
            <w:tcW w:w="1340" w:type="dxa"/>
            <w:vAlign w:val="bottom"/>
            <w:shd w:val="clear" w:color="auto" w:fill="ACACAC"/>
          </w:tcPr>
          <w:p>
            <w:pPr>
              <w:jc w:val="right"/>
              <w:ind w:right="128"/>
              <w:spacing w:after="0"/>
              <w:rPr>
                <w:sz w:val="20"/>
                <w:szCs w:val="20"/>
                <w:color w:val="auto"/>
              </w:rPr>
            </w:pPr>
            <w:r>
              <w:rPr>
                <w:rFonts w:ascii="Arial" w:cs="Arial" w:eastAsia="Arial" w:hAnsi="Arial"/>
                <w:sz w:val="14"/>
                <w:szCs w:val="14"/>
                <w:color w:val="auto"/>
              </w:rPr>
              <w:t>—</w:t>
            </w:r>
          </w:p>
        </w:tc>
        <w:tc>
          <w:tcPr>
            <w:tcW w:w="1380" w:type="dxa"/>
            <w:vAlign w:val="bottom"/>
            <w:shd w:val="clear" w:color="auto" w:fill="ACACAC"/>
          </w:tcPr>
          <w:p>
            <w:pPr>
              <w:jc w:val="right"/>
              <w:spacing w:after="0"/>
              <w:rPr>
                <w:sz w:val="20"/>
                <w:szCs w:val="20"/>
                <w:color w:val="auto"/>
              </w:rPr>
            </w:pPr>
            <w:r>
              <w:rPr>
                <w:rFonts w:ascii="Arial" w:cs="Arial" w:eastAsia="Arial" w:hAnsi="Arial"/>
                <w:sz w:val="14"/>
                <w:szCs w:val="14"/>
                <w:color w:val="auto"/>
              </w:rPr>
              <w:t>146,653</w:t>
            </w:r>
          </w:p>
        </w:tc>
        <w:tc>
          <w:tcPr>
            <w:tcW w:w="360" w:type="dxa"/>
            <w:vAlign w:val="bottom"/>
            <w:shd w:val="clear" w:color="auto" w:fill="ACACAC"/>
          </w:tcPr>
          <w:p>
            <w:pPr>
              <w:spacing w:after="0"/>
              <w:rPr>
                <w:sz w:val="21"/>
                <w:szCs w:val="21"/>
                <w:color w:val="auto"/>
              </w:rPr>
            </w:pPr>
          </w:p>
        </w:tc>
        <w:tc>
          <w:tcPr>
            <w:tcW w:w="1220" w:type="dxa"/>
            <w:vAlign w:val="bottom"/>
            <w:shd w:val="clear" w:color="auto" w:fill="ACACAC"/>
          </w:tcPr>
          <w:p>
            <w:pPr>
              <w:jc w:val="right"/>
              <w:ind w:right="28"/>
              <w:spacing w:after="0"/>
              <w:rPr>
                <w:sz w:val="20"/>
                <w:szCs w:val="20"/>
                <w:color w:val="auto"/>
              </w:rPr>
            </w:pPr>
            <w:r>
              <w:rPr>
                <w:rFonts w:ascii="Arial" w:cs="Arial" w:eastAsia="Arial" w:hAnsi="Arial"/>
                <w:sz w:val="14"/>
                <w:szCs w:val="14"/>
                <w:color w:val="auto"/>
              </w:rPr>
              <w:t>701,153</w:t>
            </w:r>
          </w:p>
        </w:tc>
      </w:tr>
      <w:tr>
        <w:trPr>
          <w:trHeight w:val="231"/>
        </w:trPr>
        <w:tc>
          <w:tcPr>
            <w:tcW w:w="2080" w:type="dxa"/>
            <w:vAlign w:val="bottom"/>
          </w:tcPr>
          <w:p>
            <w:pPr>
              <w:spacing w:after="0"/>
              <w:rPr>
                <w:sz w:val="20"/>
                <w:szCs w:val="20"/>
                <w:color w:val="auto"/>
              </w:rPr>
            </w:pPr>
          </w:p>
        </w:tc>
        <w:tc>
          <w:tcPr>
            <w:tcW w:w="820" w:type="dxa"/>
            <w:vAlign w:val="bottom"/>
          </w:tcPr>
          <w:p>
            <w:pPr>
              <w:jc w:val="center"/>
              <w:ind w:left="28"/>
              <w:spacing w:after="0"/>
              <w:rPr>
                <w:sz w:val="20"/>
                <w:szCs w:val="20"/>
                <w:color w:val="auto"/>
              </w:rPr>
            </w:pPr>
            <w:r>
              <w:rPr>
                <w:rFonts w:ascii="Arial" w:cs="Arial" w:eastAsia="Arial" w:hAnsi="Arial"/>
                <w:sz w:val="14"/>
                <w:szCs w:val="14"/>
                <w:color w:val="auto"/>
              </w:rPr>
              <w:t>2017</w:t>
            </w:r>
          </w:p>
        </w:tc>
        <w:tc>
          <w:tcPr>
            <w:tcW w:w="280" w:type="dxa"/>
            <w:vAlign w:val="bottom"/>
          </w:tcPr>
          <w:p>
            <w:pPr>
              <w:spacing w:after="0"/>
              <w:rPr>
                <w:sz w:val="20"/>
                <w:szCs w:val="20"/>
                <w:color w:val="auto"/>
              </w:rPr>
            </w:pPr>
          </w:p>
        </w:tc>
        <w:tc>
          <w:tcPr>
            <w:tcW w:w="1520" w:type="dxa"/>
            <w:vAlign w:val="bottom"/>
          </w:tcPr>
          <w:p>
            <w:pPr>
              <w:jc w:val="right"/>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20"/>
                <w:szCs w:val="20"/>
                <w:color w:val="auto"/>
              </w:rPr>
            </w:pPr>
          </w:p>
        </w:tc>
        <w:tc>
          <w:tcPr>
            <w:tcW w:w="134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1380" w:type="dxa"/>
            <w:vAlign w:val="bottom"/>
          </w:tcPr>
          <w:p>
            <w:pPr>
              <w:jc w:val="right"/>
              <w:spacing w:after="0"/>
              <w:rPr>
                <w:sz w:val="20"/>
                <w:szCs w:val="20"/>
                <w:color w:val="auto"/>
              </w:rPr>
            </w:pPr>
            <w:r>
              <w:rPr>
                <w:rFonts w:ascii="Arial" w:cs="Arial" w:eastAsia="Arial" w:hAnsi="Arial"/>
                <w:sz w:val="14"/>
                <w:szCs w:val="14"/>
                <w:color w:val="auto"/>
              </w:rPr>
              <w:t>—</w:t>
            </w:r>
          </w:p>
        </w:tc>
        <w:tc>
          <w:tcPr>
            <w:tcW w:w="360" w:type="dxa"/>
            <w:vAlign w:val="bottom"/>
          </w:tcPr>
          <w:p>
            <w:pPr>
              <w:spacing w:after="0"/>
              <w:rPr>
                <w:sz w:val="20"/>
                <w:szCs w:val="20"/>
                <w:color w:val="auto"/>
              </w:rPr>
            </w:pPr>
          </w:p>
        </w:tc>
        <w:tc>
          <w:tcPr>
            <w:tcW w:w="1220" w:type="dxa"/>
            <w:vAlign w:val="bottom"/>
          </w:tcPr>
          <w:p>
            <w:pPr>
              <w:jc w:val="right"/>
              <w:ind w:right="28"/>
              <w:spacing w:after="0"/>
              <w:rPr>
                <w:sz w:val="20"/>
                <w:szCs w:val="20"/>
                <w:color w:val="auto"/>
              </w:rPr>
            </w:pPr>
            <w:r>
              <w:rPr>
                <w:rFonts w:ascii="Arial" w:cs="Arial" w:eastAsia="Arial" w:hAnsi="Arial"/>
                <w:sz w:val="14"/>
                <w:szCs w:val="14"/>
                <w:color w:val="auto"/>
              </w:rPr>
              <w:t>—</w:t>
            </w:r>
          </w:p>
        </w:tc>
      </w:tr>
      <w:tr>
        <w:trPr>
          <w:trHeight w:val="39"/>
        </w:trPr>
        <w:tc>
          <w:tcPr>
            <w:tcW w:w="2080" w:type="dxa"/>
            <w:vAlign w:val="bottom"/>
            <w:tcBorders>
              <w:bottom w:val="single" w:sz="8" w:color="auto"/>
            </w:tcBorders>
          </w:tcPr>
          <w:p>
            <w:pPr>
              <w:spacing w:after="0"/>
              <w:rPr>
                <w:sz w:val="3"/>
                <w:szCs w:val="3"/>
                <w:color w:val="auto"/>
              </w:rPr>
            </w:pPr>
          </w:p>
        </w:tc>
        <w:tc>
          <w:tcPr>
            <w:tcW w:w="820" w:type="dxa"/>
            <w:vAlign w:val="bottom"/>
            <w:tcBorders>
              <w:bottom w:val="single" w:sz="8" w:color="auto"/>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1520" w:type="dxa"/>
            <w:vAlign w:val="bottom"/>
            <w:tcBorders>
              <w:bottom w:val="single" w:sz="8" w:color="auto"/>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340" w:type="dxa"/>
            <w:vAlign w:val="bottom"/>
            <w:tcBorders>
              <w:bottom w:val="single" w:sz="8" w:color="auto"/>
            </w:tcBorders>
          </w:tcPr>
          <w:p>
            <w:pPr>
              <w:spacing w:after="0"/>
              <w:rPr>
                <w:sz w:val="3"/>
                <w:szCs w:val="3"/>
                <w:color w:val="auto"/>
              </w:rPr>
            </w:pPr>
          </w:p>
        </w:tc>
        <w:tc>
          <w:tcPr>
            <w:tcW w:w="1380" w:type="dxa"/>
            <w:vAlign w:val="bottom"/>
            <w:tcBorders>
              <w:bottom w:val="single" w:sz="8" w:color="auto"/>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220" w:type="dxa"/>
            <w:vAlign w:val="bottom"/>
            <w:tcBorders>
              <w:bottom w:val="single" w:sz="8" w:color="auto"/>
            </w:tcBorders>
          </w:tcPr>
          <w:p>
            <w:pPr>
              <w:spacing w:after="0"/>
              <w:rPr>
                <w:sz w:val="3"/>
                <w:szCs w:val="3"/>
                <w:color w:val="auto"/>
              </w:rPr>
            </w:pPr>
          </w:p>
        </w:tc>
      </w:tr>
      <w:tr>
        <w:trPr>
          <w:trHeight w:val="230"/>
        </w:trPr>
        <w:tc>
          <w:tcPr>
            <w:tcW w:w="2080" w:type="dxa"/>
            <w:vAlign w:val="bottom"/>
            <w:tcBorders>
              <w:bottom w:val="single" w:sz="8" w:color="ACACAC"/>
            </w:tcBorders>
            <w:shd w:val="clear" w:color="auto" w:fill="ACACAC"/>
          </w:tcPr>
          <w:p>
            <w:pPr>
              <w:ind w:left="20"/>
              <w:spacing w:after="0"/>
              <w:rPr>
                <w:sz w:val="20"/>
                <w:szCs w:val="20"/>
                <w:color w:val="auto"/>
              </w:rPr>
            </w:pPr>
            <w:r>
              <w:rPr>
                <w:rFonts w:ascii="Arial" w:cs="Arial" w:eastAsia="Arial" w:hAnsi="Arial"/>
                <w:sz w:val="14"/>
                <w:szCs w:val="14"/>
                <w:color w:val="auto"/>
              </w:rPr>
              <w:t>Donald J. Clark</w:t>
            </w:r>
          </w:p>
        </w:tc>
        <w:tc>
          <w:tcPr>
            <w:tcW w:w="820" w:type="dxa"/>
            <w:vAlign w:val="bottom"/>
            <w:tcBorders>
              <w:bottom w:val="single" w:sz="8" w:color="ACACAC"/>
            </w:tcBorders>
            <w:shd w:val="clear" w:color="auto" w:fill="ACACAC"/>
          </w:tcPr>
          <w:p>
            <w:pPr>
              <w:jc w:val="center"/>
              <w:ind w:left="28"/>
              <w:spacing w:after="0"/>
              <w:rPr>
                <w:sz w:val="20"/>
                <w:szCs w:val="20"/>
                <w:color w:val="auto"/>
              </w:rPr>
            </w:pPr>
            <w:r>
              <w:rPr>
                <w:rFonts w:ascii="Arial" w:cs="Arial" w:eastAsia="Arial" w:hAnsi="Arial"/>
                <w:sz w:val="14"/>
                <w:szCs w:val="14"/>
                <w:color w:val="auto"/>
              </w:rPr>
              <w:t>2018</w:t>
            </w:r>
          </w:p>
        </w:tc>
        <w:tc>
          <w:tcPr>
            <w:tcW w:w="280" w:type="dxa"/>
            <w:vAlign w:val="bottom"/>
            <w:tcBorders>
              <w:bottom w:val="single" w:sz="8" w:color="ACACAC"/>
            </w:tcBorders>
            <w:shd w:val="clear" w:color="auto" w:fill="ACACAC"/>
          </w:tcPr>
          <w:p>
            <w:pPr>
              <w:spacing w:after="0"/>
              <w:rPr>
                <w:sz w:val="20"/>
                <w:szCs w:val="20"/>
                <w:color w:val="auto"/>
              </w:rPr>
            </w:pPr>
          </w:p>
        </w:tc>
        <w:tc>
          <w:tcPr>
            <w:tcW w:w="1520" w:type="dxa"/>
            <w:vAlign w:val="bottom"/>
            <w:tcBorders>
              <w:bottom w:val="single" w:sz="8" w:color="ACACAC"/>
            </w:tcBorders>
            <w:shd w:val="clear" w:color="auto" w:fill="ACACAC"/>
          </w:tcPr>
          <w:p>
            <w:pPr>
              <w:jc w:val="right"/>
              <w:spacing w:after="0"/>
              <w:rPr>
                <w:sz w:val="20"/>
                <w:szCs w:val="20"/>
                <w:color w:val="auto"/>
              </w:rPr>
            </w:pPr>
            <w:r>
              <w:rPr>
                <w:rFonts w:ascii="Arial" w:cs="Arial" w:eastAsia="Arial" w:hAnsi="Arial"/>
                <w:sz w:val="14"/>
                <w:szCs w:val="14"/>
                <w:color w:val="auto"/>
              </w:rPr>
              <w:t>—</w:t>
            </w:r>
          </w:p>
        </w:tc>
        <w:tc>
          <w:tcPr>
            <w:tcW w:w="320" w:type="dxa"/>
            <w:vAlign w:val="bottom"/>
            <w:tcBorders>
              <w:bottom w:val="single" w:sz="8" w:color="ACACAC"/>
            </w:tcBorders>
            <w:shd w:val="clear" w:color="auto" w:fill="ACACAC"/>
          </w:tcPr>
          <w:p>
            <w:pPr>
              <w:spacing w:after="0"/>
              <w:rPr>
                <w:sz w:val="20"/>
                <w:szCs w:val="20"/>
                <w:color w:val="auto"/>
              </w:rPr>
            </w:pPr>
          </w:p>
        </w:tc>
        <w:tc>
          <w:tcPr>
            <w:tcW w:w="1340" w:type="dxa"/>
            <w:vAlign w:val="bottom"/>
            <w:tcBorders>
              <w:bottom w:val="single" w:sz="8" w:color="ACACAC"/>
            </w:tcBorders>
            <w:shd w:val="clear" w:color="auto" w:fill="ACACAC"/>
          </w:tcPr>
          <w:p>
            <w:pPr>
              <w:jc w:val="right"/>
              <w:ind w:right="128"/>
              <w:spacing w:after="0"/>
              <w:rPr>
                <w:sz w:val="20"/>
                <w:szCs w:val="20"/>
                <w:color w:val="auto"/>
              </w:rPr>
            </w:pPr>
            <w:r>
              <w:rPr>
                <w:rFonts w:ascii="Arial" w:cs="Arial" w:eastAsia="Arial" w:hAnsi="Arial"/>
                <w:sz w:val="14"/>
                <w:szCs w:val="14"/>
                <w:color w:val="auto"/>
              </w:rPr>
              <w:t>—</w:t>
            </w:r>
          </w:p>
        </w:tc>
        <w:tc>
          <w:tcPr>
            <w:tcW w:w="1380" w:type="dxa"/>
            <w:vAlign w:val="bottom"/>
            <w:tcBorders>
              <w:bottom w:val="single" w:sz="8" w:color="ACACAC"/>
            </w:tcBorders>
            <w:shd w:val="clear" w:color="auto" w:fill="ACACAC"/>
          </w:tcPr>
          <w:p>
            <w:pPr>
              <w:jc w:val="right"/>
              <w:spacing w:after="0"/>
              <w:rPr>
                <w:sz w:val="20"/>
                <w:szCs w:val="20"/>
                <w:color w:val="auto"/>
              </w:rPr>
            </w:pPr>
            <w:r>
              <w:rPr>
                <w:rFonts w:ascii="Arial" w:cs="Arial" w:eastAsia="Arial" w:hAnsi="Arial"/>
                <w:sz w:val="14"/>
                <w:szCs w:val="14"/>
                <w:color w:val="auto"/>
              </w:rPr>
              <w:t>—</w:t>
            </w:r>
          </w:p>
        </w:tc>
        <w:tc>
          <w:tcPr>
            <w:tcW w:w="360" w:type="dxa"/>
            <w:vAlign w:val="bottom"/>
            <w:tcBorders>
              <w:bottom w:val="single" w:sz="8" w:color="ACACAC"/>
            </w:tcBorders>
            <w:shd w:val="clear" w:color="auto" w:fill="ACACAC"/>
          </w:tcPr>
          <w:p>
            <w:pPr>
              <w:spacing w:after="0"/>
              <w:rPr>
                <w:sz w:val="20"/>
                <w:szCs w:val="20"/>
                <w:color w:val="auto"/>
              </w:rPr>
            </w:pPr>
          </w:p>
        </w:tc>
        <w:tc>
          <w:tcPr>
            <w:tcW w:w="1220" w:type="dxa"/>
            <w:vAlign w:val="bottom"/>
            <w:tcBorders>
              <w:bottom w:val="single" w:sz="8" w:color="ACACAC"/>
            </w:tcBorders>
            <w:shd w:val="clear" w:color="auto" w:fill="ACACAC"/>
          </w:tcPr>
          <w:p>
            <w:pPr>
              <w:jc w:val="right"/>
              <w:ind w:right="28"/>
              <w:spacing w:after="0"/>
              <w:rPr>
                <w:sz w:val="20"/>
                <w:szCs w:val="20"/>
                <w:color w:val="auto"/>
              </w:rPr>
            </w:pPr>
            <w:r>
              <w:rPr>
                <w:rFonts w:ascii="Arial" w:cs="Arial" w:eastAsia="Arial" w:hAnsi="Arial"/>
                <w:sz w:val="14"/>
                <w:szCs w:val="14"/>
                <w:color w:val="auto"/>
              </w:rPr>
              <w:t>—</w:t>
            </w:r>
          </w:p>
        </w:tc>
      </w:tr>
      <w:tr>
        <w:trPr>
          <w:trHeight w:val="231"/>
        </w:trPr>
        <w:tc>
          <w:tcPr>
            <w:tcW w:w="2080" w:type="dxa"/>
            <w:vAlign w:val="bottom"/>
          </w:tcPr>
          <w:p>
            <w:pPr>
              <w:spacing w:after="0"/>
              <w:rPr>
                <w:sz w:val="20"/>
                <w:szCs w:val="20"/>
                <w:color w:val="auto"/>
              </w:rPr>
            </w:pPr>
          </w:p>
        </w:tc>
        <w:tc>
          <w:tcPr>
            <w:tcW w:w="820" w:type="dxa"/>
            <w:vAlign w:val="bottom"/>
          </w:tcPr>
          <w:p>
            <w:pPr>
              <w:jc w:val="center"/>
              <w:ind w:left="28"/>
              <w:spacing w:after="0"/>
              <w:rPr>
                <w:sz w:val="20"/>
                <w:szCs w:val="20"/>
                <w:color w:val="auto"/>
              </w:rPr>
            </w:pPr>
            <w:r>
              <w:rPr>
                <w:rFonts w:ascii="Arial" w:cs="Arial" w:eastAsia="Arial" w:hAnsi="Arial"/>
                <w:sz w:val="14"/>
                <w:szCs w:val="14"/>
                <w:color w:val="auto"/>
              </w:rPr>
              <w:t>2017</w:t>
            </w:r>
          </w:p>
        </w:tc>
        <w:tc>
          <w:tcPr>
            <w:tcW w:w="280" w:type="dxa"/>
            <w:vAlign w:val="bottom"/>
          </w:tcPr>
          <w:p>
            <w:pPr>
              <w:spacing w:after="0"/>
              <w:rPr>
                <w:sz w:val="20"/>
                <w:szCs w:val="20"/>
                <w:color w:val="auto"/>
              </w:rPr>
            </w:pPr>
          </w:p>
        </w:tc>
        <w:tc>
          <w:tcPr>
            <w:tcW w:w="1520" w:type="dxa"/>
            <w:vAlign w:val="bottom"/>
          </w:tcPr>
          <w:p>
            <w:pPr>
              <w:jc w:val="right"/>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20"/>
                <w:szCs w:val="20"/>
                <w:color w:val="auto"/>
              </w:rPr>
            </w:pPr>
          </w:p>
        </w:tc>
        <w:tc>
          <w:tcPr>
            <w:tcW w:w="134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1380" w:type="dxa"/>
            <w:vAlign w:val="bottom"/>
          </w:tcPr>
          <w:p>
            <w:pPr>
              <w:jc w:val="right"/>
              <w:spacing w:after="0"/>
              <w:rPr>
                <w:sz w:val="20"/>
                <w:szCs w:val="20"/>
                <w:color w:val="auto"/>
              </w:rPr>
            </w:pPr>
            <w:r>
              <w:rPr>
                <w:rFonts w:ascii="Arial" w:cs="Arial" w:eastAsia="Arial" w:hAnsi="Arial"/>
                <w:sz w:val="14"/>
                <w:szCs w:val="14"/>
                <w:color w:val="auto"/>
              </w:rPr>
              <w:t>—</w:t>
            </w:r>
          </w:p>
        </w:tc>
        <w:tc>
          <w:tcPr>
            <w:tcW w:w="360" w:type="dxa"/>
            <w:vAlign w:val="bottom"/>
          </w:tcPr>
          <w:p>
            <w:pPr>
              <w:spacing w:after="0"/>
              <w:rPr>
                <w:sz w:val="20"/>
                <w:szCs w:val="20"/>
                <w:color w:val="auto"/>
              </w:rPr>
            </w:pPr>
          </w:p>
        </w:tc>
        <w:tc>
          <w:tcPr>
            <w:tcW w:w="1220" w:type="dxa"/>
            <w:vAlign w:val="bottom"/>
          </w:tcPr>
          <w:p>
            <w:pPr>
              <w:jc w:val="right"/>
              <w:ind w:right="28"/>
              <w:spacing w:after="0"/>
              <w:rPr>
                <w:sz w:val="20"/>
                <w:szCs w:val="20"/>
                <w:color w:val="auto"/>
              </w:rPr>
            </w:pPr>
            <w:r>
              <w:rPr>
                <w:rFonts w:ascii="Arial" w:cs="Arial" w:eastAsia="Arial" w:hAnsi="Arial"/>
                <w:sz w:val="14"/>
                <w:szCs w:val="14"/>
                <w:color w:val="auto"/>
              </w:rPr>
              <w:t>—</w:t>
            </w:r>
          </w:p>
        </w:tc>
      </w:tr>
      <w:tr>
        <w:trPr>
          <w:trHeight w:val="39"/>
        </w:trPr>
        <w:tc>
          <w:tcPr>
            <w:tcW w:w="2080" w:type="dxa"/>
            <w:vAlign w:val="bottom"/>
          </w:tcPr>
          <w:p>
            <w:pPr>
              <w:spacing w:after="0"/>
              <w:rPr>
                <w:sz w:val="3"/>
                <w:szCs w:val="3"/>
                <w:color w:val="auto"/>
              </w:rPr>
            </w:pPr>
          </w:p>
        </w:tc>
        <w:tc>
          <w:tcPr>
            <w:tcW w:w="820" w:type="dxa"/>
            <w:vAlign w:val="bottom"/>
          </w:tcPr>
          <w:p>
            <w:pPr>
              <w:spacing w:after="0"/>
              <w:rPr>
                <w:sz w:val="3"/>
                <w:szCs w:val="3"/>
                <w:color w:val="auto"/>
              </w:rPr>
            </w:pPr>
          </w:p>
        </w:tc>
        <w:tc>
          <w:tcPr>
            <w:tcW w:w="280" w:type="dxa"/>
            <w:vAlign w:val="bottom"/>
          </w:tcPr>
          <w:p>
            <w:pPr>
              <w:spacing w:after="0"/>
              <w:rPr>
                <w:sz w:val="3"/>
                <w:szCs w:val="3"/>
                <w:color w:val="auto"/>
              </w:rPr>
            </w:pPr>
          </w:p>
        </w:tc>
        <w:tc>
          <w:tcPr>
            <w:tcW w:w="1520" w:type="dxa"/>
            <w:vAlign w:val="bottom"/>
          </w:tcPr>
          <w:p>
            <w:pPr>
              <w:spacing w:after="0"/>
              <w:rPr>
                <w:sz w:val="3"/>
                <w:szCs w:val="3"/>
                <w:color w:val="auto"/>
              </w:rPr>
            </w:pPr>
          </w:p>
        </w:tc>
        <w:tc>
          <w:tcPr>
            <w:tcW w:w="3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1380" w:type="dxa"/>
            <w:vAlign w:val="bottom"/>
          </w:tcPr>
          <w:p>
            <w:pPr>
              <w:spacing w:after="0"/>
              <w:rPr>
                <w:sz w:val="3"/>
                <w:szCs w:val="3"/>
                <w:color w:val="auto"/>
              </w:rPr>
            </w:pPr>
          </w:p>
        </w:tc>
        <w:tc>
          <w:tcPr>
            <w:tcW w:w="360" w:type="dxa"/>
            <w:vAlign w:val="bottom"/>
          </w:tcPr>
          <w:p>
            <w:pPr>
              <w:spacing w:after="0"/>
              <w:rPr>
                <w:sz w:val="3"/>
                <w:szCs w:val="3"/>
                <w:color w:val="auto"/>
              </w:rPr>
            </w:pPr>
          </w:p>
        </w:tc>
        <w:tc>
          <w:tcPr>
            <w:tcW w:w="1220" w:type="dxa"/>
            <w:vAlign w:val="bottom"/>
          </w:tcPr>
          <w:p>
            <w:pPr>
              <w:spacing w:after="0"/>
              <w:rPr>
                <w:sz w:val="3"/>
                <w:szCs w:val="3"/>
                <w:color w:val="auto"/>
              </w:rPr>
            </w:pPr>
          </w:p>
        </w:tc>
      </w:tr>
      <w:tr>
        <w:trPr>
          <w:trHeight w:val="275"/>
        </w:trPr>
        <w:tc>
          <w:tcPr>
            <w:tcW w:w="2080" w:type="dxa"/>
            <w:vAlign w:val="bottom"/>
            <w:tcBorders>
              <w:bottom w:val="single" w:sz="8" w:color="ACACAC"/>
            </w:tcBorders>
            <w:shd w:val="clear" w:color="auto" w:fill="ACACAC"/>
          </w:tcPr>
          <w:p>
            <w:pPr>
              <w:spacing w:after="0"/>
              <w:rPr>
                <w:sz w:val="23"/>
                <w:szCs w:val="23"/>
                <w:color w:val="auto"/>
              </w:rPr>
            </w:pPr>
          </w:p>
        </w:tc>
        <w:tc>
          <w:tcPr>
            <w:tcW w:w="820" w:type="dxa"/>
            <w:vAlign w:val="bottom"/>
            <w:tcBorders>
              <w:bottom w:val="single" w:sz="8" w:color="ACACAC"/>
            </w:tcBorders>
            <w:shd w:val="clear" w:color="auto" w:fill="ACACAC"/>
          </w:tcPr>
          <w:p>
            <w:pPr>
              <w:jc w:val="center"/>
              <w:ind w:left="28"/>
              <w:spacing w:after="0"/>
              <w:rPr>
                <w:sz w:val="20"/>
                <w:szCs w:val="20"/>
                <w:color w:val="auto"/>
              </w:rPr>
            </w:pPr>
            <w:r>
              <w:rPr>
                <w:rFonts w:ascii="Arial" w:cs="Arial" w:eastAsia="Arial" w:hAnsi="Arial"/>
                <w:sz w:val="14"/>
                <w:szCs w:val="14"/>
                <w:color w:val="auto"/>
              </w:rPr>
              <w:t>2016</w:t>
            </w:r>
          </w:p>
        </w:tc>
        <w:tc>
          <w:tcPr>
            <w:tcW w:w="280" w:type="dxa"/>
            <w:vAlign w:val="bottom"/>
            <w:tcBorders>
              <w:bottom w:val="single" w:sz="8" w:color="ACACAC"/>
            </w:tcBorders>
            <w:shd w:val="clear" w:color="auto" w:fill="ACACAC"/>
          </w:tcPr>
          <w:p>
            <w:pPr>
              <w:spacing w:after="0"/>
              <w:rPr>
                <w:sz w:val="23"/>
                <w:szCs w:val="23"/>
                <w:color w:val="auto"/>
              </w:rPr>
            </w:pPr>
          </w:p>
        </w:tc>
        <w:tc>
          <w:tcPr>
            <w:tcW w:w="1520" w:type="dxa"/>
            <w:vAlign w:val="bottom"/>
            <w:tcBorders>
              <w:bottom w:val="single" w:sz="8" w:color="ACACAC"/>
            </w:tcBorders>
            <w:shd w:val="clear" w:color="auto" w:fill="ACACAC"/>
          </w:tcPr>
          <w:p>
            <w:pPr>
              <w:jc w:val="right"/>
              <w:spacing w:after="0"/>
              <w:rPr>
                <w:sz w:val="20"/>
                <w:szCs w:val="20"/>
                <w:color w:val="auto"/>
              </w:rPr>
            </w:pPr>
            <w:r>
              <w:rPr>
                <w:rFonts w:ascii="Arial" w:cs="Arial" w:eastAsia="Arial" w:hAnsi="Arial"/>
                <w:sz w:val="14"/>
                <w:szCs w:val="14"/>
                <w:color w:val="auto"/>
              </w:rPr>
              <w:t>—</w:t>
            </w:r>
          </w:p>
        </w:tc>
        <w:tc>
          <w:tcPr>
            <w:tcW w:w="320" w:type="dxa"/>
            <w:vAlign w:val="bottom"/>
            <w:tcBorders>
              <w:bottom w:val="single" w:sz="8" w:color="ACACAC"/>
            </w:tcBorders>
            <w:shd w:val="clear" w:color="auto" w:fill="ACACAC"/>
          </w:tcPr>
          <w:p>
            <w:pPr>
              <w:spacing w:after="0"/>
              <w:rPr>
                <w:sz w:val="23"/>
                <w:szCs w:val="23"/>
                <w:color w:val="auto"/>
              </w:rPr>
            </w:pPr>
          </w:p>
        </w:tc>
        <w:tc>
          <w:tcPr>
            <w:tcW w:w="1340" w:type="dxa"/>
            <w:vAlign w:val="bottom"/>
            <w:tcBorders>
              <w:bottom w:val="single" w:sz="8" w:color="ACACAC"/>
            </w:tcBorders>
            <w:shd w:val="clear" w:color="auto" w:fill="ACACAC"/>
          </w:tcPr>
          <w:p>
            <w:pPr>
              <w:jc w:val="right"/>
              <w:ind w:right="128"/>
              <w:spacing w:after="0"/>
              <w:rPr>
                <w:sz w:val="20"/>
                <w:szCs w:val="20"/>
                <w:color w:val="auto"/>
              </w:rPr>
            </w:pPr>
            <w:r>
              <w:rPr>
                <w:rFonts w:ascii="Arial" w:cs="Arial" w:eastAsia="Arial" w:hAnsi="Arial"/>
                <w:sz w:val="14"/>
                <w:szCs w:val="14"/>
                <w:color w:val="auto"/>
              </w:rPr>
              <w:t>—</w:t>
            </w:r>
          </w:p>
        </w:tc>
        <w:tc>
          <w:tcPr>
            <w:tcW w:w="1380" w:type="dxa"/>
            <w:vAlign w:val="bottom"/>
            <w:tcBorders>
              <w:bottom w:val="single" w:sz="8" w:color="ACACAC"/>
            </w:tcBorders>
            <w:shd w:val="clear" w:color="auto" w:fill="ACACAC"/>
          </w:tcPr>
          <w:p>
            <w:pPr>
              <w:jc w:val="right"/>
              <w:spacing w:after="0"/>
              <w:rPr>
                <w:sz w:val="20"/>
                <w:szCs w:val="20"/>
                <w:color w:val="auto"/>
              </w:rPr>
            </w:pPr>
            <w:r>
              <w:rPr>
                <w:rFonts w:ascii="Arial" w:cs="Arial" w:eastAsia="Arial" w:hAnsi="Arial"/>
                <w:sz w:val="14"/>
                <w:szCs w:val="14"/>
                <w:color w:val="auto"/>
              </w:rPr>
              <w:t>—</w:t>
            </w:r>
          </w:p>
        </w:tc>
        <w:tc>
          <w:tcPr>
            <w:tcW w:w="360" w:type="dxa"/>
            <w:vAlign w:val="bottom"/>
            <w:tcBorders>
              <w:bottom w:val="single" w:sz="8" w:color="ACACAC"/>
            </w:tcBorders>
            <w:shd w:val="clear" w:color="auto" w:fill="ACACAC"/>
          </w:tcPr>
          <w:p>
            <w:pPr>
              <w:spacing w:after="0"/>
              <w:rPr>
                <w:sz w:val="23"/>
                <w:szCs w:val="23"/>
                <w:color w:val="auto"/>
              </w:rPr>
            </w:pPr>
          </w:p>
        </w:tc>
        <w:tc>
          <w:tcPr>
            <w:tcW w:w="1220" w:type="dxa"/>
            <w:vAlign w:val="bottom"/>
            <w:tcBorders>
              <w:bottom w:val="single" w:sz="8" w:color="ACACAC"/>
            </w:tcBorders>
            <w:shd w:val="clear" w:color="auto" w:fill="ACACAC"/>
          </w:tcPr>
          <w:p>
            <w:pPr>
              <w:jc w:val="right"/>
              <w:ind w:right="28"/>
              <w:spacing w:after="0"/>
              <w:rPr>
                <w:sz w:val="20"/>
                <w:szCs w:val="20"/>
                <w:color w:val="auto"/>
              </w:rPr>
            </w:pPr>
            <w:r>
              <w:rPr>
                <w:rFonts w:ascii="Arial" w:cs="Arial" w:eastAsia="Arial" w:hAnsi="Arial"/>
                <w:sz w:val="14"/>
                <w:szCs w:val="14"/>
                <w:color w:val="auto"/>
              </w:rPr>
              <w:t>—</w:t>
            </w:r>
          </w:p>
        </w:tc>
      </w:tr>
      <w:tr>
        <w:trPr>
          <w:trHeight w:val="211"/>
        </w:trPr>
        <w:tc>
          <w:tcPr>
            <w:tcW w:w="2080" w:type="dxa"/>
            <w:vAlign w:val="bottom"/>
            <w:tcBorders>
              <w:top w:val="single" w:sz="8" w:color="auto"/>
            </w:tcBorders>
          </w:tcPr>
          <w:p>
            <w:pPr>
              <w:ind w:left="20"/>
              <w:spacing w:after="0"/>
              <w:rPr>
                <w:sz w:val="20"/>
                <w:szCs w:val="20"/>
                <w:color w:val="auto"/>
              </w:rPr>
            </w:pPr>
            <w:r>
              <w:rPr>
                <w:rFonts w:ascii="Arial" w:cs="Arial" w:eastAsia="Arial" w:hAnsi="Arial"/>
                <w:sz w:val="14"/>
                <w:szCs w:val="14"/>
                <w:color w:val="auto"/>
              </w:rPr>
              <w:t>Brian D. Hazelton</w:t>
            </w:r>
          </w:p>
        </w:tc>
        <w:tc>
          <w:tcPr>
            <w:tcW w:w="820" w:type="dxa"/>
            <w:vAlign w:val="bottom"/>
            <w:tcBorders>
              <w:top w:val="single" w:sz="8" w:color="auto"/>
            </w:tcBorders>
          </w:tcPr>
          <w:p>
            <w:pPr>
              <w:jc w:val="center"/>
              <w:ind w:left="28"/>
              <w:spacing w:after="0"/>
              <w:rPr>
                <w:sz w:val="20"/>
                <w:szCs w:val="20"/>
                <w:color w:val="auto"/>
              </w:rPr>
            </w:pPr>
            <w:r>
              <w:rPr>
                <w:rFonts w:ascii="Arial" w:cs="Arial" w:eastAsia="Arial" w:hAnsi="Arial"/>
                <w:sz w:val="14"/>
                <w:szCs w:val="14"/>
                <w:color w:val="auto"/>
              </w:rPr>
              <w:t>2018</w:t>
            </w:r>
          </w:p>
        </w:tc>
        <w:tc>
          <w:tcPr>
            <w:tcW w:w="280" w:type="dxa"/>
            <w:vAlign w:val="bottom"/>
            <w:tcBorders>
              <w:top w:val="single" w:sz="8" w:color="auto"/>
            </w:tcBorders>
          </w:tcPr>
          <w:p>
            <w:pPr>
              <w:spacing w:after="0"/>
              <w:rPr>
                <w:sz w:val="18"/>
                <w:szCs w:val="18"/>
                <w:color w:val="auto"/>
              </w:rPr>
            </w:pPr>
          </w:p>
        </w:tc>
        <w:tc>
          <w:tcPr>
            <w:tcW w:w="15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121,789</w:t>
            </w:r>
          </w:p>
        </w:tc>
        <w:tc>
          <w:tcPr>
            <w:tcW w:w="320" w:type="dxa"/>
            <w:vAlign w:val="bottom"/>
            <w:tcBorders>
              <w:top w:val="single" w:sz="8" w:color="auto"/>
            </w:tcBorders>
          </w:tcPr>
          <w:p>
            <w:pPr>
              <w:spacing w:after="0"/>
              <w:rPr>
                <w:sz w:val="18"/>
                <w:szCs w:val="18"/>
                <w:color w:val="auto"/>
              </w:rPr>
            </w:pPr>
          </w:p>
        </w:tc>
        <w:tc>
          <w:tcPr>
            <w:tcW w:w="1340" w:type="dxa"/>
            <w:vAlign w:val="bottom"/>
            <w:tcBorders>
              <w:top w:val="single" w:sz="8" w:color="auto"/>
            </w:tcBorders>
          </w:tcPr>
          <w:p>
            <w:pPr>
              <w:jc w:val="right"/>
              <w:ind w:right="128"/>
              <w:spacing w:after="0"/>
              <w:rPr>
                <w:sz w:val="20"/>
                <w:szCs w:val="20"/>
                <w:color w:val="auto"/>
              </w:rPr>
            </w:pPr>
            <w:r>
              <w:rPr>
                <w:rFonts w:ascii="Arial" w:cs="Arial" w:eastAsia="Arial" w:hAnsi="Arial"/>
                <w:sz w:val="14"/>
                <w:szCs w:val="14"/>
                <w:color w:val="auto"/>
              </w:rPr>
              <w:t>—</w:t>
            </w:r>
          </w:p>
        </w:tc>
        <w:tc>
          <w:tcPr>
            <w:tcW w:w="13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243,578</w:t>
            </w:r>
          </w:p>
        </w:tc>
        <w:tc>
          <w:tcPr>
            <w:tcW w:w="36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jc w:val="right"/>
              <w:ind w:right="28"/>
              <w:spacing w:after="0"/>
              <w:rPr>
                <w:sz w:val="20"/>
                <w:szCs w:val="20"/>
                <w:color w:val="auto"/>
              </w:rPr>
            </w:pPr>
            <w:r>
              <w:rPr>
                <w:rFonts w:ascii="Arial" w:cs="Arial" w:eastAsia="Arial" w:hAnsi="Arial"/>
                <w:sz w:val="14"/>
                <w:szCs w:val="14"/>
                <w:color w:val="auto"/>
              </w:rPr>
              <w:t>365,368</w:t>
            </w:r>
          </w:p>
        </w:tc>
      </w:tr>
      <w:tr>
        <w:trPr>
          <w:trHeight w:val="39"/>
        </w:trPr>
        <w:tc>
          <w:tcPr>
            <w:tcW w:w="2080" w:type="dxa"/>
            <w:vAlign w:val="bottom"/>
          </w:tcPr>
          <w:p>
            <w:pPr>
              <w:spacing w:after="0"/>
              <w:rPr>
                <w:sz w:val="3"/>
                <w:szCs w:val="3"/>
                <w:color w:val="auto"/>
              </w:rPr>
            </w:pPr>
          </w:p>
        </w:tc>
        <w:tc>
          <w:tcPr>
            <w:tcW w:w="820" w:type="dxa"/>
            <w:vAlign w:val="bottom"/>
          </w:tcPr>
          <w:p>
            <w:pPr>
              <w:spacing w:after="0"/>
              <w:rPr>
                <w:sz w:val="3"/>
                <w:szCs w:val="3"/>
                <w:color w:val="auto"/>
              </w:rPr>
            </w:pPr>
          </w:p>
        </w:tc>
        <w:tc>
          <w:tcPr>
            <w:tcW w:w="280" w:type="dxa"/>
            <w:vAlign w:val="bottom"/>
          </w:tcPr>
          <w:p>
            <w:pPr>
              <w:spacing w:after="0"/>
              <w:rPr>
                <w:sz w:val="3"/>
                <w:szCs w:val="3"/>
                <w:color w:val="auto"/>
              </w:rPr>
            </w:pPr>
          </w:p>
        </w:tc>
        <w:tc>
          <w:tcPr>
            <w:tcW w:w="1520" w:type="dxa"/>
            <w:vAlign w:val="bottom"/>
          </w:tcPr>
          <w:p>
            <w:pPr>
              <w:spacing w:after="0"/>
              <w:rPr>
                <w:sz w:val="3"/>
                <w:szCs w:val="3"/>
                <w:color w:val="auto"/>
              </w:rPr>
            </w:pPr>
          </w:p>
        </w:tc>
        <w:tc>
          <w:tcPr>
            <w:tcW w:w="3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1380" w:type="dxa"/>
            <w:vAlign w:val="bottom"/>
          </w:tcPr>
          <w:p>
            <w:pPr>
              <w:spacing w:after="0"/>
              <w:rPr>
                <w:sz w:val="3"/>
                <w:szCs w:val="3"/>
                <w:color w:val="auto"/>
              </w:rPr>
            </w:pPr>
          </w:p>
        </w:tc>
        <w:tc>
          <w:tcPr>
            <w:tcW w:w="360" w:type="dxa"/>
            <w:vAlign w:val="bottom"/>
          </w:tcPr>
          <w:p>
            <w:pPr>
              <w:spacing w:after="0"/>
              <w:rPr>
                <w:sz w:val="3"/>
                <w:szCs w:val="3"/>
                <w:color w:val="auto"/>
              </w:rPr>
            </w:pPr>
          </w:p>
        </w:tc>
        <w:tc>
          <w:tcPr>
            <w:tcW w:w="1220" w:type="dxa"/>
            <w:vAlign w:val="bottom"/>
          </w:tcPr>
          <w:p>
            <w:pPr>
              <w:spacing w:after="0"/>
              <w:rPr>
                <w:sz w:val="3"/>
                <w:szCs w:val="3"/>
                <w:color w:val="auto"/>
              </w:rPr>
            </w:pPr>
          </w:p>
        </w:tc>
      </w:tr>
      <w:tr>
        <w:trPr>
          <w:trHeight w:val="250"/>
        </w:trPr>
        <w:tc>
          <w:tcPr>
            <w:tcW w:w="2080" w:type="dxa"/>
            <w:vAlign w:val="bottom"/>
            <w:tcBorders>
              <w:bottom w:val="single" w:sz="8" w:color="ACACAC"/>
            </w:tcBorders>
            <w:shd w:val="clear" w:color="auto" w:fill="ACACAC"/>
          </w:tcPr>
          <w:p>
            <w:pPr>
              <w:spacing w:after="0"/>
              <w:rPr>
                <w:sz w:val="21"/>
                <w:szCs w:val="21"/>
                <w:color w:val="auto"/>
              </w:rPr>
            </w:pPr>
          </w:p>
        </w:tc>
        <w:tc>
          <w:tcPr>
            <w:tcW w:w="820" w:type="dxa"/>
            <w:vAlign w:val="bottom"/>
            <w:tcBorders>
              <w:bottom w:val="single" w:sz="8" w:color="ACACAC"/>
            </w:tcBorders>
            <w:shd w:val="clear" w:color="auto" w:fill="ACACAC"/>
          </w:tcPr>
          <w:p>
            <w:pPr>
              <w:jc w:val="center"/>
              <w:ind w:left="28"/>
              <w:spacing w:after="0"/>
              <w:rPr>
                <w:sz w:val="20"/>
                <w:szCs w:val="20"/>
                <w:color w:val="auto"/>
              </w:rPr>
            </w:pPr>
            <w:r>
              <w:rPr>
                <w:rFonts w:ascii="Arial" w:cs="Arial" w:eastAsia="Arial" w:hAnsi="Arial"/>
                <w:sz w:val="14"/>
                <w:szCs w:val="14"/>
                <w:color w:val="auto"/>
              </w:rPr>
              <w:t>2017</w:t>
            </w:r>
          </w:p>
        </w:tc>
        <w:tc>
          <w:tcPr>
            <w:tcW w:w="280" w:type="dxa"/>
            <w:vAlign w:val="bottom"/>
            <w:tcBorders>
              <w:bottom w:val="single" w:sz="8" w:color="ACACAC"/>
            </w:tcBorders>
            <w:shd w:val="clear" w:color="auto" w:fill="ACACAC"/>
          </w:tcPr>
          <w:p>
            <w:pPr>
              <w:spacing w:after="0"/>
              <w:rPr>
                <w:sz w:val="21"/>
                <w:szCs w:val="21"/>
                <w:color w:val="auto"/>
              </w:rPr>
            </w:pPr>
          </w:p>
        </w:tc>
        <w:tc>
          <w:tcPr>
            <w:tcW w:w="1520" w:type="dxa"/>
            <w:vAlign w:val="bottom"/>
            <w:tcBorders>
              <w:bottom w:val="single" w:sz="8" w:color="ACACAC"/>
            </w:tcBorders>
            <w:shd w:val="clear" w:color="auto" w:fill="ACACAC"/>
          </w:tcPr>
          <w:p>
            <w:pPr>
              <w:jc w:val="right"/>
              <w:spacing w:after="0"/>
              <w:rPr>
                <w:sz w:val="20"/>
                <w:szCs w:val="20"/>
                <w:color w:val="auto"/>
              </w:rPr>
            </w:pPr>
            <w:r>
              <w:rPr>
                <w:rFonts w:ascii="Arial" w:cs="Arial" w:eastAsia="Arial" w:hAnsi="Arial"/>
                <w:sz w:val="14"/>
                <w:szCs w:val="14"/>
                <w:color w:val="auto"/>
              </w:rPr>
              <w:t>292,110</w:t>
            </w:r>
          </w:p>
        </w:tc>
        <w:tc>
          <w:tcPr>
            <w:tcW w:w="320" w:type="dxa"/>
            <w:vAlign w:val="bottom"/>
            <w:tcBorders>
              <w:bottom w:val="single" w:sz="8" w:color="ACACAC"/>
            </w:tcBorders>
            <w:shd w:val="clear" w:color="auto" w:fill="ACACAC"/>
          </w:tcPr>
          <w:p>
            <w:pPr>
              <w:spacing w:after="0"/>
              <w:rPr>
                <w:sz w:val="21"/>
                <w:szCs w:val="21"/>
                <w:color w:val="auto"/>
              </w:rPr>
            </w:pPr>
          </w:p>
        </w:tc>
        <w:tc>
          <w:tcPr>
            <w:tcW w:w="1340" w:type="dxa"/>
            <w:vAlign w:val="bottom"/>
            <w:tcBorders>
              <w:bottom w:val="single" w:sz="8" w:color="ACACAC"/>
            </w:tcBorders>
            <w:shd w:val="clear" w:color="auto" w:fill="ACACAC"/>
          </w:tcPr>
          <w:p>
            <w:pPr>
              <w:jc w:val="right"/>
              <w:ind w:right="128"/>
              <w:spacing w:after="0"/>
              <w:rPr>
                <w:sz w:val="20"/>
                <w:szCs w:val="20"/>
                <w:color w:val="auto"/>
              </w:rPr>
            </w:pPr>
            <w:r>
              <w:rPr>
                <w:rFonts w:ascii="Arial" w:cs="Arial" w:eastAsia="Arial" w:hAnsi="Arial"/>
                <w:sz w:val="14"/>
                <w:szCs w:val="14"/>
                <w:color w:val="auto"/>
              </w:rPr>
              <w:t>—</w:t>
            </w:r>
          </w:p>
        </w:tc>
        <w:tc>
          <w:tcPr>
            <w:tcW w:w="1380" w:type="dxa"/>
            <w:vAlign w:val="bottom"/>
            <w:tcBorders>
              <w:bottom w:val="single" w:sz="8" w:color="ACACAC"/>
            </w:tcBorders>
            <w:shd w:val="clear" w:color="auto" w:fill="ACACAC"/>
          </w:tcPr>
          <w:p>
            <w:pPr>
              <w:jc w:val="right"/>
              <w:spacing w:after="0"/>
              <w:rPr>
                <w:sz w:val="20"/>
                <w:szCs w:val="20"/>
                <w:color w:val="auto"/>
              </w:rPr>
            </w:pPr>
            <w:r>
              <w:rPr>
                <w:rFonts w:ascii="Arial" w:cs="Arial" w:eastAsia="Arial" w:hAnsi="Arial"/>
                <w:sz w:val="14"/>
                <w:szCs w:val="14"/>
                <w:color w:val="auto"/>
              </w:rPr>
              <w:t>259,098</w:t>
            </w:r>
          </w:p>
        </w:tc>
        <w:tc>
          <w:tcPr>
            <w:tcW w:w="360" w:type="dxa"/>
            <w:vAlign w:val="bottom"/>
            <w:tcBorders>
              <w:bottom w:val="single" w:sz="8" w:color="ACACAC"/>
            </w:tcBorders>
            <w:shd w:val="clear" w:color="auto" w:fill="ACACAC"/>
          </w:tcPr>
          <w:p>
            <w:pPr>
              <w:spacing w:after="0"/>
              <w:rPr>
                <w:sz w:val="21"/>
                <w:szCs w:val="21"/>
                <w:color w:val="auto"/>
              </w:rPr>
            </w:pPr>
          </w:p>
        </w:tc>
        <w:tc>
          <w:tcPr>
            <w:tcW w:w="1220" w:type="dxa"/>
            <w:vAlign w:val="bottom"/>
            <w:tcBorders>
              <w:bottom w:val="single" w:sz="8" w:color="ACACAC"/>
            </w:tcBorders>
            <w:shd w:val="clear" w:color="auto" w:fill="ACACAC"/>
          </w:tcPr>
          <w:p>
            <w:pPr>
              <w:jc w:val="right"/>
              <w:ind w:right="28"/>
              <w:spacing w:after="0"/>
              <w:rPr>
                <w:sz w:val="20"/>
                <w:szCs w:val="20"/>
                <w:color w:val="auto"/>
              </w:rPr>
            </w:pPr>
            <w:r>
              <w:rPr>
                <w:rFonts w:ascii="Arial" w:cs="Arial" w:eastAsia="Arial" w:hAnsi="Arial"/>
                <w:sz w:val="14"/>
                <w:szCs w:val="14"/>
                <w:color w:val="auto"/>
              </w:rPr>
              <w:t>551,208</w:t>
            </w:r>
          </w:p>
        </w:tc>
      </w:tr>
      <w:tr>
        <w:trPr>
          <w:trHeight w:val="231"/>
        </w:trPr>
        <w:tc>
          <w:tcPr>
            <w:tcW w:w="2080" w:type="dxa"/>
            <w:vAlign w:val="bottom"/>
          </w:tcPr>
          <w:p>
            <w:pPr>
              <w:spacing w:after="0"/>
              <w:rPr>
                <w:sz w:val="20"/>
                <w:szCs w:val="20"/>
                <w:color w:val="auto"/>
              </w:rPr>
            </w:pPr>
          </w:p>
        </w:tc>
        <w:tc>
          <w:tcPr>
            <w:tcW w:w="820" w:type="dxa"/>
            <w:vAlign w:val="bottom"/>
          </w:tcPr>
          <w:p>
            <w:pPr>
              <w:jc w:val="center"/>
              <w:ind w:left="28"/>
              <w:spacing w:after="0"/>
              <w:rPr>
                <w:sz w:val="20"/>
                <w:szCs w:val="20"/>
                <w:color w:val="auto"/>
              </w:rPr>
            </w:pPr>
            <w:r>
              <w:rPr>
                <w:rFonts w:ascii="Arial" w:cs="Arial" w:eastAsia="Arial" w:hAnsi="Arial"/>
                <w:sz w:val="14"/>
                <w:szCs w:val="14"/>
                <w:color w:val="auto"/>
              </w:rPr>
              <w:t>2016</w:t>
            </w:r>
          </w:p>
        </w:tc>
        <w:tc>
          <w:tcPr>
            <w:tcW w:w="280" w:type="dxa"/>
            <w:vAlign w:val="bottom"/>
          </w:tcPr>
          <w:p>
            <w:pPr>
              <w:spacing w:after="0"/>
              <w:rPr>
                <w:sz w:val="20"/>
                <w:szCs w:val="20"/>
                <w:color w:val="auto"/>
              </w:rPr>
            </w:pPr>
          </w:p>
        </w:tc>
        <w:tc>
          <w:tcPr>
            <w:tcW w:w="1520" w:type="dxa"/>
            <w:vAlign w:val="bottom"/>
          </w:tcPr>
          <w:p>
            <w:pPr>
              <w:jc w:val="right"/>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20"/>
                <w:szCs w:val="20"/>
                <w:color w:val="auto"/>
              </w:rPr>
            </w:pPr>
          </w:p>
        </w:tc>
        <w:tc>
          <w:tcPr>
            <w:tcW w:w="134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1380" w:type="dxa"/>
            <w:vAlign w:val="bottom"/>
          </w:tcPr>
          <w:p>
            <w:pPr>
              <w:jc w:val="right"/>
              <w:spacing w:after="0"/>
              <w:rPr>
                <w:sz w:val="20"/>
                <w:szCs w:val="20"/>
                <w:color w:val="auto"/>
              </w:rPr>
            </w:pPr>
            <w:r>
              <w:rPr>
                <w:rFonts w:ascii="Arial" w:cs="Arial" w:eastAsia="Arial" w:hAnsi="Arial"/>
                <w:sz w:val="14"/>
                <w:szCs w:val="14"/>
                <w:color w:val="auto"/>
              </w:rPr>
              <w:t>—</w:t>
            </w:r>
          </w:p>
        </w:tc>
        <w:tc>
          <w:tcPr>
            <w:tcW w:w="360" w:type="dxa"/>
            <w:vAlign w:val="bottom"/>
          </w:tcPr>
          <w:p>
            <w:pPr>
              <w:spacing w:after="0"/>
              <w:rPr>
                <w:sz w:val="20"/>
                <w:szCs w:val="20"/>
                <w:color w:val="auto"/>
              </w:rPr>
            </w:pPr>
          </w:p>
        </w:tc>
        <w:tc>
          <w:tcPr>
            <w:tcW w:w="1220" w:type="dxa"/>
            <w:vAlign w:val="bottom"/>
          </w:tcPr>
          <w:p>
            <w:pPr>
              <w:jc w:val="right"/>
              <w:ind w:right="28"/>
              <w:spacing w:after="0"/>
              <w:rPr>
                <w:sz w:val="20"/>
                <w:szCs w:val="20"/>
                <w:color w:val="auto"/>
              </w:rPr>
            </w:pPr>
            <w:r>
              <w:rPr>
                <w:rFonts w:ascii="Arial" w:cs="Arial" w:eastAsia="Arial" w:hAnsi="Arial"/>
                <w:sz w:val="14"/>
                <w:szCs w:val="14"/>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734060</wp:posOffset>
            </wp:positionH>
            <wp:positionV relativeFrom="paragraph">
              <wp:posOffset>24765</wp:posOffset>
            </wp:positionV>
            <wp:extent cx="5917565" cy="889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5917565" cy="8890"/>
                    </a:xfrm>
                    <a:prstGeom prst="rect">
                      <a:avLst/>
                    </a:prstGeom>
                    <a:noFill/>
                  </pic:spPr>
                </pic:pic>
              </a:graphicData>
            </a:graphic>
          </wp:anchor>
        </w:drawing>
        <w:drawing>
          <wp:anchor simplePos="0" relativeHeight="251657728" behindDoc="1" locked="0" layoutInCell="0" allowOverlap="1">
            <wp:simplePos x="0" y="0"/>
            <wp:positionH relativeFrom="column">
              <wp:posOffset>734060</wp:posOffset>
            </wp:positionH>
            <wp:positionV relativeFrom="paragraph">
              <wp:posOffset>-2555875</wp:posOffset>
            </wp:positionV>
            <wp:extent cx="5917565" cy="36004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5917565" cy="360045"/>
                    </a:xfrm>
                    <a:prstGeom prst="rect">
                      <a:avLst/>
                    </a:prstGeom>
                    <a:noFill/>
                  </pic:spPr>
                </pic:pic>
              </a:graphicData>
            </a:graphic>
          </wp:anchor>
        </w:drawing>
      </w:r>
    </w:p>
    <w:p>
      <w:pPr>
        <w:spacing w:after="0" w:line="91" w:lineRule="exact"/>
        <w:rPr>
          <w:sz w:val="20"/>
          <w:szCs w:val="20"/>
          <w:color w:val="auto"/>
        </w:rPr>
      </w:pPr>
    </w:p>
    <w:p>
      <w:pPr>
        <w:ind w:left="660" w:right="20" w:hanging="247"/>
        <w:spacing w:after="0" w:line="250" w:lineRule="auto"/>
        <w:tabs>
          <w:tab w:leader="none" w:pos="660" w:val="left"/>
        </w:tabs>
        <w:numPr>
          <w:ilvl w:val="1"/>
          <w:numId w:val="38"/>
        </w:numPr>
        <w:rPr>
          <w:rFonts w:ascii="Arial" w:cs="Arial" w:eastAsia="Arial" w:hAnsi="Arial"/>
          <w:sz w:val="13"/>
          <w:szCs w:val="13"/>
          <w:color w:val="auto"/>
        </w:rPr>
      </w:pPr>
      <w:r>
        <w:rPr>
          <w:rFonts w:ascii="Arial" w:cs="Arial" w:eastAsia="Arial" w:hAnsi="Arial"/>
          <w:sz w:val="14"/>
          <w:szCs w:val="14"/>
          <w:color w:val="auto"/>
        </w:rPr>
        <w:t>These amounts represent non-performance based restricted stock granted pursuant to the 2014 Plan computed in accordance with ASC 718. The grant date fair value of each of the non-performance based awards was determined at the closing price of the Company's shares on the NYSE on the grant date without regard to estimated forfeitures related to service-based vesting conditions.</w:t>
      </w:r>
    </w:p>
    <w:p>
      <w:pPr>
        <w:spacing w:after="0" w:line="37" w:lineRule="exact"/>
        <w:rPr>
          <w:rFonts w:ascii="Arial" w:cs="Arial" w:eastAsia="Arial" w:hAnsi="Arial"/>
          <w:sz w:val="13"/>
          <w:szCs w:val="13"/>
          <w:color w:val="auto"/>
        </w:rPr>
      </w:pPr>
    </w:p>
    <w:p>
      <w:pPr>
        <w:ind w:left="660" w:right="80" w:hanging="247"/>
        <w:spacing w:after="0" w:line="250" w:lineRule="auto"/>
        <w:tabs>
          <w:tab w:leader="none" w:pos="660" w:val="left"/>
        </w:tabs>
        <w:numPr>
          <w:ilvl w:val="1"/>
          <w:numId w:val="38"/>
        </w:numPr>
        <w:rPr>
          <w:rFonts w:ascii="Arial" w:cs="Arial" w:eastAsia="Arial" w:hAnsi="Arial"/>
          <w:sz w:val="13"/>
          <w:szCs w:val="13"/>
          <w:color w:val="auto"/>
        </w:rPr>
      </w:pPr>
      <w:r>
        <w:rPr>
          <w:rFonts w:ascii="Arial" w:cs="Arial" w:eastAsia="Arial" w:hAnsi="Arial"/>
          <w:sz w:val="14"/>
          <w:szCs w:val="14"/>
          <w:color w:val="auto"/>
        </w:rPr>
        <w:t>The amounts reported in this column do not reflect actual compensation realized by the NEOs in 2016. These amounts represent the fair value of the annual performance-based award, which was required to be paid in stock subject to a one-year holding period under the annual Officers Incentive Compensation Plan ("OICP") for 2016. The 2017 and 2018 OICPs have no stock component and are all cash.</w:t>
      </w:r>
    </w:p>
    <w:p>
      <w:pPr>
        <w:spacing w:after="0" w:line="37" w:lineRule="exact"/>
        <w:rPr>
          <w:rFonts w:ascii="Arial" w:cs="Arial" w:eastAsia="Arial" w:hAnsi="Arial"/>
          <w:sz w:val="13"/>
          <w:szCs w:val="13"/>
          <w:color w:val="auto"/>
        </w:rPr>
      </w:pPr>
    </w:p>
    <w:p>
      <w:pPr>
        <w:ind w:left="660" w:right="120" w:hanging="247"/>
        <w:spacing w:after="0" w:line="246" w:lineRule="auto"/>
        <w:tabs>
          <w:tab w:leader="none" w:pos="660" w:val="left"/>
        </w:tabs>
        <w:numPr>
          <w:ilvl w:val="1"/>
          <w:numId w:val="38"/>
        </w:numPr>
        <w:rPr>
          <w:rFonts w:ascii="Arial" w:cs="Arial" w:eastAsia="Arial" w:hAnsi="Arial"/>
          <w:sz w:val="13"/>
          <w:szCs w:val="13"/>
          <w:color w:val="auto"/>
        </w:rPr>
      </w:pPr>
      <w:r>
        <w:rPr>
          <w:rFonts w:ascii="Arial" w:cs="Arial" w:eastAsia="Arial" w:hAnsi="Arial"/>
          <w:sz w:val="14"/>
          <w:szCs w:val="14"/>
          <w:color w:val="auto"/>
        </w:rPr>
        <w:t>The amounts shown represent the grant date fair value computed in accordance with FASB ASC 718 of the LTIP / performance share awards. The amounts shown for Fiscal 2018-2020 LTIP represent the values that are based on achievement of 100% of the target performance. Assuming achievement of the maximum 150% of target performance, the value of the Fiscal 2018-2020 LTIP awards would be: $1,242,156 for Mr. Happe; $371,229 for Mr. Hughes; $219,980 for Ms. Bogart; and $365,367 for Mr. Hazelton. Assumptions used in the calculation of the amounts reported in this column are included in Note 12 to the financial statements included in our 2018 Form 10-K.</w:t>
      </w:r>
    </w:p>
    <w:p>
      <w:pPr>
        <w:spacing w:after="0" w:line="204" w:lineRule="exact"/>
        <w:rPr>
          <w:rFonts w:ascii="Arial" w:cs="Arial" w:eastAsia="Arial" w:hAnsi="Arial"/>
          <w:sz w:val="13"/>
          <w:szCs w:val="13"/>
          <w:color w:val="auto"/>
        </w:rPr>
      </w:pPr>
    </w:p>
    <w:p>
      <w:pPr>
        <w:ind w:left="660" w:hanging="247"/>
        <w:spacing w:after="0"/>
        <w:tabs>
          <w:tab w:leader="none" w:pos="660" w:val="left"/>
        </w:tabs>
        <w:numPr>
          <w:ilvl w:val="1"/>
          <w:numId w:val="38"/>
        </w:numPr>
        <w:rPr>
          <w:rFonts w:ascii="Arial" w:cs="Arial" w:eastAsia="Arial" w:hAnsi="Arial"/>
          <w:sz w:val="14"/>
          <w:szCs w:val="14"/>
          <w:color w:val="auto"/>
        </w:rPr>
      </w:pPr>
      <w:r>
        <w:rPr>
          <w:rFonts w:ascii="Arial" w:cs="Arial" w:eastAsia="Arial" w:hAnsi="Arial"/>
          <w:sz w:val="14"/>
          <w:szCs w:val="14"/>
          <w:color w:val="auto"/>
        </w:rPr>
        <w:t>Ms. Bogart joined the Company in January 2018.</w:t>
      </w:r>
    </w:p>
    <w:p>
      <w:pPr>
        <w:spacing w:after="0" w:line="55" w:lineRule="exact"/>
        <w:rPr>
          <w:rFonts w:ascii="Arial" w:cs="Arial" w:eastAsia="Arial" w:hAnsi="Arial"/>
          <w:sz w:val="14"/>
          <w:szCs w:val="14"/>
          <w:color w:val="auto"/>
        </w:rPr>
      </w:pPr>
    </w:p>
    <w:p>
      <w:pPr>
        <w:ind w:left="340" w:right="460" w:hanging="332"/>
        <w:spacing w:after="0" w:line="258" w:lineRule="auto"/>
        <w:tabs>
          <w:tab w:leader="none" w:pos="340" w:val="left"/>
        </w:tabs>
        <w:numPr>
          <w:ilvl w:val="0"/>
          <w:numId w:val="39"/>
        </w:numPr>
        <w:rPr>
          <w:rFonts w:ascii="Arial" w:cs="Arial" w:eastAsia="Arial" w:hAnsi="Arial"/>
          <w:sz w:val="14"/>
          <w:szCs w:val="14"/>
          <w:color w:val="auto"/>
        </w:rPr>
      </w:pPr>
      <w:r>
        <w:rPr>
          <w:rFonts w:ascii="Arial" w:cs="Arial" w:eastAsia="Arial" w:hAnsi="Arial"/>
          <w:sz w:val="14"/>
          <w:szCs w:val="14"/>
          <w:color w:val="auto"/>
        </w:rPr>
        <w:t>The amounts shown represent the aggregate grant date fair values of the option grants. Assumptions used in the calculation of the amounts reported in this column are included in Note 12 to the financial statements included in our 2018 Form 10-K.</w:t>
      </w:r>
    </w:p>
    <w:p>
      <w:pPr>
        <w:spacing w:after="0" w:line="32" w:lineRule="exact"/>
        <w:rPr>
          <w:rFonts w:ascii="Arial" w:cs="Arial" w:eastAsia="Arial" w:hAnsi="Arial"/>
          <w:sz w:val="14"/>
          <w:szCs w:val="14"/>
          <w:color w:val="auto"/>
        </w:rPr>
      </w:pPr>
    </w:p>
    <w:p>
      <w:pPr>
        <w:ind w:left="340" w:hanging="332"/>
        <w:spacing w:after="0" w:line="253" w:lineRule="auto"/>
        <w:tabs>
          <w:tab w:leader="none" w:pos="340" w:val="left"/>
        </w:tabs>
        <w:numPr>
          <w:ilvl w:val="0"/>
          <w:numId w:val="39"/>
        </w:numPr>
        <w:rPr>
          <w:rFonts w:ascii="Arial" w:cs="Arial" w:eastAsia="Arial" w:hAnsi="Arial"/>
          <w:sz w:val="14"/>
          <w:szCs w:val="14"/>
          <w:color w:val="auto"/>
        </w:rPr>
      </w:pPr>
      <w:r>
        <w:rPr>
          <w:rFonts w:ascii="Arial" w:cs="Arial" w:eastAsia="Arial" w:hAnsi="Arial"/>
          <w:sz w:val="14"/>
          <w:szCs w:val="14"/>
          <w:color w:val="auto"/>
        </w:rPr>
        <w:t>These amounts represent actual annual incentive plan award payouts made in cash to NEOs under the 2016, 2017 and 2018 OICPs. In the case of Mr. Clark, these amounts do not represent award payouts under such OICPs, but instead represent award payouts under the pre-existing Grand Design Management Incentive Plan that he participates in.</w:t>
      </w:r>
    </w:p>
    <w:p>
      <w:pPr>
        <w:spacing w:after="0" w:line="200" w:lineRule="exact"/>
        <w:rPr>
          <w:rFonts w:ascii="Arial" w:cs="Arial" w:eastAsia="Arial" w:hAnsi="Arial"/>
          <w:sz w:val="14"/>
          <w:szCs w:val="14"/>
          <w:color w:val="auto"/>
        </w:rPr>
      </w:pPr>
    </w:p>
    <w:p>
      <w:pPr>
        <w:ind w:left="340" w:hanging="332"/>
        <w:spacing w:after="0"/>
        <w:tabs>
          <w:tab w:leader="none" w:pos="340" w:val="left"/>
        </w:tabs>
        <w:numPr>
          <w:ilvl w:val="0"/>
          <w:numId w:val="39"/>
        </w:numPr>
        <w:rPr>
          <w:rFonts w:ascii="Arial" w:cs="Arial" w:eastAsia="Arial" w:hAnsi="Arial"/>
          <w:sz w:val="14"/>
          <w:szCs w:val="14"/>
          <w:color w:val="auto"/>
        </w:rPr>
      </w:pPr>
      <w:r>
        <w:rPr>
          <w:rFonts w:ascii="Arial" w:cs="Arial" w:eastAsia="Arial" w:hAnsi="Arial"/>
          <w:sz w:val="14"/>
          <w:szCs w:val="14"/>
          <w:color w:val="auto"/>
        </w:rPr>
        <w:t>Amounts reported in this column for Fiscal 2018 include the following:</w:t>
      </w:r>
    </w:p>
    <w:p>
      <w:pPr>
        <w:spacing w:after="0" w:line="185" w:lineRule="exact"/>
        <w:rPr>
          <w:sz w:val="20"/>
          <w:szCs w:val="20"/>
          <w:color w:val="auto"/>
        </w:rPr>
      </w:pPr>
    </w:p>
    <w:tbl>
      <w:tblPr>
        <w:tblLayout w:type="fixed"/>
        <w:tblInd w:w="1840" w:type="dxa"/>
        <w:tblCellMar>
          <w:top w:w="0" w:type="dxa"/>
          <w:left w:w="0" w:type="dxa"/>
          <w:bottom w:w="0" w:type="dxa"/>
          <w:right w:w="0" w:type="dxa"/>
        </w:tblCellMar>
      </w:tblPr>
      <w:tr>
        <w:trPr>
          <w:trHeight w:val="194"/>
        </w:trPr>
        <w:tc>
          <w:tcPr>
            <w:tcW w:w="1620" w:type="dxa"/>
            <w:vAlign w:val="bottom"/>
            <w:shd w:val="clear" w:color="auto" w:fill="BF2115"/>
          </w:tcPr>
          <w:p>
            <w:pPr>
              <w:spacing w:after="0"/>
              <w:rPr>
                <w:sz w:val="16"/>
                <w:szCs w:val="16"/>
                <w:color w:val="auto"/>
              </w:rPr>
            </w:pPr>
          </w:p>
        </w:tc>
        <w:tc>
          <w:tcPr>
            <w:tcW w:w="1200" w:type="dxa"/>
            <w:vAlign w:val="bottom"/>
            <w:shd w:val="clear" w:color="auto" w:fill="BF2115"/>
          </w:tcPr>
          <w:p>
            <w:pPr>
              <w:jc w:val="center"/>
              <w:ind w:left="228"/>
              <w:spacing w:after="0"/>
              <w:rPr>
                <w:sz w:val="20"/>
                <w:szCs w:val="20"/>
                <w:color w:val="auto"/>
              </w:rPr>
            </w:pPr>
            <w:r>
              <w:rPr>
                <w:rFonts w:ascii="Arial" w:cs="Arial" w:eastAsia="Arial" w:hAnsi="Arial"/>
                <w:sz w:val="14"/>
                <w:szCs w:val="14"/>
                <w:color w:val="FFFFFF"/>
                <w:w w:val="98"/>
              </w:rPr>
              <w:t>Tax and</w:t>
            </w:r>
          </w:p>
        </w:tc>
        <w:tc>
          <w:tcPr>
            <w:tcW w:w="1140" w:type="dxa"/>
            <w:vAlign w:val="bottom"/>
            <w:shd w:val="clear" w:color="auto" w:fill="BF2115"/>
          </w:tcPr>
          <w:p>
            <w:pPr>
              <w:spacing w:after="0"/>
              <w:rPr>
                <w:sz w:val="16"/>
                <w:szCs w:val="16"/>
                <w:color w:val="auto"/>
              </w:rPr>
            </w:pPr>
          </w:p>
        </w:tc>
        <w:tc>
          <w:tcPr>
            <w:tcW w:w="1080" w:type="dxa"/>
            <w:vAlign w:val="bottom"/>
            <w:shd w:val="clear" w:color="auto" w:fill="BF2115"/>
          </w:tcPr>
          <w:p>
            <w:pPr>
              <w:spacing w:after="0"/>
              <w:rPr>
                <w:sz w:val="16"/>
                <w:szCs w:val="16"/>
                <w:color w:val="auto"/>
              </w:rPr>
            </w:pPr>
          </w:p>
        </w:tc>
        <w:tc>
          <w:tcPr>
            <w:tcW w:w="920" w:type="dxa"/>
            <w:vAlign w:val="bottom"/>
            <w:shd w:val="clear" w:color="auto" w:fill="BF2115"/>
          </w:tcPr>
          <w:p>
            <w:pPr>
              <w:spacing w:after="0"/>
              <w:rPr>
                <w:sz w:val="16"/>
                <w:szCs w:val="16"/>
                <w:color w:val="auto"/>
              </w:rPr>
            </w:pPr>
          </w:p>
        </w:tc>
        <w:tc>
          <w:tcPr>
            <w:tcW w:w="1160" w:type="dxa"/>
            <w:vAlign w:val="bottom"/>
            <w:shd w:val="clear" w:color="auto" w:fill="BF2115"/>
          </w:tcPr>
          <w:p>
            <w:pPr>
              <w:spacing w:after="0"/>
              <w:rPr>
                <w:sz w:val="16"/>
                <w:szCs w:val="16"/>
                <w:color w:val="auto"/>
              </w:rPr>
            </w:pPr>
          </w:p>
        </w:tc>
        <w:tc>
          <w:tcPr>
            <w:tcW w:w="980" w:type="dxa"/>
            <w:vAlign w:val="bottom"/>
            <w:shd w:val="clear" w:color="auto" w:fill="BF2115"/>
          </w:tcPr>
          <w:p>
            <w:pPr>
              <w:spacing w:after="0"/>
              <w:rPr>
                <w:sz w:val="16"/>
                <w:szCs w:val="16"/>
                <w:color w:val="auto"/>
              </w:rPr>
            </w:pPr>
          </w:p>
        </w:tc>
        <w:tc>
          <w:tcPr>
            <w:tcW w:w="0" w:type="dxa"/>
            <w:vAlign w:val="bottom"/>
          </w:tcPr>
          <w:p>
            <w:pPr>
              <w:spacing w:after="0"/>
              <w:rPr>
                <w:sz w:val="1"/>
                <w:szCs w:val="1"/>
                <w:color w:val="auto"/>
              </w:rPr>
            </w:pPr>
          </w:p>
        </w:tc>
      </w:tr>
      <w:tr>
        <w:trPr>
          <w:trHeight w:val="162"/>
        </w:trPr>
        <w:tc>
          <w:tcPr>
            <w:tcW w:w="1620" w:type="dxa"/>
            <w:vAlign w:val="bottom"/>
            <w:shd w:val="clear" w:color="auto" w:fill="BF2115"/>
          </w:tcPr>
          <w:p>
            <w:pPr>
              <w:spacing w:after="0"/>
              <w:rPr>
                <w:sz w:val="14"/>
                <w:szCs w:val="14"/>
                <w:color w:val="auto"/>
              </w:rPr>
            </w:pPr>
          </w:p>
        </w:tc>
        <w:tc>
          <w:tcPr>
            <w:tcW w:w="1200" w:type="dxa"/>
            <w:vAlign w:val="bottom"/>
            <w:shd w:val="clear" w:color="auto" w:fill="BF2115"/>
          </w:tcPr>
          <w:p>
            <w:pPr>
              <w:jc w:val="center"/>
              <w:ind w:left="228"/>
              <w:spacing w:after="0"/>
              <w:rPr>
                <w:sz w:val="20"/>
                <w:szCs w:val="20"/>
                <w:color w:val="auto"/>
              </w:rPr>
            </w:pPr>
            <w:r>
              <w:rPr>
                <w:rFonts w:ascii="Arial" w:cs="Arial" w:eastAsia="Arial" w:hAnsi="Arial"/>
                <w:sz w:val="14"/>
                <w:szCs w:val="14"/>
                <w:color w:val="FFFFFF"/>
              </w:rPr>
              <w:t>Financial</w:t>
            </w:r>
          </w:p>
        </w:tc>
        <w:tc>
          <w:tcPr>
            <w:tcW w:w="1140" w:type="dxa"/>
            <w:vAlign w:val="bottom"/>
            <w:shd w:val="clear" w:color="auto" w:fill="BF2115"/>
          </w:tcPr>
          <w:p>
            <w:pPr>
              <w:spacing w:after="0"/>
              <w:rPr>
                <w:sz w:val="14"/>
                <w:szCs w:val="14"/>
                <w:color w:val="auto"/>
              </w:rPr>
            </w:pPr>
          </w:p>
        </w:tc>
        <w:tc>
          <w:tcPr>
            <w:tcW w:w="1080" w:type="dxa"/>
            <w:vAlign w:val="bottom"/>
            <w:shd w:val="clear" w:color="auto" w:fill="BF2115"/>
          </w:tcPr>
          <w:p>
            <w:pPr>
              <w:jc w:val="center"/>
              <w:spacing w:after="0"/>
              <w:rPr>
                <w:sz w:val="20"/>
                <w:szCs w:val="20"/>
                <w:color w:val="auto"/>
              </w:rPr>
            </w:pPr>
            <w:r>
              <w:rPr>
                <w:rFonts w:ascii="Arial" w:cs="Arial" w:eastAsia="Arial" w:hAnsi="Arial"/>
                <w:sz w:val="14"/>
                <w:szCs w:val="14"/>
                <w:color w:val="FFFFFF"/>
              </w:rPr>
              <w:t>Life Insurance</w:t>
            </w:r>
          </w:p>
        </w:tc>
        <w:tc>
          <w:tcPr>
            <w:tcW w:w="920" w:type="dxa"/>
            <w:vAlign w:val="bottom"/>
            <w:vMerge w:val="restart"/>
            <w:shd w:val="clear" w:color="auto" w:fill="BF2115"/>
          </w:tcPr>
          <w:p>
            <w:pPr>
              <w:ind w:left="120"/>
              <w:spacing w:after="0"/>
              <w:rPr>
                <w:sz w:val="20"/>
                <w:szCs w:val="20"/>
                <w:color w:val="auto"/>
              </w:rPr>
            </w:pPr>
            <w:r>
              <w:rPr>
                <w:rFonts w:ascii="Arial" w:cs="Arial" w:eastAsia="Arial" w:hAnsi="Arial"/>
                <w:sz w:val="14"/>
                <w:szCs w:val="14"/>
                <w:color w:val="FFFFFF"/>
              </w:rPr>
              <w:t>Dividend</w:t>
            </w:r>
            <w:r>
              <w:rPr>
                <w:rFonts w:ascii="Arial" w:cs="Arial" w:eastAsia="Arial" w:hAnsi="Arial"/>
                <w:sz w:val="17"/>
                <w:szCs w:val="17"/>
                <w:color w:val="FFFFFF"/>
                <w:vertAlign w:val="superscript"/>
              </w:rPr>
              <w:t>(1)</w:t>
            </w:r>
          </w:p>
        </w:tc>
        <w:tc>
          <w:tcPr>
            <w:tcW w:w="1160" w:type="dxa"/>
            <w:vAlign w:val="bottom"/>
            <w:shd w:val="clear" w:color="auto" w:fill="BF2115"/>
          </w:tcPr>
          <w:p>
            <w:pPr>
              <w:spacing w:after="0"/>
              <w:rPr>
                <w:sz w:val="14"/>
                <w:szCs w:val="14"/>
                <w:color w:val="auto"/>
              </w:rPr>
            </w:pPr>
          </w:p>
        </w:tc>
        <w:tc>
          <w:tcPr>
            <w:tcW w:w="980" w:type="dxa"/>
            <w:vAlign w:val="bottom"/>
            <w:shd w:val="clear" w:color="auto" w:fill="BF2115"/>
          </w:tcPr>
          <w:p>
            <w:pPr>
              <w:spacing w:after="0"/>
              <w:rPr>
                <w:sz w:val="14"/>
                <w:szCs w:val="14"/>
                <w:color w:val="auto"/>
              </w:rPr>
            </w:pPr>
          </w:p>
        </w:tc>
        <w:tc>
          <w:tcPr>
            <w:tcW w:w="0" w:type="dxa"/>
            <w:vAlign w:val="bottom"/>
          </w:tcPr>
          <w:p>
            <w:pPr>
              <w:spacing w:after="0"/>
              <w:rPr>
                <w:sz w:val="1"/>
                <w:szCs w:val="1"/>
                <w:color w:val="auto"/>
              </w:rPr>
            </w:pPr>
          </w:p>
        </w:tc>
      </w:tr>
      <w:tr>
        <w:trPr>
          <w:trHeight w:val="184"/>
        </w:trPr>
        <w:tc>
          <w:tcPr>
            <w:tcW w:w="1620" w:type="dxa"/>
            <w:vAlign w:val="bottom"/>
            <w:shd w:val="clear" w:color="auto" w:fill="BF2115"/>
          </w:tcPr>
          <w:p>
            <w:pPr>
              <w:ind w:left="720"/>
              <w:spacing w:after="0"/>
              <w:rPr>
                <w:sz w:val="20"/>
                <w:szCs w:val="20"/>
                <w:color w:val="auto"/>
              </w:rPr>
            </w:pPr>
            <w:r>
              <w:rPr>
                <w:rFonts w:ascii="Arial" w:cs="Arial" w:eastAsia="Arial" w:hAnsi="Arial"/>
                <w:sz w:val="14"/>
                <w:szCs w:val="14"/>
                <w:color w:val="FFFFFF"/>
              </w:rPr>
              <w:t>Name</w:t>
            </w:r>
          </w:p>
        </w:tc>
        <w:tc>
          <w:tcPr>
            <w:tcW w:w="1200" w:type="dxa"/>
            <w:vAlign w:val="bottom"/>
            <w:shd w:val="clear" w:color="auto" w:fill="BF2115"/>
          </w:tcPr>
          <w:p>
            <w:pPr>
              <w:jc w:val="center"/>
              <w:ind w:left="248"/>
              <w:spacing w:after="0"/>
              <w:rPr>
                <w:sz w:val="20"/>
                <w:szCs w:val="20"/>
                <w:color w:val="auto"/>
              </w:rPr>
            </w:pPr>
            <w:r>
              <w:rPr>
                <w:rFonts w:ascii="Arial" w:cs="Arial" w:eastAsia="Arial" w:hAnsi="Arial"/>
                <w:sz w:val="14"/>
                <w:szCs w:val="14"/>
                <w:color w:val="FFFFFF"/>
              </w:rPr>
              <w:t>Planning</w:t>
            </w:r>
          </w:p>
        </w:tc>
        <w:tc>
          <w:tcPr>
            <w:tcW w:w="1140" w:type="dxa"/>
            <w:vAlign w:val="bottom"/>
            <w:shd w:val="clear" w:color="auto" w:fill="BF2115"/>
          </w:tcPr>
          <w:p>
            <w:pPr>
              <w:ind w:left="140"/>
              <w:spacing w:after="0"/>
              <w:rPr>
                <w:sz w:val="20"/>
                <w:szCs w:val="20"/>
                <w:color w:val="auto"/>
              </w:rPr>
            </w:pPr>
            <w:r>
              <w:rPr>
                <w:rFonts w:ascii="Arial" w:cs="Arial" w:eastAsia="Arial" w:hAnsi="Arial"/>
                <w:sz w:val="14"/>
                <w:szCs w:val="14"/>
                <w:color w:val="FFFFFF"/>
              </w:rPr>
              <w:t>Car Allowance</w:t>
            </w:r>
          </w:p>
        </w:tc>
        <w:tc>
          <w:tcPr>
            <w:tcW w:w="1080" w:type="dxa"/>
            <w:vAlign w:val="bottom"/>
            <w:shd w:val="clear" w:color="auto" w:fill="BF2115"/>
          </w:tcPr>
          <w:p>
            <w:pPr>
              <w:jc w:val="center"/>
              <w:spacing w:after="0"/>
              <w:rPr>
                <w:sz w:val="20"/>
                <w:szCs w:val="20"/>
                <w:color w:val="auto"/>
              </w:rPr>
            </w:pPr>
            <w:r>
              <w:rPr>
                <w:rFonts w:ascii="Arial" w:cs="Arial" w:eastAsia="Arial" w:hAnsi="Arial"/>
                <w:sz w:val="14"/>
                <w:szCs w:val="14"/>
                <w:color w:val="FFFFFF"/>
              </w:rPr>
              <w:t>Premiums</w:t>
            </w:r>
          </w:p>
        </w:tc>
        <w:tc>
          <w:tcPr>
            <w:tcW w:w="920" w:type="dxa"/>
            <w:vAlign w:val="bottom"/>
            <w:vMerge w:val="continue"/>
            <w:shd w:val="clear" w:color="auto" w:fill="BF2115"/>
          </w:tcPr>
          <w:p>
            <w:pPr>
              <w:spacing w:after="0"/>
              <w:rPr>
                <w:sz w:val="16"/>
                <w:szCs w:val="16"/>
                <w:color w:val="auto"/>
              </w:rPr>
            </w:pPr>
          </w:p>
        </w:tc>
        <w:tc>
          <w:tcPr>
            <w:tcW w:w="1160" w:type="dxa"/>
            <w:vAlign w:val="bottom"/>
            <w:shd w:val="clear" w:color="auto" w:fill="BF2115"/>
          </w:tcPr>
          <w:p>
            <w:pPr>
              <w:ind w:left="120"/>
              <w:spacing w:after="0"/>
              <w:rPr>
                <w:sz w:val="20"/>
                <w:szCs w:val="20"/>
                <w:color w:val="auto"/>
              </w:rPr>
            </w:pPr>
            <w:r>
              <w:rPr>
                <w:rFonts w:ascii="Arial" w:cs="Arial" w:eastAsia="Arial" w:hAnsi="Arial"/>
                <w:sz w:val="14"/>
                <w:szCs w:val="14"/>
                <w:color w:val="FFFFFF"/>
              </w:rPr>
              <w:t>401(k) Match</w:t>
            </w:r>
          </w:p>
        </w:tc>
        <w:tc>
          <w:tcPr>
            <w:tcW w:w="980" w:type="dxa"/>
            <w:vAlign w:val="bottom"/>
            <w:shd w:val="clear" w:color="auto" w:fill="BF2115"/>
          </w:tcPr>
          <w:p>
            <w:pPr>
              <w:ind w:left="280"/>
              <w:spacing w:after="0"/>
              <w:rPr>
                <w:sz w:val="20"/>
                <w:szCs w:val="20"/>
                <w:color w:val="auto"/>
              </w:rPr>
            </w:pPr>
            <w:r>
              <w:rPr>
                <w:rFonts w:ascii="Arial" w:cs="Arial" w:eastAsia="Arial" w:hAnsi="Arial"/>
                <w:sz w:val="14"/>
                <w:szCs w:val="14"/>
                <w:color w:val="FFFFFF"/>
              </w:rPr>
              <w:t>Total</w:t>
            </w:r>
          </w:p>
        </w:tc>
        <w:tc>
          <w:tcPr>
            <w:tcW w:w="0" w:type="dxa"/>
            <w:vAlign w:val="bottom"/>
          </w:tcPr>
          <w:p>
            <w:pPr>
              <w:spacing w:after="0"/>
              <w:rPr>
                <w:sz w:val="1"/>
                <w:szCs w:val="1"/>
                <w:color w:val="auto"/>
              </w:rPr>
            </w:pPr>
          </w:p>
        </w:tc>
      </w:tr>
      <w:tr>
        <w:trPr>
          <w:trHeight w:val="210"/>
        </w:trPr>
        <w:tc>
          <w:tcPr>
            <w:tcW w:w="1620" w:type="dxa"/>
            <w:vAlign w:val="bottom"/>
          </w:tcPr>
          <w:p>
            <w:pPr>
              <w:ind w:left="20"/>
              <w:spacing w:after="0"/>
              <w:rPr>
                <w:sz w:val="20"/>
                <w:szCs w:val="20"/>
                <w:color w:val="auto"/>
              </w:rPr>
            </w:pPr>
            <w:r>
              <w:rPr>
                <w:rFonts w:ascii="Arial" w:cs="Arial" w:eastAsia="Arial" w:hAnsi="Arial"/>
                <w:sz w:val="14"/>
                <w:szCs w:val="14"/>
                <w:color w:val="auto"/>
              </w:rPr>
              <w:t>Michael J. Happe</w:t>
            </w:r>
          </w:p>
        </w:tc>
        <w:tc>
          <w:tcPr>
            <w:tcW w:w="1200" w:type="dxa"/>
            <w:vAlign w:val="bottom"/>
          </w:tcPr>
          <w:p>
            <w:pPr>
              <w:jc w:val="center"/>
              <w:ind w:left="248"/>
              <w:spacing w:after="0"/>
              <w:rPr>
                <w:sz w:val="20"/>
                <w:szCs w:val="20"/>
                <w:color w:val="auto"/>
              </w:rPr>
            </w:pPr>
            <w:r>
              <w:rPr>
                <w:rFonts w:ascii="Arial" w:cs="Arial" w:eastAsia="Arial" w:hAnsi="Arial"/>
                <w:sz w:val="14"/>
                <w:szCs w:val="14"/>
                <w:color w:val="auto"/>
              </w:rPr>
              <w:t>$8,183</w:t>
            </w:r>
          </w:p>
        </w:tc>
        <w:tc>
          <w:tcPr>
            <w:tcW w:w="1140" w:type="dxa"/>
            <w:vAlign w:val="bottom"/>
          </w:tcPr>
          <w:p>
            <w:pPr>
              <w:jc w:val="center"/>
              <w:spacing w:after="0"/>
              <w:rPr>
                <w:sz w:val="20"/>
                <w:szCs w:val="20"/>
                <w:color w:val="auto"/>
              </w:rPr>
            </w:pPr>
            <w:r>
              <w:rPr>
                <w:rFonts w:ascii="Arial" w:cs="Arial" w:eastAsia="Arial" w:hAnsi="Arial"/>
                <w:sz w:val="14"/>
                <w:szCs w:val="14"/>
                <w:color w:val="auto"/>
              </w:rPr>
              <w:t>$18,400</w:t>
            </w:r>
          </w:p>
        </w:tc>
        <w:tc>
          <w:tcPr>
            <w:tcW w:w="1080" w:type="dxa"/>
            <w:vAlign w:val="bottom"/>
          </w:tcPr>
          <w:p>
            <w:pPr>
              <w:jc w:val="center"/>
              <w:spacing w:after="0"/>
              <w:rPr>
                <w:sz w:val="20"/>
                <w:szCs w:val="20"/>
                <w:color w:val="auto"/>
              </w:rPr>
            </w:pPr>
            <w:r>
              <w:rPr>
                <w:rFonts w:ascii="Arial" w:cs="Arial" w:eastAsia="Arial" w:hAnsi="Arial"/>
                <w:sz w:val="14"/>
                <w:szCs w:val="14"/>
                <w:color w:val="auto"/>
              </w:rPr>
              <w:t>$952</w:t>
            </w:r>
          </w:p>
        </w:tc>
        <w:tc>
          <w:tcPr>
            <w:tcW w:w="920" w:type="dxa"/>
            <w:vAlign w:val="bottom"/>
          </w:tcPr>
          <w:p>
            <w:pPr>
              <w:jc w:val="center"/>
              <w:spacing w:after="0"/>
              <w:rPr>
                <w:sz w:val="20"/>
                <w:szCs w:val="20"/>
                <w:color w:val="auto"/>
              </w:rPr>
            </w:pPr>
            <w:r>
              <w:rPr>
                <w:rFonts w:ascii="Arial" w:cs="Arial" w:eastAsia="Arial" w:hAnsi="Arial"/>
                <w:sz w:val="14"/>
                <w:szCs w:val="14"/>
                <w:color w:val="auto"/>
              </w:rPr>
              <w:t>$9,277</w:t>
            </w:r>
          </w:p>
        </w:tc>
        <w:tc>
          <w:tcPr>
            <w:tcW w:w="1160" w:type="dxa"/>
            <w:vAlign w:val="bottom"/>
          </w:tcPr>
          <w:p>
            <w:pPr>
              <w:jc w:val="center"/>
              <w:ind w:right="8"/>
              <w:spacing w:after="0"/>
              <w:rPr>
                <w:sz w:val="20"/>
                <w:szCs w:val="20"/>
                <w:color w:val="auto"/>
              </w:rPr>
            </w:pPr>
            <w:r>
              <w:rPr>
                <w:rFonts w:ascii="Arial" w:cs="Arial" w:eastAsia="Arial" w:hAnsi="Arial"/>
                <w:sz w:val="14"/>
                <w:szCs w:val="14"/>
                <w:color w:val="auto"/>
              </w:rPr>
              <w:t>$7,270</w:t>
            </w:r>
          </w:p>
        </w:tc>
        <w:tc>
          <w:tcPr>
            <w:tcW w:w="980" w:type="dxa"/>
            <w:vAlign w:val="bottom"/>
          </w:tcPr>
          <w:p>
            <w:pPr>
              <w:jc w:val="center"/>
              <w:ind w:right="28"/>
              <w:spacing w:after="0"/>
              <w:rPr>
                <w:sz w:val="20"/>
                <w:szCs w:val="20"/>
                <w:color w:val="auto"/>
              </w:rPr>
            </w:pPr>
            <w:r>
              <w:rPr>
                <w:rFonts w:ascii="Arial" w:cs="Arial" w:eastAsia="Arial" w:hAnsi="Arial"/>
                <w:sz w:val="14"/>
                <w:szCs w:val="14"/>
                <w:color w:val="auto"/>
              </w:rPr>
              <w:t>$44,082</w:t>
            </w:r>
          </w:p>
        </w:tc>
        <w:tc>
          <w:tcPr>
            <w:tcW w:w="0" w:type="dxa"/>
            <w:vAlign w:val="bottom"/>
          </w:tcPr>
          <w:p>
            <w:pPr>
              <w:spacing w:after="0"/>
              <w:rPr>
                <w:sz w:val="1"/>
                <w:szCs w:val="1"/>
                <w:color w:val="auto"/>
              </w:rPr>
            </w:pPr>
          </w:p>
        </w:tc>
      </w:tr>
      <w:tr>
        <w:trPr>
          <w:trHeight w:val="222"/>
        </w:trPr>
        <w:tc>
          <w:tcPr>
            <w:tcW w:w="1620" w:type="dxa"/>
            <w:vAlign w:val="bottom"/>
            <w:shd w:val="clear" w:color="auto" w:fill="ACACAC"/>
          </w:tcPr>
          <w:p>
            <w:pPr>
              <w:ind w:left="20"/>
              <w:spacing w:after="0"/>
              <w:rPr>
                <w:sz w:val="20"/>
                <w:szCs w:val="20"/>
                <w:color w:val="auto"/>
              </w:rPr>
            </w:pPr>
            <w:r>
              <w:rPr>
                <w:rFonts w:ascii="Arial" w:cs="Arial" w:eastAsia="Arial" w:hAnsi="Arial"/>
                <w:sz w:val="14"/>
                <w:szCs w:val="14"/>
                <w:color w:val="auto"/>
              </w:rPr>
              <w:t>Bryan L. Hughes</w:t>
            </w:r>
          </w:p>
        </w:tc>
        <w:tc>
          <w:tcPr>
            <w:tcW w:w="1200" w:type="dxa"/>
            <w:vAlign w:val="bottom"/>
            <w:shd w:val="clear" w:color="auto" w:fill="ACACAC"/>
          </w:tcPr>
          <w:p>
            <w:pPr>
              <w:jc w:val="center"/>
              <w:ind w:left="248"/>
              <w:spacing w:after="0"/>
              <w:rPr>
                <w:sz w:val="20"/>
                <w:szCs w:val="20"/>
                <w:color w:val="auto"/>
              </w:rPr>
            </w:pPr>
            <w:r>
              <w:rPr>
                <w:rFonts w:ascii="Arial" w:cs="Arial" w:eastAsia="Arial" w:hAnsi="Arial"/>
                <w:sz w:val="14"/>
                <w:szCs w:val="14"/>
                <w:color w:val="auto"/>
              </w:rPr>
              <w:t>$8,183</w:t>
            </w:r>
          </w:p>
        </w:tc>
        <w:tc>
          <w:tcPr>
            <w:tcW w:w="1140" w:type="dxa"/>
            <w:vAlign w:val="bottom"/>
            <w:shd w:val="clear" w:color="auto" w:fill="ACACAC"/>
          </w:tcPr>
          <w:p>
            <w:pPr>
              <w:jc w:val="center"/>
              <w:spacing w:after="0"/>
              <w:rPr>
                <w:sz w:val="20"/>
                <w:szCs w:val="20"/>
                <w:color w:val="auto"/>
              </w:rPr>
            </w:pPr>
            <w:r>
              <w:rPr>
                <w:rFonts w:ascii="Arial" w:cs="Arial" w:eastAsia="Arial" w:hAnsi="Arial"/>
                <w:sz w:val="14"/>
                <w:szCs w:val="14"/>
                <w:color w:val="auto"/>
              </w:rPr>
              <w:t>$18,400</w:t>
            </w:r>
          </w:p>
        </w:tc>
        <w:tc>
          <w:tcPr>
            <w:tcW w:w="1080" w:type="dxa"/>
            <w:vAlign w:val="bottom"/>
            <w:shd w:val="clear" w:color="auto" w:fill="ACACAC"/>
          </w:tcPr>
          <w:p>
            <w:pPr>
              <w:jc w:val="center"/>
              <w:spacing w:after="0"/>
              <w:rPr>
                <w:sz w:val="20"/>
                <w:szCs w:val="20"/>
                <w:color w:val="auto"/>
              </w:rPr>
            </w:pPr>
            <w:r>
              <w:rPr>
                <w:rFonts w:ascii="Arial" w:cs="Arial" w:eastAsia="Arial" w:hAnsi="Arial"/>
                <w:sz w:val="14"/>
                <w:szCs w:val="14"/>
                <w:color w:val="auto"/>
              </w:rPr>
              <w:t>$952</w:t>
            </w:r>
          </w:p>
        </w:tc>
        <w:tc>
          <w:tcPr>
            <w:tcW w:w="920" w:type="dxa"/>
            <w:vAlign w:val="bottom"/>
            <w:shd w:val="clear" w:color="auto" w:fill="ACACAC"/>
          </w:tcPr>
          <w:p>
            <w:pPr>
              <w:jc w:val="center"/>
              <w:spacing w:after="0"/>
              <w:rPr>
                <w:sz w:val="20"/>
                <w:szCs w:val="20"/>
                <w:color w:val="auto"/>
              </w:rPr>
            </w:pPr>
            <w:r>
              <w:rPr>
                <w:rFonts w:ascii="Arial" w:cs="Arial" w:eastAsia="Arial" w:hAnsi="Arial"/>
                <w:sz w:val="14"/>
                <w:szCs w:val="14"/>
                <w:color w:val="auto"/>
              </w:rPr>
              <w:t>$5,122</w:t>
            </w:r>
          </w:p>
        </w:tc>
        <w:tc>
          <w:tcPr>
            <w:tcW w:w="1160" w:type="dxa"/>
            <w:vAlign w:val="bottom"/>
            <w:shd w:val="clear" w:color="auto" w:fill="ACACAC"/>
          </w:tcPr>
          <w:p>
            <w:pPr>
              <w:jc w:val="center"/>
              <w:ind w:right="8"/>
              <w:spacing w:after="0"/>
              <w:rPr>
                <w:sz w:val="20"/>
                <w:szCs w:val="20"/>
                <w:color w:val="auto"/>
              </w:rPr>
            </w:pPr>
            <w:r>
              <w:rPr>
                <w:rFonts w:ascii="Arial" w:cs="Arial" w:eastAsia="Arial" w:hAnsi="Arial"/>
                <w:sz w:val="14"/>
                <w:szCs w:val="14"/>
                <w:color w:val="auto"/>
              </w:rPr>
              <w:t>$4,789</w:t>
            </w:r>
          </w:p>
        </w:tc>
        <w:tc>
          <w:tcPr>
            <w:tcW w:w="980" w:type="dxa"/>
            <w:vAlign w:val="bottom"/>
            <w:shd w:val="clear" w:color="auto" w:fill="ACACAC"/>
          </w:tcPr>
          <w:p>
            <w:pPr>
              <w:jc w:val="center"/>
              <w:ind w:right="28"/>
              <w:spacing w:after="0"/>
              <w:rPr>
                <w:sz w:val="20"/>
                <w:szCs w:val="20"/>
                <w:color w:val="auto"/>
              </w:rPr>
            </w:pPr>
            <w:r>
              <w:rPr>
                <w:rFonts w:ascii="Arial" w:cs="Arial" w:eastAsia="Arial" w:hAnsi="Arial"/>
                <w:sz w:val="14"/>
                <w:szCs w:val="14"/>
                <w:color w:val="auto"/>
              </w:rPr>
              <w:t>$37,446</w:t>
            </w:r>
          </w:p>
        </w:tc>
        <w:tc>
          <w:tcPr>
            <w:tcW w:w="0" w:type="dxa"/>
            <w:vAlign w:val="bottom"/>
          </w:tcPr>
          <w:p>
            <w:pPr>
              <w:spacing w:after="0"/>
              <w:rPr>
                <w:sz w:val="1"/>
                <w:szCs w:val="1"/>
                <w:color w:val="auto"/>
              </w:rPr>
            </w:pPr>
          </w:p>
        </w:tc>
      </w:tr>
      <w:tr>
        <w:trPr>
          <w:trHeight w:val="210"/>
        </w:trPr>
        <w:tc>
          <w:tcPr>
            <w:tcW w:w="1620" w:type="dxa"/>
            <w:vAlign w:val="bottom"/>
          </w:tcPr>
          <w:p>
            <w:pPr>
              <w:ind w:left="20"/>
              <w:spacing w:after="0"/>
              <w:rPr>
                <w:sz w:val="20"/>
                <w:szCs w:val="20"/>
                <w:color w:val="auto"/>
              </w:rPr>
            </w:pPr>
            <w:r>
              <w:rPr>
                <w:rFonts w:ascii="Arial" w:cs="Arial" w:eastAsia="Arial" w:hAnsi="Arial"/>
                <w:sz w:val="14"/>
                <w:szCs w:val="14"/>
                <w:color w:val="auto"/>
              </w:rPr>
              <w:t>Stacy L. Bogart</w:t>
            </w:r>
          </w:p>
        </w:tc>
        <w:tc>
          <w:tcPr>
            <w:tcW w:w="1200" w:type="dxa"/>
            <w:vAlign w:val="bottom"/>
          </w:tcPr>
          <w:p>
            <w:pPr>
              <w:jc w:val="center"/>
              <w:ind w:left="248"/>
              <w:spacing w:after="0"/>
              <w:rPr>
                <w:sz w:val="20"/>
                <w:szCs w:val="20"/>
                <w:color w:val="auto"/>
              </w:rPr>
            </w:pPr>
            <w:r>
              <w:rPr>
                <w:rFonts w:ascii="Arial" w:cs="Arial" w:eastAsia="Arial" w:hAnsi="Arial"/>
                <w:sz w:val="14"/>
                <w:szCs w:val="14"/>
                <w:color w:val="auto"/>
              </w:rPr>
              <w:t>$8,183</w:t>
            </w:r>
          </w:p>
        </w:tc>
        <w:tc>
          <w:tcPr>
            <w:tcW w:w="1140" w:type="dxa"/>
            <w:vAlign w:val="bottom"/>
          </w:tcPr>
          <w:p>
            <w:pPr>
              <w:jc w:val="center"/>
              <w:spacing w:after="0"/>
              <w:rPr>
                <w:sz w:val="20"/>
                <w:szCs w:val="20"/>
                <w:color w:val="auto"/>
              </w:rPr>
            </w:pPr>
            <w:r>
              <w:rPr>
                <w:rFonts w:ascii="Arial" w:cs="Arial" w:eastAsia="Arial" w:hAnsi="Arial"/>
                <w:sz w:val="14"/>
                <w:szCs w:val="14"/>
                <w:color w:val="auto"/>
              </w:rPr>
              <w:t>$7,846</w:t>
            </w:r>
          </w:p>
        </w:tc>
        <w:tc>
          <w:tcPr>
            <w:tcW w:w="1080" w:type="dxa"/>
            <w:vAlign w:val="bottom"/>
          </w:tcPr>
          <w:p>
            <w:pPr>
              <w:jc w:val="center"/>
              <w:spacing w:after="0"/>
              <w:rPr>
                <w:sz w:val="20"/>
                <w:szCs w:val="20"/>
                <w:color w:val="auto"/>
              </w:rPr>
            </w:pPr>
            <w:r>
              <w:rPr>
                <w:rFonts w:ascii="Arial" w:cs="Arial" w:eastAsia="Arial" w:hAnsi="Arial"/>
                <w:sz w:val="14"/>
                <w:szCs w:val="14"/>
                <w:color w:val="auto"/>
              </w:rPr>
              <w:t>$952</w:t>
            </w:r>
          </w:p>
        </w:tc>
        <w:tc>
          <w:tcPr>
            <w:tcW w:w="920" w:type="dxa"/>
            <w:vAlign w:val="bottom"/>
          </w:tcPr>
          <w:p>
            <w:pPr>
              <w:jc w:val="center"/>
              <w:spacing w:after="0"/>
              <w:rPr>
                <w:sz w:val="20"/>
                <w:szCs w:val="20"/>
                <w:color w:val="auto"/>
              </w:rPr>
            </w:pPr>
            <w:r>
              <w:rPr>
                <w:rFonts w:ascii="Arial" w:cs="Arial" w:eastAsia="Arial" w:hAnsi="Arial"/>
                <w:sz w:val="14"/>
                <w:szCs w:val="14"/>
                <w:color w:val="auto"/>
              </w:rPr>
              <w:t>$3,000</w:t>
            </w:r>
          </w:p>
        </w:tc>
        <w:tc>
          <w:tcPr>
            <w:tcW w:w="1160" w:type="dxa"/>
            <w:vAlign w:val="bottom"/>
          </w:tcPr>
          <w:p>
            <w:pPr>
              <w:jc w:val="center"/>
              <w:ind w:right="8"/>
              <w:spacing w:after="0"/>
              <w:rPr>
                <w:sz w:val="20"/>
                <w:szCs w:val="20"/>
                <w:color w:val="auto"/>
              </w:rPr>
            </w:pPr>
            <w:r>
              <w:rPr>
                <w:rFonts w:ascii="Arial" w:cs="Arial" w:eastAsia="Arial" w:hAnsi="Arial"/>
                <w:sz w:val="14"/>
                <w:szCs w:val="14"/>
                <w:color w:val="auto"/>
              </w:rPr>
              <w:t>$5,267</w:t>
            </w:r>
          </w:p>
        </w:tc>
        <w:tc>
          <w:tcPr>
            <w:tcW w:w="980" w:type="dxa"/>
            <w:vAlign w:val="bottom"/>
          </w:tcPr>
          <w:p>
            <w:pPr>
              <w:jc w:val="center"/>
              <w:ind w:right="28"/>
              <w:spacing w:after="0"/>
              <w:rPr>
                <w:sz w:val="20"/>
                <w:szCs w:val="20"/>
                <w:color w:val="auto"/>
              </w:rPr>
            </w:pPr>
            <w:r>
              <w:rPr>
                <w:rFonts w:ascii="Arial" w:cs="Arial" w:eastAsia="Arial" w:hAnsi="Arial"/>
                <w:sz w:val="14"/>
                <w:szCs w:val="14"/>
                <w:color w:val="auto"/>
              </w:rPr>
              <w:t>$25,248</w:t>
            </w:r>
          </w:p>
        </w:tc>
        <w:tc>
          <w:tcPr>
            <w:tcW w:w="0" w:type="dxa"/>
            <w:vAlign w:val="bottom"/>
          </w:tcPr>
          <w:p>
            <w:pPr>
              <w:spacing w:after="0"/>
              <w:rPr>
                <w:sz w:val="1"/>
                <w:szCs w:val="1"/>
                <w:color w:val="auto"/>
              </w:rPr>
            </w:pPr>
          </w:p>
        </w:tc>
      </w:tr>
      <w:tr>
        <w:trPr>
          <w:trHeight w:val="222"/>
        </w:trPr>
        <w:tc>
          <w:tcPr>
            <w:tcW w:w="1620" w:type="dxa"/>
            <w:vAlign w:val="bottom"/>
            <w:shd w:val="clear" w:color="auto" w:fill="ACACAC"/>
          </w:tcPr>
          <w:p>
            <w:pPr>
              <w:ind w:left="20"/>
              <w:spacing w:after="0"/>
              <w:rPr>
                <w:sz w:val="20"/>
                <w:szCs w:val="20"/>
                <w:color w:val="auto"/>
              </w:rPr>
            </w:pPr>
            <w:r>
              <w:rPr>
                <w:rFonts w:ascii="Arial" w:cs="Arial" w:eastAsia="Arial" w:hAnsi="Arial"/>
                <w:sz w:val="14"/>
                <w:szCs w:val="14"/>
                <w:color w:val="auto"/>
              </w:rPr>
              <w:t>Donald J. Clark</w:t>
            </w:r>
          </w:p>
        </w:tc>
        <w:tc>
          <w:tcPr>
            <w:tcW w:w="1200" w:type="dxa"/>
            <w:vAlign w:val="bottom"/>
            <w:shd w:val="clear" w:color="auto" w:fill="ACACAC"/>
          </w:tcPr>
          <w:p>
            <w:pPr>
              <w:jc w:val="center"/>
              <w:ind w:left="248"/>
              <w:spacing w:after="0"/>
              <w:rPr>
                <w:sz w:val="20"/>
                <w:szCs w:val="20"/>
                <w:color w:val="auto"/>
              </w:rPr>
            </w:pPr>
            <w:r>
              <w:rPr>
                <w:rFonts w:ascii="Arial" w:cs="Arial" w:eastAsia="Arial" w:hAnsi="Arial"/>
                <w:sz w:val="14"/>
                <w:szCs w:val="14"/>
                <w:color w:val="auto"/>
              </w:rPr>
              <w:t>_</w:t>
            </w:r>
          </w:p>
        </w:tc>
        <w:tc>
          <w:tcPr>
            <w:tcW w:w="1140" w:type="dxa"/>
            <w:vAlign w:val="bottom"/>
            <w:shd w:val="clear" w:color="auto" w:fill="ACACAC"/>
          </w:tcPr>
          <w:p>
            <w:pPr>
              <w:jc w:val="center"/>
              <w:spacing w:after="0"/>
              <w:rPr>
                <w:sz w:val="20"/>
                <w:szCs w:val="20"/>
                <w:color w:val="auto"/>
              </w:rPr>
            </w:pPr>
            <w:r>
              <w:rPr>
                <w:rFonts w:ascii="Arial" w:cs="Arial" w:eastAsia="Arial" w:hAnsi="Arial"/>
                <w:sz w:val="14"/>
                <w:szCs w:val="14"/>
                <w:color w:val="auto"/>
              </w:rPr>
              <w:t>_</w:t>
            </w:r>
          </w:p>
        </w:tc>
        <w:tc>
          <w:tcPr>
            <w:tcW w:w="1080" w:type="dxa"/>
            <w:vAlign w:val="bottom"/>
            <w:shd w:val="clear" w:color="auto" w:fill="ACACAC"/>
          </w:tcPr>
          <w:p>
            <w:pPr>
              <w:jc w:val="center"/>
              <w:spacing w:after="0"/>
              <w:rPr>
                <w:sz w:val="20"/>
                <w:szCs w:val="20"/>
                <w:color w:val="auto"/>
              </w:rPr>
            </w:pPr>
            <w:r>
              <w:rPr>
                <w:rFonts w:ascii="Arial" w:cs="Arial" w:eastAsia="Arial" w:hAnsi="Arial"/>
                <w:sz w:val="14"/>
                <w:szCs w:val="14"/>
                <w:color w:val="auto"/>
              </w:rPr>
              <w:t>_</w:t>
            </w:r>
          </w:p>
        </w:tc>
        <w:tc>
          <w:tcPr>
            <w:tcW w:w="920" w:type="dxa"/>
            <w:vAlign w:val="bottom"/>
            <w:shd w:val="clear" w:color="auto" w:fill="ACACAC"/>
          </w:tcPr>
          <w:p>
            <w:pPr>
              <w:jc w:val="center"/>
              <w:spacing w:after="0"/>
              <w:rPr>
                <w:sz w:val="20"/>
                <w:szCs w:val="20"/>
                <w:color w:val="auto"/>
              </w:rPr>
            </w:pPr>
            <w:r>
              <w:rPr>
                <w:rFonts w:ascii="Arial" w:cs="Arial" w:eastAsia="Arial" w:hAnsi="Arial"/>
                <w:sz w:val="14"/>
                <w:szCs w:val="14"/>
                <w:color w:val="auto"/>
              </w:rPr>
              <w:t>_</w:t>
            </w:r>
          </w:p>
        </w:tc>
        <w:tc>
          <w:tcPr>
            <w:tcW w:w="1160" w:type="dxa"/>
            <w:vAlign w:val="bottom"/>
            <w:shd w:val="clear" w:color="auto" w:fill="ACACAC"/>
          </w:tcPr>
          <w:p>
            <w:pPr>
              <w:jc w:val="center"/>
              <w:ind w:right="8"/>
              <w:spacing w:after="0"/>
              <w:rPr>
                <w:sz w:val="20"/>
                <w:szCs w:val="20"/>
                <w:color w:val="auto"/>
              </w:rPr>
            </w:pPr>
            <w:r>
              <w:rPr>
                <w:rFonts w:ascii="Arial" w:cs="Arial" w:eastAsia="Arial" w:hAnsi="Arial"/>
                <w:sz w:val="14"/>
                <w:szCs w:val="14"/>
                <w:color w:val="auto"/>
              </w:rPr>
              <w:t>_</w:t>
            </w:r>
          </w:p>
        </w:tc>
        <w:tc>
          <w:tcPr>
            <w:tcW w:w="980" w:type="dxa"/>
            <w:vAlign w:val="bottom"/>
            <w:shd w:val="clear" w:color="auto" w:fill="ACACAC"/>
          </w:tcPr>
          <w:p>
            <w:pPr>
              <w:jc w:val="center"/>
              <w:ind w:right="28"/>
              <w:spacing w:after="0"/>
              <w:rPr>
                <w:sz w:val="20"/>
                <w:szCs w:val="20"/>
                <w:color w:val="auto"/>
              </w:rPr>
            </w:pPr>
            <w:r>
              <w:rPr>
                <w:rFonts w:ascii="Arial" w:cs="Arial" w:eastAsia="Arial" w:hAnsi="Arial"/>
                <w:sz w:val="14"/>
                <w:szCs w:val="14"/>
                <w:color w:val="auto"/>
              </w:rPr>
              <w:t>_</w:t>
            </w:r>
          </w:p>
        </w:tc>
        <w:tc>
          <w:tcPr>
            <w:tcW w:w="0" w:type="dxa"/>
            <w:vAlign w:val="bottom"/>
          </w:tcPr>
          <w:p>
            <w:pPr>
              <w:spacing w:after="0"/>
              <w:rPr>
                <w:sz w:val="1"/>
                <w:szCs w:val="1"/>
                <w:color w:val="auto"/>
              </w:rPr>
            </w:pPr>
          </w:p>
        </w:tc>
      </w:tr>
      <w:tr>
        <w:trPr>
          <w:trHeight w:val="204"/>
        </w:trPr>
        <w:tc>
          <w:tcPr>
            <w:tcW w:w="1620" w:type="dxa"/>
            <w:vAlign w:val="bottom"/>
          </w:tcPr>
          <w:p>
            <w:pPr>
              <w:ind w:left="20"/>
              <w:spacing w:after="0"/>
              <w:rPr>
                <w:sz w:val="20"/>
                <w:szCs w:val="20"/>
                <w:color w:val="auto"/>
              </w:rPr>
            </w:pPr>
            <w:r>
              <w:rPr>
                <w:rFonts w:ascii="Arial" w:cs="Arial" w:eastAsia="Arial" w:hAnsi="Arial"/>
                <w:sz w:val="14"/>
                <w:szCs w:val="14"/>
                <w:color w:val="auto"/>
              </w:rPr>
              <w:t>Brian D. Hazelton</w:t>
            </w:r>
          </w:p>
        </w:tc>
        <w:tc>
          <w:tcPr>
            <w:tcW w:w="1200" w:type="dxa"/>
            <w:vAlign w:val="bottom"/>
          </w:tcPr>
          <w:p>
            <w:pPr>
              <w:jc w:val="center"/>
              <w:ind w:left="248"/>
              <w:spacing w:after="0"/>
              <w:rPr>
                <w:sz w:val="20"/>
                <w:szCs w:val="20"/>
                <w:color w:val="auto"/>
              </w:rPr>
            </w:pPr>
            <w:r>
              <w:rPr>
                <w:rFonts w:ascii="Arial" w:cs="Arial" w:eastAsia="Arial" w:hAnsi="Arial"/>
                <w:sz w:val="14"/>
                <w:szCs w:val="14"/>
                <w:color w:val="auto"/>
              </w:rPr>
              <w:t>$8,183</w:t>
            </w:r>
          </w:p>
        </w:tc>
        <w:tc>
          <w:tcPr>
            <w:tcW w:w="1140" w:type="dxa"/>
            <w:vAlign w:val="bottom"/>
          </w:tcPr>
          <w:p>
            <w:pPr>
              <w:jc w:val="center"/>
              <w:spacing w:after="0"/>
              <w:rPr>
                <w:sz w:val="20"/>
                <w:szCs w:val="20"/>
                <w:color w:val="auto"/>
              </w:rPr>
            </w:pPr>
            <w:r>
              <w:rPr>
                <w:rFonts w:ascii="Arial" w:cs="Arial" w:eastAsia="Arial" w:hAnsi="Arial"/>
                <w:sz w:val="14"/>
                <w:szCs w:val="14"/>
                <w:color w:val="auto"/>
              </w:rPr>
              <w:t>$18,400</w:t>
            </w:r>
          </w:p>
        </w:tc>
        <w:tc>
          <w:tcPr>
            <w:tcW w:w="1080" w:type="dxa"/>
            <w:vAlign w:val="bottom"/>
          </w:tcPr>
          <w:p>
            <w:pPr>
              <w:jc w:val="center"/>
              <w:spacing w:after="0"/>
              <w:rPr>
                <w:sz w:val="20"/>
                <w:szCs w:val="20"/>
                <w:color w:val="auto"/>
              </w:rPr>
            </w:pPr>
            <w:r>
              <w:rPr>
                <w:rFonts w:ascii="Arial" w:cs="Arial" w:eastAsia="Arial" w:hAnsi="Arial"/>
                <w:sz w:val="14"/>
                <w:szCs w:val="14"/>
                <w:color w:val="auto"/>
              </w:rPr>
              <w:t>$952</w:t>
            </w:r>
          </w:p>
        </w:tc>
        <w:tc>
          <w:tcPr>
            <w:tcW w:w="920" w:type="dxa"/>
            <w:vAlign w:val="bottom"/>
          </w:tcPr>
          <w:p>
            <w:pPr>
              <w:jc w:val="center"/>
              <w:spacing w:after="0"/>
              <w:rPr>
                <w:sz w:val="20"/>
                <w:szCs w:val="20"/>
                <w:color w:val="auto"/>
              </w:rPr>
            </w:pPr>
            <w:r>
              <w:rPr>
                <w:rFonts w:ascii="Arial" w:cs="Arial" w:eastAsia="Arial" w:hAnsi="Arial"/>
                <w:sz w:val="14"/>
                <w:szCs w:val="14"/>
                <w:color w:val="auto"/>
              </w:rPr>
              <w:t>$4,031</w:t>
            </w:r>
          </w:p>
        </w:tc>
        <w:tc>
          <w:tcPr>
            <w:tcW w:w="1160" w:type="dxa"/>
            <w:vAlign w:val="bottom"/>
          </w:tcPr>
          <w:p>
            <w:pPr>
              <w:jc w:val="center"/>
              <w:ind w:right="8"/>
              <w:spacing w:after="0"/>
              <w:rPr>
                <w:sz w:val="20"/>
                <w:szCs w:val="20"/>
                <w:color w:val="auto"/>
              </w:rPr>
            </w:pPr>
            <w:r>
              <w:rPr>
                <w:rFonts w:ascii="Arial" w:cs="Arial" w:eastAsia="Arial" w:hAnsi="Arial"/>
                <w:sz w:val="14"/>
                <w:szCs w:val="14"/>
                <w:color w:val="auto"/>
              </w:rPr>
              <w:t>$8,379</w:t>
            </w:r>
          </w:p>
        </w:tc>
        <w:tc>
          <w:tcPr>
            <w:tcW w:w="980" w:type="dxa"/>
            <w:vAlign w:val="bottom"/>
          </w:tcPr>
          <w:p>
            <w:pPr>
              <w:jc w:val="center"/>
              <w:ind w:right="28"/>
              <w:spacing w:after="0"/>
              <w:rPr>
                <w:sz w:val="20"/>
                <w:szCs w:val="20"/>
                <w:color w:val="auto"/>
              </w:rPr>
            </w:pPr>
            <w:r>
              <w:rPr>
                <w:rFonts w:ascii="Arial" w:cs="Arial" w:eastAsia="Arial" w:hAnsi="Arial"/>
                <w:sz w:val="14"/>
                <w:szCs w:val="14"/>
                <w:color w:val="auto"/>
              </w:rPr>
              <w:t>$39,945</w:t>
            </w:r>
          </w:p>
        </w:tc>
        <w:tc>
          <w:tcPr>
            <w:tcW w:w="0" w:type="dxa"/>
            <w:vAlign w:val="bottom"/>
          </w:tcPr>
          <w:p>
            <w:pPr>
              <w:spacing w:after="0"/>
              <w:rPr>
                <w:sz w:val="1"/>
                <w:szCs w:val="1"/>
                <w:color w:val="auto"/>
              </w:rPr>
            </w:pPr>
          </w:p>
        </w:tc>
      </w:tr>
    </w:tbl>
    <w:p>
      <w:pPr>
        <w:spacing w:after="0" w:line="71" w:lineRule="exact"/>
        <w:rPr>
          <w:sz w:val="20"/>
          <w:szCs w:val="20"/>
          <w:color w:val="auto"/>
        </w:rPr>
      </w:pPr>
    </w:p>
    <w:p>
      <w:pPr>
        <w:ind w:left="1680" w:hanging="213"/>
        <w:spacing w:after="0"/>
        <w:tabs>
          <w:tab w:leader="none" w:pos="1680" w:val="left"/>
        </w:tabs>
        <w:numPr>
          <w:ilvl w:val="1"/>
          <w:numId w:val="40"/>
        </w:numPr>
        <w:rPr>
          <w:rFonts w:ascii="Arial" w:cs="Arial" w:eastAsia="Arial" w:hAnsi="Arial"/>
          <w:sz w:val="14"/>
          <w:szCs w:val="14"/>
          <w:color w:val="auto"/>
        </w:rPr>
      </w:pPr>
      <w:r>
        <w:rPr>
          <w:rFonts w:ascii="Arial" w:cs="Arial" w:eastAsia="Arial" w:hAnsi="Arial"/>
          <w:sz w:val="14"/>
          <w:szCs w:val="14"/>
          <w:color w:val="auto"/>
        </w:rPr>
        <w:t>Beginning in Fiscal 2019, dividends accrue and do not vest until underlying awards vest.</w:t>
      </w:r>
    </w:p>
    <w:p>
      <w:pPr>
        <w:spacing w:after="0" w:line="55" w:lineRule="exact"/>
        <w:rPr>
          <w:rFonts w:ascii="Arial" w:cs="Arial" w:eastAsia="Arial" w:hAnsi="Arial"/>
          <w:sz w:val="14"/>
          <w:szCs w:val="14"/>
          <w:color w:val="auto"/>
        </w:rPr>
      </w:pPr>
    </w:p>
    <w:p>
      <w:pPr>
        <w:ind w:left="340" w:right="80" w:hanging="332"/>
        <w:spacing w:after="0" w:line="258" w:lineRule="auto"/>
        <w:tabs>
          <w:tab w:leader="none" w:pos="340" w:val="left"/>
        </w:tabs>
        <w:numPr>
          <w:ilvl w:val="0"/>
          <w:numId w:val="41"/>
        </w:numPr>
        <w:rPr>
          <w:rFonts w:ascii="Arial" w:cs="Arial" w:eastAsia="Arial" w:hAnsi="Arial"/>
          <w:sz w:val="14"/>
          <w:szCs w:val="14"/>
          <w:color w:val="auto"/>
        </w:rPr>
      </w:pPr>
      <w:r>
        <w:rPr>
          <w:rFonts w:ascii="Arial" w:cs="Arial" w:eastAsia="Arial" w:hAnsi="Arial"/>
          <w:sz w:val="14"/>
          <w:szCs w:val="14"/>
          <w:color w:val="auto"/>
        </w:rPr>
        <w:t>Ms. Bogart received a new hire stock award of 10,000 shares of restricted stock on January 2, 2018 and a pro-rated FY18-20 LTIP award with a target value of 3,303 shares. She also received a sign-on bonus of $50,000 on January 2, 2018.</w:t>
      </w:r>
    </w:p>
    <w:p>
      <w:pPr>
        <w:spacing w:after="0" w:line="38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29</w:t>
      </w:r>
    </w:p>
    <w:p>
      <w:pPr>
        <w:sectPr>
          <w:pgSz w:w="11900" w:h="16838" w:orient="portrait"/>
          <w:cols w:equalWidth="0" w:num="1">
            <w:col w:w="11420"/>
          </w:cols>
          <w:pgMar w:left="240" w:top="303" w:right="239" w:bottom="1440" w:gutter="0" w:footer="0" w:header="0"/>
        </w:sectPr>
      </w:pPr>
    </w:p>
    <w:bookmarkStart w:id="33" w:name="page34"/>
    <w:bookmarkEnd w:id="33"/>
    <w:p>
      <w:pPr>
        <w:ind w:left="40"/>
        <w:spacing w:after="0"/>
        <w:rPr>
          <w:rFonts w:ascii="Arial" w:cs="Arial" w:eastAsia="Arial" w:hAnsi="Arial"/>
          <w:sz w:val="16"/>
          <w:szCs w:val="16"/>
          <w:u w:val="single" w:color="auto"/>
          <w:color w:val="0000EE"/>
        </w:rPr>
      </w:pPr>
      <w:r>
        <w:rPr>
          <w:rFonts w:ascii="Arial" w:cs="Arial" w:eastAsia="Arial" w:hAnsi="Arial"/>
          <w:sz w:val="16"/>
          <w:szCs w:val="16"/>
          <w:u w:val="single" w:color="auto"/>
          <w:color w:val="0000EE"/>
        </w:rPr>
        <w:drawing>
          <wp:anchor simplePos="0" relativeHeight="251657728" behindDoc="1" locked="0" layoutInCell="0" allowOverlap="1">
            <wp:simplePos x="0" y="0"/>
            <wp:positionH relativeFrom="page">
              <wp:posOffset>5946140</wp:posOffset>
            </wp:positionH>
            <wp:positionV relativeFrom="page">
              <wp:posOffset>191770</wp:posOffset>
            </wp:positionV>
            <wp:extent cx="1440815" cy="20574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clrChange>
                        <a:clrFrom>
                          <a:srgbClr val="FFFFFF"/>
                        </a:clrFrom>
                        <a:clrTo>
                          <a:srgbClr val="FFFFFF">
                            <a:alpha val="0"/>
                          </a:srgbClr>
                        </a:clrTo>
                      </a:clrChange>
                      <a:extLst>
                        <a:ext uri="{28A0092B-C50C-407E-A947-70E740481C1C}"/>
                      </a:extLst>
                    </a:blip>
                    <a:srcRect/>
                    <a:stretch>
                      <a:fillRect/>
                    </a:stretch>
                  </pic:blipFill>
                  <pic:spPr bwMode="auto">
                    <a:xfrm>
                      <a:off x="0" y="0"/>
                      <a:ext cx="1440815" cy="205740"/>
                    </a:xfrm>
                    <a:prstGeom prst="rect">
                      <a:avLst/>
                    </a:prstGeom>
                    <a:noFill/>
                  </pic:spPr>
                </pic:pic>
              </a:graphicData>
            </a:graphic>
          </wp:anchor>
        </w:drawing>
      </w:r>
      <w:hyperlink w:anchor="page4">
        <w:r>
          <w:rPr>
            <w:rFonts w:ascii="Arial" w:cs="Arial" w:eastAsia="Arial" w:hAnsi="Arial"/>
            <w:sz w:val="16"/>
            <w:szCs w:val="16"/>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104775</wp:posOffset>
            </wp:positionV>
            <wp:extent cx="7246620" cy="889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Arial" w:cs="Arial" w:eastAsia="Arial" w:hAnsi="Arial"/>
          <w:sz w:val="22"/>
          <w:szCs w:val="22"/>
          <w:color w:val="828282"/>
        </w:rPr>
        <w:t>Grants of Plan-Based Awards Table</w:t>
      </w:r>
    </w:p>
    <w:p>
      <w:pPr>
        <w:spacing w:after="0" w:line="188" w:lineRule="exact"/>
        <w:rPr>
          <w:sz w:val="20"/>
          <w:szCs w:val="20"/>
          <w:color w:val="auto"/>
        </w:rPr>
      </w:pPr>
    </w:p>
    <w:p>
      <w:pPr>
        <w:ind w:right="60"/>
        <w:spacing w:after="0" w:line="253" w:lineRule="auto"/>
        <w:rPr>
          <w:sz w:val="20"/>
          <w:szCs w:val="20"/>
          <w:color w:val="auto"/>
        </w:rPr>
      </w:pPr>
      <w:r>
        <w:rPr>
          <w:rFonts w:ascii="Arial" w:cs="Arial" w:eastAsia="Arial" w:hAnsi="Arial"/>
          <w:sz w:val="16"/>
          <w:szCs w:val="16"/>
          <w:color w:val="auto"/>
        </w:rPr>
        <w:t>The following table provides additional information relating to plan-based awards granted to our NEOs in Fiscal 2018. Actual payouts were made to the NEOs under the 2014 Plan and the Fiscal 2018 OICP and awards were granted under the Fiscal 2018-2020 LTIP as discussed under "Compensation Discussion and Analysis-Annual Incentive Plan", "Fiscal 2018 OICP" and "2018 Equity Awards", respectively, above.</w:t>
      </w:r>
    </w:p>
    <w:p>
      <w:pPr>
        <w:spacing w:after="0" w:line="119" w:lineRule="exact"/>
        <w:rPr>
          <w:sz w:val="20"/>
          <w:szCs w:val="20"/>
          <w:color w:val="auto"/>
        </w:rPr>
      </w:pPr>
    </w:p>
    <w:tbl>
      <w:tblPr>
        <w:tblLayout w:type="fixed"/>
        <w:tblInd w:w="0" w:type="dxa"/>
        <w:tblCellMar>
          <w:top w:w="0" w:type="dxa"/>
          <w:left w:w="0" w:type="dxa"/>
          <w:bottom w:w="0" w:type="dxa"/>
          <w:right w:w="0" w:type="dxa"/>
        </w:tblCellMar>
      </w:tblPr>
      <w:tr>
        <w:trPr>
          <w:trHeight w:val="133"/>
        </w:trPr>
        <w:tc>
          <w:tcPr>
            <w:tcW w:w="1040" w:type="dxa"/>
            <w:vAlign w:val="bottom"/>
            <w:shd w:val="clear" w:color="auto" w:fill="BF2115"/>
          </w:tcPr>
          <w:p>
            <w:pPr>
              <w:spacing w:after="0"/>
              <w:rPr>
                <w:sz w:val="11"/>
                <w:szCs w:val="11"/>
                <w:color w:val="auto"/>
              </w:rPr>
            </w:pPr>
          </w:p>
        </w:tc>
        <w:tc>
          <w:tcPr>
            <w:tcW w:w="340" w:type="dxa"/>
            <w:vAlign w:val="bottom"/>
            <w:shd w:val="clear" w:color="auto" w:fill="BF2115"/>
          </w:tcPr>
          <w:p>
            <w:pPr>
              <w:spacing w:after="0"/>
              <w:rPr>
                <w:sz w:val="11"/>
                <w:szCs w:val="11"/>
                <w:color w:val="auto"/>
              </w:rPr>
            </w:pPr>
          </w:p>
        </w:tc>
        <w:tc>
          <w:tcPr>
            <w:tcW w:w="600" w:type="dxa"/>
            <w:vAlign w:val="bottom"/>
            <w:shd w:val="clear" w:color="auto" w:fill="BF2115"/>
          </w:tcPr>
          <w:p>
            <w:pPr>
              <w:spacing w:after="0"/>
              <w:rPr>
                <w:sz w:val="11"/>
                <w:szCs w:val="11"/>
                <w:color w:val="auto"/>
              </w:rPr>
            </w:pPr>
          </w:p>
        </w:tc>
        <w:tc>
          <w:tcPr>
            <w:tcW w:w="820" w:type="dxa"/>
            <w:vAlign w:val="bottom"/>
            <w:shd w:val="clear" w:color="auto" w:fill="BF2115"/>
          </w:tcPr>
          <w:p>
            <w:pPr>
              <w:spacing w:after="0"/>
              <w:rPr>
                <w:sz w:val="11"/>
                <w:szCs w:val="11"/>
                <w:color w:val="auto"/>
              </w:rPr>
            </w:pPr>
          </w:p>
        </w:tc>
        <w:tc>
          <w:tcPr>
            <w:tcW w:w="960" w:type="dxa"/>
            <w:vAlign w:val="bottom"/>
            <w:shd w:val="clear" w:color="auto" w:fill="BF2115"/>
          </w:tcPr>
          <w:p>
            <w:pPr>
              <w:spacing w:after="0"/>
              <w:rPr>
                <w:sz w:val="11"/>
                <w:szCs w:val="11"/>
                <w:color w:val="auto"/>
              </w:rPr>
            </w:pPr>
          </w:p>
        </w:tc>
        <w:tc>
          <w:tcPr>
            <w:tcW w:w="800" w:type="dxa"/>
            <w:vAlign w:val="bottom"/>
            <w:shd w:val="clear" w:color="auto" w:fill="BF2115"/>
          </w:tcPr>
          <w:p>
            <w:pPr>
              <w:spacing w:after="0"/>
              <w:rPr>
                <w:sz w:val="11"/>
                <w:szCs w:val="11"/>
                <w:color w:val="auto"/>
              </w:rPr>
            </w:pPr>
          </w:p>
        </w:tc>
        <w:tc>
          <w:tcPr>
            <w:tcW w:w="900" w:type="dxa"/>
            <w:vAlign w:val="bottom"/>
            <w:shd w:val="clear" w:color="auto" w:fill="BF2115"/>
          </w:tcPr>
          <w:p>
            <w:pPr>
              <w:spacing w:after="0"/>
              <w:rPr>
                <w:sz w:val="11"/>
                <w:szCs w:val="11"/>
                <w:color w:val="auto"/>
              </w:rPr>
            </w:pPr>
          </w:p>
        </w:tc>
        <w:tc>
          <w:tcPr>
            <w:tcW w:w="920" w:type="dxa"/>
            <w:vAlign w:val="bottom"/>
            <w:shd w:val="clear" w:color="auto" w:fill="BF2115"/>
          </w:tcPr>
          <w:p>
            <w:pPr>
              <w:spacing w:after="0"/>
              <w:rPr>
                <w:sz w:val="11"/>
                <w:szCs w:val="11"/>
                <w:color w:val="auto"/>
              </w:rPr>
            </w:pPr>
          </w:p>
        </w:tc>
        <w:tc>
          <w:tcPr>
            <w:tcW w:w="780" w:type="dxa"/>
            <w:vAlign w:val="bottom"/>
            <w:shd w:val="clear" w:color="auto" w:fill="BF2115"/>
          </w:tcPr>
          <w:p>
            <w:pPr>
              <w:spacing w:after="0"/>
              <w:rPr>
                <w:sz w:val="11"/>
                <w:szCs w:val="11"/>
                <w:color w:val="auto"/>
              </w:rPr>
            </w:pPr>
          </w:p>
        </w:tc>
        <w:tc>
          <w:tcPr>
            <w:tcW w:w="820" w:type="dxa"/>
            <w:vAlign w:val="bottom"/>
            <w:shd w:val="clear" w:color="auto" w:fill="BF2115"/>
          </w:tcPr>
          <w:p>
            <w:pPr>
              <w:spacing w:after="0"/>
              <w:rPr>
                <w:sz w:val="11"/>
                <w:szCs w:val="11"/>
                <w:color w:val="auto"/>
              </w:rPr>
            </w:pPr>
          </w:p>
        </w:tc>
        <w:tc>
          <w:tcPr>
            <w:tcW w:w="840" w:type="dxa"/>
            <w:vAlign w:val="bottom"/>
            <w:shd w:val="clear" w:color="auto" w:fill="BF2115"/>
          </w:tcPr>
          <w:p>
            <w:pPr>
              <w:jc w:val="center"/>
              <w:spacing w:after="0"/>
              <w:rPr>
                <w:sz w:val="20"/>
                <w:szCs w:val="20"/>
                <w:color w:val="auto"/>
              </w:rPr>
            </w:pPr>
            <w:r>
              <w:rPr>
                <w:rFonts w:ascii="Arial" w:cs="Arial" w:eastAsia="Arial" w:hAnsi="Arial"/>
                <w:sz w:val="11"/>
                <w:szCs w:val="11"/>
                <w:b w:val="1"/>
                <w:bCs w:val="1"/>
                <w:color w:val="FFFFFF"/>
                <w:w w:val="98"/>
              </w:rPr>
              <w:t>All Other</w:t>
            </w:r>
          </w:p>
        </w:tc>
        <w:tc>
          <w:tcPr>
            <w:tcW w:w="900" w:type="dxa"/>
            <w:vAlign w:val="bottom"/>
            <w:shd w:val="clear" w:color="auto" w:fill="BF2115"/>
          </w:tcPr>
          <w:p>
            <w:pPr>
              <w:spacing w:after="0"/>
              <w:rPr>
                <w:sz w:val="11"/>
                <w:szCs w:val="11"/>
                <w:color w:val="auto"/>
              </w:rPr>
            </w:pPr>
          </w:p>
        </w:tc>
        <w:tc>
          <w:tcPr>
            <w:tcW w:w="800" w:type="dxa"/>
            <w:vAlign w:val="bottom"/>
            <w:shd w:val="clear" w:color="auto" w:fill="BF2115"/>
          </w:tcPr>
          <w:p>
            <w:pPr>
              <w:spacing w:after="0"/>
              <w:rPr>
                <w:sz w:val="11"/>
                <w:szCs w:val="11"/>
                <w:color w:val="auto"/>
              </w:rPr>
            </w:pPr>
          </w:p>
        </w:tc>
        <w:tc>
          <w:tcPr>
            <w:tcW w:w="900" w:type="dxa"/>
            <w:vAlign w:val="bottom"/>
            <w:shd w:val="clear" w:color="auto" w:fill="BF2115"/>
          </w:tcPr>
          <w:p>
            <w:pPr>
              <w:spacing w:after="0"/>
              <w:rPr>
                <w:sz w:val="11"/>
                <w:szCs w:val="11"/>
                <w:color w:val="auto"/>
              </w:rPr>
            </w:pPr>
          </w:p>
        </w:tc>
        <w:tc>
          <w:tcPr>
            <w:tcW w:w="0" w:type="dxa"/>
            <w:vAlign w:val="bottom"/>
          </w:tcPr>
          <w:p>
            <w:pPr>
              <w:spacing w:after="0"/>
              <w:rPr>
                <w:sz w:val="1"/>
                <w:szCs w:val="1"/>
                <w:color w:val="auto"/>
              </w:rPr>
            </w:pPr>
          </w:p>
        </w:tc>
      </w:tr>
      <w:tr>
        <w:trPr>
          <w:trHeight w:val="123"/>
        </w:trPr>
        <w:tc>
          <w:tcPr>
            <w:tcW w:w="1040" w:type="dxa"/>
            <w:vAlign w:val="bottom"/>
            <w:shd w:val="clear" w:color="auto" w:fill="BF2115"/>
          </w:tcPr>
          <w:p>
            <w:pPr>
              <w:spacing w:after="0"/>
              <w:rPr>
                <w:sz w:val="10"/>
                <w:szCs w:val="10"/>
                <w:color w:val="auto"/>
              </w:rPr>
            </w:pPr>
          </w:p>
        </w:tc>
        <w:tc>
          <w:tcPr>
            <w:tcW w:w="340" w:type="dxa"/>
            <w:vAlign w:val="bottom"/>
            <w:shd w:val="clear" w:color="auto" w:fill="BF2115"/>
          </w:tcPr>
          <w:p>
            <w:pPr>
              <w:spacing w:after="0"/>
              <w:rPr>
                <w:sz w:val="10"/>
                <w:szCs w:val="10"/>
                <w:color w:val="auto"/>
              </w:rPr>
            </w:pPr>
          </w:p>
        </w:tc>
        <w:tc>
          <w:tcPr>
            <w:tcW w:w="600" w:type="dxa"/>
            <w:vAlign w:val="bottom"/>
            <w:shd w:val="clear" w:color="auto" w:fill="BF2115"/>
          </w:tcPr>
          <w:p>
            <w:pPr>
              <w:spacing w:after="0"/>
              <w:rPr>
                <w:sz w:val="10"/>
                <w:szCs w:val="10"/>
                <w:color w:val="auto"/>
              </w:rPr>
            </w:pPr>
          </w:p>
        </w:tc>
        <w:tc>
          <w:tcPr>
            <w:tcW w:w="820" w:type="dxa"/>
            <w:vAlign w:val="bottom"/>
            <w:shd w:val="clear" w:color="auto" w:fill="BF2115"/>
          </w:tcPr>
          <w:p>
            <w:pPr>
              <w:spacing w:after="0"/>
              <w:rPr>
                <w:sz w:val="10"/>
                <w:szCs w:val="10"/>
                <w:color w:val="auto"/>
              </w:rPr>
            </w:pPr>
          </w:p>
        </w:tc>
        <w:tc>
          <w:tcPr>
            <w:tcW w:w="2660" w:type="dxa"/>
            <w:vAlign w:val="bottom"/>
            <w:gridSpan w:val="3"/>
            <w:shd w:val="clear" w:color="auto" w:fill="BF2115"/>
          </w:tcPr>
          <w:p>
            <w:pPr>
              <w:jc w:val="center"/>
              <w:spacing w:after="0" w:line="123" w:lineRule="exact"/>
              <w:rPr>
                <w:sz w:val="20"/>
                <w:szCs w:val="20"/>
                <w:color w:val="auto"/>
              </w:rPr>
            </w:pPr>
            <w:r>
              <w:rPr>
                <w:rFonts w:ascii="Arial" w:cs="Arial" w:eastAsia="Arial" w:hAnsi="Arial"/>
                <w:sz w:val="11"/>
                <w:szCs w:val="11"/>
                <w:b w:val="1"/>
                <w:bCs w:val="1"/>
                <w:color w:val="FFFFFF"/>
                <w:w w:val="98"/>
              </w:rPr>
              <w:t>Estimated Future Payouts Under</w:t>
            </w:r>
          </w:p>
        </w:tc>
        <w:tc>
          <w:tcPr>
            <w:tcW w:w="2520" w:type="dxa"/>
            <w:vAlign w:val="bottom"/>
            <w:gridSpan w:val="3"/>
            <w:shd w:val="clear" w:color="auto" w:fill="BF2115"/>
          </w:tcPr>
          <w:p>
            <w:pPr>
              <w:jc w:val="center"/>
              <w:spacing w:after="0" w:line="123" w:lineRule="exact"/>
              <w:rPr>
                <w:sz w:val="20"/>
                <w:szCs w:val="20"/>
                <w:color w:val="auto"/>
              </w:rPr>
            </w:pPr>
            <w:r>
              <w:rPr>
                <w:rFonts w:ascii="Arial" w:cs="Arial" w:eastAsia="Arial" w:hAnsi="Arial"/>
                <w:sz w:val="11"/>
                <w:szCs w:val="11"/>
                <w:b w:val="1"/>
                <w:bCs w:val="1"/>
                <w:color w:val="FFFFFF"/>
                <w:w w:val="97"/>
              </w:rPr>
              <w:t>Estimated Future Payments</w:t>
            </w:r>
          </w:p>
        </w:tc>
        <w:tc>
          <w:tcPr>
            <w:tcW w:w="840" w:type="dxa"/>
            <w:vAlign w:val="bottom"/>
            <w:shd w:val="clear" w:color="auto" w:fill="BF2115"/>
          </w:tcPr>
          <w:p>
            <w:pPr>
              <w:jc w:val="center"/>
              <w:spacing w:after="0" w:line="123" w:lineRule="exact"/>
              <w:rPr>
                <w:sz w:val="20"/>
                <w:szCs w:val="20"/>
                <w:color w:val="auto"/>
              </w:rPr>
            </w:pPr>
            <w:r>
              <w:rPr>
                <w:rFonts w:ascii="Arial" w:cs="Arial" w:eastAsia="Arial" w:hAnsi="Arial"/>
                <w:sz w:val="11"/>
                <w:szCs w:val="11"/>
                <w:b w:val="1"/>
                <w:bCs w:val="1"/>
                <w:color w:val="FFFFFF"/>
                <w:w w:val="99"/>
              </w:rPr>
              <w:t>Stock</w:t>
            </w:r>
          </w:p>
        </w:tc>
        <w:tc>
          <w:tcPr>
            <w:tcW w:w="900" w:type="dxa"/>
            <w:vAlign w:val="bottom"/>
            <w:shd w:val="clear" w:color="auto" w:fill="BF2115"/>
          </w:tcPr>
          <w:p>
            <w:pPr>
              <w:jc w:val="center"/>
              <w:spacing w:after="0" w:line="123" w:lineRule="exact"/>
              <w:rPr>
                <w:sz w:val="20"/>
                <w:szCs w:val="20"/>
                <w:color w:val="auto"/>
              </w:rPr>
            </w:pPr>
            <w:r>
              <w:rPr>
                <w:rFonts w:ascii="Arial" w:cs="Arial" w:eastAsia="Arial" w:hAnsi="Arial"/>
                <w:sz w:val="11"/>
                <w:szCs w:val="11"/>
                <w:b w:val="1"/>
                <w:bCs w:val="1"/>
                <w:color w:val="FFFFFF"/>
                <w:w w:val="98"/>
              </w:rPr>
              <w:t>All Other Option</w:t>
            </w:r>
          </w:p>
        </w:tc>
        <w:tc>
          <w:tcPr>
            <w:tcW w:w="800" w:type="dxa"/>
            <w:vAlign w:val="bottom"/>
            <w:shd w:val="clear" w:color="auto" w:fill="BF2115"/>
          </w:tcPr>
          <w:p>
            <w:pPr>
              <w:spacing w:after="0"/>
              <w:rPr>
                <w:sz w:val="10"/>
                <w:szCs w:val="10"/>
                <w:color w:val="auto"/>
              </w:rPr>
            </w:pPr>
          </w:p>
        </w:tc>
        <w:tc>
          <w:tcPr>
            <w:tcW w:w="900" w:type="dxa"/>
            <w:vAlign w:val="bottom"/>
            <w:shd w:val="clear" w:color="auto" w:fill="BF2115"/>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1040" w:type="dxa"/>
            <w:vAlign w:val="bottom"/>
            <w:shd w:val="clear" w:color="auto" w:fill="BF2115"/>
          </w:tcPr>
          <w:p>
            <w:pPr>
              <w:spacing w:after="0"/>
              <w:rPr>
                <w:sz w:val="10"/>
                <w:szCs w:val="10"/>
                <w:color w:val="auto"/>
              </w:rPr>
            </w:pPr>
          </w:p>
        </w:tc>
        <w:tc>
          <w:tcPr>
            <w:tcW w:w="340" w:type="dxa"/>
            <w:vAlign w:val="bottom"/>
            <w:shd w:val="clear" w:color="auto" w:fill="BF2115"/>
          </w:tcPr>
          <w:p>
            <w:pPr>
              <w:spacing w:after="0"/>
              <w:rPr>
                <w:sz w:val="10"/>
                <w:szCs w:val="10"/>
                <w:color w:val="auto"/>
              </w:rPr>
            </w:pPr>
          </w:p>
        </w:tc>
        <w:tc>
          <w:tcPr>
            <w:tcW w:w="600" w:type="dxa"/>
            <w:vAlign w:val="bottom"/>
            <w:shd w:val="clear" w:color="auto" w:fill="BF2115"/>
          </w:tcPr>
          <w:p>
            <w:pPr>
              <w:spacing w:after="0"/>
              <w:rPr>
                <w:sz w:val="10"/>
                <w:szCs w:val="10"/>
                <w:color w:val="auto"/>
              </w:rPr>
            </w:pPr>
          </w:p>
        </w:tc>
        <w:tc>
          <w:tcPr>
            <w:tcW w:w="820" w:type="dxa"/>
            <w:vAlign w:val="bottom"/>
            <w:shd w:val="clear" w:color="auto" w:fill="BF2115"/>
          </w:tcPr>
          <w:p>
            <w:pPr>
              <w:spacing w:after="0"/>
              <w:rPr>
                <w:sz w:val="10"/>
                <w:szCs w:val="10"/>
                <w:color w:val="auto"/>
              </w:rPr>
            </w:pPr>
          </w:p>
        </w:tc>
        <w:tc>
          <w:tcPr>
            <w:tcW w:w="2660" w:type="dxa"/>
            <w:vAlign w:val="bottom"/>
            <w:gridSpan w:val="3"/>
            <w:shd w:val="clear" w:color="auto" w:fill="BF2115"/>
          </w:tcPr>
          <w:p>
            <w:pPr>
              <w:jc w:val="center"/>
              <w:spacing w:after="0" w:line="122" w:lineRule="exact"/>
              <w:rPr>
                <w:sz w:val="20"/>
                <w:szCs w:val="20"/>
                <w:color w:val="auto"/>
              </w:rPr>
            </w:pPr>
            <w:r>
              <w:rPr>
                <w:rFonts w:ascii="Arial" w:cs="Arial" w:eastAsia="Arial" w:hAnsi="Arial"/>
                <w:sz w:val="11"/>
                <w:szCs w:val="11"/>
                <w:b w:val="1"/>
                <w:bCs w:val="1"/>
                <w:color w:val="FFFFFF"/>
                <w:w w:val="98"/>
              </w:rPr>
              <w:t>Non-Equity Incentive Plan Awards</w:t>
            </w:r>
            <w:r>
              <w:rPr>
                <w:rFonts w:ascii="Arial" w:cs="Arial" w:eastAsia="Arial" w:hAnsi="Arial"/>
                <w:sz w:val="7"/>
                <w:szCs w:val="7"/>
                <w:color w:val="FFFFFF"/>
                <w:w w:val="98"/>
              </w:rPr>
              <w:t>(1)</w:t>
            </w:r>
          </w:p>
        </w:tc>
        <w:tc>
          <w:tcPr>
            <w:tcW w:w="2520" w:type="dxa"/>
            <w:vAlign w:val="bottom"/>
            <w:gridSpan w:val="3"/>
            <w:shd w:val="clear" w:color="auto" w:fill="BF2115"/>
          </w:tcPr>
          <w:p>
            <w:pPr>
              <w:jc w:val="center"/>
              <w:spacing w:after="0" w:line="122" w:lineRule="exact"/>
              <w:rPr>
                <w:sz w:val="20"/>
                <w:szCs w:val="20"/>
                <w:color w:val="auto"/>
              </w:rPr>
            </w:pPr>
            <w:r>
              <w:rPr>
                <w:rFonts w:ascii="Arial" w:cs="Arial" w:eastAsia="Arial" w:hAnsi="Arial"/>
                <w:sz w:val="11"/>
                <w:szCs w:val="11"/>
                <w:b w:val="1"/>
                <w:bCs w:val="1"/>
                <w:color w:val="FFFFFF"/>
                <w:w w:val="98"/>
              </w:rPr>
              <w:t>Under Equity Incentive Plan Awards</w:t>
            </w:r>
            <w:r>
              <w:rPr>
                <w:rFonts w:ascii="Arial" w:cs="Arial" w:eastAsia="Arial" w:hAnsi="Arial"/>
                <w:sz w:val="7"/>
                <w:szCs w:val="7"/>
                <w:color w:val="FFFFFF"/>
                <w:w w:val="98"/>
              </w:rPr>
              <w:t>(2)</w:t>
            </w:r>
          </w:p>
        </w:tc>
        <w:tc>
          <w:tcPr>
            <w:tcW w:w="840" w:type="dxa"/>
            <w:vAlign w:val="bottom"/>
            <w:shd w:val="clear" w:color="auto" w:fill="BF2115"/>
          </w:tcPr>
          <w:p>
            <w:pPr>
              <w:jc w:val="center"/>
              <w:spacing w:after="0" w:line="122" w:lineRule="exact"/>
              <w:rPr>
                <w:sz w:val="20"/>
                <w:szCs w:val="20"/>
                <w:color w:val="auto"/>
              </w:rPr>
            </w:pPr>
            <w:r>
              <w:rPr>
                <w:rFonts w:ascii="Arial" w:cs="Arial" w:eastAsia="Arial" w:hAnsi="Arial"/>
                <w:sz w:val="11"/>
                <w:szCs w:val="11"/>
                <w:b w:val="1"/>
                <w:bCs w:val="1"/>
                <w:color w:val="FFFFFF"/>
                <w:w w:val="96"/>
              </w:rPr>
              <w:t>Awards:</w:t>
            </w:r>
          </w:p>
        </w:tc>
        <w:tc>
          <w:tcPr>
            <w:tcW w:w="900" w:type="dxa"/>
            <w:vAlign w:val="bottom"/>
            <w:shd w:val="clear" w:color="auto" w:fill="BF2115"/>
          </w:tcPr>
          <w:p>
            <w:pPr>
              <w:jc w:val="center"/>
              <w:spacing w:after="0" w:line="122" w:lineRule="exact"/>
              <w:rPr>
                <w:sz w:val="20"/>
                <w:szCs w:val="20"/>
                <w:color w:val="auto"/>
              </w:rPr>
            </w:pPr>
            <w:r>
              <w:rPr>
                <w:rFonts w:ascii="Arial" w:cs="Arial" w:eastAsia="Arial" w:hAnsi="Arial"/>
                <w:sz w:val="11"/>
                <w:szCs w:val="11"/>
                <w:b w:val="1"/>
                <w:bCs w:val="1"/>
                <w:color w:val="FFFFFF"/>
                <w:w w:val="96"/>
              </w:rPr>
              <w:t>Awards:</w:t>
            </w:r>
          </w:p>
        </w:tc>
        <w:tc>
          <w:tcPr>
            <w:tcW w:w="800" w:type="dxa"/>
            <w:vAlign w:val="bottom"/>
            <w:vMerge w:val="restart"/>
            <w:shd w:val="clear" w:color="auto" w:fill="BF2115"/>
          </w:tcPr>
          <w:p>
            <w:pPr>
              <w:jc w:val="center"/>
              <w:spacing w:after="0"/>
              <w:rPr>
                <w:sz w:val="20"/>
                <w:szCs w:val="20"/>
                <w:color w:val="auto"/>
              </w:rPr>
            </w:pPr>
            <w:r>
              <w:rPr>
                <w:rFonts w:ascii="Arial" w:cs="Arial" w:eastAsia="Arial" w:hAnsi="Arial"/>
                <w:sz w:val="11"/>
                <w:szCs w:val="11"/>
                <w:b w:val="1"/>
                <w:bCs w:val="1"/>
                <w:color w:val="FFFFFF"/>
                <w:w w:val="97"/>
              </w:rPr>
              <w:t>Exercise or</w:t>
            </w:r>
          </w:p>
        </w:tc>
        <w:tc>
          <w:tcPr>
            <w:tcW w:w="900" w:type="dxa"/>
            <w:vAlign w:val="bottom"/>
            <w:shd w:val="clear" w:color="auto" w:fill="BF2115"/>
          </w:tcPr>
          <w:p>
            <w:pPr>
              <w:jc w:val="center"/>
              <w:spacing w:after="0" w:line="122" w:lineRule="exact"/>
              <w:rPr>
                <w:sz w:val="20"/>
                <w:szCs w:val="20"/>
                <w:color w:val="auto"/>
              </w:rPr>
            </w:pPr>
            <w:r>
              <w:rPr>
                <w:rFonts w:ascii="Arial" w:cs="Arial" w:eastAsia="Arial" w:hAnsi="Arial"/>
                <w:sz w:val="11"/>
                <w:szCs w:val="11"/>
                <w:b w:val="1"/>
                <w:bCs w:val="1"/>
                <w:color w:val="FFFFFF"/>
                <w:w w:val="98"/>
              </w:rPr>
              <w:t>Grant Date Fair</w:t>
            </w:r>
          </w:p>
        </w:tc>
        <w:tc>
          <w:tcPr>
            <w:tcW w:w="0" w:type="dxa"/>
            <w:vAlign w:val="bottom"/>
          </w:tcPr>
          <w:p>
            <w:pPr>
              <w:spacing w:after="0"/>
              <w:rPr>
                <w:sz w:val="1"/>
                <w:szCs w:val="1"/>
                <w:color w:val="auto"/>
              </w:rPr>
            </w:pPr>
          </w:p>
        </w:tc>
      </w:tr>
      <w:tr>
        <w:trPr>
          <w:trHeight w:val="120"/>
        </w:trPr>
        <w:tc>
          <w:tcPr>
            <w:tcW w:w="1040" w:type="dxa"/>
            <w:vAlign w:val="bottom"/>
            <w:shd w:val="clear" w:color="auto" w:fill="BF2115"/>
          </w:tcPr>
          <w:p>
            <w:pPr>
              <w:spacing w:after="0"/>
              <w:rPr>
                <w:sz w:val="10"/>
                <w:szCs w:val="10"/>
                <w:color w:val="auto"/>
              </w:rPr>
            </w:pPr>
          </w:p>
        </w:tc>
        <w:tc>
          <w:tcPr>
            <w:tcW w:w="340" w:type="dxa"/>
            <w:vAlign w:val="bottom"/>
            <w:shd w:val="clear" w:color="auto" w:fill="BF2115"/>
          </w:tcPr>
          <w:p>
            <w:pPr>
              <w:spacing w:after="0"/>
              <w:rPr>
                <w:sz w:val="10"/>
                <w:szCs w:val="10"/>
                <w:color w:val="auto"/>
              </w:rPr>
            </w:pPr>
          </w:p>
        </w:tc>
        <w:tc>
          <w:tcPr>
            <w:tcW w:w="600" w:type="dxa"/>
            <w:vAlign w:val="bottom"/>
            <w:shd w:val="clear" w:color="auto" w:fill="BF2115"/>
          </w:tcPr>
          <w:p>
            <w:pPr>
              <w:spacing w:after="0"/>
              <w:rPr>
                <w:sz w:val="10"/>
                <w:szCs w:val="10"/>
                <w:color w:val="auto"/>
              </w:rPr>
            </w:pPr>
          </w:p>
        </w:tc>
        <w:tc>
          <w:tcPr>
            <w:tcW w:w="820" w:type="dxa"/>
            <w:vAlign w:val="bottom"/>
            <w:shd w:val="clear" w:color="auto" w:fill="BF2115"/>
          </w:tcPr>
          <w:p>
            <w:pPr>
              <w:spacing w:after="0"/>
              <w:rPr>
                <w:sz w:val="10"/>
                <w:szCs w:val="10"/>
                <w:color w:val="auto"/>
              </w:rPr>
            </w:pPr>
          </w:p>
        </w:tc>
        <w:tc>
          <w:tcPr>
            <w:tcW w:w="960" w:type="dxa"/>
            <w:vAlign w:val="bottom"/>
            <w:shd w:val="clear" w:color="auto" w:fill="BF2115"/>
          </w:tcPr>
          <w:p>
            <w:pPr>
              <w:spacing w:after="0"/>
              <w:rPr>
                <w:sz w:val="10"/>
                <w:szCs w:val="10"/>
                <w:color w:val="auto"/>
              </w:rPr>
            </w:pPr>
          </w:p>
        </w:tc>
        <w:tc>
          <w:tcPr>
            <w:tcW w:w="800" w:type="dxa"/>
            <w:vAlign w:val="bottom"/>
            <w:shd w:val="clear" w:color="auto" w:fill="BF2115"/>
          </w:tcPr>
          <w:p>
            <w:pPr>
              <w:spacing w:after="0"/>
              <w:rPr>
                <w:sz w:val="10"/>
                <w:szCs w:val="10"/>
                <w:color w:val="auto"/>
              </w:rPr>
            </w:pPr>
          </w:p>
        </w:tc>
        <w:tc>
          <w:tcPr>
            <w:tcW w:w="900" w:type="dxa"/>
            <w:vAlign w:val="bottom"/>
            <w:shd w:val="clear" w:color="auto" w:fill="BF2115"/>
          </w:tcPr>
          <w:p>
            <w:pPr>
              <w:spacing w:after="0"/>
              <w:rPr>
                <w:sz w:val="10"/>
                <w:szCs w:val="10"/>
                <w:color w:val="auto"/>
              </w:rPr>
            </w:pPr>
          </w:p>
        </w:tc>
        <w:tc>
          <w:tcPr>
            <w:tcW w:w="920" w:type="dxa"/>
            <w:vAlign w:val="bottom"/>
            <w:shd w:val="clear" w:color="auto" w:fill="BF2115"/>
          </w:tcPr>
          <w:p>
            <w:pPr>
              <w:spacing w:after="0"/>
              <w:rPr>
                <w:sz w:val="10"/>
                <w:szCs w:val="10"/>
                <w:color w:val="auto"/>
              </w:rPr>
            </w:pPr>
          </w:p>
        </w:tc>
        <w:tc>
          <w:tcPr>
            <w:tcW w:w="780" w:type="dxa"/>
            <w:vAlign w:val="bottom"/>
            <w:shd w:val="clear" w:color="auto" w:fill="BF2115"/>
          </w:tcPr>
          <w:p>
            <w:pPr>
              <w:spacing w:after="0"/>
              <w:rPr>
                <w:sz w:val="10"/>
                <w:szCs w:val="10"/>
                <w:color w:val="auto"/>
              </w:rPr>
            </w:pPr>
          </w:p>
        </w:tc>
        <w:tc>
          <w:tcPr>
            <w:tcW w:w="820" w:type="dxa"/>
            <w:vAlign w:val="bottom"/>
            <w:shd w:val="clear" w:color="auto" w:fill="BF2115"/>
          </w:tcPr>
          <w:p>
            <w:pPr>
              <w:spacing w:after="0"/>
              <w:rPr>
                <w:sz w:val="10"/>
                <w:szCs w:val="10"/>
                <w:color w:val="auto"/>
              </w:rPr>
            </w:pPr>
          </w:p>
        </w:tc>
        <w:tc>
          <w:tcPr>
            <w:tcW w:w="840" w:type="dxa"/>
            <w:vAlign w:val="bottom"/>
            <w:shd w:val="clear" w:color="auto" w:fill="BF2115"/>
          </w:tcPr>
          <w:p>
            <w:pPr>
              <w:jc w:val="center"/>
              <w:spacing w:after="0" w:line="120" w:lineRule="exact"/>
              <w:rPr>
                <w:sz w:val="20"/>
                <w:szCs w:val="20"/>
                <w:color w:val="auto"/>
              </w:rPr>
            </w:pPr>
            <w:r>
              <w:rPr>
                <w:rFonts w:ascii="Arial" w:cs="Arial" w:eastAsia="Arial" w:hAnsi="Arial"/>
                <w:sz w:val="11"/>
                <w:szCs w:val="11"/>
                <w:b w:val="1"/>
                <w:bCs w:val="1"/>
                <w:color w:val="FFFFFF"/>
                <w:w w:val="98"/>
              </w:rPr>
              <w:t>Number of</w:t>
            </w:r>
          </w:p>
        </w:tc>
        <w:tc>
          <w:tcPr>
            <w:tcW w:w="900" w:type="dxa"/>
            <w:vAlign w:val="bottom"/>
            <w:shd w:val="clear" w:color="auto" w:fill="BF2115"/>
          </w:tcPr>
          <w:p>
            <w:pPr>
              <w:jc w:val="center"/>
              <w:spacing w:after="0" w:line="120" w:lineRule="exact"/>
              <w:rPr>
                <w:sz w:val="20"/>
                <w:szCs w:val="20"/>
                <w:color w:val="auto"/>
              </w:rPr>
            </w:pPr>
            <w:r>
              <w:rPr>
                <w:rFonts w:ascii="Arial" w:cs="Arial" w:eastAsia="Arial" w:hAnsi="Arial"/>
                <w:sz w:val="11"/>
                <w:szCs w:val="11"/>
                <w:b w:val="1"/>
                <w:bCs w:val="1"/>
                <w:color w:val="FFFFFF"/>
                <w:w w:val="98"/>
              </w:rPr>
              <w:t>Number of</w:t>
            </w:r>
          </w:p>
        </w:tc>
        <w:tc>
          <w:tcPr>
            <w:tcW w:w="800" w:type="dxa"/>
            <w:vAlign w:val="bottom"/>
            <w:vMerge w:val="continue"/>
            <w:shd w:val="clear" w:color="auto" w:fill="BF2115"/>
          </w:tcPr>
          <w:p>
            <w:pPr>
              <w:spacing w:after="0"/>
              <w:rPr>
                <w:sz w:val="10"/>
                <w:szCs w:val="10"/>
                <w:color w:val="auto"/>
              </w:rPr>
            </w:pPr>
          </w:p>
        </w:tc>
        <w:tc>
          <w:tcPr>
            <w:tcW w:w="900" w:type="dxa"/>
            <w:vAlign w:val="bottom"/>
            <w:shd w:val="clear" w:color="auto" w:fill="BF2115"/>
          </w:tcPr>
          <w:p>
            <w:pPr>
              <w:jc w:val="center"/>
              <w:spacing w:after="0" w:line="120" w:lineRule="exact"/>
              <w:rPr>
                <w:sz w:val="20"/>
                <w:szCs w:val="20"/>
                <w:color w:val="auto"/>
              </w:rPr>
            </w:pPr>
            <w:r>
              <w:rPr>
                <w:rFonts w:ascii="Arial" w:cs="Arial" w:eastAsia="Arial" w:hAnsi="Arial"/>
                <w:sz w:val="11"/>
                <w:szCs w:val="11"/>
                <w:b w:val="1"/>
                <w:bCs w:val="1"/>
                <w:color w:val="FFFFFF"/>
                <w:w w:val="97"/>
              </w:rPr>
              <w:t>Value of Stock</w:t>
            </w:r>
          </w:p>
        </w:tc>
        <w:tc>
          <w:tcPr>
            <w:tcW w:w="0" w:type="dxa"/>
            <w:vAlign w:val="bottom"/>
          </w:tcPr>
          <w:p>
            <w:pPr>
              <w:spacing w:after="0"/>
              <w:rPr>
                <w:sz w:val="1"/>
                <w:szCs w:val="1"/>
                <w:color w:val="auto"/>
              </w:rPr>
            </w:pPr>
          </w:p>
        </w:tc>
      </w:tr>
      <w:tr>
        <w:trPr>
          <w:trHeight w:val="122"/>
        </w:trPr>
        <w:tc>
          <w:tcPr>
            <w:tcW w:w="1040" w:type="dxa"/>
            <w:vAlign w:val="bottom"/>
            <w:shd w:val="clear" w:color="auto" w:fill="BF2115"/>
          </w:tcPr>
          <w:p>
            <w:pPr>
              <w:spacing w:after="0"/>
              <w:rPr>
                <w:sz w:val="10"/>
                <w:szCs w:val="10"/>
                <w:color w:val="auto"/>
              </w:rPr>
            </w:pPr>
          </w:p>
        </w:tc>
        <w:tc>
          <w:tcPr>
            <w:tcW w:w="340" w:type="dxa"/>
            <w:vAlign w:val="bottom"/>
            <w:shd w:val="clear" w:color="auto" w:fill="BF2115"/>
          </w:tcPr>
          <w:p>
            <w:pPr>
              <w:spacing w:after="0"/>
              <w:rPr>
                <w:sz w:val="10"/>
                <w:szCs w:val="10"/>
                <w:color w:val="auto"/>
              </w:rPr>
            </w:pPr>
          </w:p>
        </w:tc>
        <w:tc>
          <w:tcPr>
            <w:tcW w:w="600" w:type="dxa"/>
            <w:vAlign w:val="bottom"/>
            <w:shd w:val="clear" w:color="auto" w:fill="BF2115"/>
          </w:tcPr>
          <w:p>
            <w:pPr>
              <w:spacing w:after="0"/>
              <w:rPr>
                <w:sz w:val="10"/>
                <w:szCs w:val="10"/>
                <w:color w:val="auto"/>
              </w:rPr>
            </w:pPr>
          </w:p>
        </w:tc>
        <w:tc>
          <w:tcPr>
            <w:tcW w:w="820" w:type="dxa"/>
            <w:vAlign w:val="bottom"/>
            <w:shd w:val="clear" w:color="auto" w:fill="BF2115"/>
          </w:tcPr>
          <w:p>
            <w:pPr>
              <w:spacing w:after="0"/>
              <w:rPr>
                <w:sz w:val="10"/>
                <w:szCs w:val="10"/>
                <w:color w:val="auto"/>
              </w:rPr>
            </w:pPr>
          </w:p>
        </w:tc>
        <w:tc>
          <w:tcPr>
            <w:tcW w:w="960" w:type="dxa"/>
            <w:vAlign w:val="bottom"/>
            <w:shd w:val="clear" w:color="auto" w:fill="BF2115"/>
          </w:tcPr>
          <w:p>
            <w:pPr>
              <w:spacing w:after="0"/>
              <w:rPr>
                <w:sz w:val="10"/>
                <w:szCs w:val="10"/>
                <w:color w:val="auto"/>
              </w:rPr>
            </w:pPr>
          </w:p>
        </w:tc>
        <w:tc>
          <w:tcPr>
            <w:tcW w:w="800" w:type="dxa"/>
            <w:vAlign w:val="bottom"/>
            <w:shd w:val="clear" w:color="auto" w:fill="BF2115"/>
          </w:tcPr>
          <w:p>
            <w:pPr>
              <w:spacing w:after="0"/>
              <w:rPr>
                <w:sz w:val="10"/>
                <w:szCs w:val="10"/>
                <w:color w:val="auto"/>
              </w:rPr>
            </w:pPr>
          </w:p>
        </w:tc>
        <w:tc>
          <w:tcPr>
            <w:tcW w:w="900" w:type="dxa"/>
            <w:vAlign w:val="bottom"/>
            <w:shd w:val="clear" w:color="auto" w:fill="BF2115"/>
          </w:tcPr>
          <w:p>
            <w:pPr>
              <w:spacing w:after="0"/>
              <w:rPr>
                <w:sz w:val="10"/>
                <w:szCs w:val="10"/>
                <w:color w:val="auto"/>
              </w:rPr>
            </w:pPr>
          </w:p>
        </w:tc>
        <w:tc>
          <w:tcPr>
            <w:tcW w:w="920" w:type="dxa"/>
            <w:vAlign w:val="bottom"/>
            <w:shd w:val="clear" w:color="auto" w:fill="BF2115"/>
          </w:tcPr>
          <w:p>
            <w:pPr>
              <w:spacing w:after="0"/>
              <w:rPr>
                <w:sz w:val="10"/>
                <w:szCs w:val="10"/>
                <w:color w:val="auto"/>
              </w:rPr>
            </w:pPr>
          </w:p>
        </w:tc>
        <w:tc>
          <w:tcPr>
            <w:tcW w:w="780" w:type="dxa"/>
            <w:vAlign w:val="bottom"/>
            <w:shd w:val="clear" w:color="auto" w:fill="BF2115"/>
          </w:tcPr>
          <w:p>
            <w:pPr>
              <w:spacing w:after="0"/>
              <w:rPr>
                <w:sz w:val="10"/>
                <w:szCs w:val="10"/>
                <w:color w:val="auto"/>
              </w:rPr>
            </w:pPr>
          </w:p>
        </w:tc>
        <w:tc>
          <w:tcPr>
            <w:tcW w:w="820" w:type="dxa"/>
            <w:vAlign w:val="bottom"/>
            <w:shd w:val="clear" w:color="auto" w:fill="BF2115"/>
          </w:tcPr>
          <w:p>
            <w:pPr>
              <w:spacing w:after="0"/>
              <w:rPr>
                <w:sz w:val="10"/>
                <w:szCs w:val="10"/>
                <w:color w:val="auto"/>
              </w:rPr>
            </w:pPr>
          </w:p>
        </w:tc>
        <w:tc>
          <w:tcPr>
            <w:tcW w:w="840" w:type="dxa"/>
            <w:vAlign w:val="bottom"/>
            <w:shd w:val="clear" w:color="auto" w:fill="BF2115"/>
          </w:tcPr>
          <w:p>
            <w:pPr>
              <w:jc w:val="center"/>
              <w:spacing w:after="0" w:line="122" w:lineRule="exact"/>
              <w:rPr>
                <w:sz w:val="20"/>
                <w:szCs w:val="20"/>
                <w:color w:val="auto"/>
              </w:rPr>
            </w:pPr>
            <w:r>
              <w:rPr>
                <w:rFonts w:ascii="Arial" w:cs="Arial" w:eastAsia="Arial" w:hAnsi="Arial"/>
                <w:sz w:val="11"/>
                <w:szCs w:val="11"/>
                <w:b w:val="1"/>
                <w:bCs w:val="1"/>
                <w:color w:val="FFFFFF"/>
                <w:w w:val="99"/>
              </w:rPr>
              <w:t>Shares of</w:t>
            </w:r>
          </w:p>
        </w:tc>
        <w:tc>
          <w:tcPr>
            <w:tcW w:w="900" w:type="dxa"/>
            <w:vAlign w:val="bottom"/>
            <w:shd w:val="clear" w:color="auto" w:fill="BF2115"/>
          </w:tcPr>
          <w:p>
            <w:pPr>
              <w:jc w:val="center"/>
              <w:spacing w:after="0" w:line="122" w:lineRule="exact"/>
              <w:rPr>
                <w:sz w:val="20"/>
                <w:szCs w:val="20"/>
                <w:color w:val="auto"/>
              </w:rPr>
            </w:pPr>
            <w:r>
              <w:rPr>
                <w:rFonts w:ascii="Arial" w:cs="Arial" w:eastAsia="Arial" w:hAnsi="Arial"/>
                <w:sz w:val="11"/>
                <w:szCs w:val="11"/>
                <w:b w:val="1"/>
                <w:bCs w:val="1"/>
                <w:color w:val="FFFFFF"/>
                <w:w w:val="98"/>
              </w:rPr>
              <w:t>Securities</w:t>
            </w:r>
          </w:p>
        </w:tc>
        <w:tc>
          <w:tcPr>
            <w:tcW w:w="800" w:type="dxa"/>
            <w:vAlign w:val="bottom"/>
            <w:shd w:val="clear" w:color="auto" w:fill="BF2115"/>
          </w:tcPr>
          <w:p>
            <w:pPr>
              <w:jc w:val="center"/>
              <w:spacing w:after="0" w:line="122" w:lineRule="exact"/>
              <w:rPr>
                <w:sz w:val="20"/>
                <w:szCs w:val="20"/>
                <w:color w:val="auto"/>
              </w:rPr>
            </w:pPr>
            <w:r>
              <w:rPr>
                <w:rFonts w:ascii="Arial" w:cs="Arial" w:eastAsia="Arial" w:hAnsi="Arial"/>
                <w:sz w:val="11"/>
                <w:szCs w:val="11"/>
                <w:b w:val="1"/>
                <w:bCs w:val="1"/>
                <w:color w:val="FFFFFF"/>
                <w:w w:val="97"/>
              </w:rPr>
              <w:t>Base Price of</w:t>
            </w:r>
          </w:p>
        </w:tc>
        <w:tc>
          <w:tcPr>
            <w:tcW w:w="900" w:type="dxa"/>
            <w:vAlign w:val="bottom"/>
            <w:shd w:val="clear" w:color="auto" w:fill="BF2115"/>
          </w:tcPr>
          <w:p>
            <w:pPr>
              <w:jc w:val="right"/>
              <w:ind w:right="106"/>
              <w:spacing w:after="0" w:line="122" w:lineRule="exact"/>
              <w:rPr>
                <w:sz w:val="20"/>
                <w:szCs w:val="20"/>
                <w:color w:val="auto"/>
              </w:rPr>
            </w:pPr>
            <w:r>
              <w:rPr>
                <w:rFonts w:ascii="Arial" w:cs="Arial" w:eastAsia="Arial" w:hAnsi="Arial"/>
                <w:sz w:val="11"/>
                <w:szCs w:val="11"/>
                <w:b w:val="1"/>
                <w:bCs w:val="1"/>
                <w:color w:val="FFFFFF"/>
              </w:rPr>
              <w:t>and Option</w:t>
            </w:r>
          </w:p>
        </w:tc>
        <w:tc>
          <w:tcPr>
            <w:tcW w:w="0" w:type="dxa"/>
            <w:vAlign w:val="bottom"/>
          </w:tcPr>
          <w:p>
            <w:pPr>
              <w:spacing w:after="0"/>
              <w:rPr>
                <w:sz w:val="1"/>
                <w:szCs w:val="1"/>
                <w:color w:val="auto"/>
              </w:rPr>
            </w:pPr>
          </w:p>
        </w:tc>
      </w:tr>
      <w:tr>
        <w:trPr>
          <w:trHeight w:val="122"/>
        </w:trPr>
        <w:tc>
          <w:tcPr>
            <w:tcW w:w="1040" w:type="dxa"/>
            <w:vAlign w:val="bottom"/>
            <w:shd w:val="clear" w:color="auto" w:fill="BF2115"/>
          </w:tcPr>
          <w:p>
            <w:pPr>
              <w:spacing w:after="0"/>
              <w:rPr>
                <w:sz w:val="10"/>
                <w:szCs w:val="10"/>
                <w:color w:val="auto"/>
              </w:rPr>
            </w:pPr>
          </w:p>
        </w:tc>
        <w:tc>
          <w:tcPr>
            <w:tcW w:w="340" w:type="dxa"/>
            <w:vAlign w:val="bottom"/>
            <w:shd w:val="clear" w:color="auto" w:fill="BF2115"/>
          </w:tcPr>
          <w:p>
            <w:pPr>
              <w:spacing w:after="0"/>
              <w:rPr>
                <w:sz w:val="10"/>
                <w:szCs w:val="10"/>
                <w:color w:val="auto"/>
              </w:rPr>
            </w:pPr>
          </w:p>
        </w:tc>
        <w:tc>
          <w:tcPr>
            <w:tcW w:w="600" w:type="dxa"/>
            <w:vAlign w:val="bottom"/>
            <w:shd w:val="clear" w:color="auto" w:fill="BF2115"/>
          </w:tcPr>
          <w:p>
            <w:pPr>
              <w:spacing w:after="0"/>
              <w:rPr>
                <w:sz w:val="10"/>
                <w:szCs w:val="10"/>
                <w:color w:val="auto"/>
              </w:rPr>
            </w:pPr>
          </w:p>
        </w:tc>
        <w:tc>
          <w:tcPr>
            <w:tcW w:w="820" w:type="dxa"/>
            <w:vAlign w:val="bottom"/>
            <w:shd w:val="clear" w:color="auto" w:fill="BF2115"/>
          </w:tcPr>
          <w:p>
            <w:pPr>
              <w:jc w:val="center"/>
              <w:spacing w:after="0" w:line="122" w:lineRule="exact"/>
              <w:rPr>
                <w:sz w:val="20"/>
                <w:szCs w:val="20"/>
                <w:color w:val="auto"/>
              </w:rPr>
            </w:pPr>
            <w:r>
              <w:rPr>
                <w:rFonts w:ascii="Arial" w:cs="Arial" w:eastAsia="Arial" w:hAnsi="Arial"/>
                <w:sz w:val="11"/>
                <w:szCs w:val="11"/>
                <w:b w:val="1"/>
                <w:bCs w:val="1"/>
                <w:color w:val="FFFFFF"/>
              </w:rPr>
              <w:t>Grant</w:t>
            </w:r>
          </w:p>
        </w:tc>
        <w:tc>
          <w:tcPr>
            <w:tcW w:w="960" w:type="dxa"/>
            <w:vAlign w:val="bottom"/>
            <w:shd w:val="clear" w:color="auto" w:fill="BF2115"/>
          </w:tcPr>
          <w:p>
            <w:pPr>
              <w:jc w:val="right"/>
              <w:ind w:right="201"/>
              <w:spacing w:after="0" w:line="122" w:lineRule="exact"/>
              <w:rPr>
                <w:sz w:val="20"/>
                <w:szCs w:val="20"/>
                <w:color w:val="auto"/>
              </w:rPr>
            </w:pPr>
            <w:r>
              <w:rPr>
                <w:rFonts w:ascii="Arial" w:cs="Arial" w:eastAsia="Arial" w:hAnsi="Arial"/>
                <w:sz w:val="11"/>
                <w:szCs w:val="11"/>
                <w:b w:val="1"/>
                <w:bCs w:val="1"/>
                <w:color w:val="FFFFFF"/>
              </w:rPr>
              <w:t>Threshold</w:t>
            </w:r>
          </w:p>
        </w:tc>
        <w:tc>
          <w:tcPr>
            <w:tcW w:w="800" w:type="dxa"/>
            <w:vAlign w:val="bottom"/>
            <w:shd w:val="clear" w:color="auto" w:fill="BF2115"/>
          </w:tcPr>
          <w:p>
            <w:pPr>
              <w:ind w:left="200"/>
              <w:spacing w:after="0" w:line="122" w:lineRule="exact"/>
              <w:rPr>
                <w:sz w:val="20"/>
                <w:szCs w:val="20"/>
                <w:color w:val="auto"/>
              </w:rPr>
            </w:pPr>
            <w:r>
              <w:rPr>
                <w:rFonts w:ascii="Arial" w:cs="Arial" w:eastAsia="Arial" w:hAnsi="Arial"/>
                <w:sz w:val="11"/>
                <w:szCs w:val="11"/>
                <w:b w:val="1"/>
                <w:bCs w:val="1"/>
                <w:color w:val="FFFFFF"/>
              </w:rPr>
              <w:t>Target</w:t>
            </w:r>
          </w:p>
        </w:tc>
        <w:tc>
          <w:tcPr>
            <w:tcW w:w="900" w:type="dxa"/>
            <w:vAlign w:val="bottom"/>
            <w:shd w:val="clear" w:color="auto" w:fill="BF2115"/>
          </w:tcPr>
          <w:p>
            <w:pPr>
              <w:jc w:val="right"/>
              <w:ind w:right="180"/>
              <w:spacing w:after="0" w:line="122" w:lineRule="exact"/>
              <w:rPr>
                <w:sz w:val="20"/>
                <w:szCs w:val="20"/>
                <w:color w:val="auto"/>
              </w:rPr>
            </w:pPr>
            <w:r>
              <w:rPr>
                <w:rFonts w:ascii="Arial" w:cs="Arial" w:eastAsia="Arial" w:hAnsi="Arial"/>
                <w:sz w:val="11"/>
                <w:szCs w:val="11"/>
                <w:b w:val="1"/>
                <w:bCs w:val="1"/>
                <w:color w:val="FFFFFF"/>
              </w:rPr>
              <w:t>Maximum</w:t>
            </w:r>
          </w:p>
        </w:tc>
        <w:tc>
          <w:tcPr>
            <w:tcW w:w="920" w:type="dxa"/>
            <w:vAlign w:val="bottom"/>
            <w:shd w:val="clear" w:color="auto" w:fill="BF2115"/>
          </w:tcPr>
          <w:p>
            <w:pPr>
              <w:jc w:val="right"/>
              <w:ind w:right="181"/>
              <w:spacing w:after="0" w:line="122" w:lineRule="exact"/>
              <w:rPr>
                <w:sz w:val="20"/>
                <w:szCs w:val="20"/>
                <w:color w:val="auto"/>
              </w:rPr>
            </w:pPr>
            <w:r>
              <w:rPr>
                <w:rFonts w:ascii="Arial" w:cs="Arial" w:eastAsia="Arial" w:hAnsi="Arial"/>
                <w:sz w:val="11"/>
                <w:szCs w:val="11"/>
                <w:b w:val="1"/>
                <w:bCs w:val="1"/>
                <w:color w:val="FFFFFF"/>
              </w:rPr>
              <w:t>Threshold</w:t>
            </w:r>
          </w:p>
        </w:tc>
        <w:tc>
          <w:tcPr>
            <w:tcW w:w="780" w:type="dxa"/>
            <w:vAlign w:val="bottom"/>
            <w:shd w:val="clear" w:color="auto" w:fill="BF2115"/>
          </w:tcPr>
          <w:p>
            <w:pPr>
              <w:jc w:val="center"/>
              <w:ind w:right="40"/>
              <w:spacing w:after="0" w:line="122" w:lineRule="exact"/>
              <w:rPr>
                <w:sz w:val="20"/>
                <w:szCs w:val="20"/>
                <w:color w:val="auto"/>
              </w:rPr>
            </w:pPr>
            <w:r>
              <w:rPr>
                <w:rFonts w:ascii="Arial" w:cs="Arial" w:eastAsia="Arial" w:hAnsi="Arial"/>
                <w:sz w:val="11"/>
                <w:szCs w:val="11"/>
                <w:b w:val="1"/>
                <w:bCs w:val="1"/>
                <w:color w:val="FFFFFF"/>
                <w:w w:val="95"/>
              </w:rPr>
              <w:t>Target</w:t>
            </w:r>
          </w:p>
        </w:tc>
        <w:tc>
          <w:tcPr>
            <w:tcW w:w="820" w:type="dxa"/>
            <w:vAlign w:val="bottom"/>
            <w:shd w:val="clear" w:color="auto" w:fill="BF2115"/>
          </w:tcPr>
          <w:p>
            <w:pPr>
              <w:jc w:val="right"/>
              <w:ind w:right="100"/>
              <w:spacing w:after="0" w:line="122" w:lineRule="exact"/>
              <w:rPr>
                <w:sz w:val="20"/>
                <w:szCs w:val="20"/>
                <w:color w:val="auto"/>
              </w:rPr>
            </w:pPr>
            <w:r>
              <w:rPr>
                <w:rFonts w:ascii="Arial" w:cs="Arial" w:eastAsia="Arial" w:hAnsi="Arial"/>
                <w:sz w:val="11"/>
                <w:szCs w:val="11"/>
                <w:b w:val="1"/>
                <w:bCs w:val="1"/>
                <w:color w:val="FFFFFF"/>
              </w:rPr>
              <w:t>Maximum</w:t>
            </w:r>
          </w:p>
        </w:tc>
        <w:tc>
          <w:tcPr>
            <w:tcW w:w="840" w:type="dxa"/>
            <w:vAlign w:val="bottom"/>
            <w:shd w:val="clear" w:color="auto" w:fill="BF2115"/>
          </w:tcPr>
          <w:p>
            <w:pPr>
              <w:jc w:val="center"/>
              <w:spacing w:after="0" w:line="122" w:lineRule="exact"/>
              <w:rPr>
                <w:sz w:val="20"/>
                <w:szCs w:val="20"/>
                <w:color w:val="auto"/>
              </w:rPr>
            </w:pPr>
            <w:r>
              <w:rPr>
                <w:rFonts w:ascii="Arial" w:cs="Arial" w:eastAsia="Arial" w:hAnsi="Arial"/>
                <w:sz w:val="11"/>
                <w:szCs w:val="11"/>
                <w:b w:val="1"/>
                <w:bCs w:val="1"/>
                <w:color w:val="FFFFFF"/>
                <w:w w:val="99"/>
              </w:rPr>
              <w:t>Stock or Units</w:t>
            </w:r>
          </w:p>
        </w:tc>
        <w:tc>
          <w:tcPr>
            <w:tcW w:w="900" w:type="dxa"/>
            <w:vAlign w:val="bottom"/>
            <w:shd w:val="clear" w:color="auto" w:fill="BF2115"/>
          </w:tcPr>
          <w:p>
            <w:pPr>
              <w:jc w:val="center"/>
              <w:spacing w:after="0" w:line="122" w:lineRule="exact"/>
              <w:rPr>
                <w:sz w:val="20"/>
                <w:szCs w:val="20"/>
                <w:color w:val="auto"/>
              </w:rPr>
            </w:pPr>
            <w:r>
              <w:rPr>
                <w:rFonts w:ascii="Arial" w:cs="Arial" w:eastAsia="Arial" w:hAnsi="Arial"/>
                <w:sz w:val="11"/>
                <w:szCs w:val="11"/>
                <w:b w:val="1"/>
                <w:bCs w:val="1"/>
                <w:color w:val="FFFFFF"/>
                <w:w w:val="97"/>
              </w:rPr>
              <w:t>Underlying</w:t>
            </w:r>
          </w:p>
        </w:tc>
        <w:tc>
          <w:tcPr>
            <w:tcW w:w="800" w:type="dxa"/>
            <w:vAlign w:val="bottom"/>
            <w:shd w:val="clear" w:color="auto" w:fill="BF2115"/>
          </w:tcPr>
          <w:p>
            <w:pPr>
              <w:jc w:val="center"/>
              <w:spacing w:after="0" w:line="122" w:lineRule="exact"/>
              <w:rPr>
                <w:sz w:val="20"/>
                <w:szCs w:val="20"/>
                <w:color w:val="auto"/>
              </w:rPr>
            </w:pPr>
            <w:r>
              <w:rPr>
                <w:rFonts w:ascii="Arial" w:cs="Arial" w:eastAsia="Arial" w:hAnsi="Arial"/>
                <w:sz w:val="11"/>
                <w:szCs w:val="11"/>
                <w:b w:val="1"/>
                <w:bCs w:val="1"/>
                <w:color w:val="FFFFFF"/>
              </w:rPr>
              <w:t>Option</w:t>
            </w:r>
          </w:p>
        </w:tc>
        <w:tc>
          <w:tcPr>
            <w:tcW w:w="900" w:type="dxa"/>
            <w:vAlign w:val="bottom"/>
            <w:shd w:val="clear" w:color="auto" w:fill="BF2115"/>
          </w:tcPr>
          <w:p>
            <w:pPr>
              <w:jc w:val="center"/>
              <w:spacing w:after="0" w:line="122" w:lineRule="exact"/>
              <w:rPr>
                <w:sz w:val="20"/>
                <w:szCs w:val="20"/>
                <w:color w:val="auto"/>
              </w:rPr>
            </w:pPr>
            <w:r>
              <w:rPr>
                <w:rFonts w:ascii="Arial" w:cs="Arial" w:eastAsia="Arial" w:hAnsi="Arial"/>
                <w:sz w:val="11"/>
                <w:szCs w:val="11"/>
                <w:b w:val="1"/>
                <w:bCs w:val="1"/>
                <w:color w:val="FFFFFF"/>
                <w:w w:val="99"/>
              </w:rPr>
              <w:t>Awards</w:t>
            </w:r>
            <w:r>
              <w:rPr>
                <w:rFonts w:ascii="Arial" w:cs="Arial" w:eastAsia="Arial" w:hAnsi="Arial"/>
                <w:sz w:val="7"/>
                <w:szCs w:val="7"/>
                <w:color w:val="FFFFFF"/>
                <w:w w:val="99"/>
              </w:rPr>
              <w:t>(4)</w:t>
            </w:r>
          </w:p>
        </w:tc>
        <w:tc>
          <w:tcPr>
            <w:tcW w:w="0" w:type="dxa"/>
            <w:vAlign w:val="bottom"/>
          </w:tcPr>
          <w:p>
            <w:pPr>
              <w:spacing w:after="0"/>
              <w:rPr>
                <w:sz w:val="1"/>
                <w:szCs w:val="1"/>
                <w:color w:val="auto"/>
              </w:rPr>
            </w:pPr>
          </w:p>
        </w:tc>
      </w:tr>
      <w:tr>
        <w:trPr>
          <w:trHeight w:val="169"/>
        </w:trPr>
        <w:tc>
          <w:tcPr>
            <w:tcW w:w="1040" w:type="dxa"/>
            <w:vAlign w:val="bottom"/>
            <w:tcBorders>
              <w:bottom w:val="single" w:sz="8" w:color="BF2115"/>
            </w:tcBorders>
            <w:shd w:val="clear" w:color="auto" w:fill="BF2115"/>
          </w:tcPr>
          <w:p>
            <w:pPr>
              <w:ind w:left="40"/>
              <w:spacing w:after="0"/>
              <w:rPr>
                <w:sz w:val="20"/>
                <w:szCs w:val="20"/>
                <w:color w:val="auto"/>
              </w:rPr>
            </w:pPr>
            <w:r>
              <w:rPr>
                <w:rFonts w:ascii="Arial" w:cs="Arial" w:eastAsia="Arial" w:hAnsi="Arial"/>
                <w:sz w:val="11"/>
                <w:szCs w:val="11"/>
                <w:b w:val="1"/>
                <w:bCs w:val="1"/>
                <w:color w:val="FFFFFF"/>
              </w:rPr>
              <w:t>Name</w:t>
            </w:r>
          </w:p>
        </w:tc>
        <w:tc>
          <w:tcPr>
            <w:tcW w:w="940" w:type="dxa"/>
            <w:vAlign w:val="bottom"/>
            <w:tcBorders>
              <w:bottom w:val="single" w:sz="8" w:color="BF2115"/>
            </w:tcBorders>
            <w:gridSpan w:val="2"/>
            <w:shd w:val="clear" w:color="auto" w:fill="BF2115"/>
          </w:tcPr>
          <w:p>
            <w:pPr>
              <w:ind w:left="200"/>
              <w:spacing w:after="0"/>
              <w:rPr>
                <w:sz w:val="20"/>
                <w:szCs w:val="20"/>
                <w:color w:val="auto"/>
              </w:rPr>
            </w:pPr>
            <w:r>
              <w:rPr>
                <w:rFonts w:ascii="Arial" w:cs="Arial" w:eastAsia="Arial" w:hAnsi="Arial"/>
                <w:sz w:val="11"/>
                <w:szCs w:val="11"/>
                <w:b w:val="1"/>
                <w:bCs w:val="1"/>
                <w:color w:val="FFFFFF"/>
              </w:rPr>
              <w:t>Plan Name</w:t>
            </w:r>
          </w:p>
        </w:tc>
        <w:tc>
          <w:tcPr>
            <w:tcW w:w="820" w:type="dxa"/>
            <w:vAlign w:val="bottom"/>
            <w:tcBorders>
              <w:bottom w:val="single" w:sz="8" w:color="BF2115"/>
            </w:tcBorders>
            <w:shd w:val="clear" w:color="auto" w:fill="BF2115"/>
          </w:tcPr>
          <w:p>
            <w:pPr>
              <w:jc w:val="center"/>
              <w:spacing w:after="0"/>
              <w:rPr>
                <w:sz w:val="20"/>
                <w:szCs w:val="20"/>
                <w:color w:val="auto"/>
              </w:rPr>
            </w:pPr>
            <w:r>
              <w:rPr>
                <w:rFonts w:ascii="Arial" w:cs="Arial" w:eastAsia="Arial" w:hAnsi="Arial"/>
                <w:sz w:val="11"/>
                <w:szCs w:val="11"/>
                <w:b w:val="1"/>
                <w:bCs w:val="1"/>
                <w:color w:val="FFFFFF"/>
                <w:w w:val="95"/>
              </w:rPr>
              <w:t xml:space="preserve">Date </w:t>
            </w:r>
            <w:r>
              <w:rPr>
                <w:rFonts w:ascii="Arial" w:cs="Arial" w:eastAsia="Arial" w:hAnsi="Arial"/>
                <w:sz w:val="7"/>
                <w:szCs w:val="7"/>
                <w:b w:val="1"/>
                <w:bCs w:val="1"/>
                <w:color w:val="FFFFFF"/>
                <w:w w:val="95"/>
              </w:rPr>
              <w:t>(3)</w:t>
            </w:r>
          </w:p>
        </w:tc>
        <w:tc>
          <w:tcPr>
            <w:tcW w:w="960" w:type="dxa"/>
            <w:vAlign w:val="bottom"/>
            <w:tcBorders>
              <w:bottom w:val="single" w:sz="8" w:color="BF2115"/>
            </w:tcBorders>
            <w:shd w:val="clear" w:color="auto" w:fill="BF2115"/>
          </w:tcPr>
          <w:p>
            <w:pPr>
              <w:jc w:val="right"/>
              <w:ind w:right="401"/>
              <w:spacing w:after="0"/>
              <w:rPr>
                <w:sz w:val="20"/>
                <w:szCs w:val="20"/>
                <w:color w:val="auto"/>
              </w:rPr>
            </w:pPr>
            <w:r>
              <w:rPr>
                <w:rFonts w:ascii="Arial" w:cs="Arial" w:eastAsia="Arial" w:hAnsi="Arial"/>
                <w:sz w:val="11"/>
                <w:szCs w:val="11"/>
                <w:b w:val="1"/>
                <w:bCs w:val="1"/>
                <w:color w:val="FFFFFF"/>
              </w:rPr>
              <w:t>($)</w:t>
            </w:r>
          </w:p>
        </w:tc>
        <w:tc>
          <w:tcPr>
            <w:tcW w:w="800" w:type="dxa"/>
            <w:vAlign w:val="bottom"/>
            <w:tcBorders>
              <w:bottom w:val="single" w:sz="8" w:color="BF2115"/>
            </w:tcBorders>
            <w:shd w:val="clear" w:color="auto" w:fill="BF2115"/>
          </w:tcPr>
          <w:p>
            <w:pPr>
              <w:jc w:val="center"/>
              <w:ind w:right="40"/>
              <w:spacing w:after="0"/>
              <w:rPr>
                <w:sz w:val="20"/>
                <w:szCs w:val="20"/>
                <w:color w:val="auto"/>
              </w:rPr>
            </w:pPr>
            <w:r>
              <w:rPr>
                <w:rFonts w:ascii="Arial" w:cs="Arial" w:eastAsia="Arial" w:hAnsi="Arial"/>
                <w:sz w:val="11"/>
                <w:szCs w:val="11"/>
                <w:b w:val="1"/>
                <w:bCs w:val="1"/>
                <w:color w:val="FFFFFF"/>
              </w:rPr>
              <w:t>($)</w:t>
            </w:r>
          </w:p>
        </w:tc>
        <w:tc>
          <w:tcPr>
            <w:tcW w:w="900" w:type="dxa"/>
            <w:vAlign w:val="bottom"/>
            <w:tcBorders>
              <w:bottom w:val="single" w:sz="8" w:color="BF2115"/>
            </w:tcBorders>
            <w:shd w:val="clear" w:color="auto" w:fill="BF2115"/>
          </w:tcPr>
          <w:p>
            <w:pPr>
              <w:jc w:val="right"/>
              <w:ind w:right="360"/>
              <w:spacing w:after="0"/>
              <w:rPr>
                <w:sz w:val="20"/>
                <w:szCs w:val="20"/>
                <w:color w:val="auto"/>
              </w:rPr>
            </w:pPr>
            <w:r>
              <w:rPr>
                <w:rFonts w:ascii="Arial" w:cs="Arial" w:eastAsia="Arial" w:hAnsi="Arial"/>
                <w:sz w:val="11"/>
                <w:szCs w:val="11"/>
                <w:b w:val="1"/>
                <w:bCs w:val="1"/>
                <w:color w:val="FFFFFF"/>
              </w:rPr>
              <w:t>($)</w:t>
            </w:r>
          </w:p>
        </w:tc>
        <w:tc>
          <w:tcPr>
            <w:tcW w:w="920" w:type="dxa"/>
            <w:vAlign w:val="bottom"/>
            <w:tcBorders>
              <w:bottom w:val="single" w:sz="8" w:color="BF2115"/>
            </w:tcBorders>
            <w:shd w:val="clear" w:color="auto" w:fill="BF2115"/>
          </w:tcPr>
          <w:p>
            <w:pPr>
              <w:jc w:val="right"/>
              <w:ind w:right="381"/>
              <w:spacing w:after="0"/>
              <w:rPr>
                <w:sz w:val="20"/>
                <w:szCs w:val="20"/>
                <w:color w:val="auto"/>
              </w:rPr>
            </w:pPr>
            <w:r>
              <w:rPr>
                <w:rFonts w:ascii="Arial" w:cs="Arial" w:eastAsia="Arial" w:hAnsi="Arial"/>
                <w:sz w:val="11"/>
                <w:szCs w:val="11"/>
                <w:b w:val="1"/>
                <w:bCs w:val="1"/>
                <w:color w:val="FFFFFF"/>
              </w:rPr>
              <w:t>(#)</w:t>
            </w:r>
          </w:p>
        </w:tc>
        <w:tc>
          <w:tcPr>
            <w:tcW w:w="780" w:type="dxa"/>
            <w:vAlign w:val="bottom"/>
            <w:tcBorders>
              <w:bottom w:val="single" w:sz="8" w:color="BF2115"/>
            </w:tcBorders>
            <w:shd w:val="clear" w:color="auto" w:fill="BF2115"/>
          </w:tcPr>
          <w:p>
            <w:pPr>
              <w:jc w:val="center"/>
              <w:ind w:right="40"/>
              <w:spacing w:after="0"/>
              <w:rPr>
                <w:sz w:val="20"/>
                <w:szCs w:val="20"/>
                <w:color w:val="auto"/>
              </w:rPr>
            </w:pPr>
            <w:r>
              <w:rPr>
                <w:rFonts w:ascii="Arial" w:cs="Arial" w:eastAsia="Arial" w:hAnsi="Arial"/>
                <w:sz w:val="11"/>
                <w:szCs w:val="11"/>
                <w:b w:val="1"/>
                <w:bCs w:val="1"/>
                <w:color w:val="FFFFFF"/>
                <w:w w:val="88"/>
              </w:rPr>
              <w:t>(#)</w:t>
            </w:r>
          </w:p>
        </w:tc>
        <w:tc>
          <w:tcPr>
            <w:tcW w:w="820" w:type="dxa"/>
            <w:vAlign w:val="bottom"/>
            <w:tcBorders>
              <w:bottom w:val="single" w:sz="8" w:color="BF2115"/>
            </w:tcBorders>
            <w:shd w:val="clear" w:color="auto" w:fill="BF2115"/>
          </w:tcPr>
          <w:p>
            <w:pPr>
              <w:jc w:val="right"/>
              <w:ind w:right="280"/>
              <w:spacing w:after="0"/>
              <w:rPr>
                <w:sz w:val="20"/>
                <w:szCs w:val="20"/>
                <w:color w:val="auto"/>
              </w:rPr>
            </w:pPr>
            <w:r>
              <w:rPr>
                <w:rFonts w:ascii="Arial" w:cs="Arial" w:eastAsia="Arial" w:hAnsi="Arial"/>
                <w:sz w:val="11"/>
                <w:szCs w:val="11"/>
                <w:b w:val="1"/>
                <w:bCs w:val="1"/>
                <w:color w:val="FFFFFF"/>
              </w:rPr>
              <w:t>(#)</w:t>
            </w:r>
          </w:p>
        </w:tc>
        <w:tc>
          <w:tcPr>
            <w:tcW w:w="840" w:type="dxa"/>
            <w:vAlign w:val="bottom"/>
            <w:tcBorders>
              <w:bottom w:val="single" w:sz="8" w:color="BF2115"/>
            </w:tcBorders>
            <w:shd w:val="clear" w:color="auto" w:fill="BF2115"/>
          </w:tcPr>
          <w:p>
            <w:pPr>
              <w:jc w:val="center"/>
              <w:spacing w:after="0"/>
              <w:rPr>
                <w:sz w:val="20"/>
                <w:szCs w:val="20"/>
                <w:color w:val="auto"/>
              </w:rPr>
            </w:pPr>
            <w:r>
              <w:rPr>
                <w:rFonts w:ascii="Arial" w:cs="Arial" w:eastAsia="Arial" w:hAnsi="Arial"/>
                <w:sz w:val="11"/>
                <w:szCs w:val="11"/>
                <w:b w:val="1"/>
                <w:bCs w:val="1"/>
                <w:color w:val="FFFFFF"/>
              </w:rPr>
              <w:t>(#)</w:t>
            </w:r>
          </w:p>
        </w:tc>
        <w:tc>
          <w:tcPr>
            <w:tcW w:w="900" w:type="dxa"/>
            <w:vAlign w:val="bottom"/>
            <w:tcBorders>
              <w:bottom w:val="single" w:sz="8" w:color="BF2115"/>
            </w:tcBorders>
            <w:shd w:val="clear" w:color="auto" w:fill="BF2115"/>
          </w:tcPr>
          <w:p>
            <w:pPr>
              <w:jc w:val="center"/>
              <w:spacing w:after="0"/>
              <w:rPr>
                <w:sz w:val="20"/>
                <w:szCs w:val="20"/>
                <w:color w:val="auto"/>
              </w:rPr>
            </w:pPr>
            <w:r>
              <w:rPr>
                <w:rFonts w:ascii="Arial" w:cs="Arial" w:eastAsia="Arial" w:hAnsi="Arial"/>
                <w:sz w:val="11"/>
                <w:szCs w:val="11"/>
                <w:b w:val="1"/>
                <w:bCs w:val="1"/>
                <w:color w:val="FFFFFF"/>
                <w:w w:val="99"/>
              </w:rPr>
              <w:t>Options (#)</w:t>
            </w:r>
          </w:p>
        </w:tc>
        <w:tc>
          <w:tcPr>
            <w:tcW w:w="800" w:type="dxa"/>
            <w:vAlign w:val="bottom"/>
            <w:tcBorders>
              <w:bottom w:val="single" w:sz="8" w:color="BF2115"/>
            </w:tcBorders>
            <w:shd w:val="clear" w:color="auto" w:fill="BF2115"/>
          </w:tcPr>
          <w:p>
            <w:pPr>
              <w:jc w:val="center"/>
              <w:spacing w:after="0"/>
              <w:rPr>
                <w:sz w:val="20"/>
                <w:szCs w:val="20"/>
                <w:color w:val="auto"/>
              </w:rPr>
            </w:pPr>
            <w:r>
              <w:rPr>
                <w:rFonts w:ascii="Arial" w:cs="Arial" w:eastAsia="Arial" w:hAnsi="Arial"/>
                <w:sz w:val="11"/>
                <w:szCs w:val="11"/>
                <w:b w:val="1"/>
                <w:bCs w:val="1"/>
                <w:color w:val="FFFFFF"/>
                <w:w w:val="98"/>
              </w:rPr>
              <w:t>Awards ($/Sh)</w:t>
            </w:r>
          </w:p>
        </w:tc>
        <w:tc>
          <w:tcPr>
            <w:tcW w:w="900" w:type="dxa"/>
            <w:vAlign w:val="bottom"/>
            <w:tcBorders>
              <w:bottom w:val="single" w:sz="8" w:color="BF2115"/>
            </w:tcBorders>
            <w:shd w:val="clear" w:color="auto" w:fill="BF2115"/>
          </w:tcPr>
          <w:p>
            <w:pPr>
              <w:jc w:val="center"/>
              <w:spacing w:after="0"/>
              <w:rPr>
                <w:sz w:val="20"/>
                <w:szCs w:val="20"/>
                <w:color w:val="auto"/>
              </w:rPr>
            </w:pPr>
            <w:r>
              <w:rPr>
                <w:rFonts w:ascii="Arial" w:cs="Arial" w:eastAsia="Arial" w:hAnsi="Arial"/>
                <w:sz w:val="11"/>
                <w:szCs w:val="11"/>
                <w:b w:val="1"/>
                <w:bCs w:val="1"/>
                <w:color w:val="FFFFFF"/>
              </w:rPr>
              <w:t>($)</w:t>
            </w:r>
          </w:p>
        </w:tc>
        <w:tc>
          <w:tcPr>
            <w:tcW w:w="0" w:type="dxa"/>
            <w:vAlign w:val="bottom"/>
          </w:tcPr>
          <w:p>
            <w:pPr>
              <w:spacing w:after="0"/>
              <w:rPr>
                <w:sz w:val="1"/>
                <w:szCs w:val="1"/>
                <w:color w:val="auto"/>
              </w:rPr>
            </w:pPr>
          </w:p>
        </w:tc>
      </w:tr>
      <w:tr>
        <w:trPr>
          <w:trHeight w:val="256"/>
        </w:trPr>
        <w:tc>
          <w:tcPr>
            <w:tcW w:w="1040" w:type="dxa"/>
            <w:vAlign w:val="bottom"/>
            <w:tcBorders>
              <w:top w:val="single" w:sz="8" w:color="auto"/>
            </w:tcBorders>
          </w:tcPr>
          <w:p>
            <w:pPr>
              <w:ind w:left="40"/>
              <w:spacing w:after="0"/>
              <w:rPr>
                <w:sz w:val="20"/>
                <w:szCs w:val="20"/>
                <w:color w:val="auto"/>
              </w:rPr>
            </w:pPr>
            <w:r>
              <w:rPr>
                <w:rFonts w:ascii="Arial" w:cs="Arial" w:eastAsia="Arial" w:hAnsi="Arial"/>
                <w:sz w:val="13"/>
                <w:szCs w:val="13"/>
                <w:color w:val="auto"/>
                <w:w w:val="97"/>
              </w:rPr>
              <w:t>Michael J. Happe</w:t>
            </w:r>
          </w:p>
        </w:tc>
        <w:tc>
          <w:tcPr>
            <w:tcW w:w="340" w:type="dxa"/>
            <w:vAlign w:val="bottom"/>
            <w:tcBorders>
              <w:top w:val="single" w:sz="8" w:color="auto"/>
            </w:tcBorders>
          </w:tcPr>
          <w:p>
            <w:pPr>
              <w:ind w:left="40"/>
              <w:spacing w:after="0"/>
              <w:rPr>
                <w:sz w:val="20"/>
                <w:szCs w:val="20"/>
                <w:color w:val="auto"/>
              </w:rPr>
            </w:pPr>
            <w:r>
              <w:rPr>
                <w:rFonts w:ascii="Arial" w:cs="Arial" w:eastAsia="Arial" w:hAnsi="Arial"/>
                <w:sz w:val="13"/>
                <w:szCs w:val="13"/>
                <w:color w:val="auto"/>
                <w:w w:val="96"/>
              </w:rPr>
              <w:t>2014</w:t>
            </w:r>
          </w:p>
        </w:tc>
        <w:tc>
          <w:tcPr>
            <w:tcW w:w="600" w:type="dxa"/>
            <w:vAlign w:val="bottom"/>
            <w:tcBorders>
              <w:top w:val="single" w:sz="8" w:color="auto"/>
            </w:tcBorders>
          </w:tcPr>
          <w:p>
            <w:pPr>
              <w:ind w:left="20"/>
              <w:spacing w:after="0"/>
              <w:rPr>
                <w:sz w:val="20"/>
                <w:szCs w:val="20"/>
                <w:color w:val="auto"/>
              </w:rPr>
            </w:pPr>
            <w:r>
              <w:rPr>
                <w:rFonts w:ascii="Arial" w:cs="Arial" w:eastAsia="Arial" w:hAnsi="Arial"/>
                <w:sz w:val="13"/>
                <w:szCs w:val="13"/>
                <w:color w:val="auto"/>
              </w:rPr>
              <w:t>Plan</w:t>
            </w:r>
          </w:p>
        </w:tc>
        <w:tc>
          <w:tcPr>
            <w:tcW w:w="820" w:type="dxa"/>
            <w:vAlign w:val="bottom"/>
            <w:tcBorders>
              <w:top w:val="single" w:sz="8" w:color="auto"/>
            </w:tcBorders>
          </w:tcPr>
          <w:p>
            <w:pPr>
              <w:jc w:val="center"/>
              <w:spacing w:after="0"/>
              <w:rPr>
                <w:sz w:val="20"/>
                <w:szCs w:val="20"/>
                <w:color w:val="auto"/>
              </w:rPr>
            </w:pPr>
            <w:r>
              <w:rPr>
                <w:rFonts w:ascii="Arial" w:cs="Arial" w:eastAsia="Arial" w:hAnsi="Arial"/>
                <w:sz w:val="13"/>
                <w:szCs w:val="13"/>
                <w:color w:val="auto"/>
                <w:w w:val="98"/>
              </w:rPr>
              <w:t>10/18/17</w:t>
            </w:r>
          </w:p>
        </w:tc>
        <w:tc>
          <w:tcPr>
            <w:tcW w:w="960" w:type="dxa"/>
            <w:vAlign w:val="bottom"/>
            <w:tcBorders>
              <w:top w:val="single" w:sz="8" w:color="auto"/>
            </w:tcBorders>
          </w:tcPr>
          <w:p>
            <w:pPr>
              <w:spacing w:after="0"/>
              <w:rPr>
                <w:sz w:val="22"/>
                <w:szCs w:val="22"/>
                <w:color w:val="auto"/>
              </w:rPr>
            </w:pPr>
          </w:p>
        </w:tc>
        <w:tc>
          <w:tcPr>
            <w:tcW w:w="800" w:type="dxa"/>
            <w:vAlign w:val="bottom"/>
            <w:tcBorders>
              <w:top w:val="single" w:sz="8" w:color="auto"/>
            </w:tcBorders>
          </w:tcPr>
          <w:p>
            <w:pPr>
              <w:spacing w:after="0"/>
              <w:rPr>
                <w:sz w:val="22"/>
                <w:szCs w:val="22"/>
                <w:color w:val="auto"/>
              </w:rPr>
            </w:pPr>
          </w:p>
        </w:tc>
        <w:tc>
          <w:tcPr>
            <w:tcW w:w="900" w:type="dxa"/>
            <w:vAlign w:val="bottom"/>
            <w:tcBorders>
              <w:top w:val="single" w:sz="8" w:color="auto"/>
            </w:tcBorders>
          </w:tcPr>
          <w:p>
            <w:pPr>
              <w:spacing w:after="0"/>
              <w:rPr>
                <w:sz w:val="22"/>
                <w:szCs w:val="22"/>
                <w:color w:val="auto"/>
              </w:rPr>
            </w:pPr>
          </w:p>
        </w:tc>
        <w:tc>
          <w:tcPr>
            <w:tcW w:w="920" w:type="dxa"/>
            <w:vAlign w:val="bottom"/>
            <w:tcBorders>
              <w:top w:val="single" w:sz="8" w:color="auto"/>
            </w:tcBorders>
          </w:tcPr>
          <w:p>
            <w:pPr>
              <w:spacing w:after="0"/>
              <w:rPr>
                <w:sz w:val="22"/>
                <w:szCs w:val="22"/>
                <w:color w:val="auto"/>
              </w:rPr>
            </w:pPr>
          </w:p>
        </w:tc>
        <w:tc>
          <w:tcPr>
            <w:tcW w:w="780" w:type="dxa"/>
            <w:vAlign w:val="bottom"/>
            <w:tcBorders>
              <w:top w:val="single" w:sz="8" w:color="auto"/>
            </w:tcBorders>
          </w:tcPr>
          <w:p>
            <w:pPr>
              <w:spacing w:after="0"/>
              <w:rPr>
                <w:sz w:val="22"/>
                <w:szCs w:val="22"/>
                <w:color w:val="auto"/>
              </w:rPr>
            </w:pPr>
          </w:p>
        </w:tc>
        <w:tc>
          <w:tcPr>
            <w:tcW w:w="820" w:type="dxa"/>
            <w:vAlign w:val="bottom"/>
            <w:tcBorders>
              <w:top w:val="single" w:sz="8" w:color="auto"/>
            </w:tcBorders>
          </w:tcPr>
          <w:p>
            <w:pPr>
              <w:spacing w:after="0"/>
              <w:rPr>
                <w:sz w:val="22"/>
                <w:szCs w:val="22"/>
                <w:color w:val="auto"/>
              </w:rPr>
            </w:pPr>
          </w:p>
        </w:tc>
        <w:tc>
          <w:tcPr>
            <w:tcW w:w="840" w:type="dxa"/>
            <w:vAlign w:val="bottom"/>
            <w:tcBorders>
              <w:top w:val="single" w:sz="8" w:color="auto"/>
            </w:tcBorders>
          </w:tcPr>
          <w:p>
            <w:pPr>
              <w:spacing w:after="0"/>
              <w:rPr>
                <w:sz w:val="22"/>
                <w:szCs w:val="22"/>
                <w:color w:val="auto"/>
              </w:rPr>
            </w:pPr>
          </w:p>
        </w:tc>
        <w:tc>
          <w:tcPr>
            <w:tcW w:w="900" w:type="dxa"/>
            <w:vAlign w:val="bottom"/>
            <w:tcBorders>
              <w:top w:val="single" w:sz="8" w:color="auto"/>
            </w:tcBorders>
          </w:tcPr>
          <w:p>
            <w:pPr>
              <w:jc w:val="right"/>
              <w:ind w:right="42"/>
              <w:spacing w:after="0"/>
              <w:rPr>
                <w:sz w:val="20"/>
                <w:szCs w:val="20"/>
                <w:color w:val="auto"/>
              </w:rPr>
            </w:pPr>
            <w:r>
              <w:rPr>
                <w:rFonts w:ascii="Arial" w:cs="Arial" w:eastAsia="Arial" w:hAnsi="Arial"/>
                <w:sz w:val="13"/>
                <w:szCs w:val="13"/>
                <w:color w:val="auto"/>
              </w:rPr>
              <w:t>28,015</w:t>
            </w:r>
          </w:p>
        </w:tc>
        <w:tc>
          <w:tcPr>
            <w:tcW w:w="800" w:type="dxa"/>
            <w:vAlign w:val="bottom"/>
            <w:tcBorders>
              <w:top w:val="single" w:sz="8" w:color="auto"/>
            </w:tcBorders>
          </w:tcPr>
          <w:p>
            <w:pPr>
              <w:jc w:val="right"/>
              <w:ind w:right="102"/>
              <w:spacing w:after="0"/>
              <w:rPr>
                <w:sz w:val="20"/>
                <w:szCs w:val="20"/>
                <w:color w:val="auto"/>
              </w:rPr>
            </w:pPr>
            <w:r>
              <w:rPr>
                <w:rFonts w:ascii="Arial" w:cs="Arial" w:eastAsia="Arial" w:hAnsi="Arial"/>
                <w:sz w:val="13"/>
                <w:szCs w:val="13"/>
                <w:color w:val="auto"/>
              </w:rPr>
              <w:t>$44.40</w:t>
            </w:r>
          </w:p>
        </w:tc>
        <w:tc>
          <w:tcPr>
            <w:tcW w:w="900" w:type="dxa"/>
            <w:vAlign w:val="bottom"/>
            <w:tcBorders>
              <w:top w:val="single" w:sz="8" w:color="auto"/>
            </w:tcBorders>
          </w:tcPr>
          <w:p>
            <w:pPr>
              <w:jc w:val="right"/>
              <w:ind w:right="106"/>
              <w:spacing w:after="0"/>
              <w:rPr>
                <w:sz w:val="20"/>
                <w:szCs w:val="20"/>
                <w:color w:val="auto"/>
              </w:rPr>
            </w:pPr>
            <w:r>
              <w:rPr>
                <w:rFonts w:ascii="Arial" w:cs="Arial" w:eastAsia="Arial" w:hAnsi="Arial"/>
                <w:sz w:val="11"/>
                <w:szCs w:val="11"/>
                <w:color w:val="auto"/>
              </w:rPr>
              <w:t>$414,062</w:t>
            </w:r>
          </w:p>
        </w:tc>
        <w:tc>
          <w:tcPr>
            <w:tcW w:w="0" w:type="dxa"/>
            <w:vAlign w:val="bottom"/>
          </w:tcPr>
          <w:p>
            <w:pPr>
              <w:spacing w:after="0"/>
              <w:rPr>
                <w:sz w:val="1"/>
                <w:szCs w:val="1"/>
                <w:color w:val="auto"/>
              </w:rPr>
            </w:pPr>
          </w:p>
        </w:tc>
      </w:tr>
      <w:tr>
        <w:trPr>
          <w:trHeight w:val="278"/>
        </w:trPr>
        <w:tc>
          <w:tcPr>
            <w:tcW w:w="1040" w:type="dxa"/>
            <w:vAlign w:val="bottom"/>
            <w:shd w:val="clear" w:color="auto" w:fill="ACACAC"/>
          </w:tcPr>
          <w:p>
            <w:pPr>
              <w:spacing w:after="0"/>
              <w:rPr>
                <w:sz w:val="24"/>
                <w:szCs w:val="24"/>
                <w:color w:val="auto"/>
              </w:rPr>
            </w:pPr>
          </w:p>
        </w:tc>
        <w:tc>
          <w:tcPr>
            <w:tcW w:w="340" w:type="dxa"/>
            <w:vAlign w:val="bottom"/>
            <w:shd w:val="clear" w:color="auto" w:fill="ACACAC"/>
          </w:tcPr>
          <w:p>
            <w:pPr>
              <w:ind w:left="40"/>
              <w:spacing w:after="0"/>
              <w:rPr>
                <w:sz w:val="20"/>
                <w:szCs w:val="20"/>
                <w:color w:val="auto"/>
              </w:rPr>
            </w:pPr>
            <w:r>
              <w:rPr>
                <w:rFonts w:ascii="Arial" w:cs="Arial" w:eastAsia="Arial" w:hAnsi="Arial"/>
                <w:sz w:val="13"/>
                <w:szCs w:val="13"/>
                <w:color w:val="auto"/>
                <w:w w:val="96"/>
              </w:rPr>
              <w:t>2014</w:t>
            </w:r>
          </w:p>
        </w:tc>
        <w:tc>
          <w:tcPr>
            <w:tcW w:w="600" w:type="dxa"/>
            <w:vAlign w:val="bottom"/>
            <w:shd w:val="clear" w:color="auto" w:fill="ACACAC"/>
          </w:tcPr>
          <w:p>
            <w:pPr>
              <w:ind w:left="20"/>
              <w:spacing w:after="0"/>
              <w:rPr>
                <w:sz w:val="20"/>
                <w:szCs w:val="20"/>
                <w:color w:val="auto"/>
              </w:rPr>
            </w:pPr>
            <w:r>
              <w:rPr>
                <w:rFonts w:ascii="Arial" w:cs="Arial" w:eastAsia="Arial" w:hAnsi="Arial"/>
                <w:sz w:val="13"/>
                <w:szCs w:val="13"/>
                <w:color w:val="auto"/>
              </w:rPr>
              <w:t>Plan</w:t>
            </w:r>
          </w:p>
        </w:tc>
        <w:tc>
          <w:tcPr>
            <w:tcW w:w="820" w:type="dxa"/>
            <w:vAlign w:val="bottom"/>
            <w:shd w:val="clear" w:color="auto" w:fill="ACACAC"/>
          </w:tcPr>
          <w:p>
            <w:pPr>
              <w:jc w:val="center"/>
              <w:spacing w:after="0"/>
              <w:rPr>
                <w:sz w:val="20"/>
                <w:szCs w:val="20"/>
                <w:color w:val="auto"/>
              </w:rPr>
            </w:pPr>
            <w:r>
              <w:rPr>
                <w:rFonts w:ascii="Arial" w:cs="Arial" w:eastAsia="Arial" w:hAnsi="Arial"/>
                <w:sz w:val="13"/>
                <w:szCs w:val="13"/>
                <w:color w:val="auto"/>
                <w:w w:val="98"/>
              </w:rPr>
              <w:t>10/18/17</w:t>
            </w:r>
          </w:p>
        </w:tc>
        <w:tc>
          <w:tcPr>
            <w:tcW w:w="960" w:type="dxa"/>
            <w:vAlign w:val="bottom"/>
            <w:shd w:val="clear" w:color="auto" w:fill="ACACAC"/>
          </w:tcPr>
          <w:p>
            <w:pPr>
              <w:spacing w:after="0"/>
              <w:rPr>
                <w:sz w:val="24"/>
                <w:szCs w:val="24"/>
                <w:color w:val="auto"/>
              </w:rPr>
            </w:pPr>
          </w:p>
        </w:tc>
        <w:tc>
          <w:tcPr>
            <w:tcW w:w="800" w:type="dxa"/>
            <w:vAlign w:val="bottom"/>
            <w:shd w:val="clear" w:color="auto" w:fill="ACACAC"/>
          </w:tcPr>
          <w:p>
            <w:pPr>
              <w:spacing w:after="0"/>
              <w:rPr>
                <w:sz w:val="24"/>
                <w:szCs w:val="24"/>
                <w:color w:val="auto"/>
              </w:rPr>
            </w:pPr>
          </w:p>
        </w:tc>
        <w:tc>
          <w:tcPr>
            <w:tcW w:w="900" w:type="dxa"/>
            <w:vAlign w:val="bottom"/>
            <w:shd w:val="clear" w:color="auto" w:fill="ACACAC"/>
          </w:tcPr>
          <w:p>
            <w:pPr>
              <w:spacing w:after="0"/>
              <w:rPr>
                <w:sz w:val="24"/>
                <w:szCs w:val="24"/>
                <w:color w:val="auto"/>
              </w:rPr>
            </w:pPr>
          </w:p>
        </w:tc>
        <w:tc>
          <w:tcPr>
            <w:tcW w:w="920" w:type="dxa"/>
            <w:vAlign w:val="bottom"/>
            <w:shd w:val="clear" w:color="auto" w:fill="ACACAC"/>
          </w:tcPr>
          <w:p>
            <w:pPr>
              <w:spacing w:after="0"/>
              <w:rPr>
                <w:sz w:val="24"/>
                <w:szCs w:val="24"/>
                <w:color w:val="auto"/>
              </w:rPr>
            </w:pPr>
          </w:p>
        </w:tc>
        <w:tc>
          <w:tcPr>
            <w:tcW w:w="780" w:type="dxa"/>
            <w:vAlign w:val="bottom"/>
            <w:shd w:val="clear" w:color="auto" w:fill="ACACAC"/>
          </w:tcPr>
          <w:p>
            <w:pPr>
              <w:spacing w:after="0"/>
              <w:rPr>
                <w:sz w:val="24"/>
                <w:szCs w:val="24"/>
                <w:color w:val="auto"/>
              </w:rPr>
            </w:pPr>
          </w:p>
        </w:tc>
        <w:tc>
          <w:tcPr>
            <w:tcW w:w="820" w:type="dxa"/>
            <w:vAlign w:val="bottom"/>
            <w:shd w:val="clear" w:color="auto" w:fill="ACACAC"/>
          </w:tcPr>
          <w:p>
            <w:pPr>
              <w:spacing w:after="0"/>
              <w:rPr>
                <w:sz w:val="24"/>
                <w:szCs w:val="24"/>
                <w:color w:val="auto"/>
              </w:rPr>
            </w:pPr>
          </w:p>
        </w:tc>
        <w:tc>
          <w:tcPr>
            <w:tcW w:w="840" w:type="dxa"/>
            <w:vAlign w:val="bottom"/>
            <w:shd w:val="clear" w:color="auto" w:fill="ACACAC"/>
          </w:tcPr>
          <w:p>
            <w:pPr>
              <w:jc w:val="center"/>
              <w:spacing w:after="0"/>
              <w:rPr>
                <w:sz w:val="20"/>
                <w:szCs w:val="20"/>
                <w:color w:val="auto"/>
              </w:rPr>
            </w:pPr>
            <w:r>
              <w:rPr>
                <w:rFonts w:ascii="Arial" w:cs="Arial" w:eastAsia="Arial" w:hAnsi="Arial"/>
                <w:sz w:val="13"/>
                <w:szCs w:val="13"/>
                <w:color w:val="auto"/>
                <w:w w:val="98"/>
              </w:rPr>
              <w:t>9,326</w:t>
            </w:r>
          </w:p>
        </w:tc>
        <w:tc>
          <w:tcPr>
            <w:tcW w:w="900" w:type="dxa"/>
            <w:vAlign w:val="bottom"/>
            <w:shd w:val="clear" w:color="auto" w:fill="ACACAC"/>
          </w:tcPr>
          <w:p>
            <w:pPr>
              <w:spacing w:after="0"/>
              <w:rPr>
                <w:sz w:val="24"/>
                <w:szCs w:val="24"/>
                <w:color w:val="auto"/>
              </w:rPr>
            </w:pPr>
          </w:p>
        </w:tc>
        <w:tc>
          <w:tcPr>
            <w:tcW w:w="800" w:type="dxa"/>
            <w:vAlign w:val="bottom"/>
            <w:shd w:val="clear" w:color="auto" w:fill="ACACAC"/>
          </w:tcPr>
          <w:p>
            <w:pPr>
              <w:spacing w:after="0"/>
              <w:rPr>
                <w:sz w:val="24"/>
                <w:szCs w:val="24"/>
                <w:color w:val="auto"/>
              </w:rPr>
            </w:pPr>
          </w:p>
        </w:tc>
        <w:tc>
          <w:tcPr>
            <w:tcW w:w="900" w:type="dxa"/>
            <w:vAlign w:val="bottom"/>
            <w:shd w:val="clear" w:color="auto" w:fill="ACACAC"/>
          </w:tcPr>
          <w:p>
            <w:pPr>
              <w:jc w:val="right"/>
              <w:ind w:right="106"/>
              <w:spacing w:after="0"/>
              <w:rPr>
                <w:sz w:val="20"/>
                <w:szCs w:val="20"/>
                <w:color w:val="auto"/>
              </w:rPr>
            </w:pPr>
            <w:r>
              <w:rPr>
                <w:rFonts w:ascii="Arial" w:cs="Arial" w:eastAsia="Arial" w:hAnsi="Arial"/>
                <w:sz w:val="11"/>
                <w:szCs w:val="11"/>
                <w:color w:val="auto"/>
              </w:rPr>
              <w:t>$414,074</w:t>
            </w:r>
          </w:p>
        </w:tc>
        <w:tc>
          <w:tcPr>
            <w:tcW w:w="0" w:type="dxa"/>
            <w:vAlign w:val="bottom"/>
          </w:tcPr>
          <w:p>
            <w:pPr>
              <w:spacing w:after="0"/>
              <w:rPr>
                <w:sz w:val="1"/>
                <w:szCs w:val="1"/>
                <w:color w:val="auto"/>
              </w:rPr>
            </w:pPr>
          </w:p>
        </w:tc>
      </w:tr>
      <w:tr>
        <w:trPr>
          <w:trHeight w:val="262"/>
        </w:trPr>
        <w:tc>
          <w:tcPr>
            <w:tcW w:w="1040" w:type="dxa"/>
            <w:vAlign w:val="bottom"/>
          </w:tcPr>
          <w:p>
            <w:pPr>
              <w:spacing w:after="0"/>
              <w:rPr>
                <w:sz w:val="22"/>
                <w:szCs w:val="22"/>
                <w:color w:val="auto"/>
              </w:rPr>
            </w:pPr>
          </w:p>
        </w:tc>
        <w:tc>
          <w:tcPr>
            <w:tcW w:w="340" w:type="dxa"/>
            <w:vAlign w:val="bottom"/>
          </w:tcPr>
          <w:p>
            <w:pPr>
              <w:ind w:left="40"/>
              <w:spacing w:after="0"/>
              <w:rPr>
                <w:sz w:val="20"/>
                <w:szCs w:val="20"/>
                <w:color w:val="auto"/>
              </w:rPr>
            </w:pPr>
            <w:r>
              <w:rPr>
                <w:rFonts w:ascii="Arial" w:cs="Arial" w:eastAsia="Arial" w:hAnsi="Arial"/>
                <w:sz w:val="13"/>
                <w:szCs w:val="13"/>
                <w:color w:val="auto"/>
                <w:w w:val="96"/>
              </w:rPr>
              <w:t>2018</w:t>
            </w:r>
          </w:p>
        </w:tc>
        <w:tc>
          <w:tcPr>
            <w:tcW w:w="600" w:type="dxa"/>
            <w:vAlign w:val="bottom"/>
          </w:tcPr>
          <w:p>
            <w:pPr>
              <w:ind w:left="20"/>
              <w:spacing w:after="0"/>
              <w:rPr>
                <w:sz w:val="20"/>
                <w:szCs w:val="20"/>
                <w:color w:val="auto"/>
              </w:rPr>
            </w:pPr>
            <w:r>
              <w:rPr>
                <w:rFonts w:ascii="Arial" w:cs="Arial" w:eastAsia="Arial" w:hAnsi="Arial"/>
                <w:sz w:val="13"/>
                <w:szCs w:val="13"/>
                <w:color w:val="auto"/>
              </w:rPr>
              <w:t>OICP</w:t>
            </w:r>
          </w:p>
        </w:tc>
        <w:tc>
          <w:tcPr>
            <w:tcW w:w="820" w:type="dxa"/>
            <w:vAlign w:val="bottom"/>
          </w:tcPr>
          <w:p>
            <w:pPr>
              <w:spacing w:after="0"/>
              <w:rPr>
                <w:sz w:val="22"/>
                <w:szCs w:val="22"/>
                <w:color w:val="auto"/>
              </w:rPr>
            </w:pPr>
          </w:p>
        </w:tc>
        <w:tc>
          <w:tcPr>
            <w:tcW w:w="960" w:type="dxa"/>
            <w:vAlign w:val="bottom"/>
          </w:tcPr>
          <w:p>
            <w:pPr>
              <w:jc w:val="right"/>
              <w:ind w:right="121"/>
              <w:spacing w:after="0"/>
              <w:rPr>
                <w:sz w:val="20"/>
                <w:szCs w:val="20"/>
                <w:color w:val="auto"/>
              </w:rPr>
            </w:pPr>
            <w:r>
              <w:rPr>
                <w:rFonts w:ascii="Arial" w:cs="Arial" w:eastAsia="Arial" w:hAnsi="Arial"/>
                <w:sz w:val="13"/>
                <w:szCs w:val="13"/>
                <w:color w:val="auto"/>
              </w:rPr>
              <w:t>108,000</w:t>
            </w:r>
          </w:p>
        </w:tc>
        <w:tc>
          <w:tcPr>
            <w:tcW w:w="800" w:type="dxa"/>
            <w:vAlign w:val="bottom"/>
          </w:tcPr>
          <w:p>
            <w:pPr>
              <w:ind w:left="180"/>
              <w:spacing w:after="0"/>
              <w:rPr>
                <w:sz w:val="20"/>
                <w:szCs w:val="20"/>
                <w:color w:val="auto"/>
              </w:rPr>
            </w:pPr>
            <w:r>
              <w:rPr>
                <w:rFonts w:ascii="Arial" w:cs="Arial" w:eastAsia="Arial" w:hAnsi="Arial"/>
                <w:sz w:val="13"/>
                <w:szCs w:val="13"/>
                <w:color w:val="auto"/>
              </w:rPr>
              <w:t>675,000</w:t>
            </w:r>
          </w:p>
        </w:tc>
        <w:tc>
          <w:tcPr>
            <w:tcW w:w="900" w:type="dxa"/>
            <w:vAlign w:val="bottom"/>
          </w:tcPr>
          <w:p>
            <w:pPr>
              <w:jc w:val="right"/>
              <w:ind w:right="80"/>
              <w:spacing w:after="0"/>
              <w:rPr>
                <w:sz w:val="20"/>
                <w:szCs w:val="20"/>
                <w:color w:val="auto"/>
              </w:rPr>
            </w:pPr>
            <w:r>
              <w:rPr>
                <w:rFonts w:ascii="Arial" w:cs="Arial" w:eastAsia="Arial" w:hAnsi="Arial"/>
                <w:sz w:val="13"/>
                <w:szCs w:val="13"/>
                <w:color w:val="auto"/>
              </w:rPr>
              <w:t>1,350,000</w:t>
            </w:r>
          </w:p>
        </w:tc>
        <w:tc>
          <w:tcPr>
            <w:tcW w:w="92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2"/>
        </w:trPr>
        <w:tc>
          <w:tcPr>
            <w:tcW w:w="1040" w:type="dxa"/>
            <w:vAlign w:val="bottom"/>
            <w:tcBorders>
              <w:bottom w:val="single" w:sz="8" w:color="auto"/>
            </w:tcBorders>
            <w:shd w:val="clear" w:color="auto" w:fill="ACACAC"/>
          </w:tcPr>
          <w:p>
            <w:pPr>
              <w:spacing w:after="0"/>
              <w:rPr>
                <w:sz w:val="23"/>
                <w:szCs w:val="23"/>
                <w:color w:val="auto"/>
              </w:rPr>
            </w:pPr>
          </w:p>
        </w:tc>
        <w:tc>
          <w:tcPr>
            <w:tcW w:w="940" w:type="dxa"/>
            <w:vAlign w:val="bottom"/>
            <w:tcBorders>
              <w:bottom w:val="single" w:sz="8" w:color="auto"/>
            </w:tcBorders>
            <w:gridSpan w:val="2"/>
            <w:shd w:val="clear" w:color="auto" w:fill="ACACAC"/>
          </w:tcPr>
          <w:p>
            <w:pPr>
              <w:ind w:left="40"/>
              <w:spacing w:after="0"/>
              <w:rPr>
                <w:sz w:val="20"/>
                <w:szCs w:val="20"/>
                <w:color w:val="auto"/>
              </w:rPr>
            </w:pPr>
            <w:r>
              <w:rPr>
                <w:rFonts w:ascii="Arial" w:cs="Arial" w:eastAsia="Arial" w:hAnsi="Arial"/>
                <w:sz w:val="13"/>
                <w:szCs w:val="13"/>
                <w:color w:val="auto"/>
              </w:rPr>
              <w:t>FY18-20 LTIP</w:t>
            </w:r>
          </w:p>
        </w:tc>
        <w:tc>
          <w:tcPr>
            <w:tcW w:w="820" w:type="dxa"/>
            <w:vAlign w:val="bottom"/>
            <w:tcBorders>
              <w:bottom w:val="single" w:sz="8" w:color="auto"/>
            </w:tcBorders>
            <w:shd w:val="clear" w:color="auto" w:fill="ACACAC"/>
          </w:tcPr>
          <w:p>
            <w:pPr>
              <w:jc w:val="center"/>
              <w:spacing w:after="0"/>
              <w:rPr>
                <w:sz w:val="20"/>
                <w:szCs w:val="20"/>
                <w:color w:val="auto"/>
              </w:rPr>
            </w:pPr>
            <w:r>
              <w:rPr>
                <w:rFonts w:ascii="Arial" w:cs="Arial" w:eastAsia="Arial" w:hAnsi="Arial"/>
                <w:sz w:val="13"/>
                <w:szCs w:val="13"/>
                <w:color w:val="auto"/>
                <w:w w:val="98"/>
              </w:rPr>
              <w:t>10/18/17</w:t>
            </w:r>
          </w:p>
        </w:tc>
        <w:tc>
          <w:tcPr>
            <w:tcW w:w="960" w:type="dxa"/>
            <w:vAlign w:val="bottom"/>
            <w:tcBorders>
              <w:bottom w:val="single" w:sz="8" w:color="auto"/>
            </w:tcBorders>
            <w:shd w:val="clear" w:color="auto" w:fill="ACACAC"/>
          </w:tcPr>
          <w:p>
            <w:pPr>
              <w:spacing w:after="0"/>
              <w:rPr>
                <w:sz w:val="23"/>
                <w:szCs w:val="23"/>
                <w:color w:val="auto"/>
              </w:rPr>
            </w:pPr>
          </w:p>
        </w:tc>
        <w:tc>
          <w:tcPr>
            <w:tcW w:w="800" w:type="dxa"/>
            <w:vAlign w:val="bottom"/>
            <w:tcBorders>
              <w:bottom w:val="single" w:sz="8" w:color="auto"/>
            </w:tcBorders>
            <w:shd w:val="clear" w:color="auto" w:fill="ACACAC"/>
          </w:tcPr>
          <w:p>
            <w:pPr>
              <w:spacing w:after="0"/>
              <w:rPr>
                <w:sz w:val="23"/>
                <w:szCs w:val="23"/>
                <w:color w:val="auto"/>
              </w:rPr>
            </w:pPr>
          </w:p>
        </w:tc>
        <w:tc>
          <w:tcPr>
            <w:tcW w:w="900" w:type="dxa"/>
            <w:vAlign w:val="bottom"/>
            <w:tcBorders>
              <w:bottom w:val="single" w:sz="8" w:color="auto"/>
            </w:tcBorders>
            <w:shd w:val="clear" w:color="auto" w:fill="ACACAC"/>
          </w:tcPr>
          <w:p>
            <w:pPr>
              <w:spacing w:after="0"/>
              <w:rPr>
                <w:sz w:val="23"/>
                <w:szCs w:val="23"/>
                <w:color w:val="auto"/>
              </w:rPr>
            </w:pPr>
          </w:p>
        </w:tc>
        <w:tc>
          <w:tcPr>
            <w:tcW w:w="920" w:type="dxa"/>
            <w:vAlign w:val="bottom"/>
            <w:tcBorders>
              <w:bottom w:val="single" w:sz="8" w:color="auto"/>
            </w:tcBorders>
            <w:shd w:val="clear" w:color="auto" w:fill="ACACAC"/>
          </w:tcPr>
          <w:p>
            <w:pPr>
              <w:jc w:val="right"/>
              <w:ind w:right="101"/>
              <w:spacing w:after="0"/>
              <w:rPr>
                <w:sz w:val="20"/>
                <w:szCs w:val="20"/>
                <w:color w:val="auto"/>
              </w:rPr>
            </w:pPr>
            <w:r>
              <w:rPr>
                <w:rFonts w:ascii="Arial" w:cs="Arial" w:eastAsia="Arial" w:hAnsi="Arial"/>
                <w:sz w:val="13"/>
                <w:szCs w:val="13"/>
                <w:color w:val="auto"/>
              </w:rPr>
              <w:t>1,865</w:t>
            </w:r>
          </w:p>
        </w:tc>
        <w:tc>
          <w:tcPr>
            <w:tcW w:w="780" w:type="dxa"/>
            <w:vAlign w:val="bottom"/>
            <w:tcBorders>
              <w:bottom w:val="single" w:sz="8" w:color="auto"/>
            </w:tcBorders>
            <w:shd w:val="clear" w:color="auto" w:fill="ACACAC"/>
          </w:tcPr>
          <w:p>
            <w:pPr>
              <w:jc w:val="right"/>
              <w:ind w:right="100"/>
              <w:spacing w:after="0"/>
              <w:rPr>
                <w:sz w:val="20"/>
                <w:szCs w:val="20"/>
                <w:color w:val="auto"/>
              </w:rPr>
            </w:pPr>
            <w:r>
              <w:rPr>
                <w:rFonts w:ascii="Arial" w:cs="Arial" w:eastAsia="Arial" w:hAnsi="Arial"/>
                <w:sz w:val="13"/>
                <w:szCs w:val="13"/>
                <w:color w:val="auto"/>
              </w:rPr>
              <w:t>18,651</w:t>
            </w:r>
          </w:p>
        </w:tc>
        <w:tc>
          <w:tcPr>
            <w:tcW w:w="820" w:type="dxa"/>
            <w:vAlign w:val="bottom"/>
            <w:tcBorders>
              <w:bottom w:val="single" w:sz="8" w:color="auto"/>
            </w:tcBorders>
            <w:shd w:val="clear" w:color="auto" w:fill="ACACAC"/>
          </w:tcPr>
          <w:p>
            <w:pPr>
              <w:jc w:val="right"/>
              <w:ind w:right="20"/>
              <w:spacing w:after="0"/>
              <w:rPr>
                <w:sz w:val="20"/>
                <w:szCs w:val="20"/>
                <w:color w:val="auto"/>
              </w:rPr>
            </w:pPr>
            <w:r>
              <w:rPr>
                <w:rFonts w:ascii="Arial" w:cs="Arial" w:eastAsia="Arial" w:hAnsi="Arial"/>
                <w:sz w:val="13"/>
                <w:szCs w:val="13"/>
                <w:color w:val="auto"/>
              </w:rPr>
              <w:t>27,977</w:t>
            </w:r>
          </w:p>
        </w:tc>
        <w:tc>
          <w:tcPr>
            <w:tcW w:w="840" w:type="dxa"/>
            <w:vAlign w:val="bottom"/>
            <w:tcBorders>
              <w:bottom w:val="single" w:sz="8" w:color="auto"/>
            </w:tcBorders>
            <w:shd w:val="clear" w:color="auto" w:fill="ACACAC"/>
          </w:tcPr>
          <w:p>
            <w:pPr>
              <w:spacing w:after="0"/>
              <w:rPr>
                <w:sz w:val="23"/>
                <w:szCs w:val="23"/>
                <w:color w:val="auto"/>
              </w:rPr>
            </w:pPr>
          </w:p>
        </w:tc>
        <w:tc>
          <w:tcPr>
            <w:tcW w:w="900" w:type="dxa"/>
            <w:vAlign w:val="bottom"/>
            <w:tcBorders>
              <w:bottom w:val="single" w:sz="8" w:color="auto"/>
            </w:tcBorders>
            <w:shd w:val="clear" w:color="auto" w:fill="ACACAC"/>
          </w:tcPr>
          <w:p>
            <w:pPr>
              <w:spacing w:after="0"/>
              <w:rPr>
                <w:sz w:val="23"/>
                <w:szCs w:val="23"/>
                <w:color w:val="auto"/>
              </w:rPr>
            </w:pPr>
          </w:p>
        </w:tc>
        <w:tc>
          <w:tcPr>
            <w:tcW w:w="800" w:type="dxa"/>
            <w:vAlign w:val="bottom"/>
            <w:tcBorders>
              <w:bottom w:val="single" w:sz="8" w:color="auto"/>
            </w:tcBorders>
            <w:shd w:val="clear" w:color="auto" w:fill="ACACAC"/>
          </w:tcPr>
          <w:p>
            <w:pPr>
              <w:spacing w:after="0"/>
              <w:rPr>
                <w:sz w:val="23"/>
                <w:szCs w:val="23"/>
                <w:color w:val="auto"/>
              </w:rPr>
            </w:pPr>
          </w:p>
        </w:tc>
        <w:tc>
          <w:tcPr>
            <w:tcW w:w="900" w:type="dxa"/>
            <w:vAlign w:val="bottom"/>
            <w:tcBorders>
              <w:bottom w:val="single" w:sz="8" w:color="auto"/>
            </w:tcBorders>
            <w:shd w:val="clear" w:color="auto" w:fill="ACACAC"/>
          </w:tcPr>
          <w:p>
            <w:pPr>
              <w:spacing w:after="0"/>
              <w:rPr>
                <w:sz w:val="23"/>
                <w:szCs w:val="23"/>
                <w:color w:val="auto"/>
              </w:rPr>
            </w:pPr>
          </w:p>
        </w:tc>
        <w:tc>
          <w:tcPr>
            <w:tcW w:w="0" w:type="dxa"/>
            <w:vAlign w:val="bottom"/>
          </w:tcPr>
          <w:p>
            <w:pPr>
              <w:spacing w:after="0"/>
              <w:rPr>
                <w:sz w:val="1"/>
                <w:szCs w:val="1"/>
                <w:color w:val="auto"/>
              </w:rPr>
            </w:pPr>
          </w:p>
        </w:tc>
      </w:tr>
      <w:tr>
        <w:trPr>
          <w:trHeight w:val="262"/>
        </w:trPr>
        <w:tc>
          <w:tcPr>
            <w:tcW w:w="1040" w:type="dxa"/>
            <w:vAlign w:val="bottom"/>
          </w:tcPr>
          <w:p>
            <w:pPr>
              <w:ind w:left="40"/>
              <w:spacing w:after="0"/>
              <w:rPr>
                <w:sz w:val="20"/>
                <w:szCs w:val="20"/>
                <w:color w:val="auto"/>
              </w:rPr>
            </w:pPr>
            <w:r>
              <w:rPr>
                <w:rFonts w:ascii="Arial" w:cs="Arial" w:eastAsia="Arial" w:hAnsi="Arial"/>
                <w:sz w:val="13"/>
                <w:szCs w:val="13"/>
                <w:color w:val="auto"/>
              </w:rPr>
              <w:t>Bryan L. Hughes</w:t>
            </w:r>
          </w:p>
        </w:tc>
        <w:tc>
          <w:tcPr>
            <w:tcW w:w="340" w:type="dxa"/>
            <w:vAlign w:val="bottom"/>
          </w:tcPr>
          <w:p>
            <w:pPr>
              <w:ind w:left="40"/>
              <w:spacing w:after="0"/>
              <w:rPr>
                <w:sz w:val="20"/>
                <w:szCs w:val="20"/>
                <w:color w:val="auto"/>
              </w:rPr>
            </w:pPr>
            <w:r>
              <w:rPr>
                <w:rFonts w:ascii="Arial" w:cs="Arial" w:eastAsia="Arial" w:hAnsi="Arial"/>
                <w:sz w:val="13"/>
                <w:szCs w:val="13"/>
                <w:color w:val="auto"/>
                <w:w w:val="96"/>
              </w:rPr>
              <w:t>2014</w:t>
            </w:r>
          </w:p>
        </w:tc>
        <w:tc>
          <w:tcPr>
            <w:tcW w:w="600" w:type="dxa"/>
            <w:vAlign w:val="bottom"/>
          </w:tcPr>
          <w:p>
            <w:pPr>
              <w:ind w:left="20"/>
              <w:spacing w:after="0"/>
              <w:rPr>
                <w:sz w:val="20"/>
                <w:szCs w:val="20"/>
                <w:color w:val="auto"/>
              </w:rPr>
            </w:pPr>
            <w:r>
              <w:rPr>
                <w:rFonts w:ascii="Arial" w:cs="Arial" w:eastAsia="Arial" w:hAnsi="Arial"/>
                <w:sz w:val="13"/>
                <w:szCs w:val="13"/>
                <w:color w:val="auto"/>
              </w:rPr>
              <w:t>Plan</w:t>
            </w:r>
          </w:p>
        </w:tc>
        <w:tc>
          <w:tcPr>
            <w:tcW w:w="820" w:type="dxa"/>
            <w:vAlign w:val="bottom"/>
          </w:tcPr>
          <w:p>
            <w:pPr>
              <w:jc w:val="center"/>
              <w:spacing w:after="0"/>
              <w:rPr>
                <w:sz w:val="20"/>
                <w:szCs w:val="20"/>
                <w:color w:val="auto"/>
              </w:rPr>
            </w:pPr>
            <w:r>
              <w:rPr>
                <w:rFonts w:ascii="Arial" w:cs="Arial" w:eastAsia="Arial" w:hAnsi="Arial"/>
                <w:sz w:val="13"/>
                <w:szCs w:val="13"/>
                <w:color w:val="auto"/>
                <w:w w:val="98"/>
              </w:rPr>
              <w:t>10/18/17</w:t>
            </w:r>
          </w:p>
        </w:tc>
        <w:tc>
          <w:tcPr>
            <w:tcW w:w="96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900" w:type="dxa"/>
            <w:vAlign w:val="bottom"/>
          </w:tcPr>
          <w:p>
            <w:pPr>
              <w:jc w:val="right"/>
              <w:ind w:right="42"/>
              <w:spacing w:after="0"/>
              <w:rPr>
                <w:sz w:val="20"/>
                <w:szCs w:val="20"/>
                <w:color w:val="auto"/>
              </w:rPr>
            </w:pPr>
            <w:r>
              <w:rPr>
                <w:rFonts w:ascii="Arial" w:cs="Arial" w:eastAsia="Arial" w:hAnsi="Arial"/>
                <w:sz w:val="13"/>
                <w:szCs w:val="13"/>
                <w:color w:val="auto"/>
              </w:rPr>
              <w:t>8,373</w:t>
            </w:r>
          </w:p>
        </w:tc>
        <w:tc>
          <w:tcPr>
            <w:tcW w:w="800" w:type="dxa"/>
            <w:vAlign w:val="bottom"/>
          </w:tcPr>
          <w:p>
            <w:pPr>
              <w:jc w:val="right"/>
              <w:ind w:right="102"/>
              <w:spacing w:after="0"/>
              <w:rPr>
                <w:sz w:val="20"/>
                <w:szCs w:val="20"/>
                <w:color w:val="auto"/>
              </w:rPr>
            </w:pPr>
            <w:r>
              <w:rPr>
                <w:rFonts w:ascii="Arial" w:cs="Arial" w:eastAsia="Arial" w:hAnsi="Arial"/>
                <w:sz w:val="13"/>
                <w:szCs w:val="13"/>
                <w:color w:val="auto"/>
              </w:rPr>
              <w:t>$44.40</w:t>
            </w:r>
          </w:p>
        </w:tc>
        <w:tc>
          <w:tcPr>
            <w:tcW w:w="900" w:type="dxa"/>
            <w:vAlign w:val="bottom"/>
          </w:tcPr>
          <w:p>
            <w:pPr>
              <w:jc w:val="right"/>
              <w:ind w:right="106"/>
              <w:spacing w:after="0"/>
              <w:rPr>
                <w:sz w:val="20"/>
                <w:szCs w:val="20"/>
                <w:color w:val="auto"/>
              </w:rPr>
            </w:pPr>
            <w:r>
              <w:rPr>
                <w:rFonts w:ascii="Arial" w:cs="Arial" w:eastAsia="Arial" w:hAnsi="Arial"/>
                <w:sz w:val="11"/>
                <w:szCs w:val="11"/>
                <w:color w:val="auto"/>
              </w:rPr>
              <w:t>$123,753</w:t>
            </w:r>
          </w:p>
        </w:tc>
        <w:tc>
          <w:tcPr>
            <w:tcW w:w="0" w:type="dxa"/>
            <w:vAlign w:val="bottom"/>
          </w:tcPr>
          <w:p>
            <w:pPr>
              <w:spacing w:after="0"/>
              <w:rPr>
                <w:sz w:val="1"/>
                <w:szCs w:val="1"/>
                <w:color w:val="auto"/>
              </w:rPr>
            </w:pPr>
          </w:p>
        </w:tc>
      </w:tr>
      <w:tr>
        <w:trPr>
          <w:trHeight w:val="278"/>
        </w:trPr>
        <w:tc>
          <w:tcPr>
            <w:tcW w:w="1040" w:type="dxa"/>
            <w:vAlign w:val="bottom"/>
            <w:shd w:val="clear" w:color="auto" w:fill="ACACAC"/>
          </w:tcPr>
          <w:p>
            <w:pPr>
              <w:spacing w:after="0"/>
              <w:rPr>
                <w:sz w:val="24"/>
                <w:szCs w:val="24"/>
                <w:color w:val="auto"/>
              </w:rPr>
            </w:pPr>
          </w:p>
        </w:tc>
        <w:tc>
          <w:tcPr>
            <w:tcW w:w="340" w:type="dxa"/>
            <w:vAlign w:val="bottom"/>
            <w:shd w:val="clear" w:color="auto" w:fill="ACACAC"/>
          </w:tcPr>
          <w:p>
            <w:pPr>
              <w:ind w:left="40"/>
              <w:spacing w:after="0"/>
              <w:rPr>
                <w:sz w:val="20"/>
                <w:szCs w:val="20"/>
                <w:color w:val="auto"/>
              </w:rPr>
            </w:pPr>
            <w:r>
              <w:rPr>
                <w:rFonts w:ascii="Arial" w:cs="Arial" w:eastAsia="Arial" w:hAnsi="Arial"/>
                <w:sz w:val="13"/>
                <w:szCs w:val="13"/>
                <w:color w:val="auto"/>
                <w:w w:val="96"/>
              </w:rPr>
              <w:t>2014</w:t>
            </w:r>
          </w:p>
        </w:tc>
        <w:tc>
          <w:tcPr>
            <w:tcW w:w="600" w:type="dxa"/>
            <w:vAlign w:val="bottom"/>
            <w:shd w:val="clear" w:color="auto" w:fill="ACACAC"/>
          </w:tcPr>
          <w:p>
            <w:pPr>
              <w:ind w:left="20"/>
              <w:spacing w:after="0"/>
              <w:rPr>
                <w:sz w:val="20"/>
                <w:szCs w:val="20"/>
                <w:color w:val="auto"/>
              </w:rPr>
            </w:pPr>
            <w:r>
              <w:rPr>
                <w:rFonts w:ascii="Arial" w:cs="Arial" w:eastAsia="Arial" w:hAnsi="Arial"/>
                <w:sz w:val="13"/>
                <w:szCs w:val="13"/>
                <w:color w:val="auto"/>
              </w:rPr>
              <w:t>Plan</w:t>
            </w:r>
          </w:p>
        </w:tc>
        <w:tc>
          <w:tcPr>
            <w:tcW w:w="820" w:type="dxa"/>
            <w:vAlign w:val="bottom"/>
            <w:shd w:val="clear" w:color="auto" w:fill="ACACAC"/>
          </w:tcPr>
          <w:p>
            <w:pPr>
              <w:jc w:val="center"/>
              <w:spacing w:after="0"/>
              <w:rPr>
                <w:sz w:val="20"/>
                <w:szCs w:val="20"/>
                <w:color w:val="auto"/>
              </w:rPr>
            </w:pPr>
            <w:r>
              <w:rPr>
                <w:rFonts w:ascii="Arial" w:cs="Arial" w:eastAsia="Arial" w:hAnsi="Arial"/>
                <w:sz w:val="13"/>
                <w:szCs w:val="13"/>
                <w:color w:val="auto"/>
                <w:w w:val="98"/>
              </w:rPr>
              <w:t>10/18/17</w:t>
            </w:r>
          </w:p>
        </w:tc>
        <w:tc>
          <w:tcPr>
            <w:tcW w:w="960" w:type="dxa"/>
            <w:vAlign w:val="bottom"/>
            <w:shd w:val="clear" w:color="auto" w:fill="ACACAC"/>
          </w:tcPr>
          <w:p>
            <w:pPr>
              <w:spacing w:after="0"/>
              <w:rPr>
                <w:sz w:val="24"/>
                <w:szCs w:val="24"/>
                <w:color w:val="auto"/>
              </w:rPr>
            </w:pPr>
          </w:p>
        </w:tc>
        <w:tc>
          <w:tcPr>
            <w:tcW w:w="800" w:type="dxa"/>
            <w:vAlign w:val="bottom"/>
            <w:shd w:val="clear" w:color="auto" w:fill="ACACAC"/>
          </w:tcPr>
          <w:p>
            <w:pPr>
              <w:spacing w:after="0"/>
              <w:rPr>
                <w:sz w:val="24"/>
                <w:szCs w:val="24"/>
                <w:color w:val="auto"/>
              </w:rPr>
            </w:pPr>
          </w:p>
        </w:tc>
        <w:tc>
          <w:tcPr>
            <w:tcW w:w="900" w:type="dxa"/>
            <w:vAlign w:val="bottom"/>
            <w:shd w:val="clear" w:color="auto" w:fill="ACACAC"/>
          </w:tcPr>
          <w:p>
            <w:pPr>
              <w:spacing w:after="0"/>
              <w:rPr>
                <w:sz w:val="24"/>
                <w:szCs w:val="24"/>
                <w:color w:val="auto"/>
              </w:rPr>
            </w:pPr>
          </w:p>
        </w:tc>
        <w:tc>
          <w:tcPr>
            <w:tcW w:w="920" w:type="dxa"/>
            <w:vAlign w:val="bottom"/>
            <w:shd w:val="clear" w:color="auto" w:fill="ACACAC"/>
          </w:tcPr>
          <w:p>
            <w:pPr>
              <w:spacing w:after="0"/>
              <w:rPr>
                <w:sz w:val="24"/>
                <w:szCs w:val="24"/>
                <w:color w:val="auto"/>
              </w:rPr>
            </w:pPr>
          </w:p>
        </w:tc>
        <w:tc>
          <w:tcPr>
            <w:tcW w:w="780" w:type="dxa"/>
            <w:vAlign w:val="bottom"/>
            <w:shd w:val="clear" w:color="auto" w:fill="ACACAC"/>
          </w:tcPr>
          <w:p>
            <w:pPr>
              <w:spacing w:after="0"/>
              <w:rPr>
                <w:sz w:val="24"/>
                <w:szCs w:val="24"/>
                <w:color w:val="auto"/>
              </w:rPr>
            </w:pPr>
          </w:p>
        </w:tc>
        <w:tc>
          <w:tcPr>
            <w:tcW w:w="820" w:type="dxa"/>
            <w:vAlign w:val="bottom"/>
            <w:shd w:val="clear" w:color="auto" w:fill="ACACAC"/>
          </w:tcPr>
          <w:p>
            <w:pPr>
              <w:spacing w:after="0"/>
              <w:rPr>
                <w:sz w:val="24"/>
                <w:szCs w:val="24"/>
                <w:color w:val="auto"/>
              </w:rPr>
            </w:pPr>
          </w:p>
        </w:tc>
        <w:tc>
          <w:tcPr>
            <w:tcW w:w="840" w:type="dxa"/>
            <w:vAlign w:val="bottom"/>
            <w:shd w:val="clear" w:color="auto" w:fill="ACACAC"/>
          </w:tcPr>
          <w:p>
            <w:pPr>
              <w:jc w:val="center"/>
              <w:spacing w:after="0"/>
              <w:rPr>
                <w:sz w:val="20"/>
                <w:szCs w:val="20"/>
                <w:color w:val="auto"/>
              </w:rPr>
            </w:pPr>
            <w:r>
              <w:rPr>
                <w:rFonts w:ascii="Arial" w:cs="Arial" w:eastAsia="Arial" w:hAnsi="Arial"/>
                <w:sz w:val="13"/>
                <w:szCs w:val="13"/>
                <w:color w:val="auto"/>
                <w:w w:val="98"/>
              </w:rPr>
              <w:t>2,787</w:t>
            </w:r>
          </w:p>
        </w:tc>
        <w:tc>
          <w:tcPr>
            <w:tcW w:w="900" w:type="dxa"/>
            <w:vAlign w:val="bottom"/>
            <w:shd w:val="clear" w:color="auto" w:fill="ACACAC"/>
          </w:tcPr>
          <w:p>
            <w:pPr>
              <w:spacing w:after="0"/>
              <w:rPr>
                <w:sz w:val="24"/>
                <w:szCs w:val="24"/>
                <w:color w:val="auto"/>
              </w:rPr>
            </w:pPr>
          </w:p>
        </w:tc>
        <w:tc>
          <w:tcPr>
            <w:tcW w:w="800" w:type="dxa"/>
            <w:vAlign w:val="bottom"/>
            <w:shd w:val="clear" w:color="auto" w:fill="ACACAC"/>
          </w:tcPr>
          <w:p>
            <w:pPr>
              <w:spacing w:after="0"/>
              <w:rPr>
                <w:sz w:val="24"/>
                <w:szCs w:val="24"/>
                <w:color w:val="auto"/>
              </w:rPr>
            </w:pPr>
          </w:p>
        </w:tc>
        <w:tc>
          <w:tcPr>
            <w:tcW w:w="900" w:type="dxa"/>
            <w:vAlign w:val="bottom"/>
            <w:shd w:val="clear" w:color="auto" w:fill="ACACAC"/>
          </w:tcPr>
          <w:p>
            <w:pPr>
              <w:jc w:val="right"/>
              <w:ind w:right="106"/>
              <w:spacing w:after="0"/>
              <w:rPr>
                <w:sz w:val="20"/>
                <w:szCs w:val="20"/>
                <w:color w:val="auto"/>
              </w:rPr>
            </w:pPr>
            <w:r>
              <w:rPr>
                <w:rFonts w:ascii="Arial" w:cs="Arial" w:eastAsia="Arial" w:hAnsi="Arial"/>
                <w:sz w:val="11"/>
                <w:szCs w:val="11"/>
                <w:color w:val="auto"/>
              </w:rPr>
              <w:t>$123,743</w:t>
            </w:r>
          </w:p>
        </w:tc>
        <w:tc>
          <w:tcPr>
            <w:tcW w:w="0" w:type="dxa"/>
            <w:vAlign w:val="bottom"/>
          </w:tcPr>
          <w:p>
            <w:pPr>
              <w:spacing w:after="0"/>
              <w:rPr>
                <w:sz w:val="1"/>
                <w:szCs w:val="1"/>
                <w:color w:val="auto"/>
              </w:rPr>
            </w:pPr>
          </w:p>
        </w:tc>
      </w:tr>
      <w:tr>
        <w:trPr>
          <w:trHeight w:val="262"/>
        </w:trPr>
        <w:tc>
          <w:tcPr>
            <w:tcW w:w="1040" w:type="dxa"/>
            <w:vAlign w:val="bottom"/>
          </w:tcPr>
          <w:p>
            <w:pPr>
              <w:spacing w:after="0"/>
              <w:rPr>
                <w:sz w:val="22"/>
                <w:szCs w:val="22"/>
                <w:color w:val="auto"/>
              </w:rPr>
            </w:pPr>
          </w:p>
        </w:tc>
        <w:tc>
          <w:tcPr>
            <w:tcW w:w="340" w:type="dxa"/>
            <w:vAlign w:val="bottom"/>
          </w:tcPr>
          <w:p>
            <w:pPr>
              <w:ind w:left="40"/>
              <w:spacing w:after="0"/>
              <w:rPr>
                <w:sz w:val="20"/>
                <w:szCs w:val="20"/>
                <w:color w:val="auto"/>
              </w:rPr>
            </w:pPr>
            <w:r>
              <w:rPr>
                <w:rFonts w:ascii="Arial" w:cs="Arial" w:eastAsia="Arial" w:hAnsi="Arial"/>
                <w:sz w:val="13"/>
                <w:szCs w:val="13"/>
                <w:color w:val="auto"/>
                <w:w w:val="96"/>
              </w:rPr>
              <w:t>2018</w:t>
            </w:r>
          </w:p>
        </w:tc>
        <w:tc>
          <w:tcPr>
            <w:tcW w:w="600" w:type="dxa"/>
            <w:vAlign w:val="bottom"/>
          </w:tcPr>
          <w:p>
            <w:pPr>
              <w:ind w:left="20"/>
              <w:spacing w:after="0"/>
              <w:rPr>
                <w:sz w:val="20"/>
                <w:szCs w:val="20"/>
                <w:color w:val="auto"/>
              </w:rPr>
            </w:pPr>
            <w:r>
              <w:rPr>
                <w:rFonts w:ascii="Arial" w:cs="Arial" w:eastAsia="Arial" w:hAnsi="Arial"/>
                <w:sz w:val="13"/>
                <w:szCs w:val="13"/>
                <w:color w:val="auto"/>
              </w:rPr>
              <w:t>OICP</w:t>
            </w:r>
          </w:p>
        </w:tc>
        <w:tc>
          <w:tcPr>
            <w:tcW w:w="820" w:type="dxa"/>
            <w:vAlign w:val="bottom"/>
          </w:tcPr>
          <w:p>
            <w:pPr>
              <w:spacing w:after="0"/>
              <w:rPr>
                <w:sz w:val="22"/>
                <w:szCs w:val="22"/>
                <w:color w:val="auto"/>
              </w:rPr>
            </w:pPr>
          </w:p>
        </w:tc>
        <w:tc>
          <w:tcPr>
            <w:tcW w:w="960" w:type="dxa"/>
            <w:vAlign w:val="bottom"/>
          </w:tcPr>
          <w:p>
            <w:pPr>
              <w:jc w:val="right"/>
              <w:ind w:right="121"/>
              <w:spacing w:after="0"/>
              <w:rPr>
                <w:sz w:val="20"/>
                <w:szCs w:val="20"/>
                <w:color w:val="auto"/>
              </w:rPr>
            </w:pPr>
            <w:r>
              <w:rPr>
                <w:rFonts w:ascii="Arial" w:cs="Arial" w:eastAsia="Arial" w:hAnsi="Arial"/>
                <w:sz w:val="13"/>
                <w:szCs w:val="13"/>
                <w:color w:val="auto"/>
              </w:rPr>
              <w:t>73,800</w:t>
            </w:r>
          </w:p>
        </w:tc>
        <w:tc>
          <w:tcPr>
            <w:tcW w:w="800" w:type="dxa"/>
            <w:vAlign w:val="bottom"/>
          </w:tcPr>
          <w:p>
            <w:pPr>
              <w:ind w:left="180"/>
              <w:spacing w:after="0"/>
              <w:rPr>
                <w:sz w:val="20"/>
                <w:szCs w:val="20"/>
                <w:color w:val="auto"/>
              </w:rPr>
            </w:pPr>
            <w:r>
              <w:rPr>
                <w:rFonts w:ascii="Arial" w:cs="Arial" w:eastAsia="Arial" w:hAnsi="Arial"/>
                <w:sz w:val="13"/>
                <w:szCs w:val="13"/>
                <w:color w:val="auto"/>
              </w:rPr>
              <w:t>322,875</w:t>
            </w:r>
          </w:p>
        </w:tc>
        <w:tc>
          <w:tcPr>
            <w:tcW w:w="900" w:type="dxa"/>
            <w:vAlign w:val="bottom"/>
          </w:tcPr>
          <w:p>
            <w:pPr>
              <w:jc w:val="right"/>
              <w:ind w:right="80"/>
              <w:spacing w:after="0"/>
              <w:rPr>
                <w:sz w:val="20"/>
                <w:szCs w:val="20"/>
                <w:color w:val="auto"/>
              </w:rPr>
            </w:pPr>
            <w:r>
              <w:rPr>
                <w:rFonts w:ascii="Arial" w:cs="Arial" w:eastAsia="Arial" w:hAnsi="Arial"/>
                <w:sz w:val="13"/>
                <w:szCs w:val="13"/>
                <w:color w:val="auto"/>
              </w:rPr>
              <w:t>645,750</w:t>
            </w:r>
          </w:p>
        </w:tc>
        <w:tc>
          <w:tcPr>
            <w:tcW w:w="92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840" w:type="dxa"/>
            <w:vAlign w:val="bottom"/>
          </w:tcPr>
          <w:p>
            <w:pPr>
              <w:jc w:val="center"/>
              <w:spacing w:after="0"/>
              <w:rPr>
                <w:sz w:val="20"/>
                <w:szCs w:val="20"/>
                <w:color w:val="auto"/>
              </w:rPr>
            </w:pPr>
            <w:r>
              <w:rPr>
                <w:rFonts w:ascii="Arial" w:cs="Arial" w:eastAsia="Arial" w:hAnsi="Arial"/>
                <w:sz w:val="13"/>
                <w:szCs w:val="13"/>
                <w:color w:val="auto"/>
                <w:w w:val="91"/>
              </w:rPr>
              <w:t>—</w:t>
            </w:r>
          </w:p>
        </w:tc>
        <w:tc>
          <w:tcPr>
            <w:tcW w:w="90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2"/>
        </w:trPr>
        <w:tc>
          <w:tcPr>
            <w:tcW w:w="1040" w:type="dxa"/>
            <w:vAlign w:val="bottom"/>
            <w:tcBorders>
              <w:bottom w:val="single" w:sz="8" w:color="auto"/>
            </w:tcBorders>
            <w:shd w:val="clear" w:color="auto" w:fill="ACACAC"/>
          </w:tcPr>
          <w:p>
            <w:pPr>
              <w:spacing w:after="0"/>
              <w:rPr>
                <w:sz w:val="23"/>
                <w:szCs w:val="23"/>
                <w:color w:val="auto"/>
              </w:rPr>
            </w:pPr>
          </w:p>
        </w:tc>
        <w:tc>
          <w:tcPr>
            <w:tcW w:w="940" w:type="dxa"/>
            <w:vAlign w:val="bottom"/>
            <w:tcBorders>
              <w:bottom w:val="single" w:sz="8" w:color="auto"/>
            </w:tcBorders>
            <w:gridSpan w:val="2"/>
            <w:shd w:val="clear" w:color="auto" w:fill="ACACAC"/>
          </w:tcPr>
          <w:p>
            <w:pPr>
              <w:ind w:left="40"/>
              <w:spacing w:after="0"/>
              <w:rPr>
                <w:sz w:val="20"/>
                <w:szCs w:val="20"/>
                <w:color w:val="auto"/>
              </w:rPr>
            </w:pPr>
            <w:r>
              <w:rPr>
                <w:rFonts w:ascii="Arial" w:cs="Arial" w:eastAsia="Arial" w:hAnsi="Arial"/>
                <w:sz w:val="13"/>
                <w:szCs w:val="13"/>
                <w:color w:val="auto"/>
              </w:rPr>
              <w:t>FY18-20 LTIP</w:t>
            </w:r>
          </w:p>
        </w:tc>
        <w:tc>
          <w:tcPr>
            <w:tcW w:w="820" w:type="dxa"/>
            <w:vAlign w:val="bottom"/>
            <w:tcBorders>
              <w:bottom w:val="single" w:sz="8" w:color="auto"/>
            </w:tcBorders>
            <w:shd w:val="clear" w:color="auto" w:fill="ACACAC"/>
          </w:tcPr>
          <w:p>
            <w:pPr>
              <w:jc w:val="center"/>
              <w:spacing w:after="0"/>
              <w:rPr>
                <w:sz w:val="20"/>
                <w:szCs w:val="20"/>
                <w:color w:val="auto"/>
              </w:rPr>
            </w:pPr>
            <w:r>
              <w:rPr>
                <w:rFonts w:ascii="Arial" w:cs="Arial" w:eastAsia="Arial" w:hAnsi="Arial"/>
                <w:sz w:val="13"/>
                <w:szCs w:val="13"/>
                <w:color w:val="auto"/>
                <w:w w:val="98"/>
              </w:rPr>
              <w:t>10/18/17</w:t>
            </w:r>
          </w:p>
        </w:tc>
        <w:tc>
          <w:tcPr>
            <w:tcW w:w="960" w:type="dxa"/>
            <w:vAlign w:val="bottom"/>
            <w:tcBorders>
              <w:bottom w:val="single" w:sz="8" w:color="auto"/>
            </w:tcBorders>
            <w:shd w:val="clear" w:color="auto" w:fill="ACACAC"/>
          </w:tcPr>
          <w:p>
            <w:pPr>
              <w:spacing w:after="0"/>
              <w:rPr>
                <w:sz w:val="23"/>
                <w:szCs w:val="23"/>
                <w:color w:val="auto"/>
              </w:rPr>
            </w:pPr>
          </w:p>
        </w:tc>
        <w:tc>
          <w:tcPr>
            <w:tcW w:w="800" w:type="dxa"/>
            <w:vAlign w:val="bottom"/>
            <w:tcBorders>
              <w:bottom w:val="single" w:sz="8" w:color="auto"/>
            </w:tcBorders>
            <w:shd w:val="clear" w:color="auto" w:fill="ACACAC"/>
          </w:tcPr>
          <w:p>
            <w:pPr>
              <w:spacing w:after="0"/>
              <w:rPr>
                <w:sz w:val="23"/>
                <w:szCs w:val="23"/>
                <w:color w:val="auto"/>
              </w:rPr>
            </w:pPr>
          </w:p>
        </w:tc>
        <w:tc>
          <w:tcPr>
            <w:tcW w:w="900" w:type="dxa"/>
            <w:vAlign w:val="bottom"/>
            <w:tcBorders>
              <w:bottom w:val="single" w:sz="8" w:color="auto"/>
            </w:tcBorders>
            <w:shd w:val="clear" w:color="auto" w:fill="ACACAC"/>
          </w:tcPr>
          <w:p>
            <w:pPr>
              <w:spacing w:after="0"/>
              <w:rPr>
                <w:sz w:val="23"/>
                <w:szCs w:val="23"/>
                <w:color w:val="auto"/>
              </w:rPr>
            </w:pPr>
          </w:p>
        </w:tc>
        <w:tc>
          <w:tcPr>
            <w:tcW w:w="920" w:type="dxa"/>
            <w:vAlign w:val="bottom"/>
            <w:tcBorders>
              <w:bottom w:val="single" w:sz="8" w:color="auto"/>
            </w:tcBorders>
            <w:shd w:val="clear" w:color="auto" w:fill="ACACAC"/>
          </w:tcPr>
          <w:p>
            <w:pPr>
              <w:jc w:val="right"/>
              <w:ind w:right="101"/>
              <w:spacing w:after="0"/>
              <w:rPr>
                <w:sz w:val="20"/>
                <w:szCs w:val="20"/>
                <w:color w:val="auto"/>
              </w:rPr>
            </w:pPr>
            <w:r>
              <w:rPr>
                <w:rFonts w:ascii="Arial" w:cs="Arial" w:eastAsia="Arial" w:hAnsi="Arial"/>
                <w:sz w:val="13"/>
                <w:szCs w:val="13"/>
                <w:color w:val="auto"/>
              </w:rPr>
              <w:t>557</w:t>
            </w:r>
          </w:p>
        </w:tc>
        <w:tc>
          <w:tcPr>
            <w:tcW w:w="780" w:type="dxa"/>
            <w:vAlign w:val="bottom"/>
            <w:tcBorders>
              <w:bottom w:val="single" w:sz="8" w:color="auto"/>
            </w:tcBorders>
            <w:shd w:val="clear" w:color="auto" w:fill="ACACAC"/>
          </w:tcPr>
          <w:p>
            <w:pPr>
              <w:jc w:val="right"/>
              <w:ind w:right="100"/>
              <w:spacing w:after="0"/>
              <w:rPr>
                <w:sz w:val="20"/>
                <w:szCs w:val="20"/>
                <w:color w:val="auto"/>
              </w:rPr>
            </w:pPr>
            <w:r>
              <w:rPr>
                <w:rFonts w:ascii="Arial" w:cs="Arial" w:eastAsia="Arial" w:hAnsi="Arial"/>
                <w:sz w:val="13"/>
                <w:szCs w:val="13"/>
                <w:color w:val="auto"/>
              </w:rPr>
              <w:t>5,574</w:t>
            </w:r>
          </w:p>
        </w:tc>
        <w:tc>
          <w:tcPr>
            <w:tcW w:w="820" w:type="dxa"/>
            <w:vAlign w:val="bottom"/>
            <w:tcBorders>
              <w:bottom w:val="single" w:sz="8" w:color="auto"/>
            </w:tcBorders>
            <w:shd w:val="clear" w:color="auto" w:fill="ACACAC"/>
          </w:tcPr>
          <w:p>
            <w:pPr>
              <w:jc w:val="right"/>
              <w:ind w:right="20"/>
              <w:spacing w:after="0"/>
              <w:rPr>
                <w:sz w:val="20"/>
                <w:szCs w:val="20"/>
                <w:color w:val="auto"/>
              </w:rPr>
            </w:pPr>
            <w:r>
              <w:rPr>
                <w:rFonts w:ascii="Arial" w:cs="Arial" w:eastAsia="Arial" w:hAnsi="Arial"/>
                <w:sz w:val="13"/>
                <w:szCs w:val="13"/>
                <w:color w:val="auto"/>
              </w:rPr>
              <w:t>8,361</w:t>
            </w:r>
          </w:p>
        </w:tc>
        <w:tc>
          <w:tcPr>
            <w:tcW w:w="840" w:type="dxa"/>
            <w:vAlign w:val="bottom"/>
            <w:tcBorders>
              <w:bottom w:val="single" w:sz="8" w:color="auto"/>
            </w:tcBorders>
            <w:shd w:val="clear" w:color="auto" w:fill="ACACAC"/>
          </w:tcPr>
          <w:p>
            <w:pPr>
              <w:jc w:val="center"/>
              <w:spacing w:after="0"/>
              <w:rPr>
                <w:sz w:val="20"/>
                <w:szCs w:val="20"/>
                <w:color w:val="auto"/>
              </w:rPr>
            </w:pPr>
            <w:r>
              <w:rPr>
                <w:rFonts w:ascii="Arial" w:cs="Arial" w:eastAsia="Arial" w:hAnsi="Arial"/>
                <w:sz w:val="13"/>
                <w:szCs w:val="13"/>
                <w:color w:val="auto"/>
                <w:w w:val="91"/>
              </w:rPr>
              <w:t>—</w:t>
            </w:r>
          </w:p>
        </w:tc>
        <w:tc>
          <w:tcPr>
            <w:tcW w:w="900" w:type="dxa"/>
            <w:vAlign w:val="bottom"/>
            <w:tcBorders>
              <w:bottom w:val="single" w:sz="8" w:color="auto"/>
            </w:tcBorders>
            <w:shd w:val="clear" w:color="auto" w:fill="ACACAC"/>
          </w:tcPr>
          <w:p>
            <w:pPr>
              <w:spacing w:after="0"/>
              <w:rPr>
                <w:sz w:val="23"/>
                <w:szCs w:val="23"/>
                <w:color w:val="auto"/>
              </w:rPr>
            </w:pPr>
          </w:p>
        </w:tc>
        <w:tc>
          <w:tcPr>
            <w:tcW w:w="800" w:type="dxa"/>
            <w:vAlign w:val="bottom"/>
            <w:tcBorders>
              <w:bottom w:val="single" w:sz="8" w:color="auto"/>
            </w:tcBorders>
            <w:shd w:val="clear" w:color="auto" w:fill="ACACAC"/>
          </w:tcPr>
          <w:p>
            <w:pPr>
              <w:spacing w:after="0"/>
              <w:rPr>
                <w:sz w:val="23"/>
                <w:szCs w:val="23"/>
                <w:color w:val="auto"/>
              </w:rPr>
            </w:pPr>
          </w:p>
        </w:tc>
        <w:tc>
          <w:tcPr>
            <w:tcW w:w="900" w:type="dxa"/>
            <w:vAlign w:val="bottom"/>
            <w:tcBorders>
              <w:bottom w:val="single" w:sz="8" w:color="auto"/>
            </w:tcBorders>
            <w:shd w:val="clear" w:color="auto" w:fill="ACACAC"/>
          </w:tcPr>
          <w:p>
            <w:pPr>
              <w:spacing w:after="0"/>
              <w:rPr>
                <w:sz w:val="23"/>
                <w:szCs w:val="23"/>
                <w:color w:val="auto"/>
              </w:rPr>
            </w:pPr>
          </w:p>
        </w:tc>
        <w:tc>
          <w:tcPr>
            <w:tcW w:w="0" w:type="dxa"/>
            <w:vAlign w:val="bottom"/>
          </w:tcPr>
          <w:p>
            <w:pPr>
              <w:spacing w:after="0"/>
              <w:rPr>
                <w:sz w:val="1"/>
                <w:szCs w:val="1"/>
                <w:color w:val="auto"/>
              </w:rPr>
            </w:pPr>
          </w:p>
        </w:tc>
      </w:tr>
      <w:tr>
        <w:trPr>
          <w:trHeight w:val="262"/>
        </w:trPr>
        <w:tc>
          <w:tcPr>
            <w:tcW w:w="1040" w:type="dxa"/>
            <w:vAlign w:val="bottom"/>
          </w:tcPr>
          <w:p>
            <w:pPr>
              <w:ind w:left="40"/>
              <w:spacing w:after="0"/>
              <w:rPr>
                <w:sz w:val="20"/>
                <w:szCs w:val="20"/>
                <w:color w:val="auto"/>
              </w:rPr>
            </w:pPr>
            <w:r>
              <w:rPr>
                <w:rFonts w:ascii="Arial" w:cs="Arial" w:eastAsia="Arial" w:hAnsi="Arial"/>
                <w:sz w:val="13"/>
                <w:szCs w:val="13"/>
                <w:color w:val="auto"/>
              </w:rPr>
              <w:t>Stacy L. Bogart</w:t>
            </w:r>
          </w:p>
        </w:tc>
        <w:tc>
          <w:tcPr>
            <w:tcW w:w="340" w:type="dxa"/>
            <w:vAlign w:val="bottom"/>
          </w:tcPr>
          <w:p>
            <w:pPr>
              <w:ind w:left="40"/>
              <w:spacing w:after="0"/>
              <w:rPr>
                <w:sz w:val="20"/>
                <w:szCs w:val="20"/>
                <w:color w:val="auto"/>
              </w:rPr>
            </w:pPr>
            <w:r>
              <w:rPr>
                <w:rFonts w:ascii="Arial" w:cs="Arial" w:eastAsia="Arial" w:hAnsi="Arial"/>
                <w:sz w:val="13"/>
                <w:szCs w:val="13"/>
                <w:color w:val="auto"/>
                <w:w w:val="96"/>
              </w:rPr>
              <w:t>2014</w:t>
            </w:r>
          </w:p>
        </w:tc>
        <w:tc>
          <w:tcPr>
            <w:tcW w:w="600" w:type="dxa"/>
            <w:vAlign w:val="bottom"/>
          </w:tcPr>
          <w:p>
            <w:pPr>
              <w:ind w:left="20"/>
              <w:spacing w:after="0"/>
              <w:rPr>
                <w:sz w:val="20"/>
                <w:szCs w:val="20"/>
                <w:color w:val="auto"/>
              </w:rPr>
            </w:pPr>
            <w:r>
              <w:rPr>
                <w:rFonts w:ascii="Arial" w:cs="Arial" w:eastAsia="Arial" w:hAnsi="Arial"/>
                <w:sz w:val="13"/>
                <w:szCs w:val="13"/>
                <w:color w:val="auto"/>
              </w:rPr>
              <w:t>Plan</w:t>
            </w:r>
          </w:p>
        </w:tc>
        <w:tc>
          <w:tcPr>
            <w:tcW w:w="820" w:type="dxa"/>
            <w:vAlign w:val="bottom"/>
          </w:tcPr>
          <w:p>
            <w:pPr>
              <w:jc w:val="center"/>
              <w:spacing w:after="0"/>
              <w:rPr>
                <w:sz w:val="20"/>
                <w:szCs w:val="20"/>
                <w:color w:val="auto"/>
              </w:rPr>
            </w:pPr>
            <w:r>
              <w:rPr>
                <w:rFonts w:ascii="Arial" w:cs="Arial" w:eastAsia="Arial" w:hAnsi="Arial"/>
                <w:sz w:val="13"/>
                <w:szCs w:val="13"/>
                <w:color w:val="auto"/>
                <w:w w:val="91"/>
              </w:rPr>
              <w:t>-</w:t>
            </w:r>
          </w:p>
        </w:tc>
        <w:tc>
          <w:tcPr>
            <w:tcW w:w="96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900" w:type="dxa"/>
            <w:vAlign w:val="bottom"/>
          </w:tcPr>
          <w:p>
            <w:pPr>
              <w:jc w:val="right"/>
              <w:ind w:right="42"/>
              <w:spacing w:after="0"/>
              <w:rPr>
                <w:sz w:val="20"/>
                <w:szCs w:val="20"/>
                <w:color w:val="auto"/>
              </w:rPr>
            </w:pPr>
            <w:r>
              <w:rPr>
                <w:rFonts w:ascii="Arial" w:cs="Arial" w:eastAsia="Arial" w:hAnsi="Arial"/>
                <w:sz w:val="13"/>
                <w:szCs w:val="13"/>
                <w:color w:val="auto"/>
              </w:rPr>
              <w:t>-</w:t>
            </w:r>
          </w:p>
        </w:tc>
        <w:tc>
          <w:tcPr>
            <w:tcW w:w="80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8"/>
        </w:trPr>
        <w:tc>
          <w:tcPr>
            <w:tcW w:w="1040" w:type="dxa"/>
            <w:vAlign w:val="bottom"/>
            <w:shd w:val="clear" w:color="auto" w:fill="ACACAC"/>
          </w:tcPr>
          <w:p>
            <w:pPr>
              <w:spacing w:after="0"/>
              <w:rPr>
                <w:sz w:val="24"/>
                <w:szCs w:val="24"/>
                <w:color w:val="auto"/>
              </w:rPr>
            </w:pPr>
          </w:p>
        </w:tc>
        <w:tc>
          <w:tcPr>
            <w:tcW w:w="340" w:type="dxa"/>
            <w:vAlign w:val="bottom"/>
            <w:shd w:val="clear" w:color="auto" w:fill="ACACAC"/>
          </w:tcPr>
          <w:p>
            <w:pPr>
              <w:ind w:left="40"/>
              <w:spacing w:after="0"/>
              <w:rPr>
                <w:sz w:val="20"/>
                <w:szCs w:val="20"/>
                <w:color w:val="auto"/>
              </w:rPr>
            </w:pPr>
            <w:r>
              <w:rPr>
                <w:rFonts w:ascii="Arial" w:cs="Arial" w:eastAsia="Arial" w:hAnsi="Arial"/>
                <w:sz w:val="13"/>
                <w:szCs w:val="13"/>
                <w:color w:val="auto"/>
                <w:w w:val="96"/>
              </w:rPr>
              <w:t>2014</w:t>
            </w:r>
          </w:p>
        </w:tc>
        <w:tc>
          <w:tcPr>
            <w:tcW w:w="600" w:type="dxa"/>
            <w:vAlign w:val="bottom"/>
            <w:shd w:val="clear" w:color="auto" w:fill="ACACAC"/>
          </w:tcPr>
          <w:p>
            <w:pPr>
              <w:ind w:left="20"/>
              <w:spacing w:after="0"/>
              <w:rPr>
                <w:sz w:val="20"/>
                <w:szCs w:val="20"/>
                <w:color w:val="auto"/>
              </w:rPr>
            </w:pPr>
            <w:r>
              <w:rPr>
                <w:rFonts w:ascii="Arial" w:cs="Arial" w:eastAsia="Arial" w:hAnsi="Arial"/>
                <w:sz w:val="13"/>
                <w:szCs w:val="13"/>
                <w:color w:val="auto"/>
              </w:rPr>
              <w:t>Plan</w:t>
            </w:r>
          </w:p>
        </w:tc>
        <w:tc>
          <w:tcPr>
            <w:tcW w:w="820" w:type="dxa"/>
            <w:vAlign w:val="bottom"/>
            <w:shd w:val="clear" w:color="auto" w:fill="ACACAC"/>
          </w:tcPr>
          <w:p>
            <w:pPr>
              <w:jc w:val="center"/>
              <w:spacing w:after="0"/>
              <w:rPr>
                <w:sz w:val="20"/>
                <w:szCs w:val="20"/>
                <w:color w:val="auto"/>
              </w:rPr>
            </w:pPr>
            <w:r>
              <w:rPr>
                <w:rFonts w:ascii="Arial" w:cs="Arial" w:eastAsia="Arial" w:hAnsi="Arial"/>
                <w:sz w:val="13"/>
                <w:szCs w:val="13"/>
                <w:color w:val="auto"/>
                <w:w w:val="93"/>
              </w:rPr>
              <w:t>1/2/18</w:t>
            </w:r>
          </w:p>
        </w:tc>
        <w:tc>
          <w:tcPr>
            <w:tcW w:w="960" w:type="dxa"/>
            <w:vAlign w:val="bottom"/>
            <w:shd w:val="clear" w:color="auto" w:fill="ACACAC"/>
          </w:tcPr>
          <w:p>
            <w:pPr>
              <w:spacing w:after="0"/>
              <w:rPr>
                <w:sz w:val="24"/>
                <w:szCs w:val="24"/>
                <w:color w:val="auto"/>
              </w:rPr>
            </w:pPr>
          </w:p>
        </w:tc>
        <w:tc>
          <w:tcPr>
            <w:tcW w:w="800" w:type="dxa"/>
            <w:vAlign w:val="bottom"/>
            <w:shd w:val="clear" w:color="auto" w:fill="ACACAC"/>
          </w:tcPr>
          <w:p>
            <w:pPr>
              <w:spacing w:after="0"/>
              <w:rPr>
                <w:sz w:val="24"/>
                <w:szCs w:val="24"/>
                <w:color w:val="auto"/>
              </w:rPr>
            </w:pPr>
          </w:p>
        </w:tc>
        <w:tc>
          <w:tcPr>
            <w:tcW w:w="900" w:type="dxa"/>
            <w:vAlign w:val="bottom"/>
            <w:shd w:val="clear" w:color="auto" w:fill="ACACAC"/>
          </w:tcPr>
          <w:p>
            <w:pPr>
              <w:spacing w:after="0"/>
              <w:rPr>
                <w:sz w:val="24"/>
                <w:szCs w:val="24"/>
                <w:color w:val="auto"/>
              </w:rPr>
            </w:pPr>
          </w:p>
        </w:tc>
        <w:tc>
          <w:tcPr>
            <w:tcW w:w="920" w:type="dxa"/>
            <w:vAlign w:val="bottom"/>
            <w:shd w:val="clear" w:color="auto" w:fill="ACACAC"/>
          </w:tcPr>
          <w:p>
            <w:pPr>
              <w:spacing w:after="0"/>
              <w:rPr>
                <w:sz w:val="24"/>
                <w:szCs w:val="24"/>
                <w:color w:val="auto"/>
              </w:rPr>
            </w:pPr>
          </w:p>
        </w:tc>
        <w:tc>
          <w:tcPr>
            <w:tcW w:w="780" w:type="dxa"/>
            <w:vAlign w:val="bottom"/>
            <w:shd w:val="clear" w:color="auto" w:fill="ACACAC"/>
          </w:tcPr>
          <w:p>
            <w:pPr>
              <w:spacing w:after="0"/>
              <w:rPr>
                <w:sz w:val="24"/>
                <w:szCs w:val="24"/>
                <w:color w:val="auto"/>
              </w:rPr>
            </w:pPr>
          </w:p>
        </w:tc>
        <w:tc>
          <w:tcPr>
            <w:tcW w:w="820" w:type="dxa"/>
            <w:vAlign w:val="bottom"/>
            <w:shd w:val="clear" w:color="auto" w:fill="ACACAC"/>
          </w:tcPr>
          <w:p>
            <w:pPr>
              <w:spacing w:after="0"/>
              <w:rPr>
                <w:sz w:val="24"/>
                <w:szCs w:val="24"/>
                <w:color w:val="auto"/>
              </w:rPr>
            </w:pPr>
          </w:p>
        </w:tc>
        <w:tc>
          <w:tcPr>
            <w:tcW w:w="840" w:type="dxa"/>
            <w:vAlign w:val="bottom"/>
            <w:shd w:val="clear" w:color="auto" w:fill="ACACAC"/>
          </w:tcPr>
          <w:p>
            <w:pPr>
              <w:jc w:val="center"/>
              <w:spacing w:after="0"/>
              <w:rPr>
                <w:sz w:val="20"/>
                <w:szCs w:val="20"/>
                <w:color w:val="auto"/>
              </w:rPr>
            </w:pPr>
            <w:r>
              <w:rPr>
                <w:rFonts w:ascii="Arial" w:cs="Arial" w:eastAsia="Arial" w:hAnsi="Arial"/>
                <w:sz w:val="13"/>
                <w:szCs w:val="13"/>
                <w:color w:val="auto"/>
                <w:w w:val="95"/>
              </w:rPr>
              <w:t>10,000</w:t>
            </w:r>
          </w:p>
        </w:tc>
        <w:tc>
          <w:tcPr>
            <w:tcW w:w="900" w:type="dxa"/>
            <w:vAlign w:val="bottom"/>
            <w:shd w:val="clear" w:color="auto" w:fill="ACACAC"/>
          </w:tcPr>
          <w:p>
            <w:pPr>
              <w:spacing w:after="0"/>
              <w:rPr>
                <w:sz w:val="24"/>
                <w:szCs w:val="24"/>
                <w:color w:val="auto"/>
              </w:rPr>
            </w:pPr>
          </w:p>
        </w:tc>
        <w:tc>
          <w:tcPr>
            <w:tcW w:w="800" w:type="dxa"/>
            <w:vAlign w:val="bottom"/>
            <w:shd w:val="clear" w:color="auto" w:fill="ACACAC"/>
          </w:tcPr>
          <w:p>
            <w:pPr>
              <w:spacing w:after="0"/>
              <w:rPr>
                <w:sz w:val="24"/>
                <w:szCs w:val="24"/>
                <w:color w:val="auto"/>
              </w:rPr>
            </w:pPr>
          </w:p>
        </w:tc>
        <w:tc>
          <w:tcPr>
            <w:tcW w:w="900" w:type="dxa"/>
            <w:vAlign w:val="bottom"/>
            <w:shd w:val="clear" w:color="auto" w:fill="ACACAC"/>
          </w:tcPr>
          <w:p>
            <w:pPr>
              <w:jc w:val="right"/>
              <w:ind w:right="106"/>
              <w:spacing w:after="0"/>
              <w:rPr>
                <w:sz w:val="20"/>
                <w:szCs w:val="20"/>
                <w:color w:val="auto"/>
              </w:rPr>
            </w:pPr>
            <w:r>
              <w:rPr>
                <w:rFonts w:ascii="Arial" w:cs="Arial" w:eastAsia="Arial" w:hAnsi="Arial"/>
                <w:sz w:val="11"/>
                <w:szCs w:val="11"/>
                <w:color w:val="auto"/>
              </w:rPr>
              <w:t>$554,500</w:t>
            </w:r>
          </w:p>
        </w:tc>
        <w:tc>
          <w:tcPr>
            <w:tcW w:w="0" w:type="dxa"/>
            <w:vAlign w:val="bottom"/>
          </w:tcPr>
          <w:p>
            <w:pPr>
              <w:spacing w:after="0"/>
              <w:rPr>
                <w:sz w:val="1"/>
                <w:szCs w:val="1"/>
                <w:color w:val="auto"/>
              </w:rPr>
            </w:pPr>
          </w:p>
        </w:tc>
      </w:tr>
      <w:tr>
        <w:trPr>
          <w:trHeight w:val="262"/>
        </w:trPr>
        <w:tc>
          <w:tcPr>
            <w:tcW w:w="1040" w:type="dxa"/>
            <w:vAlign w:val="bottom"/>
          </w:tcPr>
          <w:p>
            <w:pPr>
              <w:spacing w:after="0"/>
              <w:rPr>
                <w:sz w:val="22"/>
                <w:szCs w:val="22"/>
                <w:color w:val="auto"/>
              </w:rPr>
            </w:pPr>
          </w:p>
        </w:tc>
        <w:tc>
          <w:tcPr>
            <w:tcW w:w="340" w:type="dxa"/>
            <w:vAlign w:val="bottom"/>
          </w:tcPr>
          <w:p>
            <w:pPr>
              <w:ind w:left="40"/>
              <w:spacing w:after="0"/>
              <w:rPr>
                <w:sz w:val="20"/>
                <w:szCs w:val="20"/>
                <w:color w:val="auto"/>
              </w:rPr>
            </w:pPr>
            <w:r>
              <w:rPr>
                <w:rFonts w:ascii="Arial" w:cs="Arial" w:eastAsia="Arial" w:hAnsi="Arial"/>
                <w:sz w:val="13"/>
                <w:szCs w:val="13"/>
                <w:color w:val="auto"/>
                <w:w w:val="96"/>
              </w:rPr>
              <w:t>2018</w:t>
            </w:r>
          </w:p>
        </w:tc>
        <w:tc>
          <w:tcPr>
            <w:tcW w:w="600" w:type="dxa"/>
            <w:vAlign w:val="bottom"/>
          </w:tcPr>
          <w:p>
            <w:pPr>
              <w:ind w:left="20"/>
              <w:spacing w:after="0"/>
              <w:rPr>
                <w:sz w:val="20"/>
                <w:szCs w:val="20"/>
                <w:color w:val="auto"/>
              </w:rPr>
            </w:pPr>
            <w:r>
              <w:rPr>
                <w:rFonts w:ascii="Arial" w:cs="Arial" w:eastAsia="Arial" w:hAnsi="Arial"/>
                <w:sz w:val="13"/>
                <w:szCs w:val="13"/>
                <w:color w:val="auto"/>
              </w:rPr>
              <w:t>OICP</w:t>
            </w:r>
          </w:p>
        </w:tc>
        <w:tc>
          <w:tcPr>
            <w:tcW w:w="820" w:type="dxa"/>
            <w:vAlign w:val="bottom"/>
          </w:tcPr>
          <w:p>
            <w:pPr>
              <w:spacing w:after="0"/>
              <w:rPr>
                <w:sz w:val="22"/>
                <w:szCs w:val="22"/>
                <w:color w:val="auto"/>
              </w:rPr>
            </w:pPr>
          </w:p>
        </w:tc>
        <w:tc>
          <w:tcPr>
            <w:tcW w:w="960" w:type="dxa"/>
            <w:vAlign w:val="bottom"/>
          </w:tcPr>
          <w:p>
            <w:pPr>
              <w:jc w:val="right"/>
              <w:ind w:right="121"/>
              <w:spacing w:after="0"/>
              <w:rPr>
                <w:sz w:val="20"/>
                <w:szCs w:val="20"/>
                <w:color w:val="auto"/>
              </w:rPr>
            </w:pPr>
            <w:r>
              <w:rPr>
                <w:rFonts w:ascii="Arial" w:cs="Arial" w:eastAsia="Arial" w:hAnsi="Arial"/>
                <w:sz w:val="13"/>
                <w:szCs w:val="13"/>
                <w:color w:val="auto"/>
              </w:rPr>
              <w:t>26,049</w:t>
            </w:r>
          </w:p>
        </w:tc>
        <w:tc>
          <w:tcPr>
            <w:tcW w:w="800" w:type="dxa"/>
            <w:vAlign w:val="bottom"/>
          </w:tcPr>
          <w:p>
            <w:pPr>
              <w:ind w:left="180"/>
              <w:spacing w:after="0"/>
              <w:rPr>
                <w:sz w:val="20"/>
                <w:szCs w:val="20"/>
                <w:color w:val="auto"/>
              </w:rPr>
            </w:pPr>
            <w:r>
              <w:rPr>
                <w:rFonts w:ascii="Arial" w:cs="Arial" w:eastAsia="Arial" w:hAnsi="Arial"/>
                <w:sz w:val="13"/>
                <w:szCs w:val="13"/>
                <w:color w:val="auto"/>
              </w:rPr>
              <w:t>162,808</w:t>
            </w:r>
          </w:p>
        </w:tc>
        <w:tc>
          <w:tcPr>
            <w:tcW w:w="900" w:type="dxa"/>
            <w:vAlign w:val="bottom"/>
          </w:tcPr>
          <w:p>
            <w:pPr>
              <w:jc w:val="right"/>
              <w:ind w:right="80"/>
              <w:spacing w:after="0"/>
              <w:rPr>
                <w:sz w:val="20"/>
                <w:szCs w:val="20"/>
                <w:color w:val="auto"/>
              </w:rPr>
            </w:pPr>
            <w:r>
              <w:rPr>
                <w:rFonts w:ascii="Arial" w:cs="Arial" w:eastAsia="Arial" w:hAnsi="Arial"/>
                <w:sz w:val="13"/>
                <w:szCs w:val="13"/>
                <w:color w:val="auto"/>
              </w:rPr>
              <w:t>325,616</w:t>
            </w:r>
          </w:p>
        </w:tc>
        <w:tc>
          <w:tcPr>
            <w:tcW w:w="92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2"/>
        </w:trPr>
        <w:tc>
          <w:tcPr>
            <w:tcW w:w="1040" w:type="dxa"/>
            <w:vAlign w:val="bottom"/>
            <w:tcBorders>
              <w:bottom w:val="single" w:sz="8" w:color="auto"/>
            </w:tcBorders>
            <w:shd w:val="clear" w:color="auto" w:fill="ACACAC"/>
          </w:tcPr>
          <w:p>
            <w:pPr>
              <w:spacing w:after="0"/>
              <w:rPr>
                <w:sz w:val="23"/>
                <w:szCs w:val="23"/>
                <w:color w:val="auto"/>
              </w:rPr>
            </w:pPr>
          </w:p>
        </w:tc>
        <w:tc>
          <w:tcPr>
            <w:tcW w:w="940" w:type="dxa"/>
            <w:vAlign w:val="bottom"/>
            <w:tcBorders>
              <w:bottom w:val="single" w:sz="8" w:color="auto"/>
            </w:tcBorders>
            <w:gridSpan w:val="2"/>
            <w:shd w:val="clear" w:color="auto" w:fill="ACACAC"/>
          </w:tcPr>
          <w:p>
            <w:pPr>
              <w:ind w:left="40"/>
              <w:spacing w:after="0"/>
              <w:rPr>
                <w:sz w:val="20"/>
                <w:szCs w:val="20"/>
                <w:color w:val="auto"/>
              </w:rPr>
            </w:pPr>
            <w:r>
              <w:rPr>
                <w:rFonts w:ascii="Arial" w:cs="Arial" w:eastAsia="Arial" w:hAnsi="Arial"/>
                <w:sz w:val="13"/>
                <w:szCs w:val="13"/>
                <w:color w:val="auto"/>
              </w:rPr>
              <w:t>FY18-20 LTIP</w:t>
            </w:r>
          </w:p>
        </w:tc>
        <w:tc>
          <w:tcPr>
            <w:tcW w:w="820" w:type="dxa"/>
            <w:vAlign w:val="bottom"/>
            <w:tcBorders>
              <w:bottom w:val="single" w:sz="8" w:color="auto"/>
            </w:tcBorders>
            <w:shd w:val="clear" w:color="auto" w:fill="ACACAC"/>
          </w:tcPr>
          <w:p>
            <w:pPr>
              <w:jc w:val="center"/>
              <w:spacing w:after="0"/>
              <w:rPr>
                <w:sz w:val="20"/>
                <w:szCs w:val="20"/>
                <w:color w:val="auto"/>
              </w:rPr>
            </w:pPr>
            <w:r>
              <w:rPr>
                <w:rFonts w:ascii="Arial" w:cs="Arial" w:eastAsia="Arial" w:hAnsi="Arial"/>
                <w:sz w:val="13"/>
                <w:szCs w:val="13"/>
                <w:color w:val="auto"/>
                <w:w w:val="93"/>
              </w:rPr>
              <w:t>1/2/18</w:t>
            </w:r>
          </w:p>
        </w:tc>
        <w:tc>
          <w:tcPr>
            <w:tcW w:w="960" w:type="dxa"/>
            <w:vAlign w:val="bottom"/>
            <w:tcBorders>
              <w:bottom w:val="single" w:sz="8" w:color="auto"/>
            </w:tcBorders>
            <w:shd w:val="clear" w:color="auto" w:fill="ACACAC"/>
          </w:tcPr>
          <w:p>
            <w:pPr>
              <w:spacing w:after="0"/>
              <w:rPr>
                <w:sz w:val="23"/>
                <w:szCs w:val="23"/>
                <w:color w:val="auto"/>
              </w:rPr>
            </w:pPr>
          </w:p>
        </w:tc>
        <w:tc>
          <w:tcPr>
            <w:tcW w:w="800" w:type="dxa"/>
            <w:vAlign w:val="bottom"/>
            <w:tcBorders>
              <w:bottom w:val="single" w:sz="8" w:color="auto"/>
            </w:tcBorders>
            <w:shd w:val="clear" w:color="auto" w:fill="ACACAC"/>
          </w:tcPr>
          <w:p>
            <w:pPr>
              <w:spacing w:after="0"/>
              <w:rPr>
                <w:sz w:val="23"/>
                <w:szCs w:val="23"/>
                <w:color w:val="auto"/>
              </w:rPr>
            </w:pPr>
          </w:p>
        </w:tc>
        <w:tc>
          <w:tcPr>
            <w:tcW w:w="900" w:type="dxa"/>
            <w:vAlign w:val="bottom"/>
            <w:tcBorders>
              <w:bottom w:val="single" w:sz="8" w:color="auto"/>
            </w:tcBorders>
            <w:shd w:val="clear" w:color="auto" w:fill="ACACAC"/>
          </w:tcPr>
          <w:p>
            <w:pPr>
              <w:spacing w:after="0"/>
              <w:rPr>
                <w:sz w:val="23"/>
                <w:szCs w:val="23"/>
                <w:color w:val="auto"/>
              </w:rPr>
            </w:pPr>
          </w:p>
        </w:tc>
        <w:tc>
          <w:tcPr>
            <w:tcW w:w="920" w:type="dxa"/>
            <w:vAlign w:val="bottom"/>
            <w:tcBorders>
              <w:bottom w:val="single" w:sz="8" w:color="auto"/>
            </w:tcBorders>
            <w:shd w:val="clear" w:color="auto" w:fill="ACACAC"/>
          </w:tcPr>
          <w:p>
            <w:pPr>
              <w:jc w:val="right"/>
              <w:ind w:right="101"/>
              <w:spacing w:after="0"/>
              <w:rPr>
                <w:sz w:val="20"/>
                <w:szCs w:val="20"/>
                <w:color w:val="auto"/>
              </w:rPr>
            </w:pPr>
            <w:r>
              <w:rPr>
                <w:rFonts w:ascii="Arial" w:cs="Arial" w:eastAsia="Arial" w:hAnsi="Arial"/>
                <w:sz w:val="13"/>
                <w:szCs w:val="13"/>
                <w:color w:val="auto"/>
              </w:rPr>
              <w:t>330</w:t>
            </w:r>
          </w:p>
        </w:tc>
        <w:tc>
          <w:tcPr>
            <w:tcW w:w="780" w:type="dxa"/>
            <w:vAlign w:val="bottom"/>
            <w:tcBorders>
              <w:bottom w:val="single" w:sz="8" w:color="auto"/>
            </w:tcBorders>
            <w:shd w:val="clear" w:color="auto" w:fill="ACACAC"/>
          </w:tcPr>
          <w:p>
            <w:pPr>
              <w:jc w:val="right"/>
              <w:ind w:right="100"/>
              <w:spacing w:after="0"/>
              <w:rPr>
                <w:sz w:val="20"/>
                <w:szCs w:val="20"/>
                <w:color w:val="auto"/>
              </w:rPr>
            </w:pPr>
            <w:r>
              <w:rPr>
                <w:rFonts w:ascii="Arial" w:cs="Arial" w:eastAsia="Arial" w:hAnsi="Arial"/>
                <w:sz w:val="13"/>
                <w:szCs w:val="13"/>
                <w:color w:val="auto"/>
              </w:rPr>
              <w:t>3,303</w:t>
            </w:r>
          </w:p>
        </w:tc>
        <w:tc>
          <w:tcPr>
            <w:tcW w:w="820" w:type="dxa"/>
            <w:vAlign w:val="bottom"/>
            <w:tcBorders>
              <w:bottom w:val="single" w:sz="8" w:color="auto"/>
            </w:tcBorders>
            <w:shd w:val="clear" w:color="auto" w:fill="ACACAC"/>
          </w:tcPr>
          <w:p>
            <w:pPr>
              <w:jc w:val="right"/>
              <w:ind w:right="20"/>
              <w:spacing w:after="0"/>
              <w:rPr>
                <w:sz w:val="20"/>
                <w:szCs w:val="20"/>
                <w:color w:val="auto"/>
              </w:rPr>
            </w:pPr>
            <w:r>
              <w:rPr>
                <w:rFonts w:ascii="Arial" w:cs="Arial" w:eastAsia="Arial" w:hAnsi="Arial"/>
                <w:sz w:val="13"/>
                <w:szCs w:val="13"/>
                <w:color w:val="auto"/>
              </w:rPr>
              <w:t>4,954</w:t>
            </w:r>
          </w:p>
        </w:tc>
        <w:tc>
          <w:tcPr>
            <w:tcW w:w="840" w:type="dxa"/>
            <w:vAlign w:val="bottom"/>
            <w:tcBorders>
              <w:bottom w:val="single" w:sz="8" w:color="auto"/>
            </w:tcBorders>
            <w:shd w:val="clear" w:color="auto" w:fill="ACACAC"/>
          </w:tcPr>
          <w:p>
            <w:pPr>
              <w:spacing w:after="0"/>
              <w:rPr>
                <w:sz w:val="23"/>
                <w:szCs w:val="23"/>
                <w:color w:val="auto"/>
              </w:rPr>
            </w:pPr>
          </w:p>
        </w:tc>
        <w:tc>
          <w:tcPr>
            <w:tcW w:w="900" w:type="dxa"/>
            <w:vAlign w:val="bottom"/>
            <w:tcBorders>
              <w:bottom w:val="single" w:sz="8" w:color="auto"/>
            </w:tcBorders>
            <w:shd w:val="clear" w:color="auto" w:fill="ACACAC"/>
          </w:tcPr>
          <w:p>
            <w:pPr>
              <w:spacing w:after="0"/>
              <w:rPr>
                <w:sz w:val="23"/>
                <w:szCs w:val="23"/>
                <w:color w:val="auto"/>
              </w:rPr>
            </w:pPr>
          </w:p>
        </w:tc>
        <w:tc>
          <w:tcPr>
            <w:tcW w:w="800" w:type="dxa"/>
            <w:vAlign w:val="bottom"/>
            <w:tcBorders>
              <w:bottom w:val="single" w:sz="8" w:color="auto"/>
            </w:tcBorders>
            <w:shd w:val="clear" w:color="auto" w:fill="ACACAC"/>
          </w:tcPr>
          <w:p>
            <w:pPr>
              <w:spacing w:after="0"/>
              <w:rPr>
                <w:sz w:val="23"/>
                <w:szCs w:val="23"/>
                <w:color w:val="auto"/>
              </w:rPr>
            </w:pPr>
          </w:p>
        </w:tc>
        <w:tc>
          <w:tcPr>
            <w:tcW w:w="900" w:type="dxa"/>
            <w:vAlign w:val="bottom"/>
            <w:tcBorders>
              <w:bottom w:val="single" w:sz="8" w:color="auto"/>
            </w:tcBorders>
            <w:shd w:val="clear" w:color="auto" w:fill="ACACAC"/>
          </w:tcPr>
          <w:p>
            <w:pPr>
              <w:spacing w:after="0"/>
              <w:rPr>
                <w:sz w:val="23"/>
                <w:szCs w:val="23"/>
                <w:color w:val="auto"/>
              </w:rPr>
            </w:pPr>
          </w:p>
        </w:tc>
        <w:tc>
          <w:tcPr>
            <w:tcW w:w="0" w:type="dxa"/>
            <w:vAlign w:val="bottom"/>
          </w:tcPr>
          <w:p>
            <w:pPr>
              <w:spacing w:after="0"/>
              <w:rPr>
                <w:sz w:val="1"/>
                <w:szCs w:val="1"/>
                <w:color w:val="auto"/>
              </w:rPr>
            </w:pPr>
          </w:p>
        </w:tc>
      </w:tr>
      <w:tr>
        <w:trPr>
          <w:trHeight w:val="264"/>
        </w:trPr>
        <w:tc>
          <w:tcPr>
            <w:tcW w:w="1040" w:type="dxa"/>
            <w:vAlign w:val="bottom"/>
            <w:tcBorders>
              <w:bottom w:val="single" w:sz="8" w:color="auto"/>
            </w:tcBorders>
          </w:tcPr>
          <w:p>
            <w:pPr>
              <w:ind w:left="40"/>
              <w:spacing w:after="0"/>
              <w:rPr>
                <w:sz w:val="20"/>
                <w:szCs w:val="20"/>
                <w:color w:val="auto"/>
              </w:rPr>
            </w:pPr>
            <w:r>
              <w:rPr>
                <w:rFonts w:ascii="Arial" w:cs="Arial" w:eastAsia="Arial" w:hAnsi="Arial"/>
                <w:sz w:val="13"/>
                <w:szCs w:val="13"/>
                <w:color w:val="auto"/>
                <w:w w:val="99"/>
              </w:rPr>
              <w:t>Donald J. Clark</w:t>
            </w:r>
            <w:r>
              <w:rPr>
                <w:rFonts w:ascii="Arial" w:cs="Arial" w:eastAsia="Arial" w:hAnsi="Arial"/>
                <w:sz w:val="8"/>
                <w:szCs w:val="8"/>
                <w:color w:val="auto"/>
                <w:w w:val="99"/>
              </w:rPr>
              <w:t>(5)</w:t>
            </w:r>
          </w:p>
        </w:tc>
        <w:tc>
          <w:tcPr>
            <w:tcW w:w="340" w:type="dxa"/>
            <w:vAlign w:val="bottom"/>
            <w:tcBorders>
              <w:bottom w:val="single" w:sz="8" w:color="auto"/>
            </w:tcBorders>
          </w:tcPr>
          <w:p>
            <w:pPr>
              <w:spacing w:after="0"/>
              <w:rPr>
                <w:sz w:val="22"/>
                <w:szCs w:val="22"/>
                <w:color w:val="auto"/>
              </w:rPr>
            </w:pPr>
          </w:p>
        </w:tc>
        <w:tc>
          <w:tcPr>
            <w:tcW w:w="60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156"/>
        </w:trPr>
        <w:tc>
          <w:tcPr>
            <w:tcW w:w="1040" w:type="dxa"/>
            <w:vAlign w:val="bottom"/>
            <w:shd w:val="clear" w:color="auto" w:fill="ACACAC"/>
          </w:tcPr>
          <w:p>
            <w:pPr>
              <w:ind w:left="40"/>
              <w:spacing w:after="0"/>
              <w:rPr>
                <w:sz w:val="20"/>
                <w:szCs w:val="20"/>
                <w:color w:val="auto"/>
              </w:rPr>
            </w:pPr>
            <w:r>
              <w:rPr>
                <w:rFonts w:ascii="Arial" w:cs="Arial" w:eastAsia="Arial" w:hAnsi="Arial"/>
                <w:sz w:val="13"/>
                <w:szCs w:val="13"/>
                <w:color w:val="auto"/>
              </w:rPr>
              <w:t>Brian D.</w:t>
            </w:r>
          </w:p>
        </w:tc>
        <w:tc>
          <w:tcPr>
            <w:tcW w:w="340" w:type="dxa"/>
            <w:vAlign w:val="bottom"/>
            <w:shd w:val="clear" w:color="auto" w:fill="ACACAC"/>
          </w:tcPr>
          <w:p>
            <w:pPr>
              <w:spacing w:after="0"/>
              <w:rPr>
                <w:sz w:val="13"/>
                <w:szCs w:val="13"/>
                <w:color w:val="auto"/>
              </w:rPr>
            </w:pPr>
          </w:p>
        </w:tc>
        <w:tc>
          <w:tcPr>
            <w:tcW w:w="600" w:type="dxa"/>
            <w:vAlign w:val="bottom"/>
            <w:shd w:val="clear" w:color="auto" w:fill="ACACAC"/>
          </w:tcPr>
          <w:p>
            <w:pPr>
              <w:spacing w:after="0"/>
              <w:rPr>
                <w:sz w:val="13"/>
                <w:szCs w:val="13"/>
                <w:color w:val="auto"/>
              </w:rPr>
            </w:pPr>
          </w:p>
        </w:tc>
        <w:tc>
          <w:tcPr>
            <w:tcW w:w="820" w:type="dxa"/>
            <w:vAlign w:val="bottom"/>
            <w:shd w:val="clear" w:color="auto" w:fill="ACACAC"/>
          </w:tcPr>
          <w:p>
            <w:pPr>
              <w:spacing w:after="0"/>
              <w:rPr>
                <w:sz w:val="13"/>
                <w:szCs w:val="13"/>
                <w:color w:val="auto"/>
              </w:rPr>
            </w:pPr>
          </w:p>
        </w:tc>
        <w:tc>
          <w:tcPr>
            <w:tcW w:w="960" w:type="dxa"/>
            <w:vAlign w:val="bottom"/>
            <w:shd w:val="clear" w:color="auto" w:fill="ACACAC"/>
          </w:tcPr>
          <w:p>
            <w:pPr>
              <w:spacing w:after="0"/>
              <w:rPr>
                <w:sz w:val="13"/>
                <w:szCs w:val="13"/>
                <w:color w:val="auto"/>
              </w:rPr>
            </w:pPr>
          </w:p>
        </w:tc>
        <w:tc>
          <w:tcPr>
            <w:tcW w:w="800" w:type="dxa"/>
            <w:vAlign w:val="bottom"/>
            <w:shd w:val="clear" w:color="auto" w:fill="ACACAC"/>
          </w:tcPr>
          <w:p>
            <w:pPr>
              <w:spacing w:after="0"/>
              <w:rPr>
                <w:sz w:val="13"/>
                <w:szCs w:val="13"/>
                <w:color w:val="auto"/>
              </w:rPr>
            </w:pPr>
          </w:p>
        </w:tc>
        <w:tc>
          <w:tcPr>
            <w:tcW w:w="900" w:type="dxa"/>
            <w:vAlign w:val="bottom"/>
            <w:shd w:val="clear" w:color="auto" w:fill="ACACAC"/>
          </w:tcPr>
          <w:p>
            <w:pPr>
              <w:spacing w:after="0"/>
              <w:rPr>
                <w:sz w:val="13"/>
                <w:szCs w:val="13"/>
                <w:color w:val="auto"/>
              </w:rPr>
            </w:pPr>
          </w:p>
        </w:tc>
        <w:tc>
          <w:tcPr>
            <w:tcW w:w="920" w:type="dxa"/>
            <w:vAlign w:val="bottom"/>
            <w:shd w:val="clear" w:color="auto" w:fill="ACACAC"/>
          </w:tcPr>
          <w:p>
            <w:pPr>
              <w:spacing w:after="0"/>
              <w:rPr>
                <w:sz w:val="13"/>
                <w:szCs w:val="13"/>
                <w:color w:val="auto"/>
              </w:rPr>
            </w:pPr>
          </w:p>
        </w:tc>
        <w:tc>
          <w:tcPr>
            <w:tcW w:w="780" w:type="dxa"/>
            <w:vAlign w:val="bottom"/>
            <w:shd w:val="clear" w:color="auto" w:fill="ACACAC"/>
          </w:tcPr>
          <w:p>
            <w:pPr>
              <w:spacing w:after="0"/>
              <w:rPr>
                <w:sz w:val="13"/>
                <w:szCs w:val="13"/>
                <w:color w:val="auto"/>
              </w:rPr>
            </w:pPr>
          </w:p>
        </w:tc>
        <w:tc>
          <w:tcPr>
            <w:tcW w:w="820" w:type="dxa"/>
            <w:vAlign w:val="bottom"/>
            <w:shd w:val="clear" w:color="auto" w:fill="ACACAC"/>
          </w:tcPr>
          <w:p>
            <w:pPr>
              <w:spacing w:after="0"/>
              <w:rPr>
                <w:sz w:val="13"/>
                <w:szCs w:val="13"/>
                <w:color w:val="auto"/>
              </w:rPr>
            </w:pPr>
          </w:p>
        </w:tc>
        <w:tc>
          <w:tcPr>
            <w:tcW w:w="840" w:type="dxa"/>
            <w:vAlign w:val="bottom"/>
            <w:shd w:val="clear" w:color="auto" w:fill="ACACAC"/>
          </w:tcPr>
          <w:p>
            <w:pPr>
              <w:spacing w:after="0"/>
              <w:rPr>
                <w:sz w:val="13"/>
                <w:szCs w:val="13"/>
                <w:color w:val="auto"/>
              </w:rPr>
            </w:pPr>
          </w:p>
        </w:tc>
        <w:tc>
          <w:tcPr>
            <w:tcW w:w="900" w:type="dxa"/>
            <w:vAlign w:val="bottom"/>
            <w:shd w:val="clear" w:color="auto" w:fill="ACACAC"/>
          </w:tcPr>
          <w:p>
            <w:pPr>
              <w:spacing w:after="0"/>
              <w:rPr>
                <w:sz w:val="13"/>
                <w:szCs w:val="13"/>
                <w:color w:val="auto"/>
              </w:rPr>
            </w:pPr>
          </w:p>
        </w:tc>
        <w:tc>
          <w:tcPr>
            <w:tcW w:w="800" w:type="dxa"/>
            <w:vAlign w:val="bottom"/>
            <w:shd w:val="clear" w:color="auto" w:fill="ACACAC"/>
          </w:tcPr>
          <w:p>
            <w:pPr>
              <w:spacing w:after="0"/>
              <w:rPr>
                <w:sz w:val="13"/>
                <w:szCs w:val="13"/>
                <w:color w:val="auto"/>
              </w:rPr>
            </w:pPr>
          </w:p>
        </w:tc>
        <w:tc>
          <w:tcPr>
            <w:tcW w:w="900" w:type="dxa"/>
            <w:vAlign w:val="bottom"/>
            <w:shd w:val="clear" w:color="auto" w:fill="ACACAC"/>
          </w:tcPr>
          <w:p>
            <w:pPr>
              <w:spacing w:after="0"/>
              <w:rPr>
                <w:sz w:val="13"/>
                <w:szCs w:val="13"/>
                <w:color w:val="auto"/>
              </w:rPr>
            </w:pPr>
          </w:p>
        </w:tc>
        <w:tc>
          <w:tcPr>
            <w:tcW w:w="0" w:type="dxa"/>
            <w:vAlign w:val="bottom"/>
          </w:tcPr>
          <w:p>
            <w:pPr>
              <w:spacing w:after="0"/>
              <w:rPr>
                <w:sz w:val="1"/>
                <w:szCs w:val="1"/>
                <w:color w:val="auto"/>
              </w:rPr>
            </w:pPr>
          </w:p>
        </w:tc>
      </w:tr>
      <w:tr>
        <w:trPr>
          <w:trHeight w:val="168"/>
        </w:trPr>
        <w:tc>
          <w:tcPr>
            <w:tcW w:w="1040" w:type="dxa"/>
            <w:vAlign w:val="bottom"/>
            <w:shd w:val="clear" w:color="auto" w:fill="ACACAC"/>
          </w:tcPr>
          <w:p>
            <w:pPr>
              <w:ind w:left="40"/>
              <w:spacing w:after="0"/>
              <w:rPr>
                <w:sz w:val="20"/>
                <w:szCs w:val="20"/>
                <w:color w:val="auto"/>
              </w:rPr>
            </w:pPr>
            <w:r>
              <w:rPr>
                <w:rFonts w:ascii="Arial" w:cs="Arial" w:eastAsia="Arial" w:hAnsi="Arial"/>
                <w:sz w:val="13"/>
                <w:szCs w:val="13"/>
                <w:color w:val="auto"/>
              </w:rPr>
              <w:t>Hazelton</w:t>
            </w:r>
          </w:p>
        </w:tc>
        <w:tc>
          <w:tcPr>
            <w:tcW w:w="340" w:type="dxa"/>
            <w:vAlign w:val="bottom"/>
            <w:shd w:val="clear" w:color="auto" w:fill="ACACAC"/>
          </w:tcPr>
          <w:p>
            <w:pPr>
              <w:ind w:left="40"/>
              <w:spacing w:after="0"/>
              <w:rPr>
                <w:sz w:val="20"/>
                <w:szCs w:val="20"/>
                <w:color w:val="auto"/>
              </w:rPr>
            </w:pPr>
            <w:r>
              <w:rPr>
                <w:rFonts w:ascii="Arial" w:cs="Arial" w:eastAsia="Arial" w:hAnsi="Arial"/>
                <w:sz w:val="13"/>
                <w:szCs w:val="13"/>
                <w:color w:val="auto"/>
                <w:w w:val="96"/>
              </w:rPr>
              <w:t>2014</w:t>
            </w:r>
          </w:p>
        </w:tc>
        <w:tc>
          <w:tcPr>
            <w:tcW w:w="600" w:type="dxa"/>
            <w:vAlign w:val="bottom"/>
            <w:shd w:val="clear" w:color="auto" w:fill="ACACAC"/>
          </w:tcPr>
          <w:p>
            <w:pPr>
              <w:ind w:left="20"/>
              <w:spacing w:after="0"/>
              <w:rPr>
                <w:sz w:val="20"/>
                <w:szCs w:val="20"/>
                <w:color w:val="auto"/>
              </w:rPr>
            </w:pPr>
            <w:r>
              <w:rPr>
                <w:rFonts w:ascii="Arial" w:cs="Arial" w:eastAsia="Arial" w:hAnsi="Arial"/>
                <w:sz w:val="13"/>
                <w:szCs w:val="13"/>
                <w:color w:val="auto"/>
              </w:rPr>
              <w:t>Plan</w:t>
            </w:r>
          </w:p>
        </w:tc>
        <w:tc>
          <w:tcPr>
            <w:tcW w:w="820" w:type="dxa"/>
            <w:vAlign w:val="bottom"/>
            <w:shd w:val="clear" w:color="auto" w:fill="ACACAC"/>
          </w:tcPr>
          <w:p>
            <w:pPr>
              <w:jc w:val="center"/>
              <w:spacing w:after="0"/>
              <w:rPr>
                <w:sz w:val="20"/>
                <w:szCs w:val="20"/>
                <w:color w:val="auto"/>
              </w:rPr>
            </w:pPr>
            <w:r>
              <w:rPr>
                <w:rFonts w:ascii="Arial" w:cs="Arial" w:eastAsia="Arial" w:hAnsi="Arial"/>
                <w:sz w:val="13"/>
                <w:szCs w:val="13"/>
                <w:color w:val="auto"/>
                <w:w w:val="98"/>
              </w:rPr>
              <w:t>10/18/17</w:t>
            </w:r>
          </w:p>
        </w:tc>
        <w:tc>
          <w:tcPr>
            <w:tcW w:w="960" w:type="dxa"/>
            <w:vAlign w:val="bottom"/>
            <w:shd w:val="clear" w:color="auto" w:fill="ACACAC"/>
          </w:tcPr>
          <w:p>
            <w:pPr>
              <w:spacing w:after="0"/>
              <w:rPr>
                <w:sz w:val="14"/>
                <w:szCs w:val="14"/>
                <w:color w:val="auto"/>
              </w:rPr>
            </w:pPr>
          </w:p>
        </w:tc>
        <w:tc>
          <w:tcPr>
            <w:tcW w:w="800" w:type="dxa"/>
            <w:vAlign w:val="bottom"/>
            <w:shd w:val="clear" w:color="auto" w:fill="ACACAC"/>
          </w:tcPr>
          <w:p>
            <w:pPr>
              <w:spacing w:after="0"/>
              <w:rPr>
                <w:sz w:val="14"/>
                <w:szCs w:val="14"/>
                <w:color w:val="auto"/>
              </w:rPr>
            </w:pPr>
          </w:p>
        </w:tc>
        <w:tc>
          <w:tcPr>
            <w:tcW w:w="900" w:type="dxa"/>
            <w:vAlign w:val="bottom"/>
            <w:shd w:val="clear" w:color="auto" w:fill="ACACAC"/>
          </w:tcPr>
          <w:p>
            <w:pPr>
              <w:spacing w:after="0"/>
              <w:rPr>
                <w:sz w:val="14"/>
                <w:szCs w:val="14"/>
                <w:color w:val="auto"/>
              </w:rPr>
            </w:pPr>
          </w:p>
        </w:tc>
        <w:tc>
          <w:tcPr>
            <w:tcW w:w="920" w:type="dxa"/>
            <w:vAlign w:val="bottom"/>
            <w:shd w:val="clear" w:color="auto" w:fill="ACACAC"/>
          </w:tcPr>
          <w:p>
            <w:pPr>
              <w:spacing w:after="0"/>
              <w:rPr>
                <w:sz w:val="14"/>
                <w:szCs w:val="14"/>
                <w:color w:val="auto"/>
              </w:rPr>
            </w:pPr>
          </w:p>
        </w:tc>
        <w:tc>
          <w:tcPr>
            <w:tcW w:w="780" w:type="dxa"/>
            <w:vAlign w:val="bottom"/>
            <w:shd w:val="clear" w:color="auto" w:fill="ACACAC"/>
          </w:tcPr>
          <w:p>
            <w:pPr>
              <w:spacing w:after="0"/>
              <w:rPr>
                <w:sz w:val="14"/>
                <w:szCs w:val="14"/>
                <w:color w:val="auto"/>
              </w:rPr>
            </w:pPr>
          </w:p>
        </w:tc>
        <w:tc>
          <w:tcPr>
            <w:tcW w:w="820" w:type="dxa"/>
            <w:vAlign w:val="bottom"/>
            <w:shd w:val="clear" w:color="auto" w:fill="ACACAC"/>
          </w:tcPr>
          <w:p>
            <w:pPr>
              <w:spacing w:after="0"/>
              <w:rPr>
                <w:sz w:val="14"/>
                <w:szCs w:val="14"/>
                <w:color w:val="auto"/>
              </w:rPr>
            </w:pPr>
          </w:p>
        </w:tc>
        <w:tc>
          <w:tcPr>
            <w:tcW w:w="840" w:type="dxa"/>
            <w:vAlign w:val="bottom"/>
            <w:shd w:val="clear" w:color="auto" w:fill="ACACAC"/>
          </w:tcPr>
          <w:p>
            <w:pPr>
              <w:spacing w:after="0"/>
              <w:rPr>
                <w:sz w:val="14"/>
                <w:szCs w:val="14"/>
                <w:color w:val="auto"/>
              </w:rPr>
            </w:pPr>
          </w:p>
        </w:tc>
        <w:tc>
          <w:tcPr>
            <w:tcW w:w="900" w:type="dxa"/>
            <w:vAlign w:val="bottom"/>
            <w:shd w:val="clear" w:color="auto" w:fill="ACACAC"/>
          </w:tcPr>
          <w:p>
            <w:pPr>
              <w:jc w:val="right"/>
              <w:ind w:right="42"/>
              <w:spacing w:after="0"/>
              <w:rPr>
                <w:sz w:val="20"/>
                <w:szCs w:val="20"/>
                <w:color w:val="auto"/>
              </w:rPr>
            </w:pPr>
            <w:r>
              <w:rPr>
                <w:rFonts w:ascii="Arial" w:cs="Arial" w:eastAsia="Arial" w:hAnsi="Arial"/>
                <w:sz w:val="13"/>
                <w:szCs w:val="13"/>
                <w:color w:val="auto"/>
              </w:rPr>
              <w:t>8,241</w:t>
            </w:r>
          </w:p>
        </w:tc>
        <w:tc>
          <w:tcPr>
            <w:tcW w:w="800" w:type="dxa"/>
            <w:vAlign w:val="bottom"/>
            <w:shd w:val="clear" w:color="auto" w:fill="ACACAC"/>
          </w:tcPr>
          <w:p>
            <w:pPr>
              <w:jc w:val="right"/>
              <w:ind w:right="102"/>
              <w:spacing w:after="0"/>
              <w:rPr>
                <w:sz w:val="20"/>
                <w:szCs w:val="20"/>
                <w:color w:val="auto"/>
              </w:rPr>
            </w:pPr>
            <w:r>
              <w:rPr>
                <w:rFonts w:ascii="Arial" w:cs="Arial" w:eastAsia="Arial" w:hAnsi="Arial"/>
                <w:sz w:val="13"/>
                <w:szCs w:val="13"/>
                <w:color w:val="auto"/>
              </w:rPr>
              <w:t>$44.40</w:t>
            </w:r>
          </w:p>
        </w:tc>
        <w:tc>
          <w:tcPr>
            <w:tcW w:w="900" w:type="dxa"/>
            <w:vAlign w:val="bottom"/>
            <w:shd w:val="clear" w:color="auto" w:fill="ACACAC"/>
          </w:tcPr>
          <w:p>
            <w:pPr>
              <w:jc w:val="right"/>
              <w:ind w:right="106"/>
              <w:spacing w:after="0"/>
              <w:rPr>
                <w:sz w:val="20"/>
                <w:szCs w:val="20"/>
                <w:color w:val="auto"/>
              </w:rPr>
            </w:pPr>
            <w:r>
              <w:rPr>
                <w:rFonts w:ascii="Arial" w:cs="Arial" w:eastAsia="Arial" w:hAnsi="Arial"/>
                <w:sz w:val="11"/>
                <w:szCs w:val="11"/>
                <w:color w:val="auto"/>
              </w:rPr>
              <w:t>$121,802</w:t>
            </w:r>
          </w:p>
        </w:tc>
        <w:tc>
          <w:tcPr>
            <w:tcW w:w="0" w:type="dxa"/>
            <w:vAlign w:val="bottom"/>
          </w:tcPr>
          <w:p>
            <w:pPr>
              <w:spacing w:after="0"/>
              <w:rPr>
                <w:sz w:val="1"/>
                <w:szCs w:val="1"/>
                <w:color w:val="auto"/>
              </w:rPr>
            </w:pPr>
          </w:p>
        </w:tc>
      </w:tr>
      <w:tr>
        <w:trPr>
          <w:trHeight w:val="262"/>
        </w:trPr>
        <w:tc>
          <w:tcPr>
            <w:tcW w:w="1040" w:type="dxa"/>
            <w:vAlign w:val="bottom"/>
          </w:tcPr>
          <w:p>
            <w:pPr>
              <w:spacing w:after="0"/>
              <w:rPr>
                <w:sz w:val="22"/>
                <w:szCs w:val="22"/>
                <w:color w:val="auto"/>
              </w:rPr>
            </w:pPr>
          </w:p>
        </w:tc>
        <w:tc>
          <w:tcPr>
            <w:tcW w:w="340" w:type="dxa"/>
            <w:vAlign w:val="bottom"/>
          </w:tcPr>
          <w:p>
            <w:pPr>
              <w:ind w:left="40"/>
              <w:spacing w:after="0"/>
              <w:rPr>
                <w:sz w:val="20"/>
                <w:szCs w:val="20"/>
                <w:color w:val="auto"/>
              </w:rPr>
            </w:pPr>
            <w:r>
              <w:rPr>
                <w:rFonts w:ascii="Arial" w:cs="Arial" w:eastAsia="Arial" w:hAnsi="Arial"/>
                <w:sz w:val="13"/>
                <w:szCs w:val="13"/>
                <w:color w:val="auto"/>
                <w:w w:val="96"/>
              </w:rPr>
              <w:t>2014</w:t>
            </w:r>
          </w:p>
        </w:tc>
        <w:tc>
          <w:tcPr>
            <w:tcW w:w="600" w:type="dxa"/>
            <w:vAlign w:val="bottom"/>
          </w:tcPr>
          <w:p>
            <w:pPr>
              <w:ind w:left="20"/>
              <w:spacing w:after="0"/>
              <w:rPr>
                <w:sz w:val="20"/>
                <w:szCs w:val="20"/>
                <w:color w:val="auto"/>
              </w:rPr>
            </w:pPr>
            <w:r>
              <w:rPr>
                <w:rFonts w:ascii="Arial" w:cs="Arial" w:eastAsia="Arial" w:hAnsi="Arial"/>
                <w:sz w:val="13"/>
                <w:szCs w:val="13"/>
                <w:color w:val="auto"/>
              </w:rPr>
              <w:t>Plan</w:t>
            </w:r>
          </w:p>
        </w:tc>
        <w:tc>
          <w:tcPr>
            <w:tcW w:w="820" w:type="dxa"/>
            <w:vAlign w:val="bottom"/>
          </w:tcPr>
          <w:p>
            <w:pPr>
              <w:jc w:val="center"/>
              <w:spacing w:after="0"/>
              <w:rPr>
                <w:sz w:val="20"/>
                <w:szCs w:val="20"/>
                <w:color w:val="auto"/>
              </w:rPr>
            </w:pPr>
            <w:r>
              <w:rPr>
                <w:rFonts w:ascii="Arial" w:cs="Arial" w:eastAsia="Arial" w:hAnsi="Arial"/>
                <w:sz w:val="13"/>
                <w:szCs w:val="13"/>
                <w:color w:val="auto"/>
                <w:w w:val="98"/>
              </w:rPr>
              <w:t>10/18/17</w:t>
            </w:r>
          </w:p>
        </w:tc>
        <w:tc>
          <w:tcPr>
            <w:tcW w:w="96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840" w:type="dxa"/>
            <w:vAlign w:val="bottom"/>
          </w:tcPr>
          <w:p>
            <w:pPr>
              <w:jc w:val="center"/>
              <w:spacing w:after="0"/>
              <w:rPr>
                <w:sz w:val="20"/>
                <w:szCs w:val="20"/>
                <w:color w:val="auto"/>
              </w:rPr>
            </w:pPr>
            <w:r>
              <w:rPr>
                <w:rFonts w:ascii="Arial" w:cs="Arial" w:eastAsia="Arial" w:hAnsi="Arial"/>
                <w:sz w:val="13"/>
                <w:szCs w:val="13"/>
                <w:color w:val="auto"/>
                <w:w w:val="98"/>
              </w:rPr>
              <w:t>2,743</w:t>
            </w:r>
          </w:p>
        </w:tc>
        <w:tc>
          <w:tcPr>
            <w:tcW w:w="90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900" w:type="dxa"/>
            <w:vAlign w:val="bottom"/>
          </w:tcPr>
          <w:p>
            <w:pPr>
              <w:jc w:val="right"/>
              <w:ind w:right="106"/>
              <w:spacing w:after="0"/>
              <w:rPr>
                <w:sz w:val="20"/>
                <w:szCs w:val="20"/>
                <w:color w:val="auto"/>
              </w:rPr>
            </w:pPr>
            <w:r>
              <w:rPr>
                <w:rFonts w:ascii="Arial" w:cs="Arial" w:eastAsia="Arial" w:hAnsi="Arial"/>
                <w:sz w:val="11"/>
                <w:szCs w:val="11"/>
                <w:color w:val="auto"/>
              </w:rPr>
              <w:t>$121,789</w:t>
            </w:r>
          </w:p>
        </w:tc>
        <w:tc>
          <w:tcPr>
            <w:tcW w:w="0" w:type="dxa"/>
            <w:vAlign w:val="bottom"/>
          </w:tcPr>
          <w:p>
            <w:pPr>
              <w:spacing w:after="0"/>
              <w:rPr>
                <w:sz w:val="1"/>
                <w:szCs w:val="1"/>
                <w:color w:val="auto"/>
              </w:rPr>
            </w:pPr>
          </w:p>
        </w:tc>
      </w:tr>
      <w:tr>
        <w:trPr>
          <w:trHeight w:val="278"/>
        </w:trPr>
        <w:tc>
          <w:tcPr>
            <w:tcW w:w="1040" w:type="dxa"/>
            <w:vAlign w:val="bottom"/>
            <w:shd w:val="clear" w:color="auto" w:fill="ACACAC"/>
          </w:tcPr>
          <w:p>
            <w:pPr>
              <w:spacing w:after="0"/>
              <w:rPr>
                <w:sz w:val="24"/>
                <w:szCs w:val="24"/>
                <w:color w:val="auto"/>
              </w:rPr>
            </w:pPr>
          </w:p>
        </w:tc>
        <w:tc>
          <w:tcPr>
            <w:tcW w:w="340" w:type="dxa"/>
            <w:vAlign w:val="bottom"/>
            <w:shd w:val="clear" w:color="auto" w:fill="ACACAC"/>
          </w:tcPr>
          <w:p>
            <w:pPr>
              <w:ind w:left="40"/>
              <w:spacing w:after="0"/>
              <w:rPr>
                <w:sz w:val="20"/>
                <w:szCs w:val="20"/>
                <w:color w:val="auto"/>
              </w:rPr>
            </w:pPr>
            <w:r>
              <w:rPr>
                <w:rFonts w:ascii="Arial" w:cs="Arial" w:eastAsia="Arial" w:hAnsi="Arial"/>
                <w:sz w:val="13"/>
                <w:szCs w:val="13"/>
                <w:color w:val="auto"/>
                <w:w w:val="96"/>
              </w:rPr>
              <w:t>2018</w:t>
            </w:r>
          </w:p>
        </w:tc>
        <w:tc>
          <w:tcPr>
            <w:tcW w:w="600" w:type="dxa"/>
            <w:vAlign w:val="bottom"/>
            <w:shd w:val="clear" w:color="auto" w:fill="ACACAC"/>
          </w:tcPr>
          <w:p>
            <w:pPr>
              <w:ind w:left="20"/>
              <w:spacing w:after="0"/>
              <w:rPr>
                <w:sz w:val="20"/>
                <w:szCs w:val="20"/>
                <w:color w:val="auto"/>
              </w:rPr>
            </w:pPr>
            <w:r>
              <w:rPr>
                <w:rFonts w:ascii="Arial" w:cs="Arial" w:eastAsia="Arial" w:hAnsi="Arial"/>
                <w:sz w:val="13"/>
                <w:szCs w:val="13"/>
                <w:color w:val="auto"/>
              </w:rPr>
              <w:t>OICP</w:t>
            </w:r>
          </w:p>
        </w:tc>
        <w:tc>
          <w:tcPr>
            <w:tcW w:w="820" w:type="dxa"/>
            <w:vAlign w:val="bottom"/>
            <w:shd w:val="clear" w:color="auto" w:fill="ACACAC"/>
          </w:tcPr>
          <w:p>
            <w:pPr>
              <w:spacing w:after="0"/>
              <w:rPr>
                <w:sz w:val="24"/>
                <w:szCs w:val="24"/>
                <w:color w:val="auto"/>
              </w:rPr>
            </w:pPr>
          </w:p>
        </w:tc>
        <w:tc>
          <w:tcPr>
            <w:tcW w:w="960" w:type="dxa"/>
            <w:vAlign w:val="bottom"/>
            <w:shd w:val="clear" w:color="auto" w:fill="ACACAC"/>
          </w:tcPr>
          <w:p>
            <w:pPr>
              <w:jc w:val="right"/>
              <w:ind w:right="121"/>
              <w:spacing w:after="0"/>
              <w:rPr>
                <w:sz w:val="20"/>
                <w:szCs w:val="20"/>
                <w:color w:val="auto"/>
              </w:rPr>
            </w:pPr>
            <w:r>
              <w:rPr>
                <w:rFonts w:ascii="Arial" w:cs="Arial" w:eastAsia="Arial" w:hAnsi="Arial"/>
                <w:sz w:val="13"/>
                <w:szCs w:val="13"/>
                <w:color w:val="auto"/>
              </w:rPr>
              <w:t>76,384</w:t>
            </w:r>
          </w:p>
        </w:tc>
        <w:tc>
          <w:tcPr>
            <w:tcW w:w="800" w:type="dxa"/>
            <w:vAlign w:val="bottom"/>
            <w:shd w:val="clear" w:color="auto" w:fill="ACACAC"/>
          </w:tcPr>
          <w:p>
            <w:pPr>
              <w:ind w:left="180"/>
              <w:spacing w:after="0"/>
              <w:rPr>
                <w:sz w:val="20"/>
                <w:szCs w:val="20"/>
                <w:color w:val="auto"/>
              </w:rPr>
            </w:pPr>
            <w:r>
              <w:rPr>
                <w:rFonts w:ascii="Arial" w:cs="Arial" w:eastAsia="Arial" w:hAnsi="Arial"/>
                <w:sz w:val="13"/>
                <w:szCs w:val="13"/>
                <w:color w:val="auto"/>
              </w:rPr>
              <w:t>310,310</w:t>
            </w:r>
          </w:p>
        </w:tc>
        <w:tc>
          <w:tcPr>
            <w:tcW w:w="900" w:type="dxa"/>
            <w:vAlign w:val="bottom"/>
            <w:shd w:val="clear" w:color="auto" w:fill="ACACAC"/>
          </w:tcPr>
          <w:p>
            <w:pPr>
              <w:jc w:val="right"/>
              <w:ind w:right="80"/>
              <w:spacing w:after="0"/>
              <w:rPr>
                <w:sz w:val="20"/>
                <w:szCs w:val="20"/>
                <w:color w:val="auto"/>
              </w:rPr>
            </w:pPr>
            <w:r>
              <w:rPr>
                <w:rFonts w:ascii="Arial" w:cs="Arial" w:eastAsia="Arial" w:hAnsi="Arial"/>
                <w:sz w:val="13"/>
                <w:szCs w:val="13"/>
                <w:color w:val="auto"/>
              </w:rPr>
              <w:t>620,620</w:t>
            </w:r>
          </w:p>
        </w:tc>
        <w:tc>
          <w:tcPr>
            <w:tcW w:w="920" w:type="dxa"/>
            <w:vAlign w:val="bottom"/>
            <w:shd w:val="clear" w:color="auto" w:fill="ACACAC"/>
          </w:tcPr>
          <w:p>
            <w:pPr>
              <w:spacing w:after="0"/>
              <w:rPr>
                <w:sz w:val="24"/>
                <w:szCs w:val="24"/>
                <w:color w:val="auto"/>
              </w:rPr>
            </w:pPr>
          </w:p>
        </w:tc>
        <w:tc>
          <w:tcPr>
            <w:tcW w:w="780" w:type="dxa"/>
            <w:vAlign w:val="bottom"/>
            <w:shd w:val="clear" w:color="auto" w:fill="ACACAC"/>
          </w:tcPr>
          <w:p>
            <w:pPr>
              <w:spacing w:after="0"/>
              <w:rPr>
                <w:sz w:val="24"/>
                <w:szCs w:val="24"/>
                <w:color w:val="auto"/>
              </w:rPr>
            </w:pPr>
          </w:p>
        </w:tc>
        <w:tc>
          <w:tcPr>
            <w:tcW w:w="820" w:type="dxa"/>
            <w:vAlign w:val="bottom"/>
            <w:shd w:val="clear" w:color="auto" w:fill="ACACAC"/>
          </w:tcPr>
          <w:p>
            <w:pPr>
              <w:spacing w:after="0"/>
              <w:rPr>
                <w:sz w:val="24"/>
                <w:szCs w:val="24"/>
                <w:color w:val="auto"/>
              </w:rPr>
            </w:pPr>
          </w:p>
        </w:tc>
        <w:tc>
          <w:tcPr>
            <w:tcW w:w="840" w:type="dxa"/>
            <w:vAlign w:val="bottom"/>
            <w:shd w:val="clear" w:color="auto" w:fill="ACACAC"/>
          </w:tcPr>
          <w:p>
            <w:pPr>
              <w:spacing w:after="0"/>
              <w:rPr>
                <w:sz w:val="24"/>
                <w:szCs w:val="24"/>
                <w:color w:val="auto"/>
              </w:rPr>
            </w:pPr>
          </w:p>
        </w:tc>
        <w:tc>
          <w:tcPr>
            <w:tcW w:w="900" w:type="dxa"/>
            <w:vAlign w:val="bottom"/>
            <w:shd w:val="clear" w:color="auto" w:fill="ACACAC"/>
          </w:tcPr>
          <w:p>
            <w:pPr>
              <w:spacing w:after="0"/>
              <w:rPr>
                <w:sz w:val="24"/>
                <w:szCs w:val="24"/>
                <w:color w:val="auto"/>
              </w:rPr>
            </w:pPr>
          </w:p>
        </w:tc>
        <w:tc>
          <w:tcPr>
            <w:tcW w:w="800" w:type="dxa"/>
            <w:vAlign w:val="bottom"/>
            <w:shd w:val="clear" w:color="auto" w:fill="ACACAC"/>
          </w:tcPr>
          <w:p>
            <w:pPr>
              <w:spacing w:after="0"/>
              <w:rPr>
                <w:sz w:val="24"/>
                <w:szCs w:val="24"/>
                <w:color w:val="auto"/>
              </w:rPr>
            </w:pPr>
          </w:p>
        </w:tc>
        <w:tc>
          <w:tcPr>
            <w:tcW w:w="900" w:type="dxa"/>
            <w:vAlign w:val="bottom"/>
            <w:shd w:val="clear" w:color="auto" w:fill="ACACAC"/>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104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gridSpan w:val="2"/>
          </w:tcPr>
          <w:p>
            <w:pPr>
              <w:ind w:left="40"/>
              <w:spacing w:after="0"/>
              <w:rPr>
                <w:sz w:val="20"/>
                <w:szCs w:val="20"/>
                <w:color w:val="auto"/>
              </w:rPr>
            </w:pPr>
            <w:r>
              <w:rPr>
                <w:rFonts w:ascii="Arial" w:cs="Arial" w:eastAsia="Arial" w:hAnsi="Arial"/>
                <w:sz w:val="13"/>
                <w:szCs w:val="13"/>
                <w:color w:val="auto"/>
              </w:rPr>
              <w:t>FY18-20 LTIP</w:t>
            </w:r>
          </w:p>
        </w:tc>
        <w:tc>
          <w:tcPr>
            <w:tcW w:w="820" w:type="dxa"/>
            <w:vAlign w:val="bottom"/>
            <w:tcBorders>
              <w:bottom w:val="single" w:sz="8" w:color="auto"/>
            </w:tcBorders>
          </w:tcPr>
          <w:p>
            <w:pPr>
              <w:jc w:val="center"/>
              <w:spacing w:after="0"/>
              <w:rPr>
                <w:sz w:val="20"/>
                <w:szCs w:val="20"/>
                <w:color w:val="auto"/>
              </w:rPr>
            </w:pPr>
            <w:r>
              <w:rPr>
                <w:rFonts w:ascii="Arial" w:cs="Arial" w:eastAsia="Arial" w:hAnsi="Arial"/>
                <w:sz w:val="13"/>
                <w:szCs w:val="13"/>
                <w:color w:val="auto"/>
                <w:w w:val="98"/>
              </w:rPr>
              <w:t>10/18/17</w:t>
            </w:r>
          </w:p>
        </w:tc>
        <w:tc>
          <w:tcPr>
            <w:tcW w:w="96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101"/>
              <w:spacing w:after="0"/>
              <w:rPr>
                <w:sz w:val="20"/>
                <w:szCs w:val="20"/>
                <w:color w:val="auto"/>
              </w:rPr>
            </w:pPr>
            <w:r>
              <w:rPr>
                <w:rFonts w:ascii="Arial" w:cs="Arial" w:eastAsia="Arial" w:hAnsi="Arial"/>
                <w:sz w:val="13"/>
                <w:szCs w:val="13"/>
                <w:color w:val="auto"/>
              </w:rPr>
              <w:t>548</w:t>
            </w:r>
          </w:p>
        </w:tc>
        <w:tc>
          <w:tcPr>
            <w:tcW w:w="780" w:type="dxa"/>
            <w:vAlign w:val="bottom"/>
            <w:tcBorders>
              <w:bottom w:val="single" w:sz="8" w:color="auto"/>
            </w:tcBorders>
          </w:tcPr>
          <w:p>
            <w:pPr>
              <w:jc w:val="right"/>
              <w:ind w:right="100"/>
              <w:spacing w:after="0"/>
              <w:rPr>
                <w:sz w:val="20"/>
                <w:szCs w:val="20"/>
                <w:color w:val="auto"/>
              </w:rPr>
            </w:pPr>
            <w:r>
              <w:rPr>
                <w:rFonts w:ascii="Arial" w:cs="Arial" w:eastAsia="Arial" w:hAnsi="Arial"/>
                <w:sz w:val="13"/>
                <w:szCs w:val="13"/>
                <w:color w:val="auto"/>
              </w:rPr>
              <w:t>5,486</w:t>
            </w:r>
          </w:p>
        </w:tc>
        <w:tc>
          <w:tcPr>
            <w:tcW w:w="820" w:type="dxa"/>
            <w:vAlign w:val="bottom"/>
            <w:tcBorders>
              <w:bottom w:val="single" w:sz="8" w:color="auto"/>
            </w:tcBorders>
          </w:tcPr>
          <w:p>
            <w:pPr>
              <w:jc w:val="right"/>
              <w:ind w:right="20"/>
              <w:spacing w:after="0"/>
              <w:rPr>
                <w:sz w:val="20"/>
                <w:szCs w:val="20"/>
                <w:color w:val="auto"/>
              </w:rPr>
            </w:pPr>
            <w:r>
              <w:rPr>
                <w:rFonts w:ascii="Arial" w:cs="Arial" w:eastAsia="Arial" w:hAnsi="Arial"/>
                <w:sz w:val="13"/>
                <w:szCs w:val="13"/>
                <w:color w:val="auto"/>
              </w:rPr>
              <w:t>8,229</w:t>
            </w:r>
          </w:p>
        </w:tc>
        <w:tc>
          <w:tcPr>
            <w:tcW w:w="84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1763395</wp:posOffset>
            </wp:positionH>
            <wp:positionV relativeFrom="paragraph">
              <wp:posOffset>-3301365</wp:posOffset>
            </wp:positionV>
            <wp:extent cx="3327400" cy="889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3327400" cy="8890"/>
                    </a:xfrm>
                    <a:prstGeom prst="rect">
                      <a:avLst/>
                    </a:prstGeom>
                    <a:noFill/>
                  </pic:spPr>
                </pic:pic>
              </a:graphicData>
            </a:graphic>
          </wp:anchor>
        </w:drawing>
      </w:r>
    </w:p>
    <w:p>
      <w:pPr>
        <w:spacing w:after="0" w:line="123" w:lineRule="exact"/>
        <w:rPr>
          <w:sz w:val="20"/>
          <w:szCs w:val="20"/>
          <w:color w:val="auto"/>
        </w:rPr>
      </w:pPr>
    </w:p>
    <w:p>
      <w:pPr>
        <w:jc w:val="both"/>
        <w:ind w:left="340" w:right="180" w:hanging="332"/>
        <w:spacing w:after="0"/>
        <w:tabs>
          <w:tab w:leader="none" w:pos="340" w:val="left"/>
        </w:tabs>
        <w:numPr>
          <w:ilvl w:val="0"/>
          <w:numId w:val="42"/>
        </w:numPr>
        <w:rPr>
          <w:rFonts w:ascii="Arial" w:cs="Arial" w:eastAsia="Arial" w:hAnsi="Arial"/>
          <w:sz w:val="13"/>
          <w:szCs w:val="13"/>
          <w:color w:val="auto"/>
        </w:rPr>
      </w:pPr>
      <w:r>
        <w:rPr>
          <w:rFonts w:ascii="Arial" w:cs="Arial" w:eastAsia="Arial" w:hAnsi="Arial"/>
          <w:sz w:val="13"/>
          <w:szCs w:val="13"/>
          <w:color w:val="auto"/>
        </w:rPr>
        <w:t>Fiscal 2018 OICP targets annual performance against goals established by the Committee. Awards under the Fiscal 2018 OICP are payable in cash. The Threshold, Target and Maximum amounts presented above represent amounts that could have been earned by our NEOs for Fiscal 2018 under the Fiscal 2018 OICP. Ms. Bogart's Fiscal 2018 OICP has been prorated to reflect her January 2018 start date.</w:t>
      </w:r>
    </w:p>
    <w:p>
      <w:pPr>
        <w:spacing w:after="0" w:line="51" w:lineRule="exact"/>
        <w:rPr>
          <w:rFonts w:ascii="Arial" w:cs="Arial" w:eastAsia="Arial" w:hAnsi="Arial"/>
          <w:sz w:val="13"/>
          <w:szCs w:val="13"/>
          <w:color w:val="auto"/>
        </w:rPr>
      </w:pPr>
    </w:p>
    <w:p>
      <w:pPr>
        <w:ind w:left="340" w:right="60" w:hanging="332"/>
        <w:spacing w:after="0" w:line="242" w:lineRule="auto"/>
        <w:tabs>
          <w:tab w:leader="none" w:pos="340" w:val="left"/>
        </w:tabs>
        <w:numPr>
          <w:ilvl w:val="0"/>
          <w:numId w:val="42"/>
        </w:numPr>
        <w:rPr>
          <w:rFonts w:ascii="Arial" w:cs="Arial" w:eastAsia="Arial" w:hAnsi="Arial"/>
          <w:sz w:val="13"/>
          <w:szCs w:val="13"/>
          <w:color w:val="auto"/>
        </w:rPr>
      </w:pPr>
      <w:r>
        <w:rPr>
          <w:rFonts w:ascii="Arial" w:cs="Arial" w:eastAsia="Arial" w:hAnsi="Arial"/>
          <w:sz w:val="13"/>
          <w:szCs w:val="13"/>
          <w:color w:val="auto"/>
        </w:rPr>
        <w:t>Fiscal 2018-2020 LTIP refers to our performance shares. For each of the NEOs, the Threshold, Target and Maximum amounts under the Fiscal 2018-2020 LTIP represent potential performance stock payments that are measured over a three-year performance period from August 30, 2017 through August 25, 2020.</w:t>
      </w:r>
    </w:p>
    <w:p>
      <w:pPr>
        <w:spacing w:after="0" w:line="49" w:lineRule="exact"/>
        <w:rPr>
          <w:rFonts w:ascii="Arial" w:cs="Arial" w:eastAsia="Arial" w:hAnsi="Arial"/>
          <w:sz w:val="13"/>
          <w:szCs w:val="13"/>
          <w:color w:val="auto"/>
        </w:rPr>
      </w:pPr>
    </w:p>
    <w:p>
      <w:pPr>
        <w:ind w:left="340" w:hanging="332"/>
        <w:spacing w:after="0"/>
        <w:tabs>
          <w:tab w:leader="none" w:pos="340" w:val="left"/>
        </w:tabs>
        <w:numPr>
          <w:ilvl w:val="0"/>
          <w:numId w:val="42"/>
        </w:numPr>
        <w:rPr>
          <w:rFonts w:ascii="Arial" w:cs="Arial" w:eastAsia="Arial" w:hAnsi="Arial"/>
          <w:sz w:val="13"/>
          <w:szCs w:val="13"/>
          <w:color w:val="auto"/>
        </w:rPr>
      </w:pPr>
      <w:r>
        <w:rPr>
          <w:rFonts w:ascii="Arial" w:cs="Arial" w:eastAsia="Arial" w:hAnsi="Arial"/>
          <w:sz w:val="13"/>
          <w:szCs w:val="13"/>
          <w:color w:val="auto"/>
        </w:rPr>
        <w:t>The Human Resource Committee approved the Fiscal 2018 OICP and Fiscal 2018-2020 LTIP plans on October 18, 2017, effective as of August 27, 2017.</w:t>
      </w:r>
    </w:p>
    <w:p>
      <w:pPr>
        <w:spacing w:after="0" w:line="161" w:lineRule="exact"/>
        <w:rPr>
          <w:rFonts w:ascii="Arial" w:cs="Arial" w:eastAsia="Arial" w:hAnsi="Arial"/>
          <w:sz w:val="13"/>
          <w:szCs w:val="13"/>
          <w:color w:val="auto"/>
        </w:rPr>
      </w:pPr>
    </w:p>
    <w:p>
      <w:pPr>
        <w:ind w:left="340" w:hanging="332"/>
        <w:spacing w:after="0"/>
        <w:tabs>
          <w:tab w:leader="none" w:pos="340" w:val="left"/>
        </w:tabs>
        <w:numPr>
          <w:ilvl w:val="0"/>
          <w:numId w:val="42"/>
        </w:numPr>
        <w:rPr>
          <w:rFonts w:ascii="Arial" w:cs="Arial" w:eastAsia="Arial" w:hAnsi="Arial"/>
          <w:sz w:val="12"/>
          <w:szCs w:val="12"/>
          <w:color w:val="auto"/>
        </w:rPr>
      </w:pPr>
      <w:r>
        <w:rPr>
          <w:rFonts w:ascii="Arial" w:cs="Arial" w:eastAsia="Arial" w:hAnsi="Arial"/>
          <w:sz w:val="12"/>
          <w:szCs w:val="12"/>
          <w:color w:val="auto"/>
        </w:rPr>
        <w:t>The grant date value per share of the restricted stock was $44.40 on October 18, 2017 and $55.40 on January 2, 2018, and for the stock option award, the Black-Scholes value per share was $14.78.</w:t>
      </w:r>
    </w:p>
    <w:p>
      <w:pPr>
        <w:spacing w:after="0" w:line="172" w:lineRule="exact"/>
        <w:rPr>
          <w:rFonts w:ascii="Arial" w:cs="Arial" w:eastAsia="Arial" w:hAnsi="Arial"/>
          <w:sz w:val="12"/>
          <w:szCs w:val="12"/>
          <w:color w:val="auto"/>
        </w:rPr>
      </w:pPr>
    </w:p>
    <w:p>
      <w:pPr>
        <w:ind w:left="340" w:hanging="332"/>
        <w:spacing w:after="0"/>
        <w:tabs>
          <w:tab w:leader="none" w:pos="340" w:val="left"/>
        </w:tabs>
        <w:numPr>
          <w:ilvl w:val="0"/>
          <w:numId w:val="42"/>
        </w:numPr>
        <w:rPr>
          <w:rFonts w:ascii="Arial" w:cs="Arial" w:eastAsia="Arial" w:hAnsi="Arial"/>
          <w:sz w:val="13"/>
          <w:szCs w:val="13"/>
          <w:color w:val="auto"/>
        </w:rPr>
      </w:pPr>
      <w:r>
        <w:rPr>
          <w:rFonts w:ascii="Arial" w:cs="Arial" w:eastAsia="Arial" w:hAnsi="Arial"/>
          <w:sz w:val="13"/>
          <w:szCs w:val="13"/>
          <w:color w:val="auto"/>
        </w:rPr>
        <w:t>Mr. Clark is not eligible to participate in the Fiscal 2018 OICP or Fiscal 2018-2020 LTIP, however he remains eligible to participate in the pre-existing Grand Design Management Incentive Plan.</w:t>
      </w:r>
    </w:p>
    <w:p>
      <w:pPr>
        <w:spacing w:after="0" w:line="35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30</w:t>
      </w:r>
    </w:p>
    <w:p>
      <w:pPr>
        <w:sectPr>
          <w:pgSz w:w="11900" w:h="16838" w:orient="portrait"/>
          <w:cols w:equalWidth="0" w:num="1">
            <w:col w:w="11420"/>
          </w:cols>
          <w:pgMar w:left="240" w:top="303" w:right="239" w:bottom="1440" w:gutter="0" w:footer="0" w:header="0"/>
        </w:sectPr>
      </w:pPr>
    </w:p>
    <w:bookmarkStart w:id="34" w:name="page35"/>
    <w:bookmarkEnd w:id="34"/>
    <w:p>
      <w:pPr>
        <w:ind w:left="40"/>
        <w:spacing w:after="0"/>
        <w:rPr>
          <w:rFonts w:ascii="Arial" w:cs="Arial" w:eastAsia="Arial" w:hAnsi="Arial"/>
          <w:sz w:val="15"/>
          <w:szCs w:val="15"/>
          <w:u w:val="single" w:color="auto"/>
          <w:color w:val="0000EE"/>
        </w:rPr>
      </w:pPr>
      <w:r>
        <w:rPr>
          <w:rFonts w:ascii="Arial" w:cs="Arial" w:eastAsia="Arial" w:hAnsi="Arial"/>
          <w:sz w:val="15"/>
          <w:szCs w:val="15"/>
          <w:u w:val="single" w:color="auto"/>
          <w:color w:val="0000EE"/>
        </w:rPr>
        <w:drawing>
          <wp:anchor simplePos="0" relativeHeight="251657728" behindDoc="1" locked="0" layoutInCell="0" allowOverlap="1">
            <wp:simplePos x="0" y="0"/>
            <wp:positionH relativeFrom="page">
              <wp:posOffset>5946140</wp:posOffset>
            </wp:positionH>
            <wp:positionV relativeFrom="page">
              <wp:posOffset>191770</wp:posOffset>
            </wp:positionV>
            <wp:extent cx="1440815" cy="20574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clrChange>
                        <a:clrFrom>
                          <a:srgbClr val="FFFFFF"/>
                        </a:clrFrom>
                        <a:clrTo>
                          <a:srgbClr val="FFFFFF">
                            <a:alpha val="0"/>
                          </a:srgbClr>
                        </a:clrTo>
                      </a:clrChange>
                      <a:extLst>
                        <a:ext uri="{28A0092B-C50C-407E-A947-70E740481C1C}"/>
                      </a:extLst>
                    </a:blip>
                    <a:srcRect/>
                    <a:stretch>
                      <a:fillRect/>
                    </a:stretch>
                  </pic:blipFill>
                  <pic:spPr bwMode="auto">
                    <a:xfrm>
                      <a:off x="0" y="0"/>
                      <a:ext cx="1440815" cy="205740"/>
                    </a:xfrm>
                    <a:prstGeom prst="rect">
                      <a:avLst/>
                    </a:prstGeom>
                    <a:noFill/>
                  </pic:spPr>
                </pic:pic>
              </a:graphicData>
            </a:graphic>
          </wp:anchor>
        </w:drawing>
      </w:r>
      <w:hyperlink w:anchor="page4">
        <w:r>
          <w:rPr>
            <w:rFonts w:ascii="Arial" w:cs="Arial" w:eastAsia="Arial" w:hAnsi="Arial"/>
            <w:sz w:val="15"/>
            <w:szCs w:val="15"/>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112395</wp:posOffset>
            </wp:positionV>
            <wp:extent cx="7246620" cy="889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303" w:right="239" w:bottom="1440" w:gutter="0" w:footer="0" w:header="0"/>
        </w:sectPr>
      </w:pPr>
    </w:p>
    <w:p>
      <w:pPr>
        <w:spacing w:after="0" w:line="200" w:lineRule="exact"/>
        <w:rPr>
          <w:sz w:val="20"/>
          <w:szCs w:val="20"/>
          <w:color w:val="auto"/>
        </w:rPr>
      </w:pPr>
    </w:p>
    <w:p>
      <w:pPr>
        <w:spacing w:after="0" w:line="233" w:lineRule="exact"/>
        <w:rPr>
          <w:sz w:val="20"/>
          <w:szCs w:val="20"/>
          <w:color w:val="auto"/>
        </w:rPr>
      </w:pPr>
    </w:p>
    <w:p>
      <w:pPr>
        <w:spacing w:after="0" w:line="262" w:lineRule="auto"/>
        <w:rPr>
          <w:sz w:val="20"/>
          <w:szCs w:val="20"/>
          <w:color w:val="auto"/>
        </w:rPr>
      </w:pPr>
      <w:r>
        <w:rPr>
          <w:rFonts w:ascii="Arial" w:cs="Arial" w:eastAsia="Arial" w:hAnsi="Arial"/>
          <w:sz w:val="18"/>
          <w:szCs w:val="18"/>
          <w:color w:val="828282"/>
        </w:rPr>
        <w:t>Narrative Disclosure to Summary Compensation Table and Grants of Plan-Based Awards Table</w:t>
      </w:r>
    </w:p>
    <w:p>
      <w:pPr>
        <w:spacing w:after="0" w:line="183" w:lineRule="exact"/>
        <w:rPr>
          <w:sz w:val="20"/>
          <w:szCs w:val="20"/>
          <w:color w:val="auto"/>
        </w:rPr>
      </w:pPr>
    </w:p>
    <w:p>
      <w:pPr>
        <w:spacing w:after="0"/>
        <w:rPr>
          <w:sz w:val="20"/>
          <w:szCs w:val="20"/>
          <w:color w:val="auto"/>
        </w:rPr>
      </w:pPr>
      <w:r>
        <w:rPr>
          <w:rFonts w:ascii="Arial" w:cs="Arial" w:eastAsia="Arial" w:hAnsi="Arial"/>
          <w:sz w:val="16"/>
          <w:szCs w:val="16"/>
          <w:i w:val="1"/>
          <w:iCs w:val="1"/>
          <w:color w:val="828282"/>
        </w:rPr>
        <w:t>Executive Employment Arrangements</w:t>
      </w:r>
    </w:p>
    <w:p>
      <w:pPr>
        <w:spacing w:after="0" w:line="210" w:lineRule="exact"/>
        <w:rPr>
          <w:sz w:val="20"/>
          <w:szCs w:val="20"/>
          <w:color w:val="auto"/>
        </w:rPr>
      </w:pPr>
    </w:p>
    <w:p>
      <w:pPr>
        <w:ind w:right="20"/>
        <w:spacing w:after="0" w:line="248" w:lineRule="auto"/>
        <w:rPr>
          <w:sz w:val="20"/>
          <w:szCs w:val="20"/>
          <w:color w:val="auto"/>
        </w:rPr>
      </w:pPr>
      <w:r>
        <w:rPr>
          <w:rFonts w:ascii="Arial" w:cs="Arial" w:eastAsia="Arial" w:hAnsi="Arial"/>
          <w:sz w:val="16"/>
          <w:szCs w:val="16"/>
          <w:color w:val="auto"/>
        </w:rPr>
        <w:t>None of the current NEOs has an employment agreement except for Mr. Happe and Mr. Clark as previously discussed. However, all NEOs are party to an Executive Change of Control Agreement that provides the executive with three-year severance benefits in the event he or she ceased to be employed by the Company within three years of a “Change of Control,” as defined in the agreement. Discussion of the payouts provided for under various termination situations as well as the October 2018 revisions to these agreements is set forth in the section “Potential Payments upon Termination or Change of Control” below.</w:t>
      </w:r>
    </w:p>
    <w:p>
      <w:pPr>
        <w:spacing w:after="0" w:line="83" w:lineRule="exact"/>
        <w:rPr>
          <w:sz w:val="20"/>
          <w:szCs w:val="20"/>
          <w:color w:val="auto"/>
        </w:rPr>
      </w:pPr>
    </w:p>
    <w:p>
      <w:pPr>
        <w:spacing w:after="0"/>
        <w:rPr>
          <w:sz w:val="20"/>
          <w:szCs w:val="20"/>
          <w:color w:val="auto"/>
        </w:rPr>
      </w:pPr>
      <w:r>
        <w:rPr>
          <w:rFonts w:ascii="Arial" w:cs="Arial" w:eastAsia="Arial" w:hAnsi="Arial"/>
          <w:sz w:val="16"/>
          <w:szCs w:val="16"/>
          <w:i w:val="1"/>
          <w:iCs w:val="1"/>
          <w:color w:val="828282"/>
        </w:rPr>
        <w:t>Base Salary</w:t>
      </w:r>
    </w:p>
    <w:p>
      <w:pPr>
        <w:spacing w:after="0" w:line="210" w:lineRule="exact"/>
        <w:rPr>
          <w:sz w:val="20"/>
          <w:szCs w:val="20"/>
          <w:color w:val="auto"/>
        </w:rPr>
      </w:pPr>
    </w:p>
    <w:p>
      <w:pPr>
        <w:ind w:right="80"/>
        <w:spacing w:after="0" w:line="251" w:lineRule="auto"/>
        <w:rPr>
          <w:sz w:val="20"/>
          <w:szCs w:val="20"/>
          <w:color w:val="auto"/>
        </w:rPr>
      </w:pPr>
      <w:r>
        <w:rPr>
          <w:rFonts w:ascii="Arial" w:cs="Arial" w:eastAsia="Arial" w:hAnsi="Arial"/>
          <w:sz w:val="16"/>
          <w:szCs w:val="16"/>
          <w:color w:val="auto"/>
        </w:rPr>
        <w:t>In general, the Committee annually reviews and adjusts base pay, in keeping with the overall objectives, pay philosophy and relative position with comparable companies, as discussed in more detail in the “Compensation Discussion and Analysis-Base Salary” above.</w:t>
      </w:r>
    </w:p>
    <w:p>
      <w:pPr>
        <w:spacing w:after="0" w:line="79" w:lineRule="exact"/>
        <w:rPr>
          <w:sz w:val="20"/>
          <w:szCs w:val="20"/>
          <w:color w:val="auto"/>
        </w:rPr>
      </w:pPr>
    </w:p>
    <w:p>
      <w:pPr>
        <w:spacing w:after="0"/>
        <w:rPr>
          <w:sz w:val="20"/>
          <w:szCs w:val="20"/>
          <w:color w:val="auto"/>
        </w:rPr>
      </w:pPr>
      <w:r>
        <w:rPr>
          <w:rFonts w:ascii="Arial" w:cs="Arial" w:eastAsia="Arial" w:hAnsi="Arial"/>
          <w:sz w:val="16"/>
          <w:szCs w:val="16"/>
          <w:i w:val="1"/>
          <w:iCs w:val="1"/>
          <w:color w:val="828282"/>
        </w:rPr>
        <w:t>Stock Awards</w:t>
      </w:r>
    </w:p>
    <w:p>
      <w:pPr>
        <w:spacing w:after="0" w:line="210" w:lineRule="exact"/>
        <w:rPr>
          <w:sz w:val="20"/>
          <w:szCs w:val="20"/>
          <w:color w:val="auto"/>
        </w:rPr>
      </w:pPr>
    </w:p>
    <w:p>
      <w:pPr>
        <w:ind w:right="420"/>
        <w:spacing w:after="0" w:line="260" w:lineRule="auto"/>
        <w:rPr>
          <w:sz w:val="20"/>
          <w:szCs w:val="20"/>
          <w:color w:val="auto"/>
        </w:rPr>
      </w:pPr>
      <w:r>
        <w:rPr>
          <w:rFonts w:ascii="Arial" w:cs="Arial" w:eastAsia="Arial" w:hAnsi="Arial"/>
          <w:sz w:val="16"/>
          <w:szCs w:val="16"/>
          <w:color w:val="auto"/>
        </w:rPr>
        <w:t>Grants of restricted stock and stock options, the ASC 718 grant date fair value of which is disclosed in the Summary</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15" w:lineRule="exact"/>
        <w:rPr>
          <w:sz w:val="20"/>
          <w:szCs w:val="20"/>
          <w:color w:val="auto"/>
        </w:rPr>
      </w:pPr>
    </w:p>
    <w:p>
      <w:pPr>
        <w:ind w:right="40"/>
        <w:spacing w:after="0" w:line="249" w:lineRule="auto"/>
        <w:rPr>
          <w:sz w:val="20"/>
          <w:szCs w:val="20"/>
          <w:color w:val="auto"/>
        </w:rPr>
      </w:pPr>
      <w:r>
        <w:rPr>
          <w:rFonts w:ascii="Arial" w:cs="Arial" w:eastAsia="Arial" w:hAnsi="Arial"/>
          <w:sz w:val="16"/>
          <w:szCs w:val="16"/>
          <w:color w:val="auto"/>
        </w:rPr>
        <w:t>Compensation Table, begin vesting annually in increments of one-third beginning one year from the date of grant for restricted stock grants. Restricted Stock grants and stock option awards are subject to earlier vesting in the event of a Change of Control or termination of employment, as set forth in the section “Potential Payments upon Termination or Change of Control” below.</w:t>
      </w:r>
    </w:p>
    <w:p>
      <w:pPr>
        <w:spacing w:after="0" w:line="81" w:lineRule="exact"/>
        <w:rPr>
          <w:sz w:val="20"/>
          <w:szCs w:val="20"/>
          <w:color w:val="auto"/>
        </w:rPr>
      </w:pPr>
    </w:p>
    <w:p>
      <w:pPr>
        <w:spacing w:after="0"/>
        <w:rPr>
          <w:sz w:val="20"/>
          <w:szCs w:val="20"/>
          <w:color w:val="auto"/>
        </w:rPr>
      </w:pPr>
      <w:r>
        <w:rPr>
          <w:rFonts w:ascii="Arial" w:cs="Arial" w:eastAsia="Arial" w:hAnsi="Arial"/>
          <w:sz w:val="16"/>
          <w:szCs w:val="16"/>
          <w:i w:val="1"/>
          <w:iCs w:val="1"/>
          <w:color w:val="828282"/>
        </w:rPr>
        <w:t>Annual Incentive Plan</w:t>
      </w:r>
    </w:p>
    <w:p>
      <w:pPr>
        <w:spacing w:after="0" w:line="210" w:lineRule="exact"/>
        <w:rPr>
          <w:sz w:val="20"/>
          <w:szCs w:val="20"/>
          <w:color w:val="auto"/>
        </w:rPr>
      </w:pPr>
    </w:p>
    <w:p>
      <w:pPr>
        <w:ind w:right="100"/>
        <w:spacing w:after="0" w:line="249" w:lineRule="auto"/>
        <w:rPr>
          <w:sz w:val="20"/>
          <w:szCs w:val="20"/>
          <w:color w:val="auto"/>
        </w:rPr>
      </w:pPr>
      <w:r>
        <w:rPr>
          <w:rFonts w:ascii="Arial" w:cs="Arial" w:eastAsia="Arial" w:hAnsi="Arial"/>
          <w:sz w:val="16"/>
          <w:szCs w:val="16"/>
          <w:color w:val="auto"/>
        </w:rPr>
        <w:t>In addition to base salary, each NEO (other than Mr. Clark, who is eligible for a bonus as described on page 18 under "Elements of Compensation") is eligible to receive, subject to certain financial performance metrics, a target annual incentive cash award equal to a percentage of his or her annual base salary, which is discussed in the “Compensation Discussion and Analysis-Annual Incentive Plan” above.</w:t>
      </w:r>
    </w:p>
    <w:p>
      <w:pPr>
        <w:spacing w:after="0" w:line="81" w:lineRule="exact"/>
        <w:rPr>
          <w:sz w:val="20"/>
          <w:szCs w:val="20"/>
          <w:color w:val="auto"/>
        </w:rPr>
      </w:pPr>
    </w:p>
    <w:p>
      <w:pPr>
        <w:spacing w:after="0"/>
        <w:rPr>
          <w:sz w:val="20"/>
          <w:szCs w:val="20"/>
          <w:color w:val="auto"/>
        </w:rPr>
      </w:pPr>
      <w:r>
        <w:rPr>
          <w:rFonts w:ascii="Arial" w:cs="Arial" w:eastAsia="Arial" w:hAnsi="Arial"/>
          <w:sz w:val="16"/>
          <w:szCs w:val="16"/>
          <w:i w:val="1"/>
          <w:iCs w:val="1"/>
          <w:color w:val="828282"/>
        </w:rPr>
        <w:t>Long-Term Incentive Plans</w:t>
      </w:r>
    </w:p>
    <w:p>
      <w:pPr>
        <w:spacing w:after="0" w:line="210" w:lineRule="exact"/>
        <w:rPr>
          <w:sz w:val="20"/>
          <w:szCs w:val="20"/>
          <w:color w:val="auto"/>
        </w:rPr>
      </w:pPr>
    </w:p>
    <w:p>
      <w:pPr>
        <w:spacing w:after="0" w:line="248" w:lineRule="auto"/>
        <w:rPr>
          <w:sz w:val="20"/>
          <w:szCs w:val="20"/>
          <w:color w:val="auto"/>
        </w:rPr>
      </w:pPr>
      <w:r>
        <w:rPr>
          <w:rFonts w:ascii="Arial" w:cs="Arial" w:eastAsia="Arial" w:hAnsi="Arial"/>
          <w:sz w:val="16"/>
          <w:szCs w:val="16"/>
          <w:color w:val="auto"/>
        </w:rPr>
        <w:t>This element of compensation, including payouts made in Fiscal 2016, Fiscal 2017 and Fiscal 2018, is described in the “Compensation Discussion and Analysis - Fiscal 2018 Equity Awards" above. See “Compensation Discussion and Analysis” for further information regarding the terms of awards reported in the Summary Compensation Table and the Grants of Plan-Based Awards Table and for discussions regarding officer stock ownership guidelines, incentive compensation awards, and allocations between short-term and long-term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-3702685</wp:posOffset>
            </wp:positionH>
            <wp:positionV relativeFrom="paragraph">
              <wp:posOffset>100965</wp:posOffset>
            </wp:positionV>
            <wp:extent cx="7272020" cy="4254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93" w:lineRule="exact"/>
        <w:rPr>
          <w:sz w:val="20"/>
          <w:szCs w:val="20"/>
          <w:color w:val="auto"/>
        </w:rPr>
      </w:pPr>
    </w:p>
    <w:p>
      <w:pPr>
        <w:sectPr>
          <w:pgSz w:w="11900" w:h="16838" w:orient="portrait"/>
          <w:cols w:equalWidth="0" w:num="2">
            <w:col w:w="5580" w:space="240"/>
            <w:col w:w="5600"/>
          </w:cols>
          <w:pgMar w:left="240" w:top="303" w:right="239" w:bottom="1440" w:gutter="0" w:footer="0" w:header="0"/>
          <w:type w:val="continuous"/>
        </w:sectPr>
      </w:pPr>
    </w:p>
    <w:p>
      <w:pPr>
        <w:spacing w:after="0" w:line="28" w:lineRule="exact"/>
        <w:rPr>
          <w:sz w:val="20"/>
          <w:szCs w:val="20"/>
          <w:color w:val="auto"/>
        </w:rPr>
      </w:pPr>
    </w:p>
    <w:p>
      <w:pPr>
        <w:spacing w:after="0"/>
        <w:rPr>
          <w:sz w:val="20"/>
          <w:szCs w:val="20"/>
          <w:color w:val="auto"/>
        </w:rPr>
      </w:pPr>
      <w:r>
        <w:rPr>
          <w:rFonts w:ascii="Arial" w:cs="Arial" w:eastAsia="Arial" w:hAnsi="Arial"/>
          <w:sz w:val="22"/>
          <w:szCs w:val="22"/>
          <w:color w:val="828282"/>
        </w:rPr>
        <w:t>Outstanding Equity Awards at Fiscal Year-End Table</w:t>
      </w:r>
    </w:p>
    <w:p>
      <w:pPr>
        <w:spacing w:after="0" w:line="188"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provides information regarding the outstanding equity awards held by each of the NEOs as of August 25,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87630</wp:posOffset>
            </wp:positionV>
            <wp:extent cx="7246620" cy="18034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246620" cy="180340"/>
                    </a:xfrm>
                    <a:prstGeom prst="rect">
                      <a:avLst/>
                    </a:prstGeom>
                    <a:noFill/>
                  </pic:spPr>
                </pic:pic>
              </a:graphicData>
            </a:graphic>
          </wp:anchor>
        </w:drawing>
      </w:r>
    </w:p>
    <w:p>
      <w:pPr>
        <w:spacing w:after="0" w:line="118" w:lineRule="exact"/>
        <w:rPr>
          <w:sz w:val="20"/>
          <w:szCs w:val="20"/>
          <w:color w:val="auto"/>
        </w:rPr>
      </w:pPr>
    </w:p>
    <w:tbl>
      <w:tblPr>
        <w:tblLayout w:type="fixed"/>
        <w:tblInd w:w="0" w:type="dxa"/>
        <w:tblCellMar>
          <w:top w:w="0" w:type="dxa"/>
          <w:left w:w="0" w:type="dxa"/>
          <w:bottom w:w="0" w:type="dxa"/>
          <w:right w:w="0" w:type="dxa"/>
        </w:tblCellMar>
      </w:tblPr>
      <w:tr>
        <w:trPr>
          <w:trHeight w:val="251"/>
        </w:trPr>
        <w:tc>
          <w:tcPr>
            <w:tcW w:w="1620" w:type="dxa"/>
            <w:vAlign w:val="bottom"/>
            <w:shd w:val="clear" w:color="auto" w:fill="BF2115"/>
          </w:tcPr>
          <w:p>
            <w:pPr>
              <w:spacing w:after="0"/>
              <w:rPr>
                <w:sz w:val="21"/>
                <w:szCs w:val="21"/>
                <w:color w:val="auto"/>
              </w:rPr>
            </w:pPr>
          </w:p>
        </w:tc>
        <w:tc>
          <w:tcPr>
            <w:tcW w:w="1420" w:type="dxa"/>
            <w:vAlign w:val="bottom"/>
            <w:shd w:val="clear" w:color="auto" w:fill="BF2115"/>
          </w:tcPr>
          <w:p>
            <w:pPr>
              <w:spacing w:after="0"/>
              <w:rPr>
                <w:sz w:val="21"/>
                <w:szCs w:val="21"/>
                <w:color w:val="auto"/>
              </w:rPr>
            </w:pPr>
          </w:p>
        </w:tc>
        <w:tc>
          <w:tcPr>
            <w:tcW w:w="2360" w:type="dxa"/>
            <w:vAlign w:val="bottom"/>
            <w:gridSpan w:val="2"/>
            <w:shd w:val="clear" w:color="auto" w:fill="BF2115"/>
          </w:tcPr>
          <w:p>
            <w:pPr>
              <w:ind w:left="640"/>
              <w:spacing w:after="0"/>
              <w:rPr>
                <w:sz w:val="20"/>
                <w:szCs w:val="20"/>
                <w:color w:val="auto"/>
              </w:rPr>
            </w:pPr>
            <w:r>
              <w:rPr>
                <w:rFonts w:ascii="Arial" w:cs="Arial" w:eastAsia="Arial" w:hAnsi="Arial"/>
                <w:sz w:val="16"/>
                <w:szCs w:val="16"/>
                <w:b w:val="1"/>
                <w:bCs w:val="1"/>
                <w:color w:val="FFFFFF"/>
              </w:rPr>
              <w:t>Option Awards</w:t>
            </w:r>
          </w:p>
        </w:tc>
        <w:tc>
          <w:tcPr>
            <w:tcW w:w="1400" w:type="dxa"/>
            <w:vAlign w:val="bottom"/>
            <w:shd w:val="clear" w:color="auto" w:fill="BF2115"/>
          </w:tcPr>
          <w:p>
            <w:pPr>
              <w:spacing w:after="0"/>
              <w:rPr>
                <w:sz w:val="21"/>
                <w:szCs w:val="21"/>
                <w:color w:val="auto"/>
              </w:rPr>
            </w:pPr>
          </w:p>
        </w:tc>
        <w:tc>
          <w:tcPr>
            <w:tcW w:w="2320" w:type="dxa"/>
            <w:vAlign w:val="bottom"/>
            <w:gridSpan w:val="2"/>
            <w:shd w:val="clear" w:color="auto" w:fill="BF2115"/>
          </w:tcPr>
          <w:p>
            <w:pPr>
              <w:ind w:left="680"/>
              <w:spacing w:after="0"/>
              <w:rPr>
                <w:sz w:val="20"/>
                <w:szCs w:val="20"/>
                <w:color w:val="auto"/>
              </w:rPr>
            </w:pPr>
            <w:r>
              <w:rPr>
                <w:rFonts w:ascii="Arial" w:cs="Arial" w:eastAsia="Arial" w:hAnsi="Arial"/>
                <w:sz w:val="16"/>
                <w:szCs w:val="16"/>
                <w:b w:val="1"/>
                <w:bCs w:val="1"/>
                <w:color w:val="FFFFFF"/>
              </w:rPr>
              <w:t>Stock Awards</w:t>
            </w:r>
          </w:p>
        </w:tc>
        <w:tc>
          <w:tcPr>
            <w:tcW w:w="2300" w:type="dxa"/>
            <w:vAlign w:val="bottom"/>
            <w:gridSpan w:val="2"/>
            <w:shd w:val="clear" w:color="auto" w:fill="BF2115"/>
          </w:tcPr>
          <w:p>
            <w:pPr>
              <w:jc w:val="center"/>
              <w:spacing w:after="0"/>
              <w:rPr>
                <w:sz w:val="20"/>
                <w:szCs w:val="20"/>
                <w:color w:val="auto"/>
              </w:rPr>
            </w:pPr>
            <w:r>
              <w:rPr>
                <w:rFonts w:ascii="Arial" w:cs="Arial" w:eastAsia="Arial" w:hAnsi="Arial"/>
                <w:sz w:val="16"/>
                <w:szCs w:val="16"/>
                <w:b w:val="1"/>
                <w:bCs w:val="1"/>
                <w:color w:val="FFFFFF"/>
              </w:rPr>
              <w:t>LTIP / Performance Shares</w:t>
            </w:r>
          </w:p>
        </w:tc>
      </w:tr>
      <w:tr>
        <w:trPr>
          <w:trHeight w:val="173"/>
        </w:trPr>
        <w:tc>
          <w:tcPr>
            <w:tcW w:w="1620" w:type="dxa"/>
            <w:vAlign w:val="bottom"/>
            <w:shd w:val="clear" w:color="auto" w:fill="BF2115"/>
          </w:tcPr>
          <w:p>
            <w:pPr>
              <w:spacing w:after="0"/>
              <w:rPr>
                <w:sz w:val="15"/>
                <w:szCs w:val="15"/>
                <w:color w:val="auto"/>
              </w:rPr>
            </w:pPr>
          </w:p>
        </w:tc>
        <w:tc>
          <w:tcPr>
            <w:tcW w:w="1420" w:type="dxa"/>
            <w:vAlign w:val="bottom"/>
            <w:shd w:val="clear" w:color="auto" w:fill="BF2115"/>
          </w:tcPr>
          <w:p>
            <w:pPr>
              <w:spacing w:after="0"/>
              <w:rPr>
                <w:sz w:val="15"/>
                <w:szCs w:val="15"/>
                <w:color w:val="auto"/>
              </w:rPr>
            </w:pPr>
          </w:p>
        </w:tc>
        <w:tc>
          <w:tcPr>
            <w:tcW w:w="1400" w:type="dxa"/>
            <w:vAlign w:val="bottom"/>
            <w:shd w:val="clear" w:color="auto" w:fill="BF2115"/>
          </w:tcPr>
          <w:p>
            <w:pPr>
              <w:spacing w:after="0"/>
              <w:rPr>
                <w:sz w:val="15"/>
                <w:szCs w:val="15"/>
                <w:color w:val="auto"/>
              </w:rPr>
            </w:pPr>
          </w:p>
        </w:tc>
        <w:tc>
          <w:tcPr>
            <w:tcW w:w="960" w:type="dxa"/>
            <w:vAlign w:val="bottom"/>
            <w:shd w:val="clear" w:color="auto" w:fill="BF2115"/>
          </w:tcPr>
          <w:p>
            <w:pPr>
              <w:spacing w:after="0"/>
              <w:rPr>
                <w:sz w:val="15"/>
                <w:szCs w:val="15"/>
                <w:color w:val="auto"/>
              </w:rPr>
            </w:pPr>
          </w:p>
        </w:tc>
        <w:tc>
          <w:tcPr>
            <w:tcW w:w="1400" w:type="dxa"/>
            <w:vAlign w:val="bottom"/>
            <w:shd w:val="clear" w:color="auto" w:fill="BF2115"/>
          </w:tcPr>
          <w:p>
            <w:pPr>
              <w:spacing w:after="0"/>
              <w:rPr>
                <w:sz w:val="15"/>
                <w:szCs w:val="15"/>
                <w:color w:val="auto"/>
              </w:rPr>
            </w:pPr>
          </w:p>
        </w:tc>
        <w:tc>
          <w:tcPr>
            <w:tcW w:w="1240" w:type="dxa"/>
            <w:vAlign w:val="bottom"/>
            <w:shd w:val="clear" w:color="auto" w:fill="BF2115"/>
          </w:tcPr>
          <w:p>
            <w:pPr>
              <w:spacing w:after="0"/>
              <w:rPr>
                <w:sz w:val="15"/>
                <w:szCs w:val="15"/>
                <w:color w:val="auto"/>
              </w:rPr>
            </w:pPr>
          </w:p>
        </w:tc>
        <w:tc>
          <w:tcPr>
            <w:tcW w:w="1080" w:type="dxa"/>
            <w:vAlign w:val="bottom"/>
            <w:shd w:val="clear" w:color="auto" w:fill="BF2115"/>
          </w:tcPr>
          <w:p>
            <w:pPr>
              <w:spacing w:after="0"/>
              <w:rPr>
                <w:sz w:val="15"/>
                <w:szCs w:val="15"/>
                <w:color w:val="auto"/>
              </w:rPr>
            </w:pPr>
          </w:p>
        </w:tc>
        <w:tc>
          <w:tcPr>
            <w:tcW w:w="1160" w:type="dxa"/>
            <w:vAlign w:val="bottom"/>
            <w:shd w:val="clear" w:color="auto" w:fill="BF2115"/>
          </w:tcPr>
          <w:p>
            <w:pPr>
              <w:spacing w:after="0"/>
              <w:rPr>
                <w:sz w:val="15"/>
                <w:szCs w:val="15"/>
                <w:color w:val="auto"/>
              </w:rPr>
            </w:pPr>
          </w:p>
        </w:tc>
        <w:tc>
          <w:tcPr>
            <w:tcW w:w="1140" w:type="dxa"/>
            <w:vAlign w:val="bottom"/>
            <w:shd w:val="clear" w:color="auto" w:fill="BF2115"/>
          </w:tcPr>
          <w:p>
            <w:pPr>
              <w:jc w:val="center"/>
              <w:spacing w:after="0"/>
              <w:rPr>
                <w:sz w:val="20"/>
                <w:szCs w:val="20"/>
                <w:color w:val="auto"/>
              </w:rPr>
            </w:pPr>
            <w:r>
              <w:rPr>
                <w:rFonts w:ascii="Arial" w:cs="Arial" w:eastAsia="Arial" w:hAnsi="Arial"/>
                <w:sz w:val="13"/>
                <w:szCs w:val="13"/>
                <w:b w:val="1"/>
                <w:bCs w:val="1"/>
                <w:color w:val="FFFFFF"/>
                <w:w w:val="98"/>
              </w:rPr>
              <w:t>Equity Incentive</w:t>
            </w:r>
          </w:p>
        </w:tc>
      </w:tr>
      <w:tr>
        <w:trPr>
          <w:trHeight w:val="135"/>
        </w:trPr>
        <w:tc>
          <w:tcPr>
            <w:tcW w:w="1620" w:type="dxa"/>
            <w:vAlign w:val="bottom"/>
            <w:shd w:val="clear" w:color="auto" w:fill="BF2115"/>
          </w:tcPr>
          <w:p>
            <w:pPr>
              <w:spacing w:after="0"/>
              <w:rPr>
                <w:sz w:val="11"/>
                <w:szCs w:val="11"/>
                <w:color w:val="auto"/>
              </w:rPr>
            </w:pPr>
          </w:p>
        </w:tc>
        <w:tc>
          <w:tcPr>
            <w:tcW w:w="1420" w:type="dxa"/>
            <w:vAlign w:val="bottom"/>
            <w:shd w:val="clear" w:color="auto" w:fill="BF2115"/>
          </w:tcPr>
          <w:p>
            <w:pPr>
              <w:spacing w:after="0"/>
              <w:rPr>
                <w:sz w:val="11"/>
                <w:szCs w:val="11"/>
                <w:color w:val="auto"/>
              </w:rPr>
            </w:pPr>
          </w:p>
        </w:tc>
        <w:tc>
          <w:tcPr>
            <w:tcW w:w="1400" w:type="dxa"/>
            <w:vAlign w:val="bottom"/>
            <w:shd w:val="clear" w:color="auto" w:fill="BF2115"/>
          </w:tcPr>
          <w:p>
            <w:pPr>
              <w:spacing w:after="0"/>
              <w:rPr>
                <w:sz w:val="11"/>
                <w:szCs w:val="11"/>
                <w:color w:val="auto"/>
              </w:rPr>
            </w:pPr>
          </w:p>
        </w:tc>
        <w:tc>
          <w:tcPr>
            <w:tcW w:w="960" w:type="dxa"/>
            <w:vAlign w:val="bottom"/>
            <w:shd w:val="clear" w:color="auto" w:fill="BF2115"/>
          </w:tcPr>
          <w:p>
            <w:pPr>
              <w:spacing w:after="0"/>
              <w:rPr>
                <w:sz w:val="11"/>
                <w:szCs w:val="11"/>
                <w:color w:val="auto"/>
              </w:rPr>
            </w:pPr>
          </w:p>
        </w:tc>
        <w:tc>
          <w:tcPr>
            <w:tcW w:w="1400" w:type="dxa"/>
            <w:vAlign w:val="bottom"/>
            <w:shd w:val="clear" w:color="auto" w:fill="BF2115"/>
          </w:tcPr>
          <w:p>
            <w:pPr>
              <w:spacing w:after="0"/>
              <w:rPr>
                <w:sz w:val="11"/>
                <w:szCs w:val="11"/>
                <w:color w:val="auto"/>
              </w:rPr>
            </w:pPr>
          </w:p>
        </w:tc>
        <w:tc>
          <w:tcPr>
            <w:tcW w:w="1240" w:type="dxa"/>
            <w:vAlign w:val="bottom"/>
            <w:shd w:val="clear" w:color="auto" w:fill="BF2115"/>
          </w:tcPr>
          <w:p>
            <w:pPr>
              <w:spacing w:after="0"/>
              <w:rPr>
                <w:sz w:val="11"/>
                <w:szCs w:val="11"/>
                <w:color w:val="auto"/>
              </w:rPr>
            </w:pPr>
          </w:p>
        </w:tc>
        <w:tc>
          <w:tcPr>
            <w:tcW w:w="1080" w:type="dxa"/>
            <w:vAlign w:val="bottom"/>
            <w:shd w:val="clear" w:color="auto" w:fill="BF2115"/>
          </w:tcPr>
          <w:p>
            <w:pPr>
              <w:spacing w:after="0"/>
              <w:rPr>
                <w:sz w:val="11"/>
                <w:szCs w:val="11"/>
                <w:color w:val="auto"/>
              </w:rPr>
            </w:pPr>
          </w:p>
        </w:tc>
        <w:tc>
          <w:tcPr>
            <w:tcW w:w="1160" w:type="dxa"/>
            <w:vAlign w:val="bottom"/>
            <w:shd w:val="clear" w:color="auto" w:fill="BF2115"/>
          </w:tcPr>
          <w:p>
            <w:pPr>
              <w:jc w:val="center"/>
              <w:spacing w:after="0" w:line="135" w:lineRule="exact"/>
              <w:rPr>
                <w:sz w:val="20"/>
                <w:szCs w:val="20"/>
                <w:color w:val="auto"/>
              </w:rPr>
            </w:pPr>
            <w:r>
              <w:rPr>
                <w:rFonts w:ascii="Arial" w:cs="Arial" w:eastAsia="Arial" w:hAnsi="Arial"/>
                <w:sz w:val="13"/>
                <w:szCs w:val="13"/>
                <w:b w:val="1"/>
                <w:bCs w:val="1"/>
                <w:color w:val="FFFFFF"/>
                <w:w w:val="96"/>
              </w:rPr>
              <w:t>Equity Incentive</w:t>
            </w:r>
          </w:p>
        </w:tc>
        <w:tc>
          <w:tcPr>
            <w:tcW w:w="1140" w:type="dxa"/>
            <w:vAlign w:val="bottom"/>
            <w:shd w:val="clear" w:color="auto" w:fill="BF2115"/>
          </w:tcPr>
          <w:p>
            <w:pPr>
              <w:jc w:val="center"/>
              <w:spacing w:after="0" w:line="135" w:lineRule="exact"/>
              <w:rPr>
                <w:sz w:val="20"/>
                <w:szCs w:val="20"/>
                <w:color w:val="auto"/>
              </w:rPr>
            </w:pPr>
            <w:r>
              <w:rPr>
                <w:rFonts w:ascii="Arial" w:cs="Arial" w:eastAsia="Arial" w:hAnsi="Arial"/>
                <w:sz w:val="13"/>
                <w:szCs w:val="13"/>
                <w:b w:val="1"/>
                <w:bCs w:val="1"/>
                <w:color w:val="FFFFFF"/>
                <w:w w:val="97"/>
              </w:rPr>
              <w:t>Plan Awards:</w:t>
            </w:r>
          </w:p>
        </w:tc>
      </w:tr>
      <w:tr>
        <w:trPr>
          <w:trHeight w:val="135"/>
        </w:trPr>
        <w:tc>
          <w:tcPr>
            <w:tcW w:w="1620" w:type="dxa"/>
            <w:vAlign w:val="bottom"/>
            <w:shd w:val="clear" w:color="auto" w:fill="BF2115"/>
          </w:tcPr>
          <w:p>
            <w:pPr>
              <w:spacing w:after="0"/>
              <w:rPr>
                <w:sz w:val="11"/>
                <w:szCs w:val="11"/>
                <w:color w:val="auto"/>
              </w:rPr>
            </w:pPr>
          </w:p>
        </w:tc>
        <w:tc>
          <w:tcPr>
            <w:tcW w:w="1420" w:type="dxa"/>
            <w:vAlign w:val="bottom"/>
            <w:shd w:val="clear" w:color="auto" w:fill="BF2115"/>
          </w:tcPr>
          <w:p>
            <w:pPr>
              <w:jc w:val="center"/>
              <w:spacing w:after="0" w:line="135" w:lineRule="exact"/>
              <w:rPr>
                <w:sz w:val="20"/>
                <w:szCs w:val="20"/>
                <w:color w:val="auto"/>
              </w:rPr>
            </w:pPr>
            <w:r>
              <w:rPr>
                <w:rFonts w:ascii="Arial" w:cs="Arial" w:eastAsia="Arial" w:hAnsi="Arial"/>
                <w:sz w:val="13"/>
                <w:szCs w:val="13"/>
                <w:b w:val="1"/>
                <w:bCs w:val="1"/>
                <w:color w:val="FFFFFF"/>
                <w:w w:val="98"/>
              </w:rPr>
              <w:t>Number of</w:t>
            </w:r>
          </w:p>
        </w:tc>
        <w:tc>
          <w:tcPr>
            <w:tcW w:w="1400" w:type="dxa"/>
            <w:vAlign w:val="bottom"/>
            <w:shd w:val="clear" w:color="auto" w:fill="BF2115"/>
          </w:tcPr>
          <w:p>
            <w:pPr>
              <w:jc w:val="center"/>
              <w:ind w:left="36"/>
              <w:spacing w:after="0" w:line="135" w:lineRule="exact"/>
              <w:rPr>
                <w:sz w:val="20"/>
                <w:szCs w:val="20"/>
                <w:color w:val="auto"/>
              </w:rPr>
            </w:pPr>
            <w:r>
              <w:rPr>
                <w:rFonts w:ascii="Arial" w:cs="Arial" w:eastAsia="Arial" w:hAnsi="Arial"/>
                <w:sz w:val="13"/>
                <w:szCs w:val="13"/>
                <w:b w:val="1"/>
                <w:bCs w:val="1"/>
                <w:color w:val="FFFFFF"/>
                <w:w w:val="95"/>
              </w:rPr>
              <w:t>Number of</w:t>
            </w:r>
          </w:p>
        </w:tc>
        <w:tc>
          <w:tcPr>
            <w:tcW w:w="960" w:type="dxa"/>
            <w:vAlign w:val="bottom"/>
            <w:shd w:val="clear" w:color="auto" w:fill="BF2115"/>
          </w:tcPr>
          <w:p>
            <w:pPr>
              <w:spacing w:after="0"/>
              <w:rPr>
                <w:sz w:val="11"/>
                <w:szCs w:val="11"/>
                <w:color w:val="auto"/>
              </w:rPr>
            </w:pPr>
          </w:p>
        </w:tc>
        <w:tc>
          <w:tcPr>
            <w:tcW w:w="1400" w:type="dxa"/>
            <w:vAlign w:val="bottom"/>
            <w:shd w:val="clear" w:color="auto" w:fill="BF2115"/>
          </w:tcPr>
          <w:p>
            <w:pPr>
              <w:spacing w:after="0"/>
              <w:rPr>
                <w:sz w:val="11"/>
                <w:szCs w:val="11"/>
                <w:color w:val="auto"/>
              </w:rPr>
            </w:pPr>
          </w:p>
        </w:tc>
        <w:tc>
          <w:tcPr>
            <w:tcW w:w="1240" w:type="dxa"/>
            <w:vAlign w:val="bottom"/>
            <w:shd w:val="clear" w:color="auto" w:fill="BF2115"/>
          </w:tcPr>
          <w:p>
            <w:pPr>
              <w:spacing w:after="0"/>
              <w:rPr>
                <w:sz w:val="11"/>
                <w:szCs w:val="11"/>
                <w:color w:val="auto"/>
              </w:rPr>
            </w:pPr>
          </w:p>
        </w:tc>
        <w:tc>
          <w:tcPr>
            <w:tcW w:w="1080" w:type="dxa"/>
            <w:vAlign w:val="bottom"/>
            <w:shd w:val="clear" w:color="auto" w:fill="BF2115"/>
          </w:tcPr>
          <w:p>
            <w:pPr>
              <w:spacing w:after="0"/>
              <w:rPr>
                <w:sz w:val="11"/>
                <w:szCs w:val="11"/>
                <w:color w:val="auto"/>
              </w:rPr>
            </w:pPr>
          </w:p>
        </w:tc>
        <w:tc>
          <w:tcPr>
            <w:tcW w:w="1160" w:type="dxa"/>
            <w:vAlign w:val="bottom"/>
            <w:shd w:val="clear" w:color="auto" w:fill="BF2115"/>
          </w:tcPr>
          <w:p>
            <w:pPr>
              <w:jc w:val="center"/>
              <w:spacing w:after="0" w:line="135" w:lineRule="exact"/>
              <w:rPr>
                <w:sz w:val="20"/>
                <w:szCs w:val="20"/>
                <w:color w:val="auto"/>
              </w:rPr>
            </w:pPr>
            <w:r>
              <w:rPr>
                <w:rFonts w:ascii="Arial" w:cs="Arial" w:eastAsia="Arial" w:hAnsi="Arial"/>
                <w:sz w:val="13"/>
                <w:szCs w:val="13"/>
                <w:b w:val="1"/>
                <w:bCs w:val="1"/>
                <w:color w:val="FFFFFF"/>
                <w:w w:val="97"/>
              </w:rPr>
              <w:t>Plan Awards:</w:t>
            </w:r>
          </w:p>
        </w:tc>
        <w:tc>
          <w:tcPr>
            <w:tcW w:w="1140" w:type="dxa"/>
            <w:vAlign w:val="bottom"/>
            <w:shd w:val="clear" w:color="auto" w:fill="BF2115"/>
          </w:tcPr>
          <w:p>
            <w:pPr>
              <w:jc w:val="center"/>
              <w:spacing w:after="0" w:line="135" w:lineRule="exact"/>
              <w:rPr>
                <w:sz w:val="20"/>
                <w:szCs w:val="20"/>
                <w:color w:val="auto"/>
              </w:rPr>
            </w:pPr>
            <w:r>
              <w:rPr>
                <w:rFonts w:ascii="Arial" w:cs="Arial" w:eastAsia="Arial" w:hAnsi="Arial"/>
                <w:sz w:val="13"/>
                <w:szCs w:val="13"/>
                <w:b w:val="1"/>
                <w:bCs w:val="1"/>
                <w:color w:val="FFFFFF"/>
                <w:w w:val="96"/>
              </w:rPr>
              <w:t>Market or Payout</w:t>
            </w:r>
          </w:p>
        </w:tc>
      </w:tr>
      <w:tr>
        <w:trPr>
          <w:trHeight w:val="135"/>
        </w:trPr>
        <w:tc>
          <w:tcPr>
            <w:tcW w:w="1620" w:type="dxa"/>
            <w:vAlign w:val="bottom"/>
            <w:shd w:val="clear" w:color="auto" w:fill="BF2115"/>
          </w:tcPr>
          <w:p>
            <w:pPr>
              <w:spacing w:after="0"/>
              <w:rPr>
                <w:sz w:val="11"/>
                <w:szCs w:val="11"/>
                <w:color w:val="auto"/>
              </w:rPr>
            </w:pPr>
          </w:p>
        </w:tc>
        <w:tc>
          <w:tcPr>
            <w:tcW w:w="1420" w:type="dxa"/>
            <w:vAlign w:val="bottom"/>
            <w:shd w:val="clear" w:color="auto" w:fill="BF2115"/>
          </w:tcPr>
          <w:p>
            <w:pPr>
              <w:jc w:val="center"/>
              <w:spacing w:after="0" w:line="135" w:lineRule="exact"/>
              <w:rPr>
                <w:sz w:val="20"/>
                <w:szCs w:val="20"/>
                <w:color w:val="auto"/>
              </w:rPr>
            </w:pPr>
            <w:r>
              <w:rPr>
                <w:rFonts w:ascii="Arial" w:cs="Arial" w:eastAsia="Arial" w:hAnsi="Arial"/>
                <w:sz w:val="13"/>
                <w:szCs w:val="13"/>
                <w:b w:val="1"/>
                <w:bCs w:val="1"/>
                <w:color w:val="FFFFFF"/>
                <w:w w:val="96"/>
              </w:rPr>
              <w:t>Securities</w:t>
            </w:r>
          </w:p>
        </w:tc>
        <w:tc>
          <w:tcPr>
            <w:tcW w:w="1400" w:type="dxa"/>
            <w:vAlign w:val="bottom"/>
            <w:shd w:val="clear" w:color="auto" w:fill="BF2115"/>
          </w:tcPr>
          <w:p>
            <w:pPr>
              <w:jc w:val="center"/>
              <w:ind w:left="36"/>
              <w:spacing w:after="0" w:line="135" w:lineRule="exact"/>
              <w:rPr>
                <w:sz w:val="20"/>
                <w:szCs w:val="20"/>
                <w:color w:val="auto"/>
              </w:rPr>
            </w:pPr>
            <w:r>
              <w:rPr>
                <w:rFonts w:ascii="Arial" w:cs="Arial" w:eastAsia="Arial" w:hAnsi="Arial"/>
                <w:sz w:val="13"/>
                <w:szCs w:val="13"/>
                <w:b w:val="1"/>
                <w:bCs w:val="1"/>
                <w:color w:val="FFFFFF"/>
                <w:w w:val="99"/>
              </w:rPr>
              <w:t>Securities</w:t>
            </w:r>
          </w:p>
        </w:tc>
        <w:tc>
          <w:tcPr>
            <w:tcW w:w="960" w:type="dxa"/>
            <w:vAlign w:val="bottom"/>
            <w:shd w:val="clear" w:color="auto" w:fill="BF2115"/>
          </w:tcPr>
          <w:p>
            <w:pPr>
              <w:spacing w:after="0"/>
              <w:rPr>
                <w:sz w:val="11"/>
                <w:szCs w:val="11"/>
                <w:color w:val="auto"/>
              </w:rPr>
            </w:pPr>
          </w:p>
        </w:tc>
        <w:tc>
          <w:tcPr>
            <w:tcW w:w="1400" w:type="dxa"/>
            <w:vAlign w:val="bottom"/>
            <w:shd w:val="clear" w:color="auto" w:fill="BF2115"/>
          </w:tcPr>
          <w:p>
            <w:pPr>
              <w:spacing w:after="0"/>
              <w:rPr>
                <w:sz w:val="11"/>
                <w:szCs w:val="11"/>
                <w:color w:val="auto"/>
              </w:rPr>
            </w:pPr>
          </w:p>
        </w:tc>
        <w:tc>
          <w:tcPr>
            <w:tcW w:w="1240" w:type="dxa"/>
            <w:vAlign w:val="bottom"/>
            <w:shd w:val="clear" w:color="auto" w:fill="BF2115"/>
          </w:tcPr>
          <w:p>
            <w:pPr>
              <w:jc w:val="center"/>
              <w:spacing w:after="0" w:line="135" w:lineRule="exact"/>
              <w:rPr>
                <w:sz w:val="20"/>
                <w:szCs w:val="20"/>
                <w:color w:val="auto"/>
              </w:rPr>
            </w:pPr>
            <w:r>
              <w:rPr>
                <w:rFonts w:ascii="Arial" w:cs="Arial" w:eastAsia="Arial" w:hAnsi="Arial"/>
                <w:sz w:val="13"/>
                <w:szCs w:val="13"/>
                <w:b w:val="1"/>
                <w:bCs w:val="1"/>
                <w:color w:val="FFFFFF"/>
                <w:w w:val="95"/>
              </w:rPr>
              <w:t>Number of</w:t>
            </w:r>
          </w:p>
        </w:tc>
        <w:tc>
          <w:tcPr>
            <w:tcW w:w="1080" w:type="dxa"/>
            <w:vAlign w:val="bottom"/>
            <w:shd w:val="clear" w:color="auto" w:fill="BF2115"/>
          </w:tcPr>
          <w:p>
            <w:pPr>
              <w:jc w:val="center"/>
              <w:spacing w:after="0" w:line="135" w:lineRule="exact"/>
              <w:rPr>
                <w:sz w:val="20"/>
                <w:szCs w:val="20"/>
                <w:color w:val="auto"/>
              </w:rPr>
            </w:pPr>
            <w:r>
              <w:rPr>
                <w:rFonts w:ascii="Arial" w:cs="Arial" w:eastAsia="Arial" w:hAnsi="Arial"/>
                <w:sz w:val="13"/>
                <w:szCs w:val="13"/>
                <w:b w:val="1"/>
                <w:bCs w:val="1"/>
                <w:color w:val="FFFFFF"/>
                <w:w w:val="95"/>
              </w:rPr>
              <w:t>Market Value of</w:t>
            </w:r>
          </w:p>
        </w:tc>
        <w:tc>
          <w:tcPr>
            <w:tcW w:w="1160" w:type="dxa"/>
            <w:vAlign w:val="bottom"/>
            <w:shd w:val="clear" w:color="auto" w:fill="BF2115"/>
          </w:tcPr>
          <w:p>
            <w:pPr>
              <w:jc w:val="center"/>
              <w:spacing w:after="0" w:line="135" w:lineRule="exact"/>
              <w:rPr>
                <w:sz w:val="20"/>
                <w:szCs w:val="20"/>
                <w:color w:val="auto"/>
              </w:rPr>
            </w:pPr>
            <w:r>
              <w:rPr>
                <w:rFonts w:ascii="Arial" w:cs="Arial" w:eastAsia="Arial" w:hAnsi="Arial"/>
                <w:sz w:val="13"/>
                <w:szCs w:val="13"/>
                <w:b w:val="1"/>
                <w:bCs w:val="1"/>
                <w:color w:val="FFFFFF"/>
                <w:w w:val="98"/>
              </w:rPr>
              <w:t>Number of</w:t>
            </w:r>
          </w:p>
        </w:tc>
        <w:tc>
          <w:tcPr>
            <w:tcW w:w="1140" w:type="dxa"/>
            <w:vAlign w:val="bottom"/>
            <w:shd w:val="clear" w:color="auto" w:fill="BF2115"/>
          </w:tcPr>
          <w:p>
            <w:pPr>
              <w:jc w:val="center"/>
              <w:spacing w:after="0" w:line="135" w:lineRule="exact"/>
              <w:rPr>
                <w:sz w:val="20"/>
                <w:szCs w:val="20"/>
                <w:color w:val="auto"/>
              </w:rPr>
            </w:pPr>
            <w:r>
              <w:rPr>
                <w:rFonts w:ascii="Arial" w:cs="Arial" w:eastAsia="Arial" w:hAnsi="Arial"/>
                <w:sz w:val="13"/>
                <w:szCs w:val="13"/>
                <w:b w:val="1"/>
                <w:bCs w:val="1"/>
                <w:color w:val="FFFFFF"/>
                <w:w w:val="94"/>
              </w:rPr>
              <w:t>Value of</w:t>
            </w:r>
          </w:p>
        </w:tc>
      </w:tr>
      <w:tr>
        <w:trPr>
          <w:trHeight w:val="135"/>
        </w:trPr>
        <w:tc>
          <w:tcPr>
            <w:tcW w:w="1620" w:type="dxa"/>
            <w:vAlign w:val="bottom"/>
            <w:shd w:val="clear" w:color="auto" w:fill="BF2115"/>
          </w:tcPr>
          <w:p>
            <w:pPr>
              <w:spacing w:after="0"/>
              <w:rPr>
                <w:sz w:val="11"/>
                <w:szCs w:val="11"/>
                <w:color w:val="auto"/>
              </w:rPr>
            </w:pPr>
          </w:p>
        </w:tc>
        <w:tc>
          <w:tcPr>
            <w:tcW w:w="1420" w:type="dxa"/>
            <w:vAlign w:val="bottom"/>
            <w:shd w:val="clear" w:color="auto" w:fill="BF2115"/>
          </w:tcPr>
          <w:p>
            <w:pPr>
              <w:jc w:val="center"/>
              <w:spacing w:after="0" w:line="135" w:lineRule="exact"/>
              <w:rPr>
                <w:sz w:val="20"/>
                <w:szCs w:val="20"/>
                <w:color w:val="auto"/>
              </w:rPr>
            </w:pPr>
            <w:r>
              <w:rPr>
                <w:rFonts w:ascii="Arial" w:cs="Arial" w:eastAsia="Arial" w:hAnsi="Arial"/>
                <w:sz w:val="13"/>
                <w:szCs w:val="13"/>
                <w:b w:val="1"/>
                <w:bCs w:val="1"/>
                <w:color w:val="FFFFFF"/>
                <w:w w:val="97"/>
              </w:rPr>
              <w:t>Underlying</w:t>
            </w:r>
          </w:p>
        </w:tc>
        <w:tc>
          <w:tcPr>
            <w:tcW w:w="1400" w:type="dxa"/>
            <w:vAlign w:val="bottom"/>
            <w:shd w:val="clear" w:color="auto" w:fill="BF2115"/>
          </w:tcPr>
          <w:p>
            <w:pPr>
              <w:jc w:val="center"/>
              <w:ind w:left="36"/>
              <w:spacing w:after="0" w:line="135" w:lineRule="exact"/>
              <w:rPr>
                <w:sz w:val="20"/>
                <w:szCs w:val="20"/>
                <w:color w:val="auto"/>
              </w:rPr>
            </w:pPr>
            <w:r>
              <w:rPr>
                <w:rFonts w:ascii="Arial" w:cs="Arial" w:eastAsia="Arial" w:hAnsi="Arial"/>
                <w:sz w:val="13"/>
                <w:szCs w:val="13"/>
                <w:b w:val="1"/>
                <w:bCs w:val="1"/>
                <w:color w:val="FFFFFF"/>
                <w:w w:val="97"/>
              </w:rPr>
              <w:t>Underlying</w:t>
            </w:r>
          </w:p>
        </w:tc>
        <w:tc>
          <w:tcPr>
            <w:tcW w:w="960" w:type="dxa"/>
            <w:vAlign w:val="bottom"/>
            <w:shd w:val="clear" w:color="auto" w:fill="BF2115"/>
          </w:tcPr>
          <w:p>
            <w:pPr>
              <w:spacing w:after="0"/>
              <w:rPr>
                <w:sz w:val="11"/>
                <w:szCs w:val="11"/>
                <w:color w:val="auto"/>
              </w:rPr>
            </w:pPr>
          </w:p>
        </w:tc>
        <w:tc>
          <w:tcPr>
            <w:tcW w:w="1400" w:type="dxa"/>
            <w:vAlign w:val="bottom"/>
            <w:shd w:val="clear" w:color="auto" w:fill="BF2115"/>
          </w:tcPr>
          <w:p>
            <w:pPr>
              <w:spacing w:after="0"/>
              <w:rPr>
                <w:sz w:val="11"/>
                <w:szCs w:val="11"/>
                <w:color w:val="auto"/>
              </w:rPr>
            </w:pPr>
          </w:p>
        </w:tc>
        <w:tc>
          <w:tcPr>
            <w:tcW w:w="1240" w:type="dxa"/>
            <w:vAlign w:val="bottom"/>
            <w:shd w:val="clear" w:color="auto" w:fill="BF2115"/>
          </w:tcPr>
          <w:p>
            <w:pPr>
              <w:jc w:val="center"/>
              <w:spacing w:after="0" w:line="135" w:lineRule="exact"/>
              <w:rPr>
                <w:sz w:val="20"/>
                <w:szCs w:val="20"/>
                <w:color w:val="auto"/>
              </w:rPr>
            </w:pPr>
            <w:r>
              <w:rPr>
                <w:rFonts w:ascii="Arial" w:cs="Arial" w:eastAsia="Arial" w:hAnsi="Arial"/>
                <w:sz w:val="13"/>
                <w:szCs w:val="13"/>
                <w:b w:val="1"/>
                <w:bCs w:val="1"/>
                <w:color w:val="FFFFFF"/>
                <w:w w:val="96"/>
              </w:rPr>
              <w:t>Shares</w:t>
            </w:r>
          </w:p>
        </w:tc>
        <w:tc>
          <w:tcPr>
            <w:tcW w:w="1080" w:type="dxa"/>
            <w:vAlign w:val="bottom"/>
            <w:shd w:val="clear" w:color="auto" w:fill="BF2115"/>
          </w:tcPr>
          <w:p>
            <w:pPr>
              <w:jc w:val="center"/>
              <w:spacing w:after="0" w:line="135" w:lineRule="exact"/>
              <w:rPr>
                <w:sz w:val="20"/>
                <w:szCs w:val="20"/>
                <w:color w:val="auto"/>
              </w:rPr>
            </w:pPr>
            <w:r>
              <w:rPr>
                <w:rFonts w:ascii="Arial" w:cs="Arial" w:eastAsia="Arial" w:hAnsi="Arial"/>
                <w:sz w:val="13"/>
                <w:szCs w:val="13"/>
                <w:b w:val="1"/>
                <w:bCs w:val="1"/>
                <w:color w:val="FFFFFF"/>
                <w:w w:val="95"/>
              </w:rPr>
              <w:t>Shares or Units</w:t>
            </w:r>
          </w:p>
        </w:tc>
        <w:tc>
          <w:tcPr>
            <w:tcW w:w="2300" w:type="dxa"/>
            <w:vAlign w:val="bottom"/>
            <w:gridSpan w:val="2"/>
            <w:shd w:val="clear" w:color="auto" w:fill="BF2115"/>
          </w:tcPr>
          <w:p>
            <w:pPr>
              <w:jc w:val="center"/>
              <w:spacing w:after="0" w:line="135" w:lineRule="exact"/>
              <w:rPr>
                <w:sz w:val="20"/>
                <w:szCs w:val="20"/>
                <w:color w:val="auto"/>
              </w:rPr>
            </w:pPr>
            <w:r>
              <w:rPr>
                <w:rFonts w:ascii="Arial" w:cs="Arial" w:eastAsia="Arial" w:hAnsi="Arial"/>
                <w:sz w:val="13"/>
                <w:szCs w:val="13"/>
                <w:b w:val="1"/>
                <w:bCs w:val="1"/>
                <w:color w:val="FFFFFF"/>
                <w:w w:val="97"/>
              </w:rPr>
              <w:t>Unearned Shares, Unearned Shares,</w:t>
            </w:r>
          </w:p>
        </w:tc>
      </w:tr>
      <w:tr>
        <w:trPr>
          <w:trHeight w:val="135"/>
        </w:trPr>
        <w:tc>
          <w:tcPr>
            <w:tcW w:w="1620" w:type="dxa"/>
            <w:vAlign w:val="bottom"/>
            <w:shd w:val="clear" w:color="auto" w:fill="BF2115"/>
          </w:tcPr>
          <w:p>
            <w:pPr>
              <w:spacing w:after="0"/>
              <w:rPr>
                <w:sz w:val="11"/>
                <w:szCs w:val="11"/>
                <w:color w:val="auto"/>
              </w:rPr>
            </w:pPr>
          </w:p>
        </w:tc>
        <w:tc>
          <w:tcPr>
            <w:tcW w:w="1420" w:type="dxa"/>
            <w:vAlign w:val="bottom"/>
            <w:shd w:val="clear" w:color="auto" w:fill="BF2115"/>
          </w:tcPr>
          <w:p>
            <w:pPr>
              <w:jc w:val="center"/>
              <w:spacing w:after="0" w:line="135" w:lineRule="exact"/>
              <w:rPr>
                <w:sz w:val="20"/>
                <w:szCs w:val="20"/>
                <w:color w:val="auto"/>
              </w:rPr>
            </w:pPr>
            <w:r>
              <w:rPr>
                <w:rFonts w:ascii="Arial" w:cs="Arial" w:eastAsia="Arial" w:hAnsi="Arial"/>
                <w:sz w:val="13"/>
                <w:szCs w:val="13"/>
                <w:b w:val="1"/>
                <w:bCs w:val="1"/>
                <w:color w:val="FFFFFF"/>
                <w:w w:val="98"/>
              </w:rPr>
              <w:t>Unexercised</w:t>
            </w:r>
          </w:p>
        </w:tc>
        <w:tc>
          <w:tcPr>
            <w:tcW w:w="1400" w:type="dxa"/>
            <w:vAlign w:val="bottom"/>
            <w:shd w:val="clear" w:color="auto" w:fill="BF2115"/>
          </w:tcPr>
          <w:p>
            <w:pPr>
              <w:jc w:val="center"/>
              <w:ind w:left="36"/>
              <w:spacing w:after="0" w:line="135" w:lineRule="exact"/>
              <w:rPr>
                <w:sz w:val="20"/>
                <w:szCs w:val="20"/>
                <w:color w:val="auto"/>
              </w:rPr>
            </w:pPr>
            <w:r>
              <w:rPr>
                <w:rFonts w:ascii="Arial" w:cs="Arial" w:eastAsia="Arial" w:hAnsi="Arial"/>
                <w:sz w:val="13"/>
                <w:szCs w:val="13"/>
                <w:b w:val="1"/>
                <w:bCs w:val="1"/>
                <w:color w:val="FFFFFF"/>
                <w:w w:val="95"/>
              </w:rPr>
              <w:t>Unexercised</w:t>
            </w:r>
          </w:p>
        </w:tc>
        <w:tc>
          <w:tcPr>
            <w:tcW w:w="960" w:type="dxa"/>
            <w:vAlign w:val="bottom"/>
            <w:shd w:val="clear" w:color="auto" w:fill="BF2115"/>
          </w:tcPr>
          <w:p>
            <w:pPr>
              <w:jc w:val="center"/>
              <w:spacing w:after="0" w:line="135" w:lineRule="exact"/>
              <w:rPr>
                <w:sz w:val="20"/>
                <w:szCs w:val="20"/>
                <w:color w:val="auto"/>
              </w:rPr>
            </w:pPr>
            <w:r>
              <w:rPr>
                <w:rFonts w:ascii="Arial" w:cs="Arial" w:eastAsia="Arial" w:hAnsi="Arial"/>
                <w:sz w:val="13"/>
                <w:szCs w:val="13"/>
                <w:b w:val="1"/>
                <w:bCs w:val="1"/>
                <w:color w:val="FFFFFF"/>
                <w:w w:val="95"/>
              </w:rPr>
              <w:t>Option</w:t>
            </w:r>
          </w:p>
        </w:tc>
        <w:tc>
          <w:tcPr>
            <w:tcW w:w="1400" w:type="dxa"/>
            <w:vAlign w:val="bottom"/>
            <w:shd w:val="clear" w:color="auto" w:fill="BF2115"/>
          </w:tcPr>
          <w:p>
            <w:pPr>
              <w:spacing w:after="0"/>
              <w:rPr>
                <w:sz w:val="11"/>
                <w:szCs w:val="11"/>
                <w:color w:val="auto"/>
              </w:rPr>
            </w:pPr>
          </w:p>
        </w:tc>
        <w:tc>
          <w:tcPr>
            <w:tcW w:w="1240" w:type="dxa"/>
            <w:vAlign w:val="bottom"/>
            <w:shd w:val="clear" w:color="auto" w:fill="BF2115"/>
          </w:tcPr>
          <w:p>
            <w:pPr>
              <w:jc w:val="center"/>
              <w:spacing w:after="0" w:line="135" w:lineRule="exact"/>
              <w:rPr>
                <w:sz w:val="20"/>
                <w:szCs w:val="20"/>
                <w:color w:val="auto"/>
              </w:rPr>
            </w:pPr>
            <w:r>
              <w:rPr>
                <w:rFonts w:ascii="Arial" w:cs="Arial" w:eastAsia="Arial" w:hAnsi="Arial"/>
                <w:sz w:val="13"/>
                <w:szCs w:val="13"/>
                <w:b w:val="1"/>
                <w:bCs w:val="1"/>
                <w:color w:val="FFFFFF"/>
                <w:w w:val="98"/>
              </w:rPr>
              <w:t>or Units of Stock</w:t>
            </w:r>
          </w:p>
        </w:tc>
        <w:tc>
          <w:tcPr>
            <w:tcW w:w="1080" w:type="dxa"/>
            <w:vAlign w:val="bottom"/>
            <w:shd w:val="clear" w:color="auto" w:fill="BF2115"/>
          </w:tcPr>
          <w:p>
            <w:pPr>
              <w:jc w:val="center"/>
              <w:spacing w:after="0" w:line="135" w:lineRule="exact"/>
              <w:rPr>
                <w:sz w:val="20"/>
                <w:szCs w:val="20"/>
                <w:color w:val="auto"/>
              </w:rPr>
            </w:pPr>
            <w:r>
              <w:rPr>
                <w:rFonts w:ascii="Arial" w:cs="Arial" w:eastAsia="Arial" w:hAnsi="Arial"/>
                <w:sz w:val="13"/>
                <w:szCs w:val="13"/>
                <w:b w:val="1"/>
                <w:bCs w:val="1"/>
                <w:color w:val="FFFFFF"/>
                <w:w w:val="97"/>
              </w:rPr>
              <w:t>of Stock That</w:t>
            </w:r>
          </w:p>
        </w:tc>
        <w:tc>
          <w:tcPr>
            <w:tcW w:w="1160" w:type="dxa"/>
            <w:vAlign w:val="bottom"/>
            <w:shd w:val="clear" w:color="auto" w:fill="BF2115"/>
          </w:tcPr>
          <w:p>
            <w:pPr>
              <w:jc w:val="center"/>
              <w:spacing w:after="0" w:line="135" w:lineRule="exact"/>
              <w:rPr>
                <w:sz w:val="20"/>
                <w:szCs w:val="20"/>
                <w:color w:val="auto"/>
              </w:rPr>
            </w:pPr>
            <w:r>
              <w:rPr>
                <w:rFonts w:ascii="Arial" w:cs="Arial" w:eastAsia="Arial" w:hAnsi="Arial"/>
                <w:sz w:val="13"/>
                <w:szCs w:val="13"/>
                <w:b w:val="1"/>
                <w:bCs w:val="1"/>
                <w:color w:val="FFFFFF"/>
                <w:w w:val="96"/>
              </w:rPr>
              <w:t>Units or Other</w:t>
            </w:r>
          </w:p>
        </w:tc>
        <w:tc>
          <w:tcPr>
            <w:tcW w:w="1140" w:type="dxa"/>
            <w:vAlign w:val="bottom"/>
            <w:shd w:val="clear" w:color="auto" w:fill="BF2115"/>
          </w:tcPr>
          <w:p>
            <w:pPr>
              <w:jc w:val="center"/>
              <w:spacing w:after="0" w:line="135" w:lineRule="exact"/>
              <w:rPr>
                <w:sz w:val="20"/>
                <w:szCs w:val="20"/>
                <w:color w:val="auto"/>
              </w:rPr>
            </w:pPr>
            <w:r>
              <w:rPr>
                <w:rFonts w:ascii="Arial" w:cs="Arial" w:eastAsia="Arial" w:hAnsi="Arial"/>
                <w:sz w:val="13"/>
                <w:szCs w:val="13"/>
                <w:b w:val="1"/>
                <w:bCs w:val="1"/>
                <w:color w:val="FFFFFF"/>
                <w:w w:val="98"/>
              </w:rPr>
              <w:t>Units or Other</w:t>
            </w:r>
          </w:p>
        </w:tc>
      </w:tr>
      <w:tr>
        <w:trPr>
          <w:trHeight w:val="135"/>
        </w:trPr>
        <w:tc>
          <w:tcPr>
            <w:tcW w:w="1620" w:type="dxa"/>
            <w:vAlign w:val="bottom"/>
            <w:shd w:val="clear" w:color="auto" w:fill="BF2115"/>
          </w:tcPr>
          <w:p>
            <w:pPr>
              <w:spacing w:after="0"/>
              <w:rPr>
                <w:sz w:val="11"/>
                <w:szCs w:val="11"/>
                <w:color w:val="auto"/>
              </w:rPr>
            </w:pPr>
          </w:p>
        </w:tc>
        <w:tc>
          <w:tcPr>
            <w:tcW w:w="1420" w:type="dxa"/>
            <w:vAlign w:val="bottom"/>
            <w:shd w:val="clear" w:color="auto" w:fill="BF2115"/>
          </w:tcPr>
          <w:p>
            <w:pPr>
              <w:jc w:val="center"/>
              <w:spacing w:after="0" w:line="135" w:lineRule="exact"/>
              <w:rPr>
                <w:sz w:val="20"/>
                <w:szCs w:val="20"/>
                <w:color w:val="auto"/>
              </w:rPr>
            </w:pPr>
            <w:r>
              <w:rPr>
                <w:rFonts w:ascii="Arial" w:cs="Arial" w:eastAsia="Arial" w:hAnsi="Arial"/>
                <w:sz w:val="13"/>
                <w:szCs w:val="13"/>
                <w:b w:val="1"/>
                <w:bCs w:val="1"/>
                <w:color w:val="FFFFFF"/>
                <w:w w:val="99"/>
              </w:rPr>
              <w:t>Options (#)</w:t>
            </w:r>
          </w:p>
        </w:tc>
        <w:tc>
          <w:tcPr>
            <w:tcW w:w="1400" w:type="dxa"/>
            <w:vAlign w:val="bottom"/>
            <w:shd w:val="clear" w:color="auto" w:fill="BF2115"/>
          </w:tcPr>
          <w:p>
            <w:pPr>
              <w:jc w:val="center"/>
              <w:ind w:left="36"/>
              <w:spacing w:after="0" w:line="135" w:lineRule="exact"/>
              <w:rPr>
                <w:sz w:val="20"/>
                <w:szCs w:val="20"/>
                <w:color w:val="auto"/>
              </w:rPr>
            </w:pPr>
            <w:r>
              <w:rPr>
                <w:rFonts w:ascii="Arial" w:cs="Arial" w:eastAsia="Arial" w:hAnsi="Arial"/>
                <w:sz w:val="13"/>
                <w:szCs w:val="13"/>
                <w:b w:val="1"/>
                <w:bCs w:val="1"/>
                <w:color w:val="FFFFFF"/>
                <w:w w:val="96"/>
              </w:rPr>
              <w:t>Options (#)</w:t>
            </w:r>
          </w:p>
        </w:tc>
        <w:tc>
          <w:tcPr>
            <w:tcW w:w="960" w:type="dxa"/>
            <w:vAlign w:val="bottom"/>
            <w:shd w:val="clear" w:color="auto" w:fill="BF2115"/>
          </w:tcPr>
          <w:p>
            <w:pPr>
              <w:jc w:val="center"/>
              <w:spacing w:after="0" w:line="135" w:lineRule="exact"/>
              <w:rPr>
                <w:sz w:val="20"/>
                <w:szCs w:val="20"/>
                <w:color w:val="auto"/>
              </w:rPr>
            </w:pPr>
            <w:r>
              <w:rPr>
                <w:rFonts w:ascii="Arial" w:cs="Arial" w:eastAsia="Arial" w:hAnsi="Arial"/>
                <w:sz w:val="13"/>
                <w:szCs w:val="13"/>
                <w:b w:val="1"/>
                <w:bCs w:val="1"/>
                <w:color w:val="FFFFFF"/>
                <w:w w:val="97"/>
              </w:rPr>
              <w:t>Exercise</w:t>
            </w:r>
          </w:p>
        </w:tc>
        <w:tc>
          <w:tcPr>
            <w:tcW w:w="1400" w:type="dxa"/>
            <w:vAlign w:val="bottom"/>
            <w:shd w:val="clear" w:color="auto" w:fill="BF2115"/>
          </w:tcPr>
          <w:p>
            <w:pPr>
              <w:jc w:val="center"/>
              <w:ind w:left="17"/>
              <w:spacing w:after="0" w:line="135" w:lineRule="exact"/>
              <w:rPr>
                <w:sz w:val="20"/>
                <w:szCs w:val="20"/>
                <w:color w:val="auto"/>
              </w:rPr>
            </w:pPr>
            <w:r>
              <w:rPr>
                <w:rFonts w:ascii="Arial" w:cs="Arial" w:eastAsia="Arial" w:hAnsi="Arial"/>
                <w:sz w:val="13"/>
                <w:szCs w:val="13"/>
                <w:b w:val="1"/>
                <w:bCs w:val="1"/>
                <w:color w:val="FFFFFF"/>
                <w:w w:val="95"/>
              </w:rPr>
              <w:t>Option Expiration</w:t>
            </w:r>
          </w:p>
        </w:tc>
        <w:tc>
          <w:tcPr>
            <w:tcW w:w="1240" w:type="dxa"/>
            <w:vAlign w:val="bottom"/>
            <w:shd w:val="clear" w:color="auto" w:fill="BF2115"/>
          </w:tcPr>
          <w:p>
            <w:pPr>
              <w:jc w:val="center"/>
              <w:spacing w:after="0" w:line="135" w:lineRule="exact"/>
              <w:rPr>
                <w:sz w:val="20"/>
                <w:szCs w:val="20"/>
                <w:color w:val="auto"/>
              </w:rPr>
            </w:pPr>
            <w:r>
              <w:rPr>
                <w:rFonts w:ascii="Arial" w:cs="Arial" w:eastAsia="Arial" w:hAnsi="Arial"/>
                <w:sz w:val="13"/>
                <w:szCs w:val="13"/>
                <w:b w:val="1"/>
                <w:bCs w:val="1"/>
                <w:color w:val="FFFFFF"/>
                <w:w w:val="98"/>
              </w:rPr>
              <w:t>That Have Not</w:t>
            </w:r>
          </w:p>
        </w:tc>
        <w:tc>
          <w:tcPr>
            <w:tcW w:w="1080" w:type="dxa"/>
            <w:vAlign w:val="bottom"/>
            <w:shd w:val="clear" w:color="auto" w:fill="BF2115"/>
          </w:tcPr>
          <w:p>
            <w:pPr>
              <w:jc w:val="center"/>
              <w:spacing w:after="0" w:line="135" w:lineRule="exact"/>
              <w:rPr>
                <w:sz w:val="20"/>
                <w:szCs w:val="20"/>
                <w:color w:val="auto"/>
              </w:rPr>
            </w:pPr>
            <w:r>
              <w:rPr>
                <w:rFonts w:ascii="Arial" w:cs="Arial" w:eastAsia="Arial" w:hAnsi="Arial"/>
                <w:sz w:val="13"/>
                <w:szCs w:val="13"/>
                <w:b w:val="1"/>
                <w:bCs w:val="1"/>
                <w:color w:val="FFFFFF"/>
                <w:w w:val="95"/>
              </w:rPr>
              <w:t>Have Not</w:t>
            </w:r>
          </w:p>
        </w:tc>
        <w:tc>
          <w:tcPr>
            <w:tcW w:w="1160" w:type="dxa"/>
            <w:vAlign w:val="bottom"/>
            <w:shd w:val="clear" w:color="auto" w:fill="BF2115"/>
          </w:tcPr>
          <w:p>
            <w:pPr>
              <w:jc w:val="center"/>
              <w:spacing w:after="0" w:line="135" w:lineRule="exact"/>
              <w:rPr>
                <w:sz w:val="20"/>
                <w:szCs w:val="20"/>
                <w:color w:val="auto"/>
              </w:rPr>
            </w:pPr>
            <w:r>
              <w:rPr>
                <w:rFonts w:ascii="Arial" w:cs="Arial" w:eastAsia="Arial" w:hAnsi="Arial"/>
                <w:sz w:val="13"/>
                <w:szCs w:val="13"/>
                <w:b w:val="1"/>
                <w:bCs w:val="1"/>
                <w:color w:val="FFFFFF"/>
                <w:w w:val="97"/>
              </w:rPr>
              <w:t>Rights That Have</w:t>
            </w:r>
          </w:p>
        </w:tc>
        <w:tc>
          <w:tcPr>
            <w:tcW w:w="1140" w:type="dxa"/>
            <w:vAlign w:val="bottom"/>
            <w:shd w:val="clear" w:color="auto" w:fill="BF2115"/>
          </w:tcPr>
          <w:p>
            <w:pPr>
              <w:jc w:val="center"/>
              <w:spacing w:after="0" w:line="135" w:lineRule="exact"/>
              <w:rPr>
                <w:sz w:val="20"/>
                <w:szCs w:val="20"/>
                <w:color w:val="auto"/>
              </w:rPr>
            </w:pPr>
            <w:r>
              <w:rPr>
                <w:rFonts w:ascii="Arial" w:cs="Arial" w:eastAsia="Arial" w:hAnsi="Arial"/>
                <w:sz w:val="13"/>
                <w:szCs w:val="13"/>
                <w:b w:val="1"/>
                <w:bCs w:val="1"/>
                <w:color w:val="FFFFFF"/>
                <w:w w:val="96"/>
              </w:rPr>
              <w:t>Rights That Have</w:t>
            </w:r>
          </w:p>
        </w:tc>
      </w:tr>
      <w:tr>
        <w:trPr>
          <w:trHeight w:val="184"/>
        </w:trPr>
        <w:tc>
          <w:tcPr>
            <w:tcW w:w="1620" w:type="dxa"/>
            <w:vAlign w:val="bottom"/>
            <w:shd w:val="clear" w:color="auto" w:fill="BF2115"/>
          </w:tcPr>
          <w:p>
            <w:pPr>
              <w:ind w:left="40"/>
              <w:spacing w:after="0"/>
              <w:rPr>
                <w:sz w:val="20"/>
                <w:szCs w:val="20"/>
                <w:color w:val="auto"/>
              </w:rPr>
            </w:pPr>
            <w:r>
              <w:rPr>
                <w:rFonts w:ascii="Arial" w:cs="Arial" w:eastAsia="Arial" w:hAnsi="Arial"/>
                <w:sz w:val="13"/>
                <w:szCs w:val="13"/>
                <w:b w:val="1"/>
                <w:bCs w:val="1"/>
                <w:color w:val="FFFFFF"/>
              </w:rPr>
              <w:t>Name</w:t>
            </w:r>
          </w:p>
        </w:tc>
        <w:tc>
          <w:tcPr>
            <w:tcW w:w="1420" w:type="dxa"/>
            <w:vAlign w:val="bottom"/>
            <w:shd w:val="clear" w:color="auto" w:fill="BF2115"/>
          </w:tcPr>
          <w:p>
            <w:pPr>
              <w:jc w:val="center"/>
              <w:spacing w:after="0"/>
              <w:rPr>
                <w:sz w:val="20"/>
                <w:szCs w:val="20"/>
                <w:color w:val="auto"/>
              </w:rPr>
            </w:pPr>
            <w:r>
              <w:rPr>
                <w:rFonts w:ascii="Arial" w:cs="Arial" w:eastAsia="Arial" w:hAnsi="Arial"/>
                <w:sz w:val="13"/>
                <w:szCs w:val="13"/>
                <w:b w:val="1"/>
                <w:bCs w:val="1"/>
                <w:color w:val="FFFFFF"/>
                <w:w w:val="96"/>
              </w:rPr>
              <w:t>Exercisable</w:t>
            </w:r>
          </w:p>
        </w:tc>
        <w:tc>
          <w:tcPr>
            <w:tcW w:w="1400" w:type="dxa"/>
            <w:vAlign w:val="bottom"/>
            <w:shd w:val="clear" w:color="auto" w:fill="BF2115"/>
          </w:tcPr>
          <w:p>
            <w:pPr>
              <w:jc w:val="center"/>
              <w:ind w:left="36"/>
              <w:spacing w:after="0"/>
              <w:rPr>
                <w:sz w:val="20"/>
                <w:szCs w:val="20"/>
                <w:color w:val="auto"/>
              </w:rPr>
            </w:pPr>
            <w:r>
              <w:rPr>
                <w:rFonts w:ascii="Arial" w:cs="Arial" w:eastAsia="Arial" w:hAnsi="Arial"/>
                <w:sz w:val="13"/>
                <w:szCs w:val="13"/>
                <w:b w:val="1"/>
                <w:bCs w:val="1"/>
                <w:color w:val="FFFFFF"/>
                <w:w w:val="97"/>
              </w:rPr>
              <w:t>Unexercisable</w:t>
            </w:r>
          </w:p>
        </w:tc>
        <w:tc>
          <w:tcPr>
            <w:tcW w:w="960" w:type="dxa"/>
            <w:vAlign w:val="bottom"/>
            <w:shd w:val="clear" w:color="auto" w:fill="BF2115"/>
          </w:tcPr>
          <w:p>
            <w:pPr>
              <w:jc w:val="center"/>
              <w:spacing w:after="0"/>
              <w:rPr>
                <w:sz w:val="20"/>
                <w:szCs w:val="20"/>
                <w:color w:val="auto"/>
              </w:rPr>
            </w:pPr>
            <w:r>
              <w:rPr>
                <w:rFonts w:ascii="Arial" w:cs="Arial" w:eastAsia="Arial" w:hAnsi="Arial"/>
                <w:sz w:val="13"/>
                <w:szCs w:val="13"/>
                <w:b w:val="1"/>
                <w:bCs w:val="1"/>
                <w:color w:val="FFFFFF"/>
                <w:w w:val="93"/>
              </w:rPr>
              <w:t>Price ($)</w:t>
            </w:r>
          </w:p>
        </w:tc>
        <w:tc>
          <w:tcPr>
            <w:tcW w:w="1400" w:type="dxa"/>
            <w:vAlign w:val="bottom"/>
            <w:shd w:val="clear" w:color="auto" w:fill="BF2115"/>
          </w:tcPr>
          <w:p>
            <w:pPr>
              <w:jc w:val="center"/>
              <w:ind w:left="17"/>
              <w:spacing w:after="0"/>
              <w:rPr>
                <w:sz w:val="20"/>
                <w:szCs w:val="20"/>
                <w:color w:val="auto"/>
              </w:rPr>
            </w:pPr>
            <w:r>
              <w:rPr>
                <w:rFonts w:ascii="Arial" w:cs="Arial" w:eastAsia="Arial" w:hAnsi="Arial"/>
                <w:sz w:val="13"/>
                <w:szCs w:val="13"/>
                <w:b w:val="1"/>
                <w:bCs w:val="1"/>
                <w:color w:val="FFFFFF"/>
                <w:w w:val="99"/>
              </w:rPr>
              <w:t>Date</w:t>
            </w:r>
          </w:p>
        </w:tc>
        <w:tc>
          <w:tcPr>
            <w:tcW w:w="1240" w:type="dxa"/>
            <w:vAlign w:val="bottom"/>
            <w:shd w:val="clear" w:color="auto" w:fill="BF2115"/>
          </w:tcPr>
          <w:p>
            <w:pPr>
              <w:jc w:val="center"/>
              <w:spacing w:after="0"/>
              <w:rPr>
                <w:sz w:val="20"/>
                <w:szCs w:val="20"/>
                <w:color w:val="auto"/>
              </w:rPr>
            </w:pPr>
            <w:r>
              <w:rPr>
                <w:rFonts w:ascii="Arial" w:cs="Arial" w:eastAsia="Arial" w:hAnsi="Arial"/>
                <w:sz w:val="13"/>
                <w:szCs w:val="13"/>
                <w:b w:val="1"/>
                <w:bCs w:val="1"/>
                <w:color w:val="FFFFFF"/>
                <w:w w:val="97"/>
              </w:rPr>
              <w:t>Vested</w:t>
            </w:r>
            <w:r>
              <w:rPr>
                <w:rFonts w:ascii="Arial" w:cs="Arial" w:eastAsia="Arial" w:hAnsi="Arial"/>
                <w:sz w:val="8"/>
                <w:szCs w:val="8"/>
                <w:b w:val="1"/>
                <w:bCs w:val="1"/>
                <w:color w:val="FFFFFF"/>
                <w:w w:val="97"/>
              </w:rPr>
              <w:t>(3)</w:t>
            </w:r>
            <w:r>
              <w:rPr>
                <w:rFonts w:ascii="Arial" w:cs="Arial" w:eastAsia="Arial" w:hAnsi="Arial"/>
                <w:sz w:val="13"/>
                <w:szCs w:val="13"/>
                <w:b w:val="1"/>
                <w:bCs w:val="1"/>
                <w:color w:val="FFFFFF"/>
                <w:w w:val="97"/>
              </w:rPr>
              <w:t xml:space="preserve"> (#)</w:t>
            </w:r>
          </w:p>
        </w:tc>
        <w:tc>
          <w:tcPr>
            <w:tcW w:w="1080" w:type="dxa"/>
            <w:vAlign w:val="bottom"/>
            <w:shd w:val="clear" w:color="auto" w:fill="BF2115"/>
          </w:tcPr>
          <w:p>
            <w:pPr>
              <w:jc w:val="center"/>
              <w:spacing w:after="0"/>
              <w:rPr>
                <w:sz w:val="20"/>
                <w:szCs w:val="20"/>
                <w:color w:val="auto"/>
              </w:rPr>
            </w:pPr>
            <w:r>
              <w:rPr>
                <w:rFonts w:ascii="Arial" w:cs="Arial" w:eastAsia="Arial" w:hAnsi="Arial"/>
                <w:sz w:val="13"/>
                <w:szCs w:val="13"/>
                <w:b w:val="1"/>
                <w:bCs w:val="1"/>
                <w:color w:val="FFFFFF"/>
                <w:w w:val="97"/>
              </w:rPr>
              <w:t>Vested</w:t>
            </w:r>
            <w:r>
              <w:rPr>
                <w:rFonts w:ascii="Arial" w:cs="Arial" w:eastAsia="Arial" w:hAnsi="Arial"/>
                <w:sz w:val="8"/>
                <w:szCs w:val="8"/>
                <w:b w:val="1"/>
                <w:bCs w:val="1"/>
                <w:color w:val="FFFFFF"/>
                <w:w w:val="97"/>
              </w:rPr>
              <w:t>(4)(9)</w:t>
            </w:r>
            <w:r>
              <w:rPr>
                <w:rFonts w:ascii="Arial" w:cs="Arial" w:eastAsia="Arial" w:hAnsi="Arial"/>
                <w:sz w:val="13"/>
                <w:szCs w:val="13"/>
                <w:b w:val="1"/>
                <w:bCs w:val="1"/>
                <w:color w:val="FFFFFF"/>
                <w:w w:val="97"/>
              </w:rPr>
              <w:t xml:space="preserve"> ($)</w:t>
            </w:r>
          </w:p>
        </w:tc>
        <w:tc>
          <w:tcPr>
            <w:tcW w:w="1160" w:type="dxa"/>
            <w:vAlign w:val="bottom"/>
            <w:shd w:val="clear" w:color="auto" w:fill="BF2115"/>
          </w:tcPr>
          <w:p>
            <w:pPr>
              <w:jc w:val="center"/>
              <w:spacing w:after="0"/>
              <w:rPr>
                <w:sz w:val="20"/>
                <w:szCs w:val="20"/>
                <w:color w:val="auto"/>
              </w:rPr>
            </w:pPr>
            <w:r>
              <w:rPr>
                <w:rFonts w:ascii="Arial" w:cs="Arial" w:eastAsia="Arial" w:hAnsi="Arial"/>
                <w:sz w:val="13"/>
                <w:szCs w:val="13"/>
                <w:b w:val="1"/>
                <w:bCs w:val="1"/>
                <w:color w:val="FFFFFF"/>
                <w:w w:val="95"/>
              </w:rPr>
              <w:t>Not Yet Vested</w:t>
            </w:r>
          </w:p>
        </w:tc>
        <w:tc>
          <w:tcPr>
            <w:tcW w:w="1140" w:type="dxa"/>
            <w:vAlign w:val="bottom"/>
            <w:shd w:val="clear" w:color="auto" w:fill="BF2115"/>
          </w:tcPr>
          <w:p>
            <w:pPr>
              <w:jc w:val="center"/>
              <w:spacing w:after="0"/>
              <w:rPr>
                <w:sz w:val="20"/>
                <w:szCs w:val="20"/>
                <w:color w:val="auto"/>
              </w:rPr>
            </w:pPr>
            <w:r>
              <w:rPr>
                <w:rFonts w:ascii="Arial" w:cs="Arial" w:eastAsia="Arial" w:hAnsi="Arial"/>
                <w:sz w:val="13"/>
                <w:szCs w:val="13"/>
                <w:b w:val="1"/>
                <w:bCs w:val="1"/>
                <w:color w:val="FFFFFF"/>
                <w:w w:val="99"/>
              </w:rPr>
              <w:t>Not Vested</w:t>
            </w:r>
            <w:r>
              <w:rPr>
                <w:rFonts w:ascii="Arial" w:cs="Arial" w:eastAsia="Arial" w:hAnsi="Arial"/>
                <w:sz w:val="8"/>
                <w:szCs w:val="8"/>
                <w:b w:val="1"/>
                <w:bCs w:val="1"/>
                <w:color w:val="FFFFFF"/>
                <w:w w:val="99"/>
              </w:rPr>
              <w:t>(10)</w:t>
            </w:r>
          </w:p>
        </w:tc>
      </w:tr>
      <w:tr>
        <w:trPr>
          <w:trHeight w:val="270"/>
        </w:trPr>
        <w:tc>
          <w:tcPr>
            <w:tcW w:w="1620" w:type="dxa"/>
            <w:vAlign w:val="bottom"/>
            <w:shd w:val="clear" w:color="auto" w:fill="ACACAC"/>
          </w:tcPr>
          <w:p>
            <w:pPr>
              <w:ind w:left="40"/>
              <w:spacing w:after="0"/>
              <w:rPr>
                <w:sz w:val="20"/>
                <w:szCs w:val="20"/>
                <w:color w:val="auto"/>
              </w:rPr>
            </w:pPr>
            <w:r>
              <w:rPr>
                <w:rFonts w:ascii="Arial" w:cs="Arial" w:eastAsia="Arial" w:hAnsi="Arial"/>
                <w:sz w:val="13"/>
                <w:szCs w:val="13"/>
                <w:color w:val="auto"/>
              </w:rPr>
              <w:t>Michael J. Happe</w:t>
            </w:r>
          </w:p>
        </w:tc>
        <w:tc>
          <w:tcPr>
            <w:tcW w:w="1420" w:type="dxa"/>
            <w:vAlign w:val="bottom"/>
            <w:shd w:val="clear" w:color="auto" w:fill="ACACAC"/>
          </w:tcPr>
          <w:p>
            <w:pPr>
              <w:jc w:val="center"/>
              <w:spacing w:after="0"/>
              <w:rPr>
                <w:sz w:val="20"/>
                <w:szCs w:val="20"/>
                <w:color w:val="auto"/>
              </w:rPr>
            </w:pPr>
            <w:r>
              <w:rPr>
                <w:rFonts w:ascii="Arial" w:cs="Arial" w:eastAsia="Arial" w:hAnsi="Arial"/>
                <w:sz w:val="13"/>
                <w:szCs w:val="13"/>
                <w:color w:val="auto"/>
                <w:w w:val="98"/>
              </w:rPr>
              <w:t>4,433</w:t>
            </w:r>
          </w:p>
        </w:tc>
        <w:tc>
          <w:tcPr>
            <w:tcW w:w="1400" w:type="dxa"/>
            <w:vAlign w:val="bottom"/>
            <w:shd w:val="clear" w:color="auto" w:fill="ACACAC"/>
          </w:tcPr>
          <w:p>
            <w:pPr>
              <w:jc w:val="center"/>
              <w:ind w:left="36"/>
              <w:spacing w:after="0"/>
              <w:rPr>
                <w:sz w:val="20"/>
                <w:szCs w:val="20"/>
                <w:color w:val="auto"/>
              </w:rPr>
            </w:pPr>
            <w:r>
              <w:rPr>
                <w:rFonts w:ascii="Arial" w:cs="Arial" w:eastAsia="Arial" w:hAnsi="Arial"/>
                <w:sz w:val="13"/>
                <w:szCs w:val="13"/>
                <w:color w:val="auto"/>
              </w:rPr>
              <w:t xml:space="preserve">8,867 </w:t>
            </w:r>
            <w:r>
              <w:rPr>
                <w:rFonts w:ascii="Arial" w:cs="Arial" w:eastAsia="Arial" w:hAnsi="Arial"/>
                <w:sz w:val="8"/>
                <w:szCs w:val="8"/>
                <w:color w:val="auto"/>
              </w:rPr>
              <w:t>(1)</w:t>
            </w:r>
          </w:p>
        </w:tc>
        <w:tc>
          <w:tcPr>
            <w:tcW w:w="960" w:type="dxa"/>
            <w:vAlign w:val="bottom"/>
            <w:shd w:val="clear" w:color="auto" w:fill="ACACAC"/>
          </w:tcPr>
          <w:p>
            <w:pPr>
              <w:jc w:val="center"/>
              <w:spacing w:after="0"/>
              <w:rPr>
                <w:sz w:val="20"/>
                <w:szCs w:val="20"/>
                <w:color w:val="auto"/>
              </w:rPr>
            </w:pPr>
            <w:r>
              <w:rPr>
                <w:rFonts w:ascii="Arial" w:cs="Arial" w:eastAsia="Arial" w:hAnsi="Arial"/>
                <w:sz w:val="13"/>
                <w:szCs w:val="13"/>
                <w:color w:val="auto"/>
              </w:rPr>
              <w:t>$27.89</w:t>
            </w:r>
          </w:p>
        </w:tc>
        <w:tc>
          <w:tcPr>
            <w:tcW w:w="1400" w:type="dxa"/>
            <w:vAlign w:val="bottom"/>
            <w:shd w:val="clear" w:color="auto" w:fill="ACACAC"/>
          </w:tcPr>
          <w:p>
            <w:pPr>
              <w:jc w:val="center"/>
              <w:ind w:left="17"/>
              <w:spacing w:after="0"/>
              <w:rPr>
                <w:sz w:val="20"/>
                <w:szCs w:val="20"/>
                <w:color w:val="auto"/>
              </w:rPr>
            </w:pPr>
            <w:r>
              <w:rPr>
                <w:rFonts w:ascii="Arial" w:cs="Arial" w:eastAsia="Arial" w:hAnsi="Arial"/>
                <w:sz w:val="13"/>
                <w:szCs w:val="13"/>
                <w:color w:val="auto"/>
                <w:w w:val="98"/>
              </w:rPr>
              <w:t>10/11/2026</w:t>
            </w:r>
          </w:p>
        </w:tc>
        <w:tc>
          <w:tcPr>
            <w:tcW w:w="1240" w:type="dxa"/>
            <w:vAlign w:val="bottom"/>
            <w:shd w:val="clear" w:color="auto" w:fill="ACACAC"/>
          </w:tcPr>
          <w:p>
            <w:pPr>
              <w:jc w:val="center"/>
              <w:spacing w:after="0"/>
              <w:rPr>
                <w:sz w:val="20"/>
                <w:szCs w:val="20"/>
                <w:color w:val="auto"/>
              </w:rPr>
            </w:pPr>
            <w:r>
              <w:rPr>
                <w:rFonts w:ascii="Arial" w:cs="Arial" w:eastAsia="Arial" w:hAnsi="Arial"/>
                <w:sz w:val="13"/>
                <w:szCs w:val="13"/>
                <w:color w:val="auto"/>
              </w:rPr>
              <w:t xml:space="preserve">21,527 </w:t>
            </w:r>
            <w:r>
              <w:rPr>
                <w:rFonts w:ascii="Arial" w:cs="Arial" w:eastAsia="Arial" w:hAnsi="Arial"/>
                <w:sz w:val="8"/>
                <w:szCs w:val="8"/>
                <w:color w:val="auto"/>
              </w:rPr>
              <w:t>(4)</w:t>
            </w:r>
          </w:p>
        </w:tc>
        <w:tc>
          <w:tcPr>
            <w:tcW w:w="1080" w:type="dxa"/>
            <w:vAlign w:val="bottom"/>
            <w:shd w:val="clear" w:color="auto" w:fill="ACACAC"/>
          </w:tcPr>
          <w:p>
            <w:pPr>
              <w:jc w:val="center"/>
              <w:spacing w:after="0"/>
              <w:rPr>
                <w:sz w:val="20"/>
                <w:szCs w:val="20"/>
                <w:color w:val="auto"/>
              </w:rPr>
            </w:pPr>
            <w:r>
              <w:rPr>
                <w:rFonts w:ascii="Arial" w:cs="Arial" w:eastAsia="Arial" w:hAnsi="Arial"/>
                <w:sz w:val="13"/>
                <w:szCs w:val="13"/>
                <w:color w:val="auto"/>
                <w:w w:val="95"/>
              </w:rPr>
              <w:t>$802,957</w:t>
            </w:r>
          </w:p>
        </w:tc>
        <w:tc>
          <w:tcPr>
            <w:tcW w:w="1160" w:type="dxa"/>
            <w:vAlign w:val="bottom"/>
            <w:shd w:val="clear" w:color="auto" w:fill="ACACAC"/>
          </w:tcPr>
          <w:p>
            <w:pPr>
              <w:spacing w:after="0"/>
              <w:rPr>
                <w:sz w:val="23"/>
                <w:szCs w:val="23"/>
                <w:color w:val="auto"/>
              </w:rPr>
            </w:pPr>
          </w:p>
        </w:tc>
        <w:tc>
          <w:tcPr>
            <w:tcW w:w="1140" w:type="dxa"/>
            <w:vAlign w:val="bottom"/>
            <w:shd w:val="clear" w:color="auto" w:fill="ACACAC"/>
          </w:tcPr>
          <w:p>
            <w:pPr>
              <w:spacing w:after="0"/>
              <w:rPr>
                <w:sz w:val="23"/>
                <w:szCs w:val="23"/>
                <w:color w:val="auto"/>
              </w:rPr>
            </w:pPr>
          </w:p>
        </w:tc>
      </w:tr>
      <w:tr>
        <w:trPr>
          <w:trHeight w:val="262"/>
        </w:trPr>
        <w:tc>
          <w:tcPr>
            <w:tcW w:w="1620" w:type="dxa"/>
            <w:vAlign w:val="bottom"/>
          </w:tcPr>
          <w:p>
            <w:pPr>
              <w:spacing w:after="0"/>
              <w:rPr>
                <w:sz w:val="22"/>
                <w:szCs w:val="22"/>
                <w:color w:val="auto"/>
              </w:rPr>
            </w:pPr>
          </w:p>
        </w:tc>
        <w:tc>
          <w:tcPr>
            <w:tcW w:w="1420" w:type="dxa"/>
            <w:vAlign w:val="bottom"/>
          </w:tcPr>
          <w:p>
            <w:pPr>
              <w:jc w:val="center"/>
              <w:spacing w:after="0"/>
              <w:rPr>
                <w:sz w:val="20"/>
                <w:szCs w:val="20"/>
                <w:color w:val="auto"/>
              </w:rPr>
            </w:pPr>
            <w:r>
              <w:rPr>
                <w:rFonts w:ascii="Arial" w:cs="Arial" w:eastAsia="Arial" w:hAnsi="Arial"/>
                <w:sz w:val="13"/>
                <w:szCs w:val="13"/>
                <w:color w:val="auto"/>
                <w:w w:val="98"/>
              </w:rPr>
              <w:t>6,666</w:t>
            </w:r>
          </w:p>
        </w:tc>
        <w:tc>
          <w:tcPr>
            <w:tcW w:w="1400" w:type="dxa"/>
            <w:vAlign w:val="bottom"/>
          </w:tcPr>
          <w:p>
            <w:pPr>
              <w:jc w:val="center"/>
              <w:ind w:left="36"/>
              <w:spacing w:after="0"/>
              <w:rPr>
                <w:sz w:val="20"/>
                <w:szCs w:val="20"/>
                <w:color w:val="auto"/>
              </w:rPr>
            </w:pPr>
            <w:r>
              <w:rPr>
                <w:rFonts w:ascii="Arial" w:cs="Arial" w:eastAsia="Arial" w:hAnsi="Arial"/>
                <w:sz w:val="13"/>
                <w:szCs w:val="13"/>
                <w:color w:val="auto"/>
              </w:rPr>
              <w:t xml:space="preserve">3,334 </w:t>
            </w:r>
            <w:r>
              <w:rPr>
                <w:rFonts w:ascii="Arial" w:cs="Arial" w:eastAsia="Arial" w:hAnsi="Arial"/>
                <w:sz w:val="8"/>
                <w:szCs w:val="8"/>
                <w:color w:val="auto"/>
              </w:rPr>
              <w:t>(2)</w:t>
            </w:r>
          </w:p>
        </w:tc>
        <w:tc>
          <w:tcPr>
            <w:tcW w:w="960" w:type="dxa"/>
            <w:vAlign w:val="bottom"/>
          </w:tcPr>
          <w:p>
            <w:pPr>
              <w:jc w:val="center"/>
              <w:spacing w:after="0"/>
              <w:rPr>
                <w:sz w:val="20"/>
                <w:szCs w:val="20"/>
                <w:color w:val="auto"/>
              </w:rPr>
            </w:pPr>
            <w:r>
              <w:rPr>
                <w:rFonts w:ascii="Arial" w:cs="Arial" w:eastAsia="Arial" w:hAnsi="Arial"/>
                <w:sz w:val="13"/>
                <w:szCs w:val="13"/>
                <w:color w:val="auto"/>
              </w:rPr>
              <w:t>$16.67</w:t>
            </w:r>
          </w:p>
        </w:tc>
        <w:tc>
          <w:tcPr>
            <w:tcW w:w="1400" w:type="dxa"/>
            <w:vAlign w:val="bottom"/>
          </w:tcPr>
          <w:p>
            <w:pPr>
              <w:jc w:val="center"/>
              <w:ind w:left="17"/>
              <w:spacing w:after="0"/>
              <w:rPr>
                <w:sz w:val="20"/>
                <w:szCs w:val="20"/>
                <w:color w:val="auto"/>
              </w:rPr>
            </w:pPr>
            <w:r>
              <w:rPr>
                <w:rFonts w:ascii="Arial" w:cs="Arial" w:eastAsia="Arial" w:hAnsi="Arial"/>
                <w:sz w:val="13"/>
                <w:szCs w:val="13"/>
                <w:color w:val="auto"/>
                <w:w w:val="96"/>
              </w:rPr>
              <w:t>1/18/2026</w:t>
            </w:r>
          </w:p>
        </w:tc>
        <w:tc>
          <w:tcPr>
            <w:tcW w:w="124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160" w:type="dxa"/>
            <w:vAlign w:val="bottom"/>
          </w:tcPr>
          <w:p>
            <w:pPr>
              <w:jc w:val="center"/>
              <w:spacing w:after="0"/>
              <w:rPr>
                <w:sz w:val="20"/>
                <w:szCs w:val="20"/>
                <w:color w:val="auto"/>
              </w:rPr>
            </w:pPr>
            <w:r>
              <w:rPr>
                <w:rFonts w:ascii="Arial" w:cs="Arial" w:eastAsia="Arial" w:hAnsi="Arial"/>
                <w:sz w:val="13"/>
                <w:szCs w:val="13"/>
                <w:color w:val="auto"/>
                <w:w w:val="96"/>
              </w:rPr>
              <w:t>12,855</w:t>
            </w:r>
            <w:r>
              <w:rPr>
                <w:rFonts w:ascii="Arial" w:cs="Arial" w:eastAsia="Arial" w:hAnsi="Arial"/>
                <w:sz w:val="8"/>
                <w:szCs w:val="8"/>
                <w:color w:val="auto"/>
                <w:w w:val="96"/>
              </w:rPr>
              <w:t>(6)</w:t>
            </w:r>
          </w:p>
        </w:tc>
        <w:tc>
          <w:tcPr>
            <w:tcW w:w="1140" w:type="dxa"/>
            <w:vAlign w:val="bottom"/>
          </w:tcPr>
          <w:p>
            <w:pPr>
              <w:jc w:val="center"/>
              <w:spacing w:after="0"/>
              <w:rPr>
                <w:sz w:val="20"/>
                <w:szCs w:val="20"/>
                <w:color w:val="auto"/>
              </w:rPr>
            </w:pPr>
            <w:r>
              <w:rPr>
                <w:rFonts w:ascii="Arial" w:cs="Arial" w:eastAsia="Arial" w:hAnsi="Arial"/>
                <w:sz w:val="13"/>
                <w:szCs w:val="13"/>
                <w:color w:val="auto"/>
                <w:w w:val="95"/>
              </w:rPr>
              <w:t>$479,492</w:t>
            </w:r>
          </w:p>
        </w:tc>
      </w:tr>
      <w:tr>
        <w:trPr>
          <w:trHeight w:val="278"/>
        </w:trPr>
        <w:tc>
          <w:tcPr>
            <w:tcW w:w="1620" w:type="dxa"/>
            <w:vAlign w:val="bottom"/>
            <w:shd w:val="clear" w:color="auto" w:fill="ACACAC"/>
          </w:tcPr>
          <w:p>
            <w:pPr>
              <w:spacing w:after="0"/>
              <w:rPr>
                <w:sz w:val="24"/>
                <w:szCs w:val="24"/>
                <w:color w:val="auto"/>
              </w:rPr>
            </w:pPr>
          </w:p>
        </w:tc>
        <w:tc>
          <w:tcPr>
            <w:tcW w:w="1420" w:type="dxa"/>
            <w:vAlign w:val="bottom"/>
            <w:shd w:val="clear" w:color="auto" w:fill="ACACAC"/>
          </w:tcPr>
          <w:p>
            <w:pPr>
              <w:jc w:val="center"/>
              <w:spacing w:after="0"/>
              <w:rPr>
                <w:sz w:val="20"/>
                <w:szCs w:val="20"/>
                <w:color w:val="auto"/>
              </w:rPr>
            </w:pPr>
            <w:r>
              <w:rPr>
                <w:rFonts w:ascii="Arial" w:cs="Arial" w:eastAsia="Arial" w:hAnsi="Arial"/>
                <w:sz w:val="13"/>
                <w:szCs w:val="13"/>
                <w:color w:val="auto"/>
                <w:w w:val="98"/>
              </w:rPr>
              <w:t>5,666</w:t>
            </w:r>
          </w:p>
        </w:tc>
        <w:tc>
          <w:tcPr>
            <w:tcW w:w="1400" w:type="dxa"/>
            <w:vAlign w:val="bottom"/>
            <w:shd w:val="clear" w:color="auto" w:fill="ACACAC"/>
          </w:tcPr>
          <w:p>
            <w:pPr>
              <w:jc w:val="center"/>
              <w:ind w:left="36"/>
              <w:spacing w:after="0"/>
              <w:rPr>
                <w:sz w:val="20"/>
                <w:szCs w:val="20"/>
                <w:color w:val="auto"/>
              </w:rPr>
            </w:pPr>
            <w:r>
              <w:rPr>
                <w:rFonts w:ascii="Arial" w:cs="Arial" w:eastAsia="Arial" w:hAnsi="Arial"/>
                <w:sz w:val="13"/>
                <w:szCs w:val="13"/>
                <w:color w:val="auto"/>
              </w:rPr>
              <w:t xml:space="preserve">11,334 </w:t>
            </w:r>
            <w:r>
              <w:rPr>
                <w:rFonts w:ascii="Arial" w:cs="Arial" w:eastAsia="Arial" w:hAnsi="Arial"/>
                <w:sz w:val="8"/>
                <w:szCs w:val="8"/>
                <w:color w:val="auto"/>
              </w:rPr>
              <w:t>(3)</w:t>
            </w:r>
          </w:p>
        </w:tc>
        <w:tc>
          <w:tcPr>
            <w:tcW w:w="960" w:type="dxa"/>
            <w:vAlign w:val="bottom"/>
            <w:shd w:val="clear" w:color="auto" w:fill="ACACAC"/>
          </w:tcPr>
          <w:p>
            <w:pPr>
              <w:jc w:val="center"/>
              <w:spacing w:after="0"/>
              <w:rPr>
                <w:sz w:val="20"/>
                <w:szCs w:val="20"/>
                <w:color w:val="auto"/>
              </w:rPr>
            </w:pPr>
            <w:r>
              <w:rPr>
                <w:rFonts w:ascii="Arial" w:cs="Arial" w:eastAsia="Arial" w:hAnsi="Arial"/>
                <w:sz w:val="13"/>
                <w:szCs w:val="13"/>
                <w:color w:val="auto"/>
              </w:rPr>
              <w:t>$35.50</w:t>
            </w:r>
          </w:p>
        </w:tc>
        <w:tc>
          <w:tcPr>
            <w:tcW w:w="1400" w:type="dxa"/>
            <w:vAlign w:val="bottom"/>
            <w:shd w:val="clear" w:color="auto" w:fill="ACACAC"/>
          </w:tcPr>
          <w:p>
            <w:pPr>
              <w:jc w:val="center"/>
              <w:ind w:left="17"/>
              <w:spacing w:after="0"/>
              <w:rPr>
                <w:sz w:val="20"/>
                <w:szCs w:val="20"/>
                <w:color w:val="auto"/>
              </w:rPr>
            </w:pPr>
            <w:r>
              <w:rPr>
                <w:rFonts w:ascii="Arial" w:cs="Arial" w:eastAsia="Arial" w:hAnsi="Arial"/>
                <w:sz w:val="13"/>
                <w:szCs w:val="13"/>
                <w:color w:val="auto"/>
                <w:w w:val="98"/>
              </w:rPr>
              <w:t>12/13/2026</w:t>
            </w:r>
          </w:p>
        </w:tc>
        <w:tc>
          <w:tcPr>
            <w:tcW w:w="1240" w:type="dxa"/>
            <w:vAlign w:val="bottom"/>
            <w:shd w:val="clear" w:color="auto" w:fill="ACACAC"/>
          </w:tcPr>
          <w:p>
            <w:pPr>
              <w:spacing w:after="0"/>
              <w:rPr>
                <w:sz w:val="24"/>
                <w:szCs w:val="24"/>
                <w:color w:val="auto"/>
              </w:rPr>
            </w:pPr>
          </w:p>
        </w:tc>
        <w:tc>
          <w:tcPr>
            <w:tcW w:w="1080" w:type="dxa"/>
            <w:vAlign w:val="bottom"/>
            <w:shd w:val="clear" w:color="auto" w:fill="ACACAC"/>
          </w:tcPr>
          <w:p>
            <w:pPr>
              <w:spacing w:after="0"/>
              <w:rPr>
                <w:sz w:val="24"/>
                <w:szCs w:val="24"/>
                <w:color w:val="auto"/>
              </w:rPr>
            </w:pPr>
          </w:p>
        </w:tc>
        <w:tc>
          <w:tcPr>
            <w:tcW w:w="1160" w:type="dxa"/>
            <w:vAlign w:val="bottom"/>
            <w:shd w:val="clear" w:color="auto" w:fill="ACACAC"/>
          </w:tcPr>
          <w:p>
            <w:pPr>
              <w:jc w:val="center"/>
              <w:spacing w:after="0"/>
              <w:rPr>
                <w:sz w:val="20"/>
                <w:szCs w:val="20"/>
                <w:color w:val="auto"/>
              </w:rPr>
            </w:pPr>
            <w:r>
              <w:rPr>
                <w:rFonts w:ascii="Arial" w:cs="Arial" w:eastAsia="Arial" w:hAnsi="Arial"/>
                <w:sz w:val="13"/>
                <w:szCs w:val="13"/>
                <w:color w:val="auto"/>
                <w:w w:val="97"/>
              </w:rPr>
              <w:t xml:space="preserve">22,709 </w:t>
            </w:r>
            <w:r>
              <w:rPr>
                <w:rFonts w:ascii="Arial" w:cs="Arial" w:eastAsia="Arial" w:hAnsi="Arial"/>
                <w:sz w:val="8"/>
                <w:szCs w:val="8"/>
                <w:color w:val="auto"/>
                <w:w w:val="97"/>
              </w:rPr>
              <w:t>(7)</w:t>
            </w:r>
          </w:p>
        </w:tc>
        <w:tc>
          <w:tcPr>
            <w:tcW w:w="1140" w:type="dxa"/>
            <w:vAlign w:val="bottom"/>
            <w:shd w:val="clear" w:color="auto" w:fill="ACACAC"/>
          </w:tcPr>
          <w:p>
            <w:pPr>
              <w:jc w:val="center"/>
              <w:spacing w:after="0"/>
              <w:rPr>
                <w:sz w:val="20"/>
                <w:szCs w:val="20"/>
                <w:color w:val="auto"/>
              </w:rPr>
            </w:pPr>
            <w:r>
              <w:rPr>
                <w:rFonts w:ascii="Arial" w:cs="Arial" w:eastAsia="Arial" w:hAnsi="Arial"/>
                <w:sz w:val="13"/>
                <w:szCs w:val="13"/>
                <w:color w:val="auto"/>
                <w:w w:val="95"/>
              </w:rPr>
              <w:t>$847,046</w:t>
            </w:r>
          </w:p>
        </w:tc>
      </w:tr>
      <w:tr>
        <w:trPr>
          <w:trHeight w:val="262"/>
        </w:trPr>
        <w:tc>
          <w:tcPr>
            <w:tcW w:w="1620" w:type="dxa"/>
            <w:vAlign w:val="bottom"/>
          </w:tcPr>
          <w:p>
            <w:pPr>
              <w:spacing w:after="0"/>
              <w:rPr>
                <w:sz w:val="22"/>
                <w:szCs w:val="22"/>
                <w:color w:val="auto"/>
              </w:rPr>
            </w:pPr>
          </w:p>
        </w:tc>
        <w:tc>
          <w:tcPr>
            <w:tcW w:w="1420" w:type="dxa"/>
            <w:vAlign w:val="bottom"/>
          </w:tcPr>
          <w:p>
            <w:pPr>
              <w:jc w:val="center"/>
              <w:spacing w:after="0"/>
              <w:rPr>
                <w:sz w:val="20"/>
                <w:szCs w:val="20"/>
                <w:color w:val="auto"/>
              </w:rPr>
            </w:pPr>
            <w:r>
              <w:rPr>
                <w:rFonts w:ascii="Arial" w:cs="Arial" w:eastAsia="Arial" w:hAnsi="Arial"/>
                <w:sz w:val="13"/>
                <w:szCs w:val="13"/>
                <w:color w:val="auto"/>
                <w:w w:val="91"/>
              </w:rPr>
              <w:t>-</w:t>
            </w:r>
          </w:p>
        </w:tc>
        <w:tc>
          <w:tcPr>
            <w:tcW w:w="1400" w:type="dxa"/>
            <w:vAlign w:val="bottom"/>
          </w:tcPr>
          <w:p>
            <w:pPr>
              <w:jc w:val="center"/>
              <w:ind w:left="36"/>
              <w:spacing w:after="0"/>
              <w:rPr>
                <w:sz w:val="20"/>
                <w:szCs w:val="20"/>
                <w:color w:val="auto"/>
              </w:rPr>
            </w:pPr>
            <w:r>
              <w:rPr>
                <w:rFonts w:ascii="Arial" w:cs="Arial" w:eastAsia="Arial" w:hAnsi="Arial"/>
                <w:sz w:val="13"/>
                <w:szCs w:val="13"/>
                <w:color w:val="auto"/>
              </w:rPr>
              <w:t xml:space="preserve">28,015 </w:t>
            </w:r>
            <w:r>
              <w:rPr>
                <w:rFonts w:ascii="Arial" w:cs="Arial" w:eastAsia="Arial" w:hAnsi="Arial"/>
                <w:sz w:val="8"/>
                <w:szCs w:val="8"/>
                <w:color w:val="auto"/>
              </w:rPr>
              <w:t>(4)</w:t>
            </w:r>
          </w:p>
        </w:tc>
        <w:tc>
          <w:tcPr>
            <w:tcW w:w="960" w:type="dxa"/>
            <w:vAlign w:val="bottom"/>
          </w:tcPr>
          <w:p>
            <w:pPr>
              <w:jc w:val="center"/>
              <w:spacing w:after="0"/>
              <w:rPr>
                <w:sz w:val="20"/>
                <w:szCs w:val="20"/>
                <w:color w:val="auto"/>
              </w:rPr>
            </w:pPr>
            <w:r>
              <w:rPr>
                <w:rFonts w:ascii="Arial" w:cs="Arial" w:eastAsia="Arial" w:hAnsi="Arial"/>
                <w:sz w:val="13"/>
                <w:szCs w:val="13"/>
                <w:color w:val="auto"/>
              </w:rPr>
              <w:t>$44.40</w:t>
            </w:r>
          </w:p>
        </w:tc>
        <w:tc>
          <w:tcPr>
            <w:tcW w:w="1400" w:type="dxa"/>
            <w:vAlign w:val="bottom"/>
          </w:tcPr>
          <w:p>
            <w:pPr>
              <w:jc w:val="center"/>
              <w:ind w:left="17"/>
              <w:spacing w:after="0"/>
              <w:rPr>
                <w:sz w:val="20"/>
                <w:szCs w:val="20"/>
                <w:color w:val="auto"/>
              </w:rPr>
            </w:pPr>
            <w:r>
              <w:rPr>
                <w:rFonts w:ascii="Arial" w:cs="Arial" w:eastAsia="Arial" w:hAnsi="Arial"/>
                <w:sz w:val="13"/>
                <w:szCs w:val="13"/>
                <w:color w:val="auto"/>
                <w:w w:val="98"/>
              </w:rPr>
              <w:t>10/18/2027</w:t>
            </w:r>
          </w:p>
        </w:tc>
        <w:tc>
          <w:tcPr>
            <w:tcW w:w="124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160" w:type="dxa"/>
            <w:vAlign w:val="bottom"/>
          </w:tcPr>
          <w:p>
            <w:pPr>
              <w:jc w:val="center"/>
              <w:spacing w:after="0"/>
              <w:rPr>
                <w:sz w:val="20"/>
                <w:szCs w:val="20"/>
                <w:color w:val="auto"/>
              </w:rPr>
            </w:pPr>
            <w:r>
              <w:rPr>
                <w:rFonts w:ascii="Arial" w:cs="Arial" w:eastAsia="Arial" w:hAnsi="Arial"/>
                <w:sz w:val="13"/>
                <w:szCs w:val="13"/>
                <w:color w:val="auto"/>
                <w:w w:val="97"/>
              </w:rPr>
              <w:t xml:space="preserve">18,651 </w:t>
            </w:r>
            <w:r>
              <w:rPr>
                <w:rFonts w:ascii="Arial" w:cs="Arial" w:eastAsia="Arial" w:hAnsi="Arial"/>
                <w:sz w:val="8"/>
                <w:szCs w:val="8"/>
                <w:color w:val="auto"/>
                <w:w w:val="97"/>
              </w:rPr>
              <w:t>(8)</w:t>
            </w:r>
          </w:p>
        </w:tc>
        <w:tc>
          <w:tcPr>
            <w:tcW w:w="1140" w:type="dxa"/>
            <w:vAlign w:val="bottom"/>
          </w:tcPr>
          <w:p>
            <w:pPr>
              <w:jc w:val="center"/>
              <w:spacing w:after="0"/>
              <w:rPr>
                <w:sz w:val="20"/>
                <w:szCs w:val="20"/>
                <w:color w:val="auto"/>
              </w:rPr>
            </w:pPr>
            <w:r>
              <w:rPr>
                <w:rFonts w:ascii="Arial" w:cs="Arial" w:eastAsia="Arial" w:hAnsi="Arial"/>
                <w:sz w:val="13"/>
                <w:szCs w:val="13"/>
                <w:color w:val="auto"/>
                <w:w w:val="95"/>
              </w:rPr>
              <w:t>$695,682</w:t>
            </w:r>
          </w:p>
        </w:tc>
      </w:tr>
      <w:tr>
        <w:trPr>
          <w:trHeight w:val="197"/>
        </w:trPr>
        <w:tc>
          <w:tcPr>
            <w:tcW w:w="1620" w:type="dxa"/>
            <w:vAlign w:val="bottom"/>
            <w:shd w:val="clear" w:color="auto" w:fill="ACACAC"/>
          </w:tcPr>
          <w:p>
            <w:pPr>
              <w:ind w:left="40"/>
              <w:spacing w:after="0"/>
              <w:rPr>
                <w:sz w:val="20"/>
                <w:szCs w:val="20"/>
                <w:color w:val="auto"/>
              </w:rPr>
            </w:pPr>
            <w:r>
              <w:rPr>
                <w:rFonts w:ascii="Arial" w:cs="Arial" w:eastAsia="Arial" w:hAnsi="Arial"/>
                <w:sz w:val="13"/>
                <w:szCs w:val="13"/>
                <w:color w:val="auto"/>
              </w:rPr>
              <w:t>Bryan L. Hughes</w:t>
            </w:r>
          </w:p>
        </w:tc>
        <w:tc>
          <w:tcPr>
            <w:tcW w:w="1420" w:type="dxa"/>
            <w:vAlign w:val="bottom"/>
            <w:shd w:val="clear" w:color="auto" w:fill="ACACAC"/>
          </w:tcPr>
          <w:p>
            <w:pPr>
              <w:jc w:val="center"/>
              <w:spacing w:after="0"/>
              <w:rPr>
                <w:sz w:val="20"/>
                <w:szCs w:val="20"/>
                <w:color w:val="auto"/>
              </w:rPr>
            </w:pPr>
            <w:r>
              <w:rPr>
                <w:rFonts w:ascii="Arial" w:cs="Arial" w:eastAsia="Arial" w:hAnsi="Arial"/>
                <w:sz w:val="13"/>
                <w:szCs w:val="13"/>
                <w:color w:val="auto"/>
                <w:w w:val="91"/>
              </w:rPr>
              <w:t>-</w:t>
            </w:r>
          </w:p>
        </w:tc>
        <w:tc>
          <w:tcPr>
            <w:tcW w:w="1400" w:type="dxa"/>
            <w:vAlign w:val="bottom"/>
            <w:shd w:val="clear" w:color="auto" w:fill="ACACAC"/>
          </w:tcPr>
          <w:p>
            <w:pPr>
              <w:jc w:val="center"/>
              <w:ind w:left="36"/>
              <w:spacing w:after="0"/>
              <w:rPr>
                <w:sz w:val="20"/>
                <w:szCs w:val="20"/>
                <w:color w:val="auto"/>
              </w:rPr>
            </w:pPr>
            <w:r>
              <w:rPr>
                <w:rFonts w:ascii="Arial" w:cs="Arial" w:eastAsia="Arial" w:hAnsi="Arial"/>
                <w:sz w:val="13"/>
                <w:szCs w:val="13"/>
                <w:color w:val="auto"/>
              </w:rPr>
              <w:t xml:space="preserve">8,737 </w:t>
            </w:r>
            <w:r>
              <w:rPr>
                <w:rFonts w:ascii="Arial" w:cs="Arial" w:eastAsia="Arial" w:hAnsi="Arial"/>
                <w:sz w:val="8"/>
                <w:szCs w:val="8"/>
                <w:color w:val="auto"/>
              </w:rPr>
              <w:t>(4)</w:t>
            </w:r>
          </w:p>
        </w:tc>
        <w:tc>
          <w:tcPr>
            <w:tcW w:w="960" w:type="dxa"/>
            <w:vAlign w:val="bottom"/>
            <w:shd w:val="clear" w:color="auto" w:fill="ACACAC"/>
          </w:tcPr>
          <w:p>
            <w:pPr>
              <w:jc w:val="center"/>
              <w:spacing w:after="0"/>
              <w:rPr>
                <w:sz w:val="20"/>
                <w:szCs w:val="20"/>
                <w:color w:val="auto"/>
              </w:rPr>
            </w:pPr>
            <w:r>
              <w:rPr>
                <w:rFonts w:ascii="Arial" w:cs="Arial" w:eastAsia="Arial" w:hAnsi="Arial"/>
                <w:sz w:val="13"/>
                <w:szCs w:val="13"/>
                <w:color w:val="auto"/>
              </w:rPr>
              <w:t>$44.40</w:t>
            </w:r>
          </w:p>
        </w:tc>
        <w:tc>
          <w:tcPr>
            <w:tcW w:w="1400" w:type="dxa"/>
            <w:vAlign w:val="bottom"/>
            <w:shd w:val="clear" w:color="auto" w:fill="ACACAC"/>
          </w:tcPr>
          <w:p>
            <w:pPr>
              <w:jc w:val="center"/>
              <w:ind w:left="17"/>
              <w:spacing w:after="0"/>
              <w:rPr>
                <w:sz w:val="20"/>
                <w:szCs w:val="20"/>
                <w:color w:val="auto"/>
              </w:rPr>
            </w:pPr>
            <w:r>
              <w:rPr>
                <w:rFonts w:ascii="Arial" w:cs="Arial" w:eastAsia="Arial" w:hAnsi="Arial"/>
                <w:sz w:val="13"/>
                <w:szCs w:val="13"/>
                <w:color w:val="auto"/>
                <w:w w:val="98"/>
              </w:rPr>
              <w:t>10/18/2027</w:t>
            </w:r>
          </w:p>
        </w:tc>
        <w:tc>
          <w:tcPr>
            <w:tcW w:w="1240" w:type="dxa"/>
            <w:vAlign w:val="bottom"/>
            <w:shd w:val="clear" w:color="auto" w:fill="ACACAC"/>
          </w:tcPr>
          <w:p>
            <w:pPr>
              <w:jc w:val="center"/>
              <w:spacing w:after="0"/>
              <w:rPr>
                <w:sz w:val="20"/>
                <w:szCs w:val="20"/>
                <w:color w:val="auto"/>
              </w:rPr>
            </w:pPr>
            <w:r>
              <w:rPr>
                <w:rFonts w:ascii="Arial" w:cs="Arial" w:eastAsia="Arial" w:hAnsi="Arial"/>
                <w:sz w:val="13"/>
                <w:szCs w:val="13"/>
                <w:color w:val="auto"/>
              </w:rPr>
              <w:t xml:space="preserve">9,454 </w:t>
            </w:r>
            <w:r>
              <w:rPr>
                <w:rFonts w:ascii="Arial" w:cs="Arial" w:eastAsia="Arial" w:hAnsi="Arial"/>
                <w:sz w:val="8"/>
                <w:szCs w:val="8"/>
                <w:color w:val="auto"/>
              </w:rPr>
              <w:t>(4)</w:t>
            </w:r>
          </w:p>
        </w:tc>
        <w:tc>
          <w:tcPr>
            <w:tcW w:w="1080" w:type="dxa"/>
            <w:vAlign w:val="bottom"/>
            <w:shd w:val="clear" w:color="auto" w:fill="ACACAC"/>
          </w:tcPr>
          <w:p>
            <w:pPr>
              <w:jc w:val="center"/>
              <w:spacing w:after="0"/>
              <w:rPr>
                <w:sz w:val="20"/>
                <w:szCs w:val="20"/>
                <w:color w:val="auto"/>
              </w:rPr>
            </w:pPr>
            <w:r>
              <w:rPr>
                <w:rFonts w:ascii="Arial" w:cs="Arial" w:eastAsia="Arial" w:hAnsi="Arial"/>
                <w:sz w:val="13"/>
                <w:szCs w:val="13"/>
                <w:color w:val="auto"/>
                <w:w w:val="95"/>
              </w:rPr>
              <w:t>$352,634</w:t>
            </w:r>
          </w:p>
        </w:tc>
        <w:tc>
          <w:tcPr>
            <w:tcW w:w="1160" w:type="dxa"/>
            <w:vAlign w:val="bottom"/>
            <w:shd w:val="clear" w:color="auto" w:fill="ACACAC"/>
          </w:tcPr>
          <w:p>
            <w:pPr>
              <w:jc w:val="center"/>
              <w:spacing w:after="0"/>
              <w:rPr>
                <w:sz w:val="20"/>
                <w:szCs w:val="20"/>
                <w:color w:val="auto"/>
              </w:rPr>
            </w:pPr>
            <w:r>
              <w:rPr>
                <w:rFonts w:ascii="Arial" w:cs="Arial" w:eastAsia="Arial" w:hAnsi="Arial"/>
                <w:sz w:val="13"/>
                <w:szCs w:val="13"/>
                <w:color w:val="auto"/>
              </w:rPr>
              <w:t xml:space="preserve">6,110 </w:t>
            </w:r>
            <w:r>
              <w:rPr>
                <w:rFonts w:ascii="Arial" w:cs="Arial" w:eastAsia="Arial" w:hAnsi="Arial"/>
                <w:sz w:val="8"/>
                <w:szCs w:val="8"/>
                <w:color w:val="auto"/>
              </w:rPr>
              <w:t>(7)</w:t>
            </w:r>
          </w:p>
        </w:tc>
        <w:tc>
          <w:tcPr>
            <w:tcW w:w="1140" w:type="dxa"/>
            <w:vAlign w:val="bottom"/>
            <w:shd w:val="clear" w:color="auto" w:fill="ACACAC"/>
          </w:tcPr>
          <w:p>
            <w:pPr>
              <w:jc w:val="center"/>
              <w:spacing w:after="0"/>
              <w:rPr>
                <w:sz w:val="20"/>
                <w:szCs w:val="20"/>
                <w:color w:val="auto"/>
              </w:rPr>
            </w:pPr>
            <w:r>
              <w:rPr>
                <w:rFonts w:ascii="Arial" w:cs="Arial" w:eastAsia="Arial" w:hAnsi="Arial"/>
                <w:sz w:val="13"/>
                <w:szCs w:val="13"/>
                <w:color w:val="auto"/>
                <w:w w:val="95"/>
              </w:rPr>
              <w:t>$227,903</w:t>
            </w:r>
          </w:p>
        </w:tc>
      </w:tr>
      <w:tr>
        <w:trPr>
          <w:trHeight w:val="262"/>
        </w:trPr>
        <w:tc>
          <w:tcPr>
            <w:tcW w:w="1620" w:type="dxa"/>
            <w:vAlign w:val="bottom"/>
          </w:tcPr>
          <w:p>
            <w:pPr>
              <w:spacing w:after="0"/>
              <w:rPr>
                <w:sz w:val="22"/>
                <w:szCs w:val="22"/>
                <w:color w:val="auto"/>
              </w:rPr>
            </w:pPr>
          </w:p>
        </w:tc>
        <w:tc>
          <w:tcPr>
            <w:tcW w:w="14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160" w:type="dxa"/>
            <w:vAlign w:val="bottom"/>
          </w:tcPr>
          <w:p>
            <w:pPr>
              <w:jc w:val="center"/>
              <w:spacing w:after="0"/>
              <w:rPr>
                <w:sz w:val="20"/>
                <w:szCs w:val="20"/>
                <w:color w:val="auto"/>
              </w:rPr>
            </w:pPr>
            <w:r>
              <w:rPr>
                <w:rFonts w:ascii="Arial" w:cs="Arial" w:eastAsia="Arial" w:hAnsi="Arial"/>
                <w:sz w:val="13"/>
                <w:szCs w:val="13"/>
                <w:color w:val="auto"/>
              </w:rPr>
              <w:t xml:space="preserve">5,574 </w:t>
            </w:r>
            <w:r>
              <w:rPr>
                <w:rFonts w:ascii="Arial" w:cs="Arial" w:eastAsia="Arial" w:hAnsi="Arial"/>
                <w:sz w:val="8"/>
                <w:szCs w:val="8"/>
                <w:color w:val="auto"/>
              </w:rPr>
              <w:t>(8)</w:t>
            </w:r>
          </w:p>
        </w:tc>
        <w:tc>
          <w:tcPr>
            <w:tcW w:w="1140" w:type="dxa"/>
            <w:vAlign w:val="bottom"/>
          </w:tcPr>
          <w:p>
            <w:pPr>
              <w:jc w:val="center"/>
              <w:spacing w:after="0"/>
              <w:rPr>
                <w:sz w:val="20"/>
                <w:szCs w:val="20"/>
                <w:color w:val="auto"/>
              </w:rPr>
            </w:pPr>
            <w:r>
              <w:rPr>
                <w:rFonts w:ascii="Arial" w:cs="Arial" w:eastAsia="Arial" w:hAnsi="Arial"/>
                <w:sz w:val="13"/>
                <w:szCs w:val="13"/>
                <w:color w:val="auto"/>
                <w:w w:val="95"/>
              </w:rPr>
              <w:t>$207,910</w:t>
            </w:r>
          </w:p>
        </w:tc>
      </w:tr>
      <w:tr>
        <w:trPr>
          <w:trHeight w:val="278"/>
        </w:trPr>
        <w:tc>
          <w:tcPr>
            <w:tcW w:w="1620" w:type="dxa"/>
            <w:vAlign w:val="bottom"/>
            <w:shd w:val="clear" w:color="auto" w:fill="ACACAC"/>
          </w:tcPr>
          <w:p>
            <w:pPr>
              <w:ind w:left="40"/>
              <w:spacing w:after="0"/>
              <w:rPr>
                <w:sz w:val="20"/>
                <w:szCs w:val="20"/>
                <w:color w:val="auto"/>
              </w:rPr>
            </w:pPr>
            <w:r>
              <w:rPr>
                <w:rFonts w:ascii="Arial" w:cs="Arial" w:eastAsia="Arial" w:hAnsi="Arial"/>
                <w:sz w:val="13"/>
                <w:szCs w:val="13"/>
                <w:color w:val="auto"/>
              </w:rPr>
              <w:t>Stacy L. Bogart</w:t>
            </w:r>
          </w:p>
        </w:tc>
        <w:tc>
          <w:tcPr>
            <w:tcW w:w="1420" w:type="dxa"/>
            <w:vAlign w:val="bottom"/>
            <w:shd w:val="clear" w:color="auto" w:fill="ACACAC"/>
          </w:tcPr>
          <w:p>
            <w:pPr>
              <w:jc w:val="center"/>
              <w:spacing w:after="0"/>
              <w:rPr>
                <w:sz w:val="20"/>
                <w:szCs w:val="20"/>
                <w:color w:val="auto"/>
              </w:rPr>
            </w:pPr>
            <w:r>
              <w:rPr>
                <w:rFonts w:ascii="Arial" w:cs="Arial" w:eastAsia="Arial" w:hAnsi="Arial"/>
                <w:sz w:val="13"/>
                <w:szCs w:val="13"/>
                <w:color w:val="auto"/>
                <w:w w:val="91"/>
              </w:rPr>
              <w:t>-</w:t>
            </w:r>
          </w:p>
        </w:tc>
        <w:tc>
          <w:tcPr>
            <w:tcW w:w="1400" w:type="dxa"/>
            <w:vAlign w:val="bottom"/>
            <w:shd w:val="clear" w:color="auto" w:fill="ACACAC"/>
          </w:tcPr>
          <w:p>
            <w:pPr>
              <w:jc w:val="center"/>
              <w:ind w:left="36"/>
              <w:spacing w:after="0"/>
              <w:rPr>
                <w:sz w:val="20"/>
                <w:szCs w:val="20"/>
                <w:color w:val="auto"/>
              </w:rPr>
            </w:pPr>
            <w:r>
              <w:rPr>
                <w:rFonts w:ascii="Arial" w:cs="Arial" w:eastAsia="Arial" w:hAnsi="Arial"/>
                <w:sz w:val="13"/>
                <w:szCs w:val="13"/>
                <w:color w:val="auto"/>
              </w:rPr>
              <w:t>-</w:t>
            </w:r>
          </w:p>
        </w:tc>
        <w:tc>
          <w:tcPr>
            <w:tcW w:w="960" w:type="dxa"/>
            <w:vAlign w:val="bottom"/>
            <w:shd w:val="clear" w:color="auto" w:fill="ACACAC"/>
          </w:tcPr>
          <w:p>
            <w:pPr>
              <w:spacing w:after="0"/>
              <w:rPr>
                <w:sz w:val="24"/>
                <w:szCs w:val="24"/>
                <w:color w:val="auto"/>
              </w:rPr>
            </w:pPr>
          </w:p>
        </w:tc>
        <w:tc>
          <w:tcPr>
            <w:tcW w:w="1400" w:type="dxa"/>
            <w:vAlign w:val="bottom"/>
            <w:shd w:val="clear" w:color="auto" w:fill="ACACAC"/>
          </w:tcPr>
          <w:p>
            <w:pPr>
              <w:spacing w:after="0"/>
              <w:rPr>
                <w:sz w:val="24"/>
                <w:szCs w:val="24"/>
                <w:color w:val="auto"/>
              </w:rPr>
            </w:pPr>
          </w:p>
        </w:tc>
        <w:tc>
          <w:tcPr>
            <w:tcW w:w="1240" w:type="dxa"/>
            <w:vAlign w:val="bottom"/>
            <w:shd w:val="clear" w:color="auto" w:fill="ACACAC"/>
          </w:tcPr>
          <w:p>
            <w:pPr>
              <w:jc w:val="center"/>
              <w:spacing w:after="0"/>
              <w:rPr>
                <w:sz w:val="20"/>
                <w:szCs w:val="20"/>
                <w:color w:val="auto"/>
              </w:rPr>
            </w:pPr>
            <w:r>
              <w:rPr>
                <w:rFonts w:ascii="Arial" w:cs="Arial" w:eastAsia="Arial" w:hAnsi="Arial"/>
                <w:sz w:val="13"/>
                <w:szCs w:val="13"/>
                <w:color w:val="auto"/>
                <w:w w:val="97"/>
              </w:rPr>
              <w:t xml:space="preserve">10,000 </w:t>
            </w:r>
            <w:r>
              <w:rPr>
                <w:rFonts w:ascii="Arial" w:cs="Arial" w:eastAsia="Arial" w:hAnsi="Arial"/>
                <w:sz w:val="8"/>
                <w:szCs w:val="8"/>
                <w:color w:val="auto"/>
                <w:w w:val="97"/>
              </w:rPr>
              <w:t>(4)</w:t>
            </w:r>
          </w:p>
        </w:tc>
        <w:tc>
          <w:tcPr>
            <w:tcW w:w="1080" w:type="dxa"/>
            <w:vAlign w:val="bottom"/>
            <w:shd w:val="clear" w:color="auto" w:fill="ACACAC"/>
          </w:tcPr>
          <w:p>
            <w:pPr>
              <w:jc w:val="center"/>
              <w:spacing w:after="0"/>
              <w:rPr>
                <w:sz w:val="20"/>
                <w:szCs w:val="20"/>
                <w:color w:val="auto"/>
              </w:rPr>
            </w:pPr>
            <w:r>
              <w:rPr>
                <w:rFonts w:ascii="Arial" w:cs="Arial" w:eastAsia="Arial" w:hAnsi="Arial"/>
                <w:sz w:val="13"/>
                <w:szCs w:val="13"/>
                <w:color w:val="auto"/>
                <w:w w:val="95"/>
              </w:rPr>
              <w:t>$373,000</w:t>
            </w:r>
          </w:p>
        </w:tc>
        <w:tc>
          <w:tcPr>
            <w:tcW w:w="1160" w:type="dxa"/>
            <w:vAlign w:val="bottom"/>
            <w:shd w:val="clear" w:color="auto" w:fill="ACACAC"/>
          </w:tcPr>
          <w:p>
            <w:pPr>
              <w:jc w:val="center"/>
              <w:spacing w:after="0"/>
              <w:rPr>
                <w:sz w:val="20"/>
                <w:szCs w:val="20"/>
                <w:color w:val="auto"/>
              </w:rPr>
            </w:pPr>
            <w:r>
              <w:rPr>
                <w:rFonts w:ascii="Arial" w:cs="Arial" w:eastAsia="Arial" w:hAnsi="Arial"/>
                <w:sz w:val="13"/>
                <w:szCs w:val="13"/>
                <w:color w:val="auto"/>
              </w:rPr>
              <w:t xml:space="preserve">3,303 </w:t>
            </w:r>
            <w:r>
              <w:rPr>
                <w:rFonts w:ascii="Arial" w:cs="Arial" w:eastAsia="Arial" w:hAnsi="Arial"/>
                <w:sz w:val="8"/>
                <w:szCs w:val="8"/>
                <w:color w:val="auto"/>
              </w:rPr>
              <w:t>(8)</w:t>
            </w:r>
          </w:p>
        </w:tc>
        <w:tc>
          <w:tcPr>
            <w:tcW w:w="1140" w:type="dxa"/>
            <w:vAlign w:val="bottom"/>
            <w:shd w:val="clear" w:color="auto" w:fill="ACACAC"/>
          </w:tcPr>
          <w:p>
            <w:pPr>
              <w:jc w:val="center"/>
              <w:spacing w:after="0"/>
              <w:rPr>
                <w:sz w:val="20"/>
                <w:szCs w:val="20"/>
                <w:color w:val="auto"/>
              </w:rPr>
            </w:pPr>
            <w:r>
              <w:rPr>
                <w:rFonts w:ascii="Arial" w:cs="Arial" w:eastAsia="Arial" w:hAnsi="Arial"/>
                <w:sz w:val="13"/>
                <w:szCs w:val="13"/>
                <w:color w:val="auto"/>
                <w:w w:val="95"/>
              </w:rPr>
              <w:t>$123,202</w:t>
            </w:r>
          </w:p>
        </w:tc>
      </w:tr>
      <w:tr>
        <w:trPr>
          <w:trHeight w:val="262"/>
        </w:trPr>
        <w:tc>
          <w:tcPr>
            <w:tcW w:w="1620" w:type="dxa"/>
            <w:vAlign w:val="bottom"/>
          </w:tcPr>
          <w:p>
            <w:pPr>
              <w:ind w:left="40"/>
              <w:spacing w:after="0"/>
              <w:rPr>
                <w:sz w:val="20"/>
                <w:szCs w:val="20"/>
                <w:color w:val="auto"/>
              </w:rPr>
            </w:pPr>
            <w:r>
              <w:rPr>
                <w:rFonts w:ascii="Arial" w:cs="Arial" w:eastAsia="Arial" w:hAnsi="Arial"/>
                <w:sz w:val="13"/>
                <w:szCs w:val="13"/>
                <w:color w:val="auto"/>
              </w:rPr>
              <w:t>Donald J. Clark</w:t>
            </w:r>
          </w:p>
        </w:tc>
        <w:tc>
          <w:tcPr>
            <w:tcW w:w="1420" w:type="dxa"/>
            <w:vAlign w:val="bottom"/>
          </w:tcPr>
          <w:p>
            <w:pPr>
              <w:jc w:val="center"/>
              <w:spacing w:after="0"/>
              <w:rPr>
                <w:sz w:val="20"/>
                <w:szCs w:val="20"/>
                <w:color w:val="auto"/>
              </w:rPr>
            </w:pPr>
            <w:r>
              <w:rPr>
                <w:rFonts w:ascii="Arial" w:cs="Arial" w:eastAsia="Arial" w:hAnsi="Arial"/>
                <w:sz w:val="13"/>
                <w:szCs w:val="13"/>
                <w:color w:val="auto"/>
                <w:w w:val="91"/>
              </w:rPr>
              <w:t>-</w:t>
            </w:r>
          </w:p>
        </w:tc>
        <w:tc>
          <w:tcPr>
            <w:tcW w:w="1400" w:type="dxa"/>
            <w:vAlign w:val="bottom"/>
          </w:tcPr>
          <w:p>
            <w:pPr>
              <w:jc w:val="center"/>
              <w:ind w:left="36"/>
              <w:spacing w:after="0"/>
              <w:rPr>
                <w:sz w:val="20"/>
                <w:szCs w:val="20"/>
                <w:color w:val="auto"/>
              </w:rPr>
            </w:pPr>
            <w:r>
              <w:rPr>
                <w:rFonts w:ascii="Arial" w:cs="Arial" w:eastAsia="Arial" w:hAnsi="Arial"/>
                <w:sz w:val="13"/>
                <w:szCs w:val="13"/>
                <w:color w:val="auto"/>
              </w:rPr>
              <w:t>-</w:t>
            </w:r>
          </w:p>
        </w:tc>
        <w:tc>
          <w:tcPr>
            <w:tcW w:w="960" w:type="dxa"/>
            <w:vAlign w:val="bottom"/>
          </w:tcPr>
          <w:p>
            <w:pPr>
              <w:jc w:val="center"/>
              <w:spacing w:after="0"/>
              <w:rPr>
                <w:sz w:val="20"/>
                <w:szCs w:val="20"/>
                <w:color w:val="auto"/>
              </w:rPr>
            </w:pPr>
            <w:r>
              <w:rPr>
                <w:rFonts w:ascii="Arial" w:cs="Arial" w:eastAsia="Arial" w:hAnsi="Arial"/>
                <w:sz w:val="13"/>
                <w:szCs w:val="13"/>
                <w:color w:val="auto"/>
                <w:w w:val="98"/>
              </w:rPr>
              <w:t>$0.00</w:t>
            </w:r>
          </w:p>
        </w:tc>
        <w:tc>
          <w:tcPr>
            <w:tcW w:w="1400" w:type="dxa"/>
            <w:vAlign w:val="bottom"/>
          </w:tcPr>
          <w:p>
            <w:pPr>
              <w:jc w:val="center"/>
              <w:ind w:left="17"/>
              <w:spacing w:after="0"/>
              <w:rPr>
                <w:sz w:val="20"/>
                <w:szCs w:val="20"/>
                <w:color w:val="auto"/>
              </w:rPr>
            </w:pPr>
            <w:r>
              <w:rPr>
                <w:rFonts w:ascii="Arial" w:cs="Arial" w:eastAsia="Arial" w:hAnsi="Arial"/>
                <w:sz w:val="13"/>
                <w:szCs w:val="13"/>
                <w:color w:val="auto"/>
                <w:w w:val="91"/>
              </w:rPr>
              <w:t>-</w:t>
            </w:r>
          </w:p>
        </w:tc>
        <w:tc>
          <w:tcPr>
            <w:tcW w:w="1240" w:type="dxa"/>
            <w:vAlign w:val="bottom"/>
          </w:tcPr>
          <w:p>
            <w:pPr>
              <w:jc w:val="center"/>
              <w:spacing w:after="0"/>
              <w:rPr>
                <w:sz w:val="20"/>
                <w:szCs w:val="20"/>
                <w:color w:val="auto"/>
              </w:rPr>
            </w:pPr>
            <w:r>
              <w:rPr>
                <w:rFonts w:ascii="Arial" w:cs="Arial" w:eastAsia="Arial" w:hAnsi="Arial"/>
                <w:sz w:val="13"/>
                <w:szCs w:val="13"/>
                <w:color w:val="auto"/>
              </w:rPr>
              <w:t>-</w:t>
            </w:r>
          </w:p>
        </w:tc>
        <w:tc>
          <w:tcPr>
            <w:tcW w:w="1080" w:type="dxa"/>
            <w:vAlign w:val="bottom"/>
          </w:tcPr>
          <w:p>
            <w:pPr>
              <w:jc w:val="center"/>
              <w:spacing w:after="0"/>
              <w:rPr>
                <w:sz w:val="20"/>
                <w:szCs w:val="20"/>
                <w:color w:val="auto"/>
              </w:rPr>
            </w:pPr>
            <w:r>
              <w:rPr>
                <w:rFonts w:ascii="Arial" w:cs="Arial" w:eastAsia="Arial" w:hAnsi="Arial"/>
                <w:sz w:val="13"/>
                <w:szCs w:val="13"/>
                <w:color w:val="auto"/>
                <w:w w:val="91"/>
              </w:rPr>
              <w:t>-</w:t>
            </w:r>
          </w:p>
        </w:tc>
        <w:tc>
          <w:tcPr>
            <w:tcW w:w="1160" w:type="dxa"/>
            <w:vAlign w:val="bottom"/>
          </w:tcPr>
          <w:p>
            <w:pPr>
              <w:jc w:val="center"/>
              <w:spacing w:after="0"/>
              <w:rPr>
                <w:sz w:val="20"/>
                <w:szCs w:val="20"/>
                <w:color w:val="auto"/>
              </w:rPr>
            </w:pPr>
            <w:r>
              <w:rPr>
                <w:rFonts w:ascii="Arial" w:cs="Arial" w:eastAsia="Arial" w:hAnsi="Arial"/>
                <w:sz w:val="13"/>
                <w:szCs w:val="13"/>
                <w:color w:val="auto"/>
                <w:w w:val="91"/>
              </w:rPr>
              <w:t>-</w:t>
            </w:r>
          </w:p>
        </w:tc>
        <w:tc>
          <w:tcPr>
            <w:tcW w:w="1140" w:type="dxa"/>
            <w:vAlign w:val="bottom"/>
          </w:tcPr>
          <w:p>
            <w:pPr>
              <w:spacing w:after="0"/>
              <w:rPr>
                <w:sz w:val="22"/>
                <w:szCs w:val="22"/>
                <w:color w:val="auto"/>
              </w:rPr>
            </w:pPr>
          </w:p>
        </w:tc>
      </w:tr>
      <w:tr>
        <w:trPr>
          <w:trHeight w:val="197"/>
        </w:trPr>
        <w:tc>
          <w:tcPr>
            <w:tcW w:w="1620" w:type="dxa"/>
            <w:vAlign w:val="bottom"/>
            <w:shd w:val="clear" w:color="auto" w:fill="ACACAC"/>
          </w:tcPr>
          <w:p>
            <w:pPr>
              <w:ind w:left="40"/>
              <w:spacing w:after="0"/>
              <w:rPr>
                <w:sz w:val="20"/>
                <w:szCs w:val="20"/>
                <w:color w:val="auto"/>
              </w:rPr>
            </w:pPr>
            <w:r>
              <w:rPr>
                <w:rFonts w:ascii="Arial" w:cs="Arial" w:eastAsia="Arial" w:hAnsi="Arial"/>
                <w:sz w:val="13"/>
                <w:szCs w:val="13"/>
                <w:color w:val="auto"/>
              </w:rPr>
              <w:t>Brian D. Hazelton</w:t>
            </w:r>
          </w:p>
        </w:tc>
        <w:tc>
          <w:tcPr>
            <w:tcW w:w="1420" w:type="dxa"/>
            <w:vAlign w:val="bottom"/>
            <w:shd w:val="clear" w:color="auto" w:fill="ACACAC"/>
          </w:tcPr>
          <w:p>
            <w:pPr>
              <w:jc w:val="center"/>
              <w:spacing w:after="0"/>
              <w:rPr>
                <w:sz w:val="20"/>
                <w:szCs w:val="20"/>
                <w:color w:val="auto"/>
              </w:rPr>
            </w:pPr>
            <w:r>
              <w:rPr>
                <w:rFonts w:ascii="Arial" w:cs="Arial" w:eastAsia="Arial" w:hAnsi="Arial"/>
                <w:sz w:val="13"/>
                <w:szCs w:val="13"/>
                <w:color w:val="auto"/>
                <w:w w:val="98"/>
              </w:rPr>
              <w:t>2,333</w:t>
            </w:r>
          </w:p>
        </w:tc>
        <w:tc>
          <w:tcPr>
            <w:tcW w:w="1400" w:type="dxa"/>
            <w:vAlign w:val="bottom"/>
            <w:shd w:val="clear" w:color="auto" w:fill="ACACAC"/>
          </w:tcPr>
          <w:p>
            <w:pPr>
              <w:jc w:val="center"/>
              <w:ind w:left="36"/>
              <w:spacing w:after="0"/>
              <w:rPr>
                <w:sz w:val="20"/>
                <w:szCs w:val="20"/>
                <w:color w:val="auto"/>
              </w:rPr>
            </w:pPr>
            <w:r>
              <w:rPr>
                <w:rFonts w:ascii="Arial" w:cs="Arial" w:eastAsia="Arial" w:hAnsi="Arial"/>
                <w:sz w:val="13"/>
                <w:szCs w:val="13"/>
                <w:color w:val="auto"/>
              </w:rPr>
              <w:t xml:space="preserve">4,667 </w:t>
            </w:r>
            <w:r>
              <w:rPr>
                <w:rFonts w:ascii="Arial" w:cs="Arial" w:eastAsia="Arial" w:hAnsi="Arial"/>
                <w:sz w:val="8"/>
                <w:szCs w:val="8"/>
                <w:color w:val="auto"/>
              </w:rPr>
              <w:t>(1)</w:t>
            </w:r>
          </w:p>
        </w:tc>
        <w:tc>
          <w:tcPr>
            <w:tcW w:w="960" w:type="dxa"/>
            <w:vAlign w:val="bottom"/>
            <w:shd w:val="clear" w:color="auto" w:fill="ACACAC"/>
          </w:tcPr>
          <w:p>
            <w:pPr>
              <w:jc w:val="center"/>
              <w:spacing w:after="0"/>
              <w:rPr>
                <w:sz w:val="20"/>
                <w:szCs w:val="20"/>
                <w:color w:val="auto"/>
              </w:rPr>
            </w:pPr>
            <w:r>
              <w:rPr>
                <w:rFonts w:ascii="Arial" w:cs="Arial" w:eastAsia="Arial" w:hAnsi="Arial"/>
                <w:sz w:val="13"/>
                <w:szCs w:val="13"/>
                <w:color w:val="auto"/>
              </w:rPr>
              <w:t>$27.89</w:t>
            </w:r>
          </w:p>
        </w:tc>
        <w:tc>
          <w:tcPr>
            <w:tcW w:w="1400" w:type="dxa"/>
            <w:vAlign w:val="bottom"/>
            <w:shd w:val="clear" w:color="auto" w:fill="ACACAC"/>
          </w:tcPr>
          <w:p>
            <w:pPr>
              <w:jc w:val="center"/>
              <w:ind w:left="17"/>
              <w:spacing w:after="0"/>
              <w:rPr>
                <w:sz w:val="20"/>
                <w:szCs w:val="20"/>
                <w:color w:val="auto"/>
              </w:rPr>
            </w:pPr>
            <w:r>
              <w:rPr>
                <w:rFonts w:ascii="Arial" w:cs="Arial" w:eastAsia="Arial" w:hAnsi="Arial"/>
                <w:sz w:val="13"/>
                <w:szCs w:val="13"/>
                <w:color w:val="auto"/>
                <w:w w:val="98"/>
              </w:rPr>
              <w:t>10/11/2026</w:t>
            </w:r>
          </w:p>
        </w:tc>
        <w:tc>
          <w:tcPr>
            <w:tcW w:w="1240" w:type="dxa"/>
            <w:vAlign w:val="bottom"/>
            <w:shd w:val="clear" w:color="auto" w:fill="ACACAC"/>
          </w:tcPr>
          <w:p>
            <w:pPr>
              <w:jc w:val="center"/>
              <w:spacing w:after="0"/>
              <w:rPr>
                <w:sz w:val="20"/>
                <w:szCs w:val="20"/>
                <w:color w:val="auto"/>
              </w:rPr>
            </w:pPr>
            <w:r>
              <w:rPr>
                <w:rFonts w:ascii="Arial" w:cs="Arial" w:eastAsia="Arial" w:hAnsi="Arial"/>
                <w:sz w:val="13"/>
                <w:szCs w:val="13"/>
                <w:color w:val="auto"/>
              </w:rPr>
              <w:t>-</w:t>
            </w:r>
          </w:p>
        </w:tc>
        <w:tc>
          <w:tcPr>
            <w:tcW w:w="1080" w:type="dxa"/>
            <w:vAlign w:val="bottom"/>
            <w:shd w:val="clear" w:color="auto" w:fill="ACACAC"/>
          </w:tcPr>
          <w:p>
            <w:pPr>
              <w:jc w:val="center"/>
              <w:spacing w:after="0"/>
              <w:rPr>
                <w:sz w:val="20"/>
                <w:szCs w:val="20"/>
                <w:color w:val="auto"/>
              </w:rPr>
            </w:pPr>
            <w:r>
              <w:rPr>
                <w:rFonts w:ascii="Arial" w:cs="Arial" w:eastAsia="Arial" w:hAnsi="Arial"/>
                <w:sz w:val="13"/>
                <w:szCs w:val="13"/>
                <w:color w:val="auto"/>
                <w:w w:val="91"/>
              </w:rPr>
              <w:t>-</w:t>
            </w:r>
          </w:p>
        </w:tc>
        <w:tc>
          <w:tcPr>
            <w:tcW w:w="1160" w:type="dxa"/>
            <w:vAlign w:val="bottom"/>
            <w:shd w:val="clear" w:color="auto" w:fill="ACACAC"/>
          </w:tcPr>
          <w:p>
            <w:pPr>
              <w:jc w:val="center"/>
              <w:spacing w:after="0"/>
              <w:rPr>
                <w:sz w:val="20"/>
                <w:szCs w:val="20"/>
                <w:color w:val="auto"/>
              </w:rPr>
            </w:pPr>
            <w:r>
              <w:rPr>
                <w:rFonts w:ascii="Arial" w:cs="Arial" w:eastAsia="Arial" w:hAnsi="Arial"/>
                <w:sz w:val="13"/>
                <w:szCs w:val="13"/>
                <w:color w:val="auto"/>
              </w:rPr>
              <w:t xml:space="preserve">9,290 </w:t>
            </w:r>
            <w:r>
              <w:rPr>
                <w:rFonts w:ascii="Arial" w:cs="Arial" w:eastAsia="Arial" w:hAnsi="Arial"/>
                <w:sz w:val="8"/>
                <w:szCs w:val="8"/>
                <w:color w:val="auto"/>
              </w:rPr>
              <w:t>(7)</w:t>
            </w:r>
          </w:p>
        </w:tc>
        <w:tc>
          <w:tcPr>
            <w:tcW w:w="1140" w:type="dxa"/>
            <w:vAlign w:val="bottom"/>
            <w:shd w:val="clear" w:color="auto" w:fill="ACACAC"/>
          </w:tcPr>
          <w:p>
            <w:pPr>
              <w:jc w:val="center"/>
              <w:spacing w:after="0"/>
              <w:rPr>
                <w:sz w:val="20"/>
                <w:szCs w:val="20"/>
                <w:color w:val="auto"/>
              </w:rPr>
            </w:pPr>
            <w:r>
              <w:rPr>
                <w:rFonts w:ascii="Arial" w:cs="Arial" w:eastAsia="Arial" w:hAnsi="Arial"/>
                <w:sz w:val="13"/>
                <w:szCs w:val="13"/>
                <w:color w:val="auto"/>
                <w:w w:val="95"/>
              </w:rPr>
              <w:t>$346,517</w:t>
            </w:r>
          </w:p>
        </w:tc>
      </w:tr>
      <w:tr>
        <w:trPr>
          <w:trHeight w:val="254"/>
        </w:trPr>
        <w:tc>
          <w:tcPr>
            <w:tcW w:w="1620" w:type="dxa"/>
            <w:vAlign w:val="bottom"/>
          </w:tcPr>
          <w:p>
            <w:pPr>
              <w:spacing w:after="0"/>
              <w:rPr>
                <w:sz w:val="22"/>
                <w:szCs w:val="22"/>
                <w:color w:val="auto"/>
              </w:rPr>
            </w:pPr>
          </w:p>
        </w:tc>
        <w:tc>
          <w:tcPr>
            <w:tcW w:w="1420" w:type="dxa"/>
            <w:vAlign w:val="bottom"/>
          </w:tcPr>
          <w:p>
            <w:pPr>
              <w:jc w:val="center"/>
              <w:spacing w:after="0"/>
              <w:rPr>
                <w:sz w:val="20"/>
                <w:szCs w:val="20"/>
                <w:color w:val="auto"/>
              </w:rPr>
            </w:pPr>
            <w:r>
              <w:rPr>
                <w:rFonts w:ascii="Arial" w:cs="Arial" w:eastAsia="Arial" w:hAnsi="Arial"/>
                <w:sz w:val="13"/>
                <w:szCs w:val="13"/>
                <w:color w:val="auto"/>
                <w:w w:val="91"/>
              </w:rPr>
              <w:t>-</w:t>
            </w:r>
          </w:p>
        </w:tc>
        <w:tc>
          <w:tcPr>
            <w:tcW w:w="1400" w:type="dxa"/>
            <w:vAlign w:val="bottom"/>
          </w:tcPr>
          <w:p>
            <w:pPr>
              <w:jc w:val="center"/>
              <w:ind w:left="36"/>
              <w:spacing w:after="0"/>
              <w:rPr>
                <w:sz w:val="20"/>
                <w:szCs w:val="20"/>
                <w:color w:val="auto"/>
              </w:rPr>
            </w:pPr>
            <w:r>
              <w:rPr>
                <w:rFonts w:ascii="Arial" w:cs="Arial" w:eastAsia="Arial" w:hAnsi="Arial"/>
                <w:sz w:val="13"/>
                <w:szCs w:val="13"/>
                <w:color w:val="auto"/>
              </w:rPr>
              <w:t xml:space="preserve">8,241 </w:t>
            </w:r>
            <w:r>
              <w:rPr>
                <w:rFonts w:ascii="Arial" w:cs="Arial" w:eastAsia="Arial" w:hAnsi="Arial"/>
                <w:sz w:val="8"/>
                <w:szCs w:val="8"/>
                <w:color w:val="auto"/>
              </w:rPr>
              <w:t>(4)</w:t>
            </w:r>
          </w:p>
        </w:tc>
        <w:tc>
          <w:tcPr>
            <w:tcW w:w="960" w:type="dxa"/>
            <w:vAlign w:val="bottom"/>
          </w:tcPr>
          <w:p>
            <w:pPr>
              <w:jc w:val="center"/>
              <w:spacing w:after="0"/>
              <w:rPr>
                <w:sz w:val="20"/>
                <w:szCs w:val="20"/>
                <w:color w:val="auto"/>
              </w:rPr>
            </w:pPr>
            <w:r>
              <w:rPr>
                <w:rFonts w:ascii="Arial" w:cs="Arial" w:eastAsia="Arial" w:hAnsi="Arial"/>
                <w:sz w:val="13"/>
                <w:szCs w:val="13"/>
                <w:color w:val="auto"/>
              </w:rPr>
              <w:t>$44.40</w:t>
            </w:r>
          </w:p>
        </w:tc>
        <w:tc>
          <w:tcPr>
            <w:tcW w:w="1400" w:type="dxa"/>
            <w:vAlign w:val="bottom"/>
          </w:tcPr>
          <w:p>
            <w:pPr>
              <w:jc w:val="center"/>
              <w:ind w:left="17"/>
              <w:spacing w:after="0"/>
              <w:rPr>
                <w:sz w:val="20"/>
                <w:szCs w:val="20"/>
                <w:color w:val="auto"/>
              </w:rPr>
            </w:pPr>
            <w:r>
              <w:rPr>
                <w:rFonts w:ascii="Arial" w:cs="Arial" w:eastAsia="Arial" w:hAnsi="Arial"/>
                <w:sz w:val="13"/>
                <w:szCs w:val="13"/>
                <w:color w:val="auto"/>
                <w:w w:val="98"/>
              </w:rPr>
              <w:t>10/18/2027</w:t>
            </w:r>
          </w:p>
        </w:tc>
        <w:tc>
          <w:tcPr>
            <w:tcW w:w="1240" w:type="dxa"/>
            <w:vAlign w:val="bottom"/>
          </w:tcPr>
          <w:p>
            <w:pPr>
              <w:jc w:val="center"/>
              <w:spacing w:after="0"/>
              <w:rPr>
                <w:sz w:val="20"/>
                <w:szCs w:val="20"/>
                <w:color w:val="auto"/>
              </w:rPr>
            </w:pPr>
            <w:r>
              <w:rPr>
                <w:rFonts w:ascii="Arial" w:cs="Arial" w:eastAsia="Arial" w:hAnsi="Arial"/>
                <w:sz w:val="13"/>
                <w:szCs w:val="13"/>
                <w:color w:val="auto"/>
              </w:rPr>
              <w:t xml:space="preserve">10,077 </w:t>
            </w:r>
            <w:r>
              <w:rPr>
                <w:rFonts w:ascii="Arial" w:cs="Arial" w:eastAsia="Arial" w:hAnsi="Arial"/>
                <w:sz w:val="8"/>
                <w:szCs w:val="8"/>
                <w:color w:val="auto"/>
              </w:rPr>
              <w:t>(4)</w:t>
            </w:r>
          </w:p>
        </w:tc>
        <w:tc>
          <w:tcPr>
            <w:tcW w:w="1080" w:type="dxa"/>
            <w:vAlign w:val="bottom"/>
          </w:tcPr>
          <w:p>
            <w:pPr>
              <w:jc w:val="center"/>
              <w:spacing w:after="0"/>
              <w:rPr>
                <w:sz w:val="20"/>
                <w:szCs w:val="20"/>
                <w:color w:val="auto"/>
              </w:rPr>
            </w:pPr>
            <w:r>
              <w:rPr>
                <w:rFonts w:ascii="Arial" w:cs="Arial" w:eastAsia="Arial" w:hAnsi="Arial"/>
                <w:sz w:val="13"/>
                <w:szCs w:val="13"/>
                <w:color w:val="auto"/>
                <w:w w:val="95"/>
              </w:rPr>
              <w:t>$375,872</w:t>
            </w:r>
          </w:p>
        </w:tc>
        <w:tc>
          <w:tcPr>
            <w:tcW w:w="1160" w:type="dxa"/>
            <w:vAlign w:val="bottom"/>
          </w:tcPr>
          <w:p>
            <w:pPr>
              <w:jc w:val="center"/>
              <w:spacing w:after="0"/>
              <w:rPr>
                <w:sz w:val="20"/>
                <w:szCs w:val="20"/>
                <w:color w:val="auto"/>
              </w:rPr>
            </w:pPr>
            <w:r>
              <w:rPr>
                <w:rFonts w:ascii="Arial" w:cs="Arial" w:eastAsia="Arial" w:hAnsi="Arial"/>
                <w:sz w:val="13"/>
                <w:szCs w:val="13"/>
                <w:color w:val="auto"/>
              </w:rPr>
              <w:t xml:space="preserve">5,486 </w:t>
            </w:r>
            <w:r>
              <w:rPr>
                <w:rFonts w:ascii="Arial" w:cs="Arial" w:eastAsia="Arial" w:hAnsi="Arial"/>
                <w:sz w:val="8"/>
                <w:szCs w:val="8"/>
                <w:color w:val="auto"/>
              </w:rPr>
              <w:t>(8)</w:t>
            </w:r>
          </w:p>
        </w:tc>
        <w:tc>
          <w:tcPr>
            <w:tcW w:w="1140" w:type="dxa"/>
            <w:vAlign w:val="bottom"/>
          </w:tcPr>
          <w:p>
            <w:pPr>
              <w:jc w:val="center"/>
              <w:spacing w:after="0"/>
              <w:rPr>
                <w:sz w:val="20"/>
                <w:szCs w:val="20"/>
                <w:color w:val="auto"/>
              </w:rPr>
            </w:pPr>
            <w:r>
              <w:rPr>
                <w:rFonts w:ascii="Arial" w:cs="Arial" w:eastAsia="Arial" w:hAnsi="Arial"/>
                <w:sz w:val="13"/>
                <w:szCs w:val="13"/>
                <w:color w:val="auto"/>
                <w:w w:val="95"/>
              </w:rPr>
              <w:t>$204,628</w:t>
            </w:r>
          </w:p>
        </w:tc>
      </w:tr>
    </w:tbl>
    <w:p>
      <w:pPr>
        <w:spacing w:after="0" w:line="159" w:lineRule="exact"/>
        <w:rPr>
          <w:sz w:val="20"/>
          <w:szCs w:val="20"/>
          <w:color w:val="auto"/>
        </w:rPr>
      </w:pPr>
    </w:p>
    <w:p>
      <w:pPr>
        <w:ind w:left="340" w:right="500" w:hanging="332"/>
        <w:spacing w:after="0" w:line="238" w:lineRule="auto"/>
        <w:tabs>
          <w:tab w:leader="none" w:pos="340" w:val="left"/>
        </w:tabs>
        <w:numPr>
          <w:ilvl w:val="0"/>
          <w:numId w:val="43"/>
        </w:numPr>
        <w:rPr>
          <w:rFonts w:ascii="Arial" w:cs="Arial" w:eastAsia="Arial" w:hAnsi="Arial"/>
          <w:sz w:val="13"/>
          <w:szCs w:val="13"/>
          <w:color w:val="auto"/>
        </w:rPr>
      </w:pPr>
      <w:r>
        <w:rPr>
          <w:rFonts w:ascii="Arial" w:cs="Arial" w:eastAsia="Arial" w:hAnsi="Arial"/>
          <w:sz w:val="13"/>
          <w:szCs w:val="13"/>
          <w:color w:val="auto"/>
        </w:rPr>
        <w:t>Represents stock granted on October 11, 2016 as an annual stock grant under the 2014 Plan, which will vest with respect to 33% of the shares covered by the option on each of the first three anniversaries of the grant date.</w:t>
      </w:r>
    </w:p>
    <w:p>
      <w:pPr>
        <w:ind w:left="340" w:hanging="332"/>
        <w:spacing w:after="0" w:line="238" w:lineRule="auto"/>
        <w:tabs>
          <w:tab w:leader="none" w:pos="340" w:val="left"/>
        </w:tabs>
        <w:numPr>
          <w:ilvl w:val="0"/>
          <w:numId w:val="43"/>
        </w:numPr>
        <w:rPr>
          <w:rFonts w:ascii="Arial" w:cs="Arial" w:eastAsia="Arial" w:hAnsi="Arial"/>
          <w:sz w:val="13"/>
          <w:szCs w:val="13"/>
          <w:color w:val="auto"/>
        </w:rPr>
      </w:pPr>
      <w:r>
        <w:rPr>
          <w:rFonts w:ascii="Arial" w:cs="Arial" w:eastAsia="Arial" w:hAnsi="Arial"/>
          <w:sz w:val="13"/>
          <w:szCs w:val="13"/>
          <w:color w:val="auto"/>
        </w:rPr>
        <w:t>Represents stock granted on January 18, 2016 as a new hire grant under the 2014 Plan, which will vest with respect to 33% of the shares covered by the option on each of the first three anniversaries of the grant date.</w:t>
      </w:r>
    </w:p>
    <w:p>
      <w:pPr>
        <w:ind w:left="340" w:right="280" w:hanging="332"/>
        <w:spacing w:after="0" w:line="242" w:lineRule="auto"/>
        <w:tabs>
          <w:tab w:leader="none" w:pos="340" w:val="left"/>
        </w:tabs>
        <w:numPr>
          <w:ilvl w:val="0"/>
          <w:numId w:val="43"/>
        </w:numPr>
        <w:rPr>
          <w:rFonts w:ascii="Arial" w:cs="Arial" w:eastAsia="Arial" w:hAnsi="Arial"/>
          <w:sz w:val="13"/>
          <w:szCs w:val="13"/>
          <w:color w:val="auto"/>
        </w:rPr>
      </w:pPr>
      <w:r>
        <w:rPr>
          <w:rFonts w:ascii="Arial" w:cs="Arial" w:eastAsia="Arial" w:hAnsi="Arial"/>
          <w:sz w:val="13"/>
          <w:szCs w:val="13"/>
          <w:color w:val="auto"/>
        </w:rPr>
        <w:t>Represents stock granted on December 13, 2016 as a grant for the purchase of Grand Design RV under the 2014 Plan, which will vest with respect to 33% of the shares covered by the option on each of the first three anniversaries of the grant date.</w:t>
      </w:r>
    </w:p>
    <w:p>
      <w:pPr>
        <w:spacing w:after="0" w:line="24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31</w:t>
      </w:r>
    </w:p>
    <w:p>
      <w:pPr>
        <w:sectPr>
          <w:pgSz w:w="11900" w:h="16838" w:orient="portrait"/>
          <w:cols w:equalWidth="0" w:num="1">
            <w:col w:w="11420"/>
          </w:cols>
          <w:pgMar w:left="240" w:top="303" w:right="239" w:bottom="1440" w:gutter="0" w:footer="0" w:header="0"/>
          <w:type w:val="continuous"/>
        </w:sectPr>
      </w:pPr>
    </w:p>
    <w:bookmarkStart w:id="35" w:name="page36"/>
    <w:bookmarkEnd w:id="35"/>
    <w:p>
      <w:pPr>
        <w:ind w:left="40"/>
        <w:spacing w:after="0"/>
        <w:rPr>
          <w:rFonts w:ascii="Arial" w:cs="Arial" w:eastAsia="Arial" w:hAnsi="Arial"/>
          <w:sz w:val="16"/>
          <w:szCs w:val="16"/>
          <w:u w:val="single" w:color="auto"/>
          <w:color w:val="0000EE"/>
        </w:rPr>
      </w:pPr>
      <w:r>
        <w:rPr>
          <w:rFonts w:ascii="Arial" w:cs="Arial" w:eastAsia="Arial" w:hAnsi="Arial"/>
          <w:sz w:val="16"/>
          <w:szCs w:val="16"/>
          <w:u w:val="single" w:color="auto"/>
          <w:color w:val="0000EE"/>
        </w:rPr>
        <w:drawing>
          <wp:anchor simplePos="0" relativeHeight="251657728" behindDoc="1" locked="0" layoutInCell="0" allowOverlap="1">
            <wp:simplePos x="0" y="0"/>
            <wp:positionH relativeFrom="page">
              <wp:posOffset>5946140</wp:posOffset>
            </wp:positionH>
            <wp:positionV relativeFrom="page">
              <wp:posOffset>191770</wp:posOffset>
            </wp:positionV>
            <wp:extent cx="1440815" cy="20574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clrChange>
                        <a:clrFrom>
                          <a:srgbClr val="FFFFFF"/>
                        </a:clrFrom>
                        <a:clrTo>
                          <a:srgbClr val="FFFFFF">
                            <a:alpha val="0"/>
                          </a:srgbClr>
                        </a:clrTo>
                      </a:clrChange>
                      <a:extLst>
                        <a:ext uri="{28A0092B-C50C-407E-A947-70E740481C1C}"/>
                      </a:extLst>
                    </a:blip>
                    <a:srcRect/>
                    <a:stretch>
                      <a:fillRect/>
                    </a:stretch>
                  </pic:blipFill>
                  <pic:spPr bwMode="auto">
                    <a:xfrm>
                      <a:off x="0" y="0"/>
                      <a:ext cx="1440815" cy="205740"/>
                    </a:xfrm>
                    <a:prstGeom prst="rect">
                      <a:avLst/>
                    </a:prstGeom>
                    <a:noFill/>
                  </pic:spPr>
                </pic:pic>
              </a:graphicData>
            </a:graphic>
          </wp:anchor>
        </w:drawing>
      </w:r>
      <w:hyperlink w:anchor="page4">
        <w:r>
          <w:rPr>
            <w:rFonts w:ascii="Arial" w:cs="Arial" w:eastAsia="Arial" w:hAnsi="Arial"/>
            <w:sz w:val="16"/>
            <w:szCs w:val="16"/>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104775</wp:posOffset>
            </wp:positionV>
            <wp:extent cx="7246620" cy="889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96" w:lineRule="exact"/>
        <w:rPr>
          <w:sz w:val="20"/>
          <w:szCs w:val="20"/>
          <w:color w:val="auto"/>
        </w:rPr>
      </w:pPr>
    </w:p>
    <w:p>
      <w:pPr>
        <w:ind w:left="340" w:right="500" w:hanging="332"/>
        <w:spacing w:after="0" w:line="238" w:lineRule="auto"/>
        <w:tabs>
          <w:tab w:leader="none" w:pos="340" w:val="left"/>
        </w:tabs>
        <w:numPr>
          <w:ilvl w:val="0"/>
          <w:numId w:val="44"/>
        </w:numPr>
        <w:rPr>
          <w:rFonts w:ascii="Arial" w:cs="Arial" w:eastAsia="Arial" w:hAnsi="Arial"/>
          <w:sz w:val="13"/>
          <w:szCs w:val="13"/>
          <w:color w:val="auto"/>
        </w:rPr>
      </w:pPr>
      <w:r>
        <w:rPr>
          <w:rFonts w:ascii="Arial" w:cs="Arial" w:eastAsia="Arial" w:hAnsi="Arial"/>
          <w:sz w:val="13"/>
          <w:szCs w:val="13"/>
          <w:color w:val="auto"/>
        </w:rPr>
        <w:t>Represents stock granted on October 18, 2017 as an annual stock grant under the 2014 Plan, which will vest with respect to 33% of the shares covered by the option on each of the first three anniversaries of the grant date.</w:t>
      </w:r>
    </w:p>
    <w:p>
      <w:pPr>
        <w:ind w:left="340" w:hanging="332"/>
        <w:spacing w:after="0"/>
        <w:tabs>
          <w:tab w:leader="none" w:pos="340" w:val="left"/>
        </w:tabs>
        <w:numPr>
          <w:ilvl w:val="0"/>
          <w:numId w:val="44"/>
        </w:numPr>
        <w:rPr>
          <w:rFonts w:ascii="Arial" w:cs="Arial" w:eastAsia="Arial" w:hAnsi="Arial"/>
          <w:sz w:val="13"/>
          <w:szCs w:val="13"/>
          <w:color w:val="auto"/>
        </w:rPr>
      </w:pPr>
      <w:r>
        <w:rPr>
          <w:rFonts w:ascii="Arial" w:cs="Arial" w:eastAsia="Arial" w:hAnsi="Arial"/>
          <w:sz w:val="13"/>
          <w:szCs w:val="13"/>
          <w:color w:val="auto"/>
        </w:rPr>
        <w:t>Represents stock granted on January 2, 2018 as a new hire grant under the Omnibus Plan, which will vest with respect to 1/3 of the shares on the first anniversary of the date of grant.</w:t>
      </w:r>
    </w:p>
    <w:p>
      <w:pPr>
        <w:ind w:left="340" w:hanging="332"/>
        <w:spacing w:after="0"/>
        <w:tabs>
          <w:tab w:leader="none" w:pos="340" w:val="left"/>
        </w:tabs>
        <w:numPr>
          <w:ilvl w:val="0"/>
          <w:numId w:val="44"/>
        </w:numPr>
        <w:rPr>
          <w:rFonts w:ascii="Arial" w:cs="Arial" w:eastAsia="Arial" w:hAnsi="Arial"/>
          <w:sz w:val="12"/>
          <w:szCs w:val="12"/>
          <w:color w:val="auto"/>
        </w:rPr>
      </w:pPr>
      <w:r>
        <w:rPr>
          <w:rFonts w:ascii="Arial" w:cs="Arial" w:eastAsia="Arial" w:hAnsi="Arial"/>
          <w:sz w:val="12"/>
          <w:szCs w:val="12"/>
          <w:color w:val="auto"/>
        </w:rPr>
        <w:t>Represents FY16-18 LTIP at target, under the 2014 Plan for the three-year performance period beginning August 29 2015 ending August 25 2018. Settled shares subject to one year holding period.</w:t>
      </w:r>
    </w:p>
    <w:p>
      <w:pPr>
        <w:spacing w:after="0" w:line="10" w:lineRule="exact"/>
        <w:rPr>
          <w:rFonts w:ascii="Arial" w:cs="Arial" w:eastAsia="Arial" w:hAnsi="Arial"/>
          <w:sz w:val="12"/>
          <w:szCs w:val="12"/>
          <w:color w:val="auto"/>
        </w:rPr>
      </w:pPr>
    </w:p>
    <w:p>
      <w:pPr>
        <w:ind w:left="340" w:hanging="332"/>
        <w:spacing w:after="0"/>
        <w:tabs>
          <w:tab w:leader="none" w:pos="340" w:val="left"/>
        </w:tabs>
        <w:numPr>
          <w:ilvl w:val="0"/>
          <w:numId w:val="44"/>
        </w:numPr>
        <w:rPr>
          <w:rFonts w:ascii="Arial" w:cs="Arial" w:eastAsia="Arial" w:hAnsi="Arial"/>
          <w:sz w:val="12"/>
          <w:szCs w:val="12"/>
          <w:color w:val="auto"/>
        </w:rPr>
      </w:pPr>
      <w:r>
        <w:rPr>
          <w:rFonts w:ascii="Arial" w:cs="Arial" w:eastAsia="Arial" w:hAnsi="Arial"/>
          <w:sz w:val="12"/>
          <w:szCs w:val="12"/>
          <w:color w:val="auto"/>
        </w:rPr>
        <w:t>Represents FY17-19 LTIP at target, under the 2014 Plan for the three-year performance period beginning August 28 2016 ending August 31 2019. Settled shares subject to one year holding period.</w:t>
      </w:r>
    </w:p>
    <w:p>
      <w:pPr>
        <w:spacing w:after="0" w:line="10" w:lineRule="exact"/>
        <w:rPr>
          <w:rFonts w:ascii="Arial" w:cs="Arial" w:eastAsia="Arial" w:hAnsi="Arial"/>
          <w:sz w:val="12"/>
          <w:szCs w:val="12"/>
          <w:color w:val="auto"/>
        </w:rPr>
      </w:pPr>
    </w:p>
    <w:p>
      <w:pPr>
        <w:ind w:left="340" w:hanging="332"/>
        <w:spacing w:after="0"/>
        <w:tabs>
          <w:tab w:leader="none" w:pos="340" w:val="left"/>
        </w:tabs>
        <w:numPr>
          <w:ilvl w:val="0"/>
          <w:numId w:val="44"/>
        </w:numPr>
        <w:rPr>
          <w:rFonts w:ascii="Arial" w:cs="Arial" w:eastAsia="Arial" w:hAnsi="Arial"/>
          <w:sz w:val="12"/>
          <w:szCs w:val="12"/>
          <w:color w:val="auto"/>
        </w:rPr>
      </w:pPr>
      <w:r>
        <w:rPr>
          <w:rFonts w:ascii="Arial" w:cs="Arial" w:eastAsia="Arial" w:hAnsi="Arial"/>
          <w:sz w:val="12"/>
          <w:szCs w:val="12"/>
          <w:color w:val="auto"/>
        </w:rPr>
        <w:t>Represents FY18-20 LTIP at target, under the 2014 Plan for the three-year performance period beginning August 27 2017 ending August 30 2020. Settled shares subject to one year holding period.</w:t>
      </w:r>
    </w:p>
    <w:p>
      <w:pPr>
        <w:spacing w:after="0" w:line="10" w:lineRule="exact"/>
        <w:rPr>
          <w:rFonts w:ascii="Arial" w:cs="Arial" w:eastAsia="Arial" w:hAnsi="Arial"/>
          <w:sz w:val="12"/>
          <w:szCs w:val="12"/>
          <w:color w:val="auto"/>
        </w:rPr>
      </w:pPr>
    </w:p>
    <w:p>
      <w:pPr>
        <w:ind w:left="340" w:hanging="332"/>
        <w:spacing w:after="0"/>
        <w:tabs>
          <w:tab w:leader="none" w:pos="340" w:val="left"/>
        </w:tabs>
        <w:numPr>
          <w:ilvl w:val="0"/>
          <w:numId w:val="44"/>
        </w:numPr>
        <w:rPr>
          <w:rFonts w:ascii="Arial" w:cs="Arial" w:eastAsia="Arial" w:hAnsi="Arial"/>
          <w:sz w:val="13"/>
          <w:szCs w:val="13"/>
          <w:color w:val="auto"/>
        </w:rPr>
      </w:pPr>
      <w:r>
        <w:rPr>
          <w:rFonts w:ascii="Arial" w:cs="Arial" w:eastAsia="Arial" w:hAnsi="Arial"/>
          <w:sz w:val="13"/>
          <w:szCs w:val="13"/>
          <w:color w:val="auto"/>
        </w:rPr>
        <w:t>Represents the value of unvested stock as of August 25th 2018 with a stock price of $37.30.</w:t>
      </w:r>
    </w:p>
    <w:p>
      <w:pPr>
        <w:spacing w:after="0" w:line="53" w:lineRule="exact"/>
        <w:rPr>
          <w:rFonts w:ascii="Arial" w:cs="Arial" w:eastAsia="Arial" w:hAnsi="Arial"/>
          <w:sz w:val="13"/>
          <w:szCs w:val="13"/>
          <w:color w:val="auto"/>
        </w:rPr>
      </w:pPr>
    </w:p>
    <w:p>
      <w:pPr>
        <w:ind w:left="340" w:hanging="332"/>
        <w:spacing w:after="0"/>
        <w:tabs>
          <w:tab w:leader="none" w:pos="340" w:val="left"/>
        </w:tabs>
        <w:numPr>
          <w:ilvl w:val="0"/>
          <w:numId w:val="44"/>
        </w:numPr>
        <w:rPr>
          <w:rFonts w:ascii="Arial" w:cs="Arial" w:eastAsia="Arial" w:hAnsi="Arial"/>
          <w:sz w:val="13"/>
          <w:szCs w:val="13"/>
          <w:color w:val="auto"/>
        </w:rPr>
      </w:pPr>
      <w:r>
        <w:rPr>
          <w:rFonts w:ascii="Arial" w:cs="Arial" w:eastAsia="Arial" w:hAnsi="Arial"/>
          <w:sz w:val="13"/>
          <w:szCs w:val="13"/>
          <w:color w:val="auto"/>
        </w:rPr>
        <w:t>Represents the value of unearned LTIP awards at target as of August 25th 2018 with a stock price of $37.30.</w:t>
      </w:r>
    </w:p>
    <w:p>
      <w:pPr>
        <w:spacing w:after="0" w:line="269" w:lineRule="exact"/>
        <w:rPr>
          <w:sz w:val="20"/>
          <w:szCs w:val="20"/>
          <w:color w:val="auto"/>
        </w:rPr>
      </w:pPr>
    </w:p>
    <w:p>
      <w:pPr>
        <w:spacing w:after="0"/>
        <w:rPr>
          <w:sz w:val="20"/>
          <w:szCs w:val="20"/>
          <w:color w:val="auto"/>
        </w:rPr>
      </w:pPr>
      <w:r>
        <w:rPr>
          <w:rFonts w:ascii="Arial" w:cs="Arial" w:eastAsia="Arial" w:hAnsi="Arial"/>
          <w:sz w:val="22"/>
          <w:szCs w:val="22"/>
          <w:color w:val="828282"/>
        </w:rPr>
        <w:t>Option Exercises and Stock Vested Table</w:t>
      </w:r>
    </w:p>
    <w:p>
      <w:pPr>
        <w:spacing w:after="0" w:line="107" w:lineRule="exact"/>
        <w:rPr>
          <w:sz w:val="20"/>
          <w:szCs w:val="20"/>
          <w:color w:val="auto"/>
        </w:rPr>
      </w:pPr>
    </w:p>
    <w:p>
      <w:pPr>
        <w:ind w:right="20"/>
        <w:spacing w:after="0" w:line="260" w:lineRule="auto"/>
        <w:rPr>
          <w:sz w:val="20"/>
          <w:szCs w:val="20"/>
          <w:color w:val="auto"/>
        </w:rPr>
      </w:pPr>
      <w:r>
        <w:rPr>
          <w:rFonts w:ascii="Arial" w:cs="Arial" w:eastAsia="Arial" w:hAnsi="Arial"/>
          <w:sz w:val="16"/>
          <w:szCs w:val="16"/>
          <w:color w:val="auto"/>
        </w:rPr>
        <w:t>The following table provides the amounts received before payroll withholding taxes upon the exercise of options or similar instruments or the vesting of stock or similar instruments during Fiscal 2018.</w:t>
      </w:r>
    </w:p>
    <w:p>
      <w:pPr>
        <w:spacing w:after="0" w:line="113" w:lineRule="exact"/>
        <w:rPr>
          <w:sz w:val="20"/>
          <w:szCs w:val="20"/>
          <w:color w:val="auto"/>
        </w:rPr>
      </w:pPr>
    </w:p>
    <w:tbl>
      <w:tblPr>
        <w:tblLayout w:type="fixed"/>
        <w:tblInd w:w="0" w:type="dxa"/>
        <w:tblCellMar>
          <w:top w:w="0" w:type="dxa"/>
          <w:left w:w="0" w:type="dxa"/>
          <w:bottom w:w="0" w:type="dxa"/>
          <w:right w:w="0" w:type="dxa"/>
        </w:tblCellMar>
      </w:tblPr>
      <w:tr>
        <w:trPr>
          <w:trHeight w:val="235"/>
        </w:trPr>
        <w:tc>
          <w:tcPr>
            <w:tcW w:w="5040" w:type="dxa"/>
            <w:vAlign w:val="bottom"/>
            <w:shd w:val="clear" w:color="auto" w:fill="BF2115"/>
          </w:tcPr>
          <w:p>
            <w:pPr>
              <w:spacing w:after="0"/>
              <w:rPr>
                <w:sz w:val="20"/>
                <w:szCs w:val="20"/>
                <w:color w:val="auto"/>
              </w:rPr>
            </w:pPr>
          </w:p>
        </w:tc>
        <w:tc>
          <w:tcPr>
            <w:tcW w:w="3260" w:type="dxa"/>
            <w:vAlign w:val="bottom"/>
            <w:gridSpan w:val="2"/>
            <w:shd w:val="clear" w:color="auto" w:fill="BF2115"/>
          </w:tcPr>
          <w:p>
            <w:pPr>
              <w:ind w:left="1020"/>
              <w:spacing w:after="0"/>
              <w:rPr>
                <w:sz w:val="20"/>
                <w:szCs w:val="20"/>
                <w:color w:val="auto"/>
              </w:rPr>
            </w:pPr>
            <w:r>
              <w:rPr>
                <w:rFonts w:ascii="Arial" w:cs="Arial" w:eastAsia="Arial" w:hAnsi="Arial"/>
                <w:sz w:val="16"/>
                <w:szCs w:val="16"/>
                <w:b w:val="1"/>
                <w:bCs w:val="1"/>
                <w:color w:val="FFFFFF"/>
              </w:rPr>
              <w:t>Option Awards</w:t>
            </w:r>
          </w:p>
        </w:tc>
        <w:tc>
          <w:tcPr>
            <w:tcW w:w="3120" w:type="dxa"/>
            <w:vAlign w:val="bottom"/>
            <w:gridSpan w:val="2"/>
            <w:shd w:val="clear" w:color="auto" w:fill="BF2115"/>
          </w:tcPr>
          <w:p>
            <w:pPr>
              <w:jc w:val="right"/>
              <w:ind w:right="899"/>
              <w:spacing w:after="0"/>
              <w:rPr>
                <w:sz w:val="20"/>
                <w:szCs w:val="20"/>
                <w:color w:val="auto"/>
              </w:rPr>
            </w:pPr>
            <w:r>
              <w:rPr>
                <w:rFonts w:ascii="Arial" w:cs="Arial" w:eastAsia="Arial" w:hAnsi="Arial"/>
                <w:sz w:val="16"/>
                <w:szCs w:val="16"/>
                <w:b w:val="1"/>
                <w:bCs w:val="1"/>
                <w:color w:val="FFFFFF"/>
              </w:rPr>
              <w:t>Stock Awards</w:t>
            </w:r>
          </w:p>
        </w:tc>
      </w:tr>
      <w:tr>
        <w:trPr>
          <w:trHeight w:val="220"/>
        </w:trPr>
        <w:tc>
          <w:tcPr>
            <w:tcW w:w="5040" w:type="dxa"/>
            <w:vAlign w:val="bottom"/>
            <w:shd w:val="clear" w:color="auto" w:fill="BF2115"/>
          </w:tcPr>
          <w:p>
            <w:pPr>
              <w:spacing w:after="0"/>
              <w:rPr>
                <w:sz w:val="19"/>
                <w:szCs w:val="19"/>
                <w:color w:val="auto"/>
              </w:rPr>
            </w:pPr>
          </w:p>
        </w:tc>
        <w:tc>
          <w:tcPr>
            <w:tcW w:w="1720" w:type="dxa"/>
            <w:vAlign w:val="bottom"/>
            <w:shd w:val="clear" w:color="auto" w:fill="BF2115"/>
          </w:tcPr>
          <w:p>
            <w:pPr>
              <w:jc w:val="center"/>
              <w:spacing w:after="0"/>
              <w:rPr>
                <w:sz w:val="20"/>
                <w:szCs w:val="20"/>
                <w:color w:val="auto"/>
              </w:rPr>
            </w:pPr>
            <w:r>
              <w:rPr>
                <w:rFonts w:ascii="Arial" w:cs="Arial" w:eastAsia="Arial" w:hAnsi="Arial"/>
                <w:sz w:val="16"/>
                <w:szCs w:val="16"/>
                <w:b w:val="1"/>
                <w:bCs w:val="1"/>
                <w:color w:val="FFFFFF"/>
              </w:rPr>
              <w:t>Number of</w:t>
            </w:r>
          </w:p>
        </w:tc>
        <w:tc>
          <w:tcPr>
            <w:tcW w:w="1540" w:type="dxa"/>
            <w:vAlign w:val="bottom"/>
            <w:shd w:val="clear" w:color="auto" w:fill="BF2115"/>
          </w:tcPr>
          <w:p>
            <w:pPr>
              <w:spacing w:after="0"/>
              <w:rPr>
                <w:sz w:val="19"/>
                <w:szCs w:val="19"/>
                <w:color w:val="auto"/>
              </w:rPr>
            </w:pPr>
          </w:p>
        </w:tc>
        <w:tc>
          <w:tcPr>
            <w:tcW w:w="1640" w:type="dxa"/>
            <w:vAlign w:val="bottom"/>
            <w:shd w:val="clear" w:color="auto" w:fill="BF2115"/>
          </w:tcPr>
          <w:p>
            <w:pPr>
              <w:jc w:val="center"/>
              <w:spacing w:after="0"/>
              <w:rPr>
                <w:sz w:val="20"/>
                <w:szCs w:val="20"/>
                <w:color w:val="auto"/>
              </w:rPr>
            </w:pPr>
            <w:r>
              <w:rPr>
                <w:rFonts w:ascii="Arial" w:cs="Arial" w:eastAsia="Arial" w:hAnsi="Arial"/>
                <w:sz w:val="16"/>
                <w:szCs w:val="16"/>
                <w:b w:val="1"/>
                <w:bCs w:val="1"/>
                <w:color w:val="FFFFFF"/>
                <w:w w:val="99"/>
              </w:rPr>
              <w:t>Number of</w:t>
            </w:r>
          </w:p>
        </w:tc>
        <w:tc>
          <w:tcPr>
            <w:tcW w:w="1480" w:type="dxa"/>
            <w:vAlign w:val="bottom"/>
            <w:shd w:val="clear" w:color="auto" w:fill="BF2115"/>
          </w:tcPr>
          <w:p>
            <w:pPr>
              <w:spacing w:after="0"/>
              <w:rPr>
                <w:sz w:val="19"/>
                <w:szCs w:val="19"/>
                <w:color w:val="auto"/>
              </w:rPr>
            </w:pPr>
          </w:p>
        </w:tc>
      </w:tr>
      <w:tr>
        <w:trPr>
          <w:trHeight w:val="189"/>
        </w:trPr>
        <w:tc>
          <w:tcPr>
            <w:tcW w:w="5040" w:type="dxa"/>
            <w:vAlign w:val="bottom"/>
            <w:shd w:val="clear" w:color="auto" w:fill="BF2115"/>
          </w:tcPr>
          <w:p>
            <w:pPr>
              <w:spacing w:after="0"/>
              <w:rPr>
                <w:sz w:val="16"/>
                <w:szCs w:val="16"/>
                <w:color w:val="auto"/>
              </w:rPr>
            </w:pPr>
          </w:p>
        </w:tc>
        <w:tc>
          <w:tcPr>
            <w:tcW w:w="1720" w:type="dxa"/>
            <w:vAlign w:val="bottom"/>
            <w:shd w:val="clear" w:color="auto" w:fill="BF2115"/>
          </w:tcPr>
          <w:p>
            <w:pPr>
              <w:jc w:val="center"/>
              <w:spacing w:after="0"/>
              <w:rPr>
                <w:sz w:val="20"/>
                <w:szCs w:val="20"/>
                <w:color w:val="auto"/>
              </w:rPr>
            </w:pPr>
            <w:r>
              <w:rPr>
                <w:rFonts w:ascii="Arial" w:cs="Arial" w:eastAsia="Arial" w:hAnsi="Arial"/>
                <w:sz w:val="16"/>
                <w:szCs w:val="16"/>
                <w:b w:val="1"/>
                <w:bCs w:val="1"/>
                <w:color w:val="FFFFFF"/>
              </w:rPr>
              <w:t>Shares Acquired</w:t>
            </w:r>
          </w:p>
        </w:tc>
        <w:tc>
          <w:tcPr>
            <w:tcW w:w="1540" w:type="dxa"/>
            <w:vAlign w:val="bottom"/>
            <w:shd w:val="clear" w:color="auto" w:fill="BF2115"/>
          </w:tcPr>
          <w:p>
            <w:pPr>
              <w:jc w:val="center"/>
              <w:spacing w:after="0"/>
              <w:rPr>
                <w:sz w:val="20"/>
                <w:szCs w:val="20"/>
                <w:color w:val="auto"/>
              </w:rPr>
            </w:pPr>
            <w:r>
              <w:rPr>
                <w:rFonts w:ascii="Arial" w:cs="Arial" w:eastAsia="Arial" w:hAnsi="Arial"/>
                <w:sz w:val="16"/>
                <w:szCs w:val="16"/>
                <w:b w:val="1"/>
                <w:bCs w:val="1"/>
                <w:color w:val="FFFFFF"/>
                <w:w w:val="99"/>
              </w:rPr>
              <w:t>Value Realized</w:t>
            </w:r>
          </w:p>
        </w:tc>
        <w:tc>
          <w:tcPr>
            <w:tcW w:w="1640" w:type="dxa"/>
            <w:vAlign w:val="bottom"/>
            <w:shd w:val="clear" w:color="auto" w:fill="BF2115"/>
          </w:tcPr>
          <w:p>
            <w:pPr>
              <w:jc w:val="center"/>
              <w:spacing w:after="0"/>
              <w:rPr>
                <w:sz w:val="20"/>
                <w:szCs w:val="20"/>
                <w:color w:val="auto"/>
              </w:rPr>
            </w:pPr>
            <w:r>
              <w:rPr>
                <w:rFonts w:ascii="Arial" w:cs="Arial" w:eastAsia="Arial" w:hAnsi="Arial"/>
                <w:sz w:val="16"/>
                <w:szCs w:val="16"/>
                <w:b w:val="1"/>
                <w:bCs w:val="1"/>
                <w:color w:val="FFFFFF"/>
              </w:rPr>
              <w:t>Shares Acquired</w:t>
            </w:r>
          </w:p>
        </w:tc>
        <w:tc>
          <w:tcPr>
            <w:tcW w:w="1480" w:type="dxa"/>
            <w:vAlign w:val="bottom"/>
            <w:shd w:val="clear" w:color="auto" w:fill="BF2115"/>
          </w:tcPr>
          <w:p>
            <w:pPr>
              <w:jc w:val="center"/>
              <w:spacing w:after="0"/>
              <w:rPr>
                <w:sz w:val="20"/>
                <w:szCs w:val="20"/>
                <w:color w:val="auto"/>
              </w:rPr>
            </w:pPr>
            <w:r>
              <w:rPr>
                <w:rFonts w:ascii="Arial" w:cs="Arial" w:eastAsia="Arial" w:hAnsi="Arial"/>
                <w:sz w:val="16"/>
                <w:szCs w:val="16"/>
                <w:b w:val="1"/>
                <w:bCs w:val="1"/>
                <w:color w:val="FFFFFF"/>
                <w:w w:val="99"/>
              </w:rPr>
              <w:t>Value Realized</w:t>
            </w:r>
          </w:p>
        </w:tc>
      </w:tr>
      <w:tr>
        <w:trPr>
          <w:trHeight w:val="189"/>
        </w:trPr>
        <w:tc>
          <w:tcPr>
            <w:tcW w:w="5040" w:type="dxa"/>
            <w:vAlign w:val="bottom"/>
            <w:shd w:val="clear" w:color="auto" w:fill="BF2115"/>
          </w:tcPr>
          <w:p>
            <w:pPr>
              <w:spacing w:after="0"/>
              <w:rPr>
                <w:sz w:val="16"/>
                <w:szCs w:val="16"/>
                <w:color w:val="auto"/>
              </w:rPr>
            </w:pPr>
          </w:p>
        </w:tc>
        <w:tc>
          <w:tcPr>
            <w:tcW w:w="1720" w:type="dxa"/>
            <w:vAlign w:val="bottom"/>
            <w:shd w:val="clear" w:color="auto" w:fill="BF2115"/>
          </w:tcPr>
          <w:p>
            <w:pPr>
              <w:jc w:val="center"/>
              <w:spacing w:after="0"/>
              <w:rPr>
                <w:sz w:val="20"/>
                <w:szCs w:val="20"/>
                <w:color w:val="auto"/>
              </w:rPr>
            </w:pPr>
            <w:r>
              <w:rPr>
                <w:rFonts w:ascii="Arial" w:cs="Arial" w:eastAsia="Arial" w:hAnsi="Arial"/>
                <w:sz w:val="16"/>
                <w:szCs w:val="16"/>
                <w:b w:val="1"/>
                <w:bCs w:val="1"/>
                <w:color w:val="FFFFFF"/>
              </w:rPr>
              <w:t>on Exercise</w:t>
            </w:r>
          </w:p>
        </w:tc>
        <w:tc>
          <w:tcPr>
            <w:tcW w:w="1540" w:type="dxa"/>
            <w:vAlign w:val="bottom"/>
            <w:shd w:val="clear" w:color="auto" w:fill="BF2115"/>
          </w:tcPr>
          <w:p>
            <w:pPr>
              <w:jc w:val="center"/>
              <w:spacing w:after="0"/>
              <w:rPr>
                <w:sz w:val="20"/>
                <w:szCs w:val="20"/>
                <w:color w:val="auto"/>
              </w:rPr>
            </w:pPr>
            <w:r>
              <w:rPr>
                <w:rFonts w:ascii="Arial" w:cs="Arial" w:eastAsia="Arial" w:hAnsi="Arial"/>
                <w:sz w:val="16"/>
                <w:szCs w:val="16"/>
                <w:b w:val="1"/>
                <w:bCs w:val="1"/>
                <w:color w:val="FFFFFF"/>
              </w:rPr>
              <w:t>on Exercise</w:t>
            </w:r>
          </w:p>
        </w:tc>
        <w:tc>
          <w:tcPr>
            <w:tcW w:w="1640" w:type="dxa"/>
            <w:vAlign w:val="bottom"/>
            <w:shd w:val="clear" w:color="auto" w:fill="BF2115"/>
          </w:tcPr>
          <w:p>
            <w:pPr>
              <w:jc w:val="center"/>
              <w:spacing w:after="0"/>
              <w:rPr>
                <w:sz w:val="20"/>
                <w:szCs w:val="20"/>
                <w:color w:val="auto"/>
              </w:rPr>
            </w:pPr>
            <w:r>
              <w:rPr>
                <w:rFonts w:ascii="Arial" w:cs="Arial" w:eastAsia="Arial" w:hAnsi="Arial"/>
                <w:sz w:val="16"/>
                <w:szCs w:val="16"/>
                <w:b w:val="1"/>
                <w:bCs w:val="1"/>
                <w:color w:val="FFFFFF"/>
              </w:rPr>
              <w:t>on Vesting</w:t>
            </w:r>
          </w:p>
        </w:tc>
        <w:tc>
          <w:tcPr>
            <w:tcW w:w="1480" w:type="dxa"/>
            <w:vAlign w:val="bottom"/>
            <w:shd w:val="clear" w:color="auto" w:fill="BF2115"/>
          </w:tcPr>
          <w:p>
            <w:pPr>
              <w:jc w:val="center"/>
              <w:spacing w:after="0"/>
              <w:rPr>
                <w:sz w:val="20"/>
                <w:szCs w:val="20"/>
                <w:color w:val="auto"/>
              </w:rPr>
            </w:pPr>
            <w:r>
              <w:rPr>
                <w:rFonts w:ascii="Arial" w:cs="Arial" w:eastAsia="Arial" w:hAnsi="Arial"/>
                <w:sz w:val="16"/>
                <w:szCs w:val="16"/>
                <w:b w:val="1"/>
                <w:bCs w:val="1"/>
                <w:color w:val="FFFFFF"/>
              </w:rPr>
              <w:t>on Vesting</w:t>
            </w:r>
          </w:p>
        </w:tc>
      </w:tr>
      <w:tr>
        <w:trPr>
          <w:trHeight w:val="234"/>
        </w:trPr>
        <w:tc>
          <w:tcPr>
            <w:tcW w:w="5040" w:type="dxa"/>
            <w:vAlign w:val="bottom"/>
            <w:shd w:val="clear" w:color="auto" w:fill="BF2115"/>
          </w:tcPr>
          <w:p>
            <w:pPr>
              <w:ind w:left="40"/>
              <w:spacing w:after="0"/>
              <w:rPr>
                <w:sz w:val="20"/>
                <w:szCs w:val="20"/>
                <w:color w:val="auto"/>
              </w:rPr>
            </w:pPr>
            <w:r>
              <w:rPr>
                <w:rFonts w:ascii="Arial" w:cs="Arial" w:eastAsia="Arial" w:hAnsi="Arial"/>
                <w:sz w:val="16"/>
                <w:szCs w:val="16"/>
                <w:b w:val="1"/>
                <w:bCs w:val="1"/>
                <w:color w:val="FFFFFF"/>
              </w:rPr>
              <w:t>Name</w:t>
            </w:r>
          </w:p>
        </w:tc>
        <w:tc>
          <w:tcPr>
            <w:tcW w:w="1720" w:type="dxa"/>
            <w:vAlign w:val="bottom"/>
            <w:shd w:val="clear" w:color="auto" w:fill="BF2115"/>
          </w:tcPr>
          <w:p>
            <w:pPr>
              <w:jc w:val="center"/>
              <w:spacing w:after="0"/>
              <w:rPr>
                <w:sz w:val="20"/>
                <w:szCs w:val="20"/>
                <w:color w:val="auto"/>
              </w:rPr>
            </w:pPr>
            <w:r>
              <w:rPr>
                <w:rFonts w:ascii="Arial" w:cs="Arial" w:eastAsia="Arial" w:hAnsi="Arial"/>
                <w:sz w:val="16"/>
                <w:szCs w:val="16"/>
                <w:b w:val="1"/>
                <w:bCs w:val="1"/>
                <w:color w:val="FFFFFF"/>
                <w:w w:val="91"/>
              </w:rPr>
              <w:t>(#)</w:t>
            </w:r>
          </w:p>
        </w:tc>
        <w:tc>
          <w:tcPr>
            <w:tcW w:w="1540" w:type="dxa"/>
            <w:vAlign w:val="bottom"/>
            <w:shd w:val="clear" w:color="auto" w:fill="BF2115"/>
          </w:tcPr>
          <w:p>
            <w:pPr>
              <w:jc w:val="center"/>
              <w:spacing w:after="0"/>
              <w:rPr>
                <w:sz w:val="20"/>
                <w:szCs w:val="20"/>
                <w:color w:val="auto"/>
              </w:rPr>
            </w:pPr>
            <w:r>
              <w:rPr>
                <w:rFonts w:ascii="Arial" w:cs="Arial" w:eastAsia="Arial" w:hAnsi="Arial"/>
                <w:sz w:val="16"/>
                <w:szCs w:val="16"/>
                <w:b w:val="1"/>
                <w:bCs w:val="1"/>
                <w:color w:val="FFFFFF"/>
              </w:rPr>
              <w:t>($)</w:t>
            </w:r>
          </w:p>
        </w:tc>
        <w:tc>
          <w:tcPr>
            <w:tcW w:w="1640" w:type="dxa"/>
            <w:vAlign w:val="bottom"/>
            <w:shd w:val="clear" w:color="auto" w:fill="BF2115"/>
          </w:tcPr>
          <w:p>
            <w:pPr>
              <w:jc w:val="center"/>
              <w:spacing w:after="0"/>
              <w:rPr>
                <w:sz w:val="20"/>
                <w:szCs w:val="20"/>
                <w:color w:val="auto"/>
              </w:rPr>
            </w:pPr>
            <w:r>
              <w:rPr>
                <w:rFonts w:ascii="Arial" w:cs="Arial" w:eastAsia="Arial" w:hAnsi="Arial"/>
                <w:sz w:val="16"/>
                <w:szCs w:val="16"/>
                <w:b w:val="1"/>
                <w:bCs w:val="1"/>
                <w:color w:val="FFFFFF"/>
              </w:rPr>
              <w:t>(#)</w:t>
            </w:r>
          </w:p>
        </w:tc>
        <w:tc>
          <w:tcPr>
            <w:tcW w:w="1480" w:type="dxa"/>
            <w:vAlign w:val="bottom"/>
            <w:shd w:val="clear" w:color="auto" w:fill="BF2115"/>
          </w:tcPr>
          <w:p>
            <w:pPr>
              <w:jc w:val="center"/>
              <w:spacing w:after="0" w:line="234" w:lineRule="exact"/>
              <w:rPr>
                <w:sz w:val="20"/>
                <w:szCs w:val="20"/>
                <w:color w:val="auto"/>
              </w:rPr>
            </w:pPr>
            <w:r>
              <w:rPr>
                <w:rFonts w:ascii="Arial" w:cs="Arial" w:eastAsia="Arial" w:hAnsi="Arial"/>
                <w:sz w:val="16"/>
                <w:szCs w:val="16"/>
                <w:b w:val="1"/>
                <w:bCs w:val="1"/>
                <w:color w:val="FFFFFF"/>
                <w:w w:val="87"/>
              </w:rPr>
              <w:t>($)</w:t>
            </w:r>
            <w:r>
              <w:rPr>
                <w:rFonts w:ascii="Arial" w:cs="Arial" w:eastAsia="Arial" w:hAnsi="Arial"/>
                <w:sz w:val="21"/>
                <w:szCs w:val="21"/>
                <w:b w:val="1"/>
                <w:bCs w:val="1"/>
                <w:color w:val="FFFFFF"/>
                <w:w w:val="87"/>
                <w:vertAlign w:val="superscript"/>
              </w:rPr>
              <w:t>(1)</w:t>
            </w:r>
          </w:p>
        </w:tc>
      </w:tr>
      <w:tr>
        <w:trPr>
          <w:trHeight w:val="270"/>
        </w:trPr>
        <w:tc>
          <w:tcPr>
            <w:tcW w:w="5040" w:type="dxa"/>
            <w:vAlign w:val="bottom"/>
            <w:shd w:val="clear" w:color="auto" w:fill="ACACAC"/>
          </w:tcPr>
          <w:p>
            <w:pPr>
              <w:ind w:left="40"/>
              <w:spacing w:after="0"/>
              <w:rPr>
                <w:sz w:val="20"/>
                <w:szCs w:val="20"/>
                <w:color w:val="auto"/>
              </w:rPr>
            </w:pPr>
            <w:r>
              <w:rPr>
                <w:rFonts w:ascii="Arial" w:cs="Arial" w:eastAsia="Arial" w:hAnsi="Arial"/>
                <w:sz w:val="16"/>
                <w:szCs w:val="16"/>
                <w:color w:val="auto"/>
              </w:rPr>
              <w:t>Michael J. Happe</w:t>
            </w:r>
          </w:p>
        </w:tc>
        <w:tc>
          <w:tcPr>
            <w:tcW w:w="1720" w:type="dxa"/>
            <w:vAlign w:val="bottom"/>
            <w:shd w:val="clear" w:color="auto" w:fill="ACACAC"/>
          </w:tcPr>
          <w:p>
            <w:pPr>
              <w:jc w:val="center"/>
              <w:spacing w:after="0"/>
              <w:rPr>
                <w:sz w:val="20"/>
                <w:szCs w:val="20"/>
                <w:color w:val="auto"/>
              </w:rPr>
            </w:pPr>
            <w:r>
              <w:rPr>
                <w:rFonts w:ascii="Arial" w:cs="Arial" w:eastAsia="Arial" w:hAnsi="Arial"/>
                <w:sz w:val="16"/>
                <w:szCs w:val="16"/>
                <w:color w:val="auto"/>
              </w:rPr>
              <w:t>—</w:t>
            </w:r>
          </w:p>
        </w:tc>
        <w:tc>
          <w:tcPr>
            <w:tcW w:w="1540" w:type="dxa"/>
            <w:vAlign w:val="bottom"/>
            <w:shd w:val="clear" w:color="auto" w:fill="ACACAC"/>
          </w:tcPr>
          <w:p>
            <w:pPr>
              <w:jc w:val="center"/>
              <w:spacing w:after="0"/>
              <w:rPr>
                <w:sz w:val="20"/>
                <w:szCs w:val="20"/>
                <w:color w:val="auto"/>
              </w:rPr>
            </w:pPr>
            <w:r>
              <w:rPr>
                <w:rFonts w:ascii="Arial" w:cs="Arial" w:eastAsia="Arial" w:hAnsi="Arial"/>
                <w:sz w:val="16"/>
                <w:szCs w:val="16"/>
                <w:color w:val="auto"/>
                <w:w w:val="99"/>
              </w:rPr>
              <w:t>—</w:t>
            </w:r>
          </w:p>
        </w:tc>
        <w:tc>
          <w:tcPr>
            <w:tcW w:w="1640" w:type="dxa"/>
            <w:vAlign w:val="bottom"/>
            <w:shd w:val="clear" w:color="auto" w:fill="ACACAC"/>
          </w:tcPr>
          <w:p>
            <w:pPr>
              <w:jc w:val="right"/>
              <w:ind w:right="119"/>
              <w:spacing w:after="0"/>
              <w:rPr>
                <w:sz w:val="20"/>
                <w:szCs w:val="20"/>
                <w:color w:val="auto"/>
              </w:rPr>
            </w:pPr>
            <w:r>
              <w:rPr>
                <w:rFonts w:ascii="Arial" w:cs="Arial" w:eastAsia="Arial" w:hAnsi="Arial"/>
                <w:sz w:val="16"/>
                <w:szCs w:val="16"/>
                <w:color w:val="auto"/>
              </w:rPr>
              <w:t>7,766</w:t>
            </w:r>
          </w:p>
        </w:tc>
        <w:tc>
          <w:tcPr>
            <w:tcW w:w="1480" w:type="dxa"/>
            <w:vAlign w:val="bottom"/>
            <w:shd w:val="clear" w:color="auto" w:fill="ACACAC"/>
          </w:tcPr>
          <w:p>
            <w:pPr>
              <w:jc w:val="right"/>
              <w:ind w:right="19"/>
              <w:spacing w:after="0"/>
              <w:rPr>
                <w:sz w:val="20"/>
                <w:szCs w:val="20"/>
                <w:color w:val="auto"/>
              </w:rPr>
            </w:pPr>
            <w:r>
              <w:rPr>
                <w:rFonts w:ascii="Arial" w:cs="Arial" w:eastAsia="Arial" w:hAnsi="Arial"/>
                <w:sz w:val="16"/>
                <w:szCs w:val="16"/>
                <w:color w:val="auto"/>
              </w:rPr>
              <w:t>360,968</w:t>
            </w:r>
          </w:p>
        </w:tc>
      </w:tr>
      <w:tr>
        <w:trPr>
          <w:trHeight w:val="260"/>
        </w:trPr>
        <w:tc>
          <w:tcPr>
            <w:tcW w:w="5040" w:type="dxa"/>
            <w:vAlign w:val="bottom"/>
          </w:tcPr>
          <w:p>
            <w:pPr>
              <w:ind w:left="40"/>
              <w:spacing w:after="0"/>
              <w:rPr>
                <w:sz w:val="20"/>
                <w:szCs w:val="20"/>
                <w:color w:val="auto"/>
              </w:rPr>
            </w:pPr>
            <w:r>
              <w:rPr>
                <w:rFonts w:ascii="Arial" w:cs="Arial" w:eastAsia="Arial" w:hAnsi="Arial"/>
                <w:sz w:val="16"/>
                <w:szCs w:val="16"/>
                <w:color w:val="auto"/>
              </w:rPr>
              <w:t>Bryan Hughes</w:t>
            </w:r>
          </w:p>
        </w:tc>
        <w:tc>
          <w:tcPr>
            <w:tcW w:w="1720" w:type="dxa"/>
            <w:vAlign w:val="bottom"/>
          </w:tcPr>
          <w:p>
            <w:pPr>
              <w:jc w:val="center"/>
              <w:spacing w:after="0"/>
              <w:rPr>
                <w:sz w:val="20"/>
                <w:szCs w:val="20"/>
                <w:color w:val="auto"/>
              </w:rPr>
            </w:pPr>
            <w:r>
              <w:rPr>
                <w:rFonts w:ascii="Arial" w:cs="Arial" w:eastAsia="Arial" w:hAnsi="Arial"/>
                <w:sz w:val="16"/>
                <w:szCs w:val="16"/>
                <w:color w:val="auto"/>
              </w:rPr>
              <w:t>—</w:t>
            </w:r>
          </w:p>
        </w:tc>
        <w:tc>
          <w:tcPr>
            <w:tcW w:w="1540" w:type="dxa"/>
            <w:vAlign w:val="bottom"/>
          </w:tcPr>
          <w:p>
            <w:pPr>
              <w:jc w:val="center"/>
              <w:spacing w:after="0"/>
              <w:rPr>
                <w:sz w:val="20"/>
                <w:szCs w:val="20"/>
                <w:color w:val="auto"/>
              </w:rPr>
            </w:pPr>
            <w:r>
              <w:rPr>
                <w:rFonts w:ascii="Arial" w:cs="Arial" w:eastAsia="Arial" w:hAnsi="Arial"/>
                <w:sz w:val="16"/>
                <w:szCs w:val="16"/>
                <w:color w:val="auto"/>
                <w:w w:val="99"/>
              </w:rPr>
              <w:t>—</w:t>
            </w:r>
          </w:p>
        </w:tc>
        <w:tc>
          <w:tcPr>
            <w:tcW w:w="1640" w:type="dxa"/>
            <w:vAlign w:val="bottom"/>
          </w:tcPr>
          <w:p>
            <w:pPr>
              <w:jc w:val="right"/>
              <w:ind w:right="119"/>
              <w:spacing w:after="0"/>
              <w:rPr>
                <w:sz w:val="20"/>
                <w:szCs w:val="20"/>
                <w:color w:val="auto"/>
              </w:rPr>
            </w:pPr>
            <w:r>
              <w:rPr>
                <w:rFonts w:ascii="Arial" w:cs="Arial" w:eastAsia="Arial" w:hAnsi="Arial"/>
                <w:sz w:val="16"/>
                <w:szCs w:val="16"/>
                <w:color w:val="auto"/>
              </w:rPr>
              <w:t>3,333</w:t>
            </w:r>
          </w:p>
        </w:tc>
        <w:tc>
          <w:tcPr>
            <w:tcW w:w="1480" w:type="dxa"/>
            <w:vAlign w:val="bottom"/>
          </w:tcPr>
          <w:p>
            <w:pPr>
              <w:jc w:val="right"/>
              <w:ind w:right="19"/>
              <w:spacing w:after="0"/>
              <w:rPr>
                <w:sz w:val="20"/>
                <w:szCs w:val="20"/>
                <w:color w:val="auto"/>
              </w:rPr>
            </w:pPr>
            <w:r>
              <w:rPr>
                <w:rFonts w:ascii="Arial" w:cs="Arial" w:eastAsia="Arial" w:hAnsi="Arial"/>
                <w:sz w:val="16"/>
                <w:szCs w:val="16"/>
                <w:color w:val="auto"/>
              </w:rPr>
              <w:t>120,821</w:t>
            </w:r>
          </w:p>
        </w:tc>
      </w:tr>
      <w:tr>
        <w:trPr>
          <w:trHeight w:val="280"/>
        </w:trPr>
        <w:tc>
          <w:tcPr>
            <w:tcW w:w="5040" w:type="dxa"/>
            <w:vAlign w:val="bottom"/>
            <w:shd w:val="clear" w:color="auto" w:fill="ACACAC"/>
          </w:tcPr>
          <w:p>
            <w:pPr>
              <w:ind w:left="40"/>
              <w:spacing w:after="0"/>
              <w:rPr>
                <w:sz w:val="20"/>
                <w:szCs w:val="20"/>
                <w:color w:val="auto"/>
              </w:rPr>
            </w:pPr>
            <w:r>
              <w:rPr>
                <w:rFonts w:ascii="Arial" w:cs="Arial" w:eastAsia="Arial" w:hAnsi="Arial"/>
                <w:sz w:val="16"/>
                <w:szCs w:val="16"/>
                <w:color w:val="auto"/>
              </w:rPr>
              <w:t>Brian Hazelton</w:t>
            </w:r>
          </w:p>
        </w:tc>
        <w:tc>
          <w:tcPr>
            <w:tcW w:w="1720" w:type="dxa"/>
            <w:vAlign w:val="bottom"/>
            <w:shd w:val="clear" w:color="auto" w:fill="ACACAC"/>
          </w:tcPr>
          <w:p>
            <w:pPr>
              <w:jc w:val="center"/>
              <w:spacing w:after="0"/>
              <w:rPr>
                <w:sz w:val="20"/>
                <w:szCs w:val="20"/>
                <w:color w:val="auto"/>
              </w:rPr>
            </w:pPr>
            <w:r>
              <w:rPr>
                <w:rFonts w:ascii="Arial" w:cs="Arial" w:eastAsia="Arial" w:hAnsi="Arial"/>
                <w:sz w:val="16"/>
                <w:szCs w:val="16"/>
                <w:color w:val="auto"/>
              </w:rPr>
              <w:t>—</w:t>
            </w:r>
          </w:p>
        </w:tc>
        <w:tc>
          <w:tcPr>
            <w:tcW w:w="1540" w:type="dxa"/>
            <w:vAlign w:val="bottom"/>
            <w:shd w:val="clear" w:color="auto" w:fill="ACACAC"/>
          </w:tcPr>
          <w:p>
            <w:pPr>
              <w:jc w:val="center"/>
              <w:spacing w:after="0"/>
              <w:rPr>
                <w:sz w:val="20"/>
                <w:szCs w:val="20"/>
                <w:color w:val="auto"/>
              </w:rPr>
            </w:pPr>
            <w:r>
              <w:rPr>
                <w:rFonts w:ascii="Arial" w:cs="Arial" w:eastAsia="Arial" w:hAnsi="Arial"/>
                <w:sz w:val="16"/>
                <w:szCs w:val="16"/>
                <w:color w:val="auto"/>
                <w:w w:val="99"/>
              </w:rPr>
              <w:t>—</w:t>
            </w:r>
          </w:p>
        </w:tc>
        <w:tc>
          <w:tcPr>
            <w:tcW w:w="1640" w:type="dxa"/>
            <w:vAlign w:val="bottom"/>
            <w:shd w:val="clear" w:color="auto" w:fill="ACACAC"/>
          </w:tcPr>
          <w:p>
            <w:pPr>
              <w:jc w:val="right"/>
              <w:ind w:right="119"/>
              <w:spacing w:after="0"/>
              <w:rPr>
                <w:sz w:val="20"/>
                <w:szCs w:val="20"/>
                <w:color w:val="auto"/>
              </w:rPr>
            </w:pPr>
            <w:r>
              <w:rPr>
                <w:rFonts w:ascii="Arial" w:cs="Arial" w:eastAsia="Arial" w:hAnsi="Arial"/>
                <w:sz w:val="16"/>
                <w:szCs w:val="16"/>
                <w:color w:val="auto"/>
              </w:rPr>
              <w:t>3,666</w:t>
            </w:r>
          </w:p>
        </w:tc>
        <w:tc>
          <w:tcPr>
            <w:tcW w:w="1480" w:type="dxa"/>
            <w:vAlign w:val="bottom"/>
            <w:shd w:val="clear" w:color="auto" w:fill="ACACAC"/>
          </w:tcPr>
          <w:p>
            <w:pPr>
              <w:jc w:val="right"/>
              <w:ind w:right="19"/>
              <w:spacing w:after="0"/>
              <w:rPr>
                <w:sz w:val="20"/>
                <w:szCs w:val="20"/>
                <w:color w:val="auto"/>
              </w:rPr>
            </w:pPr>
            <w:r>
              <w:rPr>
                <w:rFonts w:ascii="Arial" w:cs="Arial" w:eastAsia="Arial" w:hAnsi="Arial"/>
                <w:sz w:val="16"/>
                <w:szCs w:val="16"/>
                <w:color w:val="auto"/>
              </w:rPr>
              <w:t>148,374</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-1036955</wp:posOffset>
            </wp:positionV>
            <wp:extent cx="7246620" cy="889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9" w:lineRule="exact"/>
        <w:rPr>
          <w:sz w:val="20"/>
          <w:szCs w:val="20"/>
          <w:color w:val="auto"/>
        </w:rPr>
      </w:pPr>
    </w:p>
    <w:p>
      <w:pPr>
        <w:ind w:left="340" w:right="40" w:hanging="332"/>
        <w:spacing w:after="0" w:line="258" w:lineRule="auto"/>
        <w:tabs>
          <w:tab w:leader="none" w:pos="340" w:val="left"/>
        </w:tabs>
        <w:numPr>
          <w:ilvl w:val="0"/>
          <w:numId w:val="45"/>
        </w:numPr>
        <w:rPr>
          <w:rFonts w:ascii="Arial" w:cs="Arial" w:eastAsia="Arial" w:hAnsi="Arial"/>
          <w:sz w:val="13"/>
          <w:szCs w:val="13"/>
          <w:color w:val="auto"/>
        </w:rPr>
      </w:pPr>
      <w:r>
        <w:rPr>
          <w:rFonts w:ascii="Arial" w:cs="Arial" w:eastAsia="Arial" w:hAnsi="Arial"/>
          <w:sz w:val="14"/>
          <w:szCs w:val="14"/>
          <w:color w:val="auto"/>
        </w:rPr>
        <w:t>Valued at the closing market price of the Company's Common Stock of $36.05 (August 29, 2017), $43.00 (October 11, 2017), $52.40 (January 18, 2018) and $36.25 (May 15, 2018) as quoted on the NYSE on the vesting dates respectively.</w:t>
      </w:r>
    </w:p>
    <w:p>
      <w:pPr>
        <w:sectPr>
          <w:pgSz w:w="11900" w:h="16838" w:orient="portrait"/>
          <w:cols w:equalWidth="0" w:num="1">
            <w:col w:w="11420"/>
          </w:cols>
          <w:pgMar w:left="240" w:top="303" w:right="239" w:bottom="1440" w:gutter="0" w:footer="0" w:header="0"/>
        </w:sectPr>
      </w:pP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828282"/>
        </w:rPr>
        <w:t>Potential Payments upon Termination or Change of Control</w:t>
      </w:r>
    </w:p>
    <w:p>
      <w:pPr>
        <w:spacing w:after="0" w:line="185" w:lineRule="exact"/>
        <w:rPr>
          <w:sz w:val="20"/>
          <w:szCs w:val="20"/>
          <w:color w:val="auto"/>
        </w:rPr>
      </w:pPr>
    </w:p>
    <w:p>
      <w:pPr>
        <w:spacing w:after="0"/>
        <w:rPr>
          <w:sz w:val="20"/>
          <w:szCs w:val="20"/>
          <w:color w:val="auto"/>
        </w:rPr>
      </w:pPr>
      <w:r>
        <w:rPr>
          <w:rFonts w:ascii="Arial" w:cs="Arial" w:eastAsia="Arial" w:hAnsi="Arial"/>
          <w:sz w:val="16"/>
          <w:szCs w:val="16"/>
          <w:i w:val="1"/>
          <w:iCs w:val="1"/>
          <w:color w:val="828282"/>
        </w:rPr>
        <w:t>Executive Change of Control Agreements</w:t>
      </w:r>
    </w:p>
    <w:p>
      <w:pPr>
        <w:spacing w:after="0" w:line="210" w:lineRule="exact"/>
        <w:rPr>
          <w:sz w:val="20"/>
          <w:szCs w:val="20"/>
          <w:color w:val="auto"/>
        </w:rPr>
      </w:pPr>
    </w:p>
    <w:p>
      <w:pPr>
        <w:ind w:right="20"/>
        <w:spacing w:after="0" w:line="246" w:lineRule="auto"/>
        <w:rPr>
          <w:sz w:val="20"/>
          <w:szCs w:val="20"/>
          <w:color w:val="auto"/>
        </w:rPr>
      </w:pPr>
      <w:r>
        <w:rPr>
          <w:rFonts w:ascii="Arial" w:cs="Arial" w:eastAsia="Arial" w:hAnsi="Arial"/>
          <w:sz w:val="16"/>
          <w:szCs w:val="16"/>
          <w:color w:val="auto"/>
        </w:rPr>
        <w:t>During Fiscal 2001, the Board of Directors approved Executive Change of Control Agreements for certain executive officers and, at later dates, approved agreements for certain other executive officers, including NEOs, not previously a party to an Executive Change of Control Agreement. In December 2008, the Board of Directors approved amendments to</w:t>
      </w:r>
    </w:p>
    <w:p>
      <w:pPr>
        <w:spacing w:after="0" w:line="2" w:lineRule="exact"/>
        <w:rPr>
          <w:sz w:val="20"/>
          <w:szCs w:val="20"/>
          <w:color w:val="auto"/>
        </w:rPr>
      </w:pPr>
    </w:p>
    <w:p>
      <w:pPr>
        <w:ind w:right="80"/>
        <w:spacing w:after="0" w:line="251" w:lineRule="auto"/>
        <w:rPr>
          <w:sz w:val="20"/>
          <w:szCs w:val="20"/>
          <w:color w:val="auto"/>
        </w:rPr>
      </w:pPr>
      <w:r>
        <w:rPr>
          <w:rFonts w:ascii="Arial" w:cs="Arial" w:eastAsia="Arial" w:hAnsi="Arial"/>
          <w:sz w:val="16"/>
          <w:szCs w:val="16"/>
          <w:color w:val="auto"/>
        </w:rPr>
        <w:t>the Executive Change of Control Agreements primarily to comply with the enactment of IRC Section 409A, while still preserving material terms of the Company's agreement with each executive (the Executive Change of Control Agreements, as amended, “Agreements”).</w:t>
      </w:r>
    </w:p>
    <w:p>
      <w:pPr>
        <w:spacing w:after="0" w:line="176" w:lineRule="exact"/>
        <w:rPr>
          <w:sz w:val="20"/>
          <w:szCs w:val="20"/>
          <w:color w:val="auto"/>
        </w:rPr>
      </w:pPr>
    </w:p>
    <w:p>
      <w:pPr>
        <w:spacing w:after="0" w:line="247" w:lineRule="auto"/>
        <w:rPr>
          <w:sz w:val="20"/>
          <w:szCs w:val="20"/>
          <w:color w:val="auto"/>
        </w:rPr>
      </w:pPr>
      <w:r>
        <w:rPr>
          <w:rFonts w:ascii="Arial" w:cs="Arial" w:eastAsia="Arial" w:hAnsi="Arial"/>
          <w:sz w:val="16"/>
          <w:szCs w:val="16"/>
          <w:color w:val="auto"/>
        </w:rPr>
        <w:t>The purpose of the Agreements is to reinforce and encourage executives to remain with the Company, to maintain objectivity and a high level of attention to their duties without distraction from the possibility of a change of control of the Company. The Agreements provide that in the event of a “Change of Control” of the Company, as that term is defined in the Agreements, each such executive (provided such Change of Control occurs when the executive is in the employ of the Company) would receive, in the event he or she ceases to be employed by the Company within three years following a Change of Control of the Company (for a reason other than death, disability, cause, normal retirement or, under certain circumstances, a voluntary termination of employment by the executive), a lump-sum equal to three times the average of the aggregate annual compensation paid to the executive during the three fiscal years preceding the Change of Control. The executives also receive annual and long-term incentive payments upon a Change in Control event if there is no termination of</w:t>
      </w:r>
    </w:p>
    <w:p>
      <w:pPr>
        <w:spacing w:after="0" w:line="20" w:lineRule="exact"/>
        <w:rPr>
          <w:sz w:val="20"/>
          <w:szCs w:val="20"/>
          <w:color w:val="auto"/>
        </w:rPr>
      </w:pPr>
      <w:r>
        <w:rPr>
          <w:sz w:val="20"/>
          <w:szCs w:val="20"/>
          <w:color w:val="auto"/>
        </w:rPr>
        <w:br w:type="column"/>
      </w:r>
    </w:p>
    <w:p>
      <w:pPr>
        <w:spacing w:after="0" w:line="198" w:lineRule="exact"/>
        <w:rPr>
          <w:sz w:val="20"/>
          <w:szCs w:val="20"/>
          <w:color w:val="auto"/>
        </w:rPr>
      </w:pPr>
    </w:p>
    <w:p>
      <w:pPr>
        <w:ind w:right="420"/>
        <w:spacing w:after="0" w:line="246" w:lineRule="auto"/>
        <w:rPr>
          <w:sz w:val="20"/>
          <w:szCs w:val="20"/>
          <w:color w:val="auto"/>
        </w:rPr>
      </w:pPr>
      <w:r>
        <w:rPr>
          <w:rFonts w:ascii="Arial" w:cs="Arial" w:eastAsia="Arial" w:hAnsi="Arial"/>
          <w:sz w:val="16"/>
          <w:szCs w:val="16"/>
          <w:color w:val="auto"/>
        </w:rPr>
        <w:t>employment upon Change in Control. This multiple was arrived at by the Committee after an analysis of certain</w:t>
      </w:r>
    </w:p>
    <w:p>
      <w:pPr>
        <w:spacing w:after="0" w:line="1" w:lineRule="exact"/>
        <w:rPr>
          <w:sz w:val="20"/>
          <w:szCs w:val="20"/>
          <w:color w:val="auto"/>
        </w:rPr>
      </w:pPr>
    </w:p>
    <w:p>
      <w:pPr>
        <w:ind w:right="620"/>
        <w:spacing w:after="0" w:line="260" w:lineRule="auto"/>
        <w:rPr>
          <w:sz w:val="20"/>
          <w:szCs w:val="20"/>
          <w:color w:val="auto"/>
        </w:rPr>
      </w:pPr>
      <w:r>
        <w:rPr>
          <w:rFonts w:ascii="Arial" w:cs="Arial" w:eastAsia="Arial" w:hAnsi="Arial"/>
          <w:sz w:val="16"/>
          <w:szCs w:val="16"/>
          <w:color w:val="auto"/>
        </w:rPr>
        <w:t>Compensation Peers' change of control agreements at the time these agreements were initially developed.</w:t>
      </w:r>
    </w:p>
    <w:p>
      <w:pPr>
        <w:spacing w:after="0" w:line="169" w:lineRule="exact"/>
        <w:rPr>
          <w:sz w:val="20"/>
          <w:szCs w:val="20"/>
          <w:color w:val="auto"/>
        </w:rPr>
      </w:pPr>
    </w:p>
    <w:p>
      <w:pPr>
        <w:ind w:right="60"/>
        <w:spacing w:after="0" w:line="246" w:lineRule="auto"/>
        <w:rPr>
          <w:sz w:val="20"/>
          <w:szCs w:val="20"/>
          <w:color w:val="auto"/>
        </w:rPr>
      </w:pPr>
      <w:r>
        <w:rPr>
          <w:rFonts w:ascii="Arial" w:cs="Arial" w:eastAsia="Arial" w:hAnsi="Arial"/>
          <w:sz w:val="16"/>
          <w:szCs w:val="16"/>
          <w:color w:val="auto"/>
        </w:rPr>
        <w:t>Under the Agreements, a “Change of Control” occurs when (i) any person becomes an “acquiring person” (as defined below) or (ii) individuals who shall qualify as Continuing Directors (as defined below) shall have ceased for any reason to constitute at least a majority of our Board of Directors; provided, however, that in the case of either clause (i) or (ii) a Change of Control shall not be deemed to have occurred if the event shall have been approved prior to the occurrence thereof by a majority of the Continuing Directors who shall then be members of such Board of Directors. “Continuing Director” means</w:t>
      </w:r>
    </w:p>
    <w:p>
      <w:pPr>
        <w:spacing w:after="0" w:line="4" w:lineRule="exact"/>
        <w:rPr>
          <w:sz w:val="20"/>
          <w:szCs w:val="20"/>
          <w:color w:val="auto"/>
        </w:rPr>
      </w:pPr>
    </w:p>
    <w:p>
      <w:pPr>
        <w:ind w:firstLine="8"/>
        <w:spacing w:after="0" w:line="247" w:lineRule="auto"/>
        <w:tabs>
          <w:tab w:leader="none" w:pos="189" w:val="left"/>
        </w:tabs>
        <w:numPr>
          <w:ilvl w:val="0"/>
          <w:numId w:val="46"/>
        </w:numPr>
        <w:rPr>
          <w:rFonts w:ascii="Arial" w:cs="Arial" w:eastAsia="Arial" w:hAnsi="Arial"/>
          <w:sz w:val="16"/>
          <w:szCs w:val="16"/>
          <w:color w:val="auto"/>
        </w:rPr>
      </w:pPr>
      <w:r>
        <w:rPr>
          <w:rFonts w:ascii="Arial" w:cs="Arial" w:eastAsia="Arial" w:hAnsi="Arial"/>
          <w:sz w:val="16"/>
          <w:szCs w:val="16"/>
          <w:color w:val="auto"/>
        </w:rPr>
        <w:t>any member of our Board of Directors, while such person is a member of the Board, who is not an affiliate or associate of any acquiring person or of any such acquiring person's affiliate or associate and was a member of the Board prior to the time when such acquiring person shall have become an acquiring person and (ii) any successor of a Continuing Director, while such successor is a member of the Board, who is not an acquiring person or any affiliate or associate of any acquiring person or a representative or nominee of an acquiring person or of any affiliate or associate of such acquiring person and is recommended or elected to succeed the Continuing Director by a majority of the Continuing Directors. An "acquiring person" means any person or any individual or group of affiliates or associates of such person who acquires beneficial ownership, directly or indirectly, of 20% or more of the outstanding stock of the Company if such acquisition occurs in whole or in part following the date of that person's agreement.</w:t>
      </w:r>
    </w:p>
    <w:p>
      <w:pPr>
        <w:spacing w:after="0" w:line="618" w:lineRule="exact"/>
        <w:rPr>
          <w:sz w:val="20"/>
          <w:szCs w:val="20"/>
          <w:color w:val="auto"/>
        </w:rPr>
      </w:pPr>
    </w:p>
    <w:p>
      <w:pPr>
        <w:sectPr>
          <w:pgSz w:w="11900" w:h="16838" w:orient="portrait"/>
          <w:cols w:equalWidth="0" w:num="2">
            <w:col w:w="5600" w:space="220"/>
            <w:col w:w="5600"/>
          </w:cols>
          <w:pgMar w:left="240" w:top="303" w:right="239" w:bottom="1440" w:gutter="0" w:footer="0" w:header="0"/>
          <w:type w:val="continuous"/>
        </w:sectPr>
      </w:pPr>
    </w:p>
    <w:p>
      <w:pPr>
        <w:spacing w:after="0" w:line="22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32</w:t>
      </w:r>
    </w:p>
    <w:p>
      <w:pPr>
        <w:sectPr>
          <w:pgSz w:w="11900" w:h="16838" w:orient="portrait"/>
          <w:cols w:equalWidth="0" w:num="1">
            <w:col w:w="11420"/>
          </w:cols>
          <w:pgMar w:left="240" w:top="303" w:right="239" w:bottom="1440" w:gutter="0" w:footer="0" w:header="0"/>
          <w:type w:val="continuous"/>
        </w:sectPr>
      </w:pPr>
    </w:p>
    <w:bookmarkStart w:id="36" w:name="page37"/>
    <w:bookmarkEnd w:id="36"/>
    <w:p>
      <w:pPr>
        <w:ind w:left="40"/>
        <w:spacing w:after="0"/>
        <w:rPr>
          <w:rFonts w:ascii="Arial" w:cs="Arial" w:eastAsia="Arial" w:hAnsi="Arial"/>
          <w:sz w:val="16"/>
          <w:szCs w:val="16"/>
          <w:u w:val="single" w:color="auto"/>
          <w:color w:val="0000EE"/>
        </w:rPr>
      </w:pPr>
      <w:r>
        <w:rPr>
          <w:rFonts w:ascii="Arial" w:cs="Arial" w:eastAsia="Arial" w:hAnsi="Arial"/>
          <w:sz w:val="16"/>
          <w:szCs w:val="16"/>
          <w:u w:val="single" w:color="auto"/>
          <w:color w:val="0000EE"/>
        </w:rPr>
        <w:drawing>
          <wp:anchor simplePos="0" relativeHeight="251657728" behindDoc="1" locked="0" layoutInCell="0" allowOverlap="1">
            <wp:simplePos x="0" y="0"/>
            <wp:positionH relativeFrom="page">
              <wp:posOffset>5946140</wp:posOffset>
            </wp:positionH>
            <wp:positionV relativeFrom="page">
              <wp:posOffset>191770</wp:posOffset>
            </wp:positionV>
            <wp:extent cx="1440815" cy="20574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clrChange>
                        <a:clrFrom>
                          <a:srgbClr val="FFFFFF"/>
                        </a:clrFrom>
                        <a:clrTo>
                          <a:srgbClr val="FFFFFF">
                            <a:alpha val="0"/>
                          </a:srgbClr>
                        </a:clrTo>
                      </a:clrChange>
                      <a:extLst>
                        <a:ext uri="{28A0092B-C50C-407E-A947-70E740481C1C}"/>
                      </a:extLst>
                    </a:blip>
                    <a:srcRect/>
                    <a:stretch>
                      <a:fillRect/>
                    </a:stretch>
                  </pic:blipFill>
                  <pic:spPr bwMode="auto">
                    <a:xfrm>
                      <a:off x="0" y="0"/>
                      <a:ext cx="1440815" cy="205740"/>
                    </a:xfrm>
                    <a:prstGeom prst="rect">
                      <a:avLst/>
                    </a:prstGeom>
                    <a:noFill/>
                  </pic:spPr>
                </pic:pic>
              </a:graphicData>
            </a:graphic>
          </wp:anchor>
        </w:drawing>
      </w:r>
      <w:hyperlink w:anchor="page4">
        <w:r>
          <w:rPr>
            <w:rFonts w:ascii="Arial" w:cs="Arial" w:eastAsia="Arial" w:hAnsi="Arial"/>
            <w:sz w:val="16"/>
            <w:szCs w:val="16"/>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104775</wp:posOffset>
            </wp:positionV>
            <wp:extent cx="7246620" cy="889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88" w:lineRule="exact"/>
        <w:rPr>
          <w:sz w:val="20"/>
          <w:szCs w:val="20"/>
          <w:color w:val="auto"/>
        </w:rPr>
      </w:pPr>
    </w:p>
    <w:p>
      <w:pPr>
        <w:spacing w:after="0"/>
        <w:tabs>
          <w:tab w:leader="none" w:pos="5800" w:val="left"/>
        </w:tabs>
        <w:rPr>
          <w:sz w:val="20"/>
          <w:szCs w:val="20"/>
          <w:color w:val="auto"/>
        </w:rPr>
      </w:pPr>
      <w:r>
        <w:rPr>
          <w:rFonts w:ascii="Arial" w:cs="Arial" w:eastAsia="Arial" w:hAnsi="Arial"/>
          <w:sz w:val="16"/>
          <w:szCs w:val="16"/>
          <w:i w:val="1"/>
          <w:iCs w:val="1"/>
          <w:color w:val="828282"/>
        </w:rPr>
        <w:t>Annual Incentive Plan Payments</w:t>
      </w:r>
      <w:r>
        <w:rPr>
          <w:sz w:val="20"/>
          <w:szCs w:val="20"/>
          <w:color w:val="auto"/>
        </w:rPr>
        <w:tab/>
      </w:r>
      <w:r>
        <w:rPr>
          <w:rFonts w:ascii="Arial" w:cs="Arial" w:eastAsia="Arial" w:hAnsi="Arial"/>
          <w:sz w:val="16"/>
          <w:szCs w:val="16"/>
          <w:color w:val="auto"/>
        </w:rPr>
        <w:t>Company. In the event that a NEO ceases to be employed by the Company,</w:t>
      </w:r>
    </w:p>
    <w:p>
      <w:pPr>
        <w:spacing w:after="0" w:line="21" w:lineRule="exact"/>
        <w:rPr>
          <w:sz w:val="20"/>
          <w:szCs w:val="20"/>
          <w:color w:val="auto"/>
        </w:rPr>
      </w:pPr>
    </w:p>
    <w:p>
      <w:pPr>
        <w:ind w:left="5820"/>
        <w:spacing w:after="0"/>
        <w:rPr>
          <w:sz w:val="20"/>
          <w:szCs w:val="20"/>
          <w:color w:val="auto"/>
        </w:rPr>
      </w:pPr>
      <w:r>
        <w:rPr>
          <w:rFonts w:ascii="Arial" w:cs="Arial" w:eastAsia="Arial" w:hAnsi="Arial"/>
          <w:sz w:val="16"/>
          <w:szCs w:val="16"/>
          <w:color w:val="auto"/>
        </w:rPr>
        <w:t>stock options held by such NEO will vest as follows:</w:t>
      </w:r>
    </w:p>
    <w:p>
      <w:pPr>
        <w:sectPr>
          <w:pgSz w:w="11900" w:h="16838" w:orient="portrait"/>
          <w:cols w:equalWidth="0" w:num="1">
            <w:col w:w="11420"/>
          </w:cols>
          <w:pgMar w:left="240" w:top="303" w:right="239" w:bottom="1440" w:gutter="0" w:footer="0" w:header="0"/>
        </w:sectPr>
      </w:pPr>
    </w:p>
    <w:p>
      <w:pPr>
        <w:spacing w:after="0" w:line="5" w:lineRule="exact"/>
        <w:rPr>
          <w:sz w:val="20"/>
          <w:szCs w:val="20"/>
          <w:color w:val="auto"/>
        </w:rPr>
      </w:pPr>
    </w:p>
    <w:p>
      <w:pPr>
        <w:spacing w:after="0" w:line="248" w:lineRule="auto"/>
        <w:rPr>
          <w:sz w:val="20"/>
          <w:szCs w:val="20"/>
          <w:color w:val="auto"/>
        </w:rPr>
      </w:pPr>
      <w:r>
        <w:rPr>
          <w:rFonts w:ascii="Arial" w:cs="Arial" w:eastAsia="Arial" w:hAnsi="Arial"/>
          <w:sz w:val="16"/>
          <w:szCs w:val="16"/>
          <w:color w:val="auto"/>
        </w:rPr>
        <w:t>In the event of a “Change in Control” (as defined in the Officers Incentive Compensation Plan), participants are entitled to receive awards within 15 days of the effective date of the Change in Control based upon the Committee's estimate of our financial performance through the end of the fiscal year in which such Change in Control occurs and such payment is not dependent upon termination of employment. A participant must be employed by the Company at the end of the fiscal year to be eligible for annual incentive payments, except for a Change in Control as described above or as determined by the Committee for normal retirement, disability and death.</w:t>
      </w:r>
    </w:p>
    <w:p>
      <w:pPr>
        <w:spacing w:after="0" w:line="164" w:lineRule="exact"/>
        <w:rPr>
          <w:sz w:val="20"/>
          <w:szCs w:val="20"/>
          <w:color w:val="auto"/>
        </w:rPr>
      </w:pPr>
    </w:p>
    <w:p>
      <w:pPr>
        <w:spacing w:after="0"/>
        <w:rPr>
          <w:sz w:val="20"/>
          <w:szCs w:val="20"/>
          <w:color w:val="auto"/>
        </w:rPr>
      </w:pPr>
      <w:r>
        <w:rPr>
          <w:rFonts w:ascii="Arial" w:cs="Arial" w:eastAsia="Arial" w:hAnsi="Arial"/>
          <w:sz w:val="16"/>
          <w:szCs w:val="16"/>
          <w:i w:val="1"/>
          <w:iCs w:val="1"/>
          <w:color w:val="828282"/>
        </w:rPr>
        <w:t>2014 Incentive Compensation Plan Payments</w:t>
      </w:r>
    </w:p>
    <w:p>
      <w:pPr>
        <w:spacing w:after="0" w:line="210" w:lineRule="exact"/>
        <w:rPr>
          <w:sz w:val="20"/>
          <w:szCs w:val="20"/>
          <w:color w:val="auto"/>
        </w:rPr>
      </w:pPr>
    </w:p>
    <w:p>
      <w:pPr>
        <w:spacing w:after="0"/>
        <w:rPr>
          <w:sz w:val="20"/>
          <w:szCs w:val="20"/>
          <w:color w:val="auto"/>
        </w:rPr>
      </w:pPr>
      <w:r>
        <w:rPr>
          <w:rFonts w:ascii="Arial" w:cs="Arial" w:eastAsia="Arial" w:hAnsi="Arial"/>
          <w:sz w:val="16"/>
          <w:szCs w:val="16"/>
          <w:color w:val="828282"/>
        </w:rPr>
        <w:t>Long-Term Incentive Plan Payments</w:t>
      </w:r>
    </w:p>
    <w:p>
      <w:pPr>
        <w:spacing w:after="0" w:line="194" w:lineRule="exact"/>
        <w:rPr>
          <w:sz w:val="20"/>
          <w:szCs w:val="20"/>
          <w:color w:val="auto"/>
        </w:rPr>
      </w:pPr>
    </w:p>
    <w:p>
      <w:pPr>
        <w:ind w:right="40"/>
        <w:spacing w:after="0" w:line="248" w:lineRule="auto"/>
        <w:rPr>
          <w:sz w:val="20"/>
          <w:szCs w:val="20"/>
          <w:color w:val="auto"/>
        </w:rPr>
      </w:pPr>
      <w:r>
        <w:rPr>
          <w:rFonts w:ascii="Arial" w:cs="Arial" w:eastAsia="Arial" w:hAnsi="Arial"/>
          <w:sz w:val="16"/>
          <w:szCs w:val="16"/>
          <w:color w:val="auto"/>
        </w:rPr>
        <w:t>In the event of a “Change in Control” (as defined in the 2014 Plan) participants are entitled to receive awards within 15 days of the effective date of the Change in Control based on the Committee's estimate of our financial performance through the end of the applicable Long-Term Incentive Plan three-year fiscal period in which such Change in Control occurs. A participant must be employed by the Company at the end of the three-year fiscal period to be eligible for any long-term incentive award, except for a Change in Control as described above or as waived by the Committee.</w:t>
      </w:r>
    </w:p>
    <w:p>
      <w:pPr>
        <w:spacing w:after="0" w:line="181" w:lineRule="exact"/>
        <w:rPr>
          <w:sz w:val="20"/>
          <w:szCs w:val="20"/>
          <w:color w:val="auto"/>
        </w:rPr>
      </w:pPr>
    </w:p>
    <w:p>
      <w:pPr>
        <w:spacing w:after="0"/>
        <w:rPr>
          <w:sz w:val="20"/>
          <w:szCs w:val="20"/>
          <w:color w:val="auto"/>
        </w:rPr>
      </w:pPr>
      <w:r>
        <w:rPr>
          <w:rFonts w:ascii="Arial" w:cs="Arial" w:eastAsia="Arial" w:hAnsi="Arial"/>
          <w:sz w:val="16"/>
          <w:szCs w:val="16"/>
          <w:color w:val="828282"/>
        </w:rPr>
        <w:t>Restricted Stock</w:t>
      </w:r>
    </w:p>
    <w:p>
      <w:pPr>
        <w:spacing w:after="0" w:line="194" w:lineRule="exact"/>
        <w:rPr>
          <w:sz w:val="20"/>
          <w:szCs w:val="20"/>
          <w:color w:val="auto"/>
        </w:rPr>
      </w:pPr>
    </w:p>
    <w:p>
      <w:pPr>
        <w:spacing w:after="0" w:line="253" w:lineRule="auto"/>
        <w:rPr>
          <w:sz w:val="20"/>
          <w:szCs w:val="20"/>
          <w:color w:val="auto"/>
        </w:rPr>
      </w:pPr>
      <w:r>
        <w:rPr>
          <w:rFonts w:ascii="Arial" w:cs="Arial" w:eastAsia="Arial" w:hAnsi="Arial"/>
          <w:sz w:val="16"/>
          <w:szCs w:val="16"/>
          <w:color w:val="auto"/>
        </w:rPr>
        <w:t>Pursuant to restricted stock award agreements entered into by each NEO other than Mr. Clark, unvested awards of restricted stock will immediately vest to NEOs under the following circumstances:</w:t>
      </w:r>
    </w:p>
    <w:p>
      <w:pPr>
        <w:spacing w:after="0" w:line="174" w:lineRule="exact"/>
        <w:rPr>
          <w:sz w:val="20"/>
          <w:szCs w:val="20"/>
          <w:color w:val="auto"/>
        </w:rPr>
      </w:pPr>
    </w:p>
    <w:p>
      <w:pPr>
        <w:ind w:left="340" w:right="40" w:hanging="332"/>
        <w:spacing w:after="0" w:line="250" w:lineRule="auto"/>
        <w:tabs>
          <w:tab w:leader="none" w:pos="340" w:val="left"/>
        </w:tabs>
        <w:numPr>
          <w:ilvl w:val="0"/>
          <w:numId w:val="47"/>
        </w:numPr>
        <w:rPr>
          <w:rFonts w:ascii="Arial" w:cs="Arial" w:eastAsia="Arial" w:hAnsi="Arial"/>
          <w:sz w:val="16"/>
          <w:szCs w:val="16"/>
          <w:color w:val="auto"/>
        </w:rPr>
      </w:pPr>
      <w:r>
        <w:rPr>
          <w:rFonts w:ascii="Arial" w:cs="Arial" w:eastAsia="Arial" w:hAnsi="Arial"/>
          <w:sz w:val="16"/>
          <w:szCs w:val="16"/>
          <w:color w:val="auto"/>
        </w:rPr>
        <w:t>if the NEO's termination of employment is due to his or her death or disability (as defined in the applicable Plan) and, in the case of the Fiscal 2016 and Fiscal 2017 restricted stock awards only, occurs after at least five consecutive years of employment with the Company, any unvested awards of restricted stock immediately vest</w:t>
      </w:r>
    </w:p>
    <w:p>
      <w:pPr>
        <w:spacing w:after="0" w:line="176" w:lineRule="exact"/>
        <w:rPr>
          <w:sz w:val="20"/>
          <w:szCs w:val="20"/>
          <w:color w:val="auto"/>
        </w:rPr>
      </w:pPr>
    </w:p>
    <w:p>
      <w:pPr>
        <w:ind w:right="80"/>
        <w:spacing w:after="0" w:line="249" w:lineRule="auto"/>
        <w:rPr>
          <w:sz w:val="20"/>
          <w:szCs w:val="20"/>
          <w:color w:val="auto"/>
        </w:rPr>
      </w:pPr>
      <w:r>
        <w:rPr>
          <w:rFonts w:ascii="Arial" w:cs="Arial" w:eastAsia="Arial" w:hAnsi="Arial"/>
          <w:sz w:val="16"/>
          <w:szCs w:val="16"/>
          <w:color w:val="auto"/>
        </w:rPr>
        <w:t>In addition, any restricted shares awarded prior to Fiscal 2019 that are not vested under the 2014 Plan will vest upon a “Change of Control” (as defined in the applicable Plan) of the Company. In all other circumstances, in the event that a NEO ceases to be employed by the Company or any subsidiary, any unvested awards held by such grantee will terminate and thereafter be null and void.</w:t>
      </w:r>
    </w:p>
    <w:p>
      <w:pPr>
        <w:spacing w:after="0" w:line="178" w:lineRule="exact"/>
        <w:rPr>
          <w:sz w:val="20"/>
          <w:szCs w:val="20"/>
          <w:color w:val="auto"/>
        </w:rPr>
      </w:pPr>
    </w:p>
    <w:p>
      <w:pPr>
        <w:spacing w:after="0"/>
        <w:rPr>
          <w:sz w:val="20"/>
          <w:szCs w:val="20"/>
          <w:color w:val="auto"/>
        </w:rPr>
      </w:pPr>
      <w:r>
        <w:rPr>
          <w:rFonts w:ascii="Arial" w:cs="Arial" w:eastAsia="Arial" w:hAnsi="Arial"/>
          <w:sz w:val="16"/>
          <w:szCs w:val="16"/>
          <w:color w:val="828282"/>
        </w:rPr>
        <w:t>Stock Options</w:t>
      </w:r>
    </w:p>
    <w:p>
      <w:pPr>
        <w:spacing w:after="0" w:line="194" w:lineRule="exact"/>
        <w:rPr>
          <w:sz w:val="20"/>
          <w:szCs w:val="20"/>
          <w:color w:val="auto"/>
        </w:rPr>
      </w:pPr>
    </w:p>
    <w:p>
      <w:pPr>
        <w:jc w:val="both"/>
        <w:ind w:right="40"/>
        <w:spacing w:after="0" w:line="253" w:lineRule="auto"/>
        <w:rPr>
          <w:sz w:val="20"/>
          <w:szCs w:val="20"/>
          <w:color w:val="auto"/>
        </w:rPr>
      </w:pPr>
      <w:r>
        <w:rPr>
          <w:rFonts w:ascii="Arial" w:cs="Arial" w:eastAsia="Arial" w:hAnsi="Arial"/>
          <w:sz w:val="16"/>
          <w:szCs w:val="16"/>
          <w:color w:val="auto"/>
        </w:rPr>
        <w:t>Pursuant to the stock option agreements entered into by certain of our NEOs, unvested options will vest upon a “Change of Control” (as defined in the 2014 Plan) of the</w:t>
      </w:r>
    </w:p>
    <w:p>
      <w:pPr>
        <w:spacing w:after="0" w:line="20" w:lineRule="exact"/>
        <w:rPr>
          <w:sz w:val="20"/>
          <w:szCs w:val="20"/>
          <w:color w:val="auto"/>
        </w:rPr>
      </w:pPr>
      <w:r>
        <w:rPr>
          <w:sz w:val="20"/>
          <w:szCs w:val="20"/>
          <w:color w:val="auto"/>
        </w:rPr>
        <w:br w:type="column"/>
      </w:r>
    </w:p>
    <w:p>
      <w:pPr>
        <w:spacing w:after="0" w:line="174" w:lineRule="exact"/>
        <w:rPr>
          <w:sz w:val="20"/>
          <w:szCs w:val="20"/>
          <w:color w:val="auto"/>
        </w:rPr>
      </w:pPr>
    </w:p>
    <w:p>
      <w:pPr>
        <w:ind w:left="340" w:right="20" w:hanging="332"/>
        <w:spacing w:after="0" w:line="246" w:lineRule="auto"/>
        <w:tabs>
          <w:tab w:leader="none" w:pos="340" w:val="left"/>
        </w:tabs>
        <w:numPr>
          <w:ilvl w:val="0"/>
          <w:numId w:val="48"/>
        </w:numPr>
        <w:rPr>
          <w:rFonts w:ascii="Arial" w:cs="Arial" w:eastAsia="Arial" w:hAnsi="Arial"/>
          <w:sz w:val="16"/>
          <w:szCs w:val="16"/>
          <w:color w:val="auto"/>
        </w:rPr>
      </w:pPr>
      <w:r>
        <w:rPr>
          <w:rFonts w:ascii="Arial" w:cs="Arial" w:eastAsia="Arial" w:hAnsi="Arial"/>
          <w:sz w:val="16"/>
          <w:szCs w:val="16"/>
          <w:color w:val="auto"/>
        </w:rPr>
        <w:t>if the NEO's termination of employment is due to his or her disability and, in the case of the Fiscal 2016 and Fiscal 2017 option awards only, occurs after at least five consecutive years of employment with the Company, the stock options become vested in full and immediately exercisable for a period of ten years after any stock option grant date for non-qualified stock options; and</w:t>
      </w:r>
    </w:p>
    <w:p>
      <w:pPr>
        <w:spacing w:after="0" w:line="2" w:lineRule="exact"/>
        <w:rPr>
          <w:rFonts w:ascii="Arial" w:cs="Arial" w:eastAsia="Arial" w:hAnsi="Arial"/>
          <w:sz w:val="16"/>
          <w:szCs w:val="16"/>
          <w:color w:val="auto"/>
        </w:rPr>
      </w:pPr>
    </w:p>
    <w:p>
      <w:pPr>
        <w:ind w:left="340" w:right="100" w:hanging="332"/>
        <w:spacing w:after="0" w:line="249" w:lineRule="auto"/>
        <w:tabs>
          <w:tab w:leader="none" w:pos="340" w:val="left"/>
        </w:tabs>
        <w:numPr>
          <w:ilvl w:val="0"/>
          <w:numId w:val="48"/>
        </w:numPr>
        <w:rPr>
          <w:rFonts w:ascii="Arial" w:cs="Arial" w:eastAsia="Arial" w:hAnsi="Arial"/>
          <w:sz w:val="16"/>
          <w:szCs w:val="16"/>
          <w:color w:val="auto"/>
        </w:rPr>
      </w:pPr>
      <w:r>
        <w:rPr>
          <w:rFonts w:ascii="Arial" w:cs="Arial" w:eastAsia="Arial" w:hAnsi="Arial"/>
          <w:sz w:val="16"/>
          <w:szCs w:val="16"/>
          <w:color w:val="auto"/>
        </w:rPr>
        <w:t>if the NEO's termination of employment is due to his or her death and, in the case of the Fiscal 2016 and Fiscal 2017 option awards only, occurs after at least five consecutive years of employment with the Company, the options shall become vested in full and immediately exercisable by the NEO's estate or legal representative following such termination of employment and shall thereafter, terminate.</w:t>
      </w:r>
    </w:p>
    <w:p>
      <w:pPr>
        <w:spacing w:after="0" w:line="178" w:lineRule="exact"/>
        <w:rPr>
          <w:sz w:val="20"/>
          <w:szCs w:val="20"/>
          <w:color w:val="auto"/>
        </w:rPr>
      </w:pPr>
    </w:p>
    <w:p>
      <w:pPr>
        <w:ind w:right="80"/>
        <w:spacing w:after="0" w:line="249" w:lineRule="auto"/>
        <w:rPr>
          <w:sz w:val="20"/>
          <w:szCs w:val="20"/>
          <w:color w:val="auto"/>
        </w:rPr>
      </w:pPr>
      <w:r>
        <w:rPr>
          <w:rFonts w:ascii="Arial" w:cs="Arial" w:eastAsia="Arial" w:hAnsi="Arial"/>
          <w:sz w:val="16"/>
          <w:szCs w:val="16"/>
          <w:color w:val="auto"/>
        </w:rPr>
        <w:t>In the event that a NEO ceases to be employed by the Company other than because of disability or death or, in the case of the Fiscal 2016, Fiscal 2017 and Fiscal 2018 option awards only, if any of disability or death occurs before the NEO has completed five consecutive years of employment with the Company, any outstanding stock options held by the NEO which have not vested as of the date of termination of employment will terminate.</w:t>
      </w:r>
    </w:p>
    <w:p>
      <w:pPr>
        <w:spacing w:after="0" w:line="178" w:lineRule="exact"/>
        <w:rPr>
          <w:sz w:val="20"/>
          <w:szCs w:val="20"/>
          <w:color w:val="auto"/>
        </w:rPr>
      </w:pPr>
    </w:p>
    <w:p>
      <w:pPr>
        <w:spacing w:after="0"/>
        <w:rPr>
          <w:sz w:val="20"/>
          <w:szCs w:val="20"/>
          <w:color w:val="auto"/>
        </w:rPr>
      </w:pPr>
      <w:r>
        <w:rPr>
          <w:rFonts w:ascii="Arial" w:cs="Arial" w:eastAsia="Arial" w:hAnsi="Arial"/>
          <w:sz w:val="16"/>
          <w:szCs w:val="16"/>
          <w:color w:val="828282"/>
        </w:rPr>
        <w:t>Change in Control Definitions and Triggers</w:t>
      </w:r>
    </w:p>
    <w:p>
      <w:pPr>
        <w:spacing w:after="0" w:line="194" w:lineRule="exact"/>
        <w:rPr>
          <w:sz w:val="20"/>
          <w:szCs w:val="20"/>
          <w:color w:val="auto"/>
        </w:rPr>
      </w:pPr>
    </w:p>
    <w:p>
      <w:pPr>
        <w:ind w:right="20"/>
        <w:spacing w:after="0" w:line="250" w:lineRule="auto"/>
        <w:rPr>
          <w:sz w:val="20"/>
          <w:szCs w:val="20"/>
          <w:color w:val="auto"/>
        </w:rPr>
      </w:pPr>
      <w:r>
        <w:rPr>
          <w:rFonts w:ascii="Arial" w:cs="Arial" w:eastAsia="Arial" w:hAnsi="Arial"/>
          <w:sz w:val="16"/>
          <w:szCs w:val="16"/>
          <w:color w:val="auto"/>
        </w:rPr>
        <w:t>On October 15, 2018, the Committee approved new Executive Change in Control Agreements, which are expected to be entered into prior to December 31, 2018 with each of the NEOs (other than Mr. Clark), in order to align the Company's practices with market standard practices among our peers. The material changes to the new agreements include:</w:t>
      </w:r>
    </w:p>
    <w:p>
      <w:pPr>
        <w:spacing w:after="0" w:line="176" w:lineRule="exact"/>
        <w:rPr>
          <w:sz w:val="20"/>
          <w:szCs w:val="20"/>
          <w:color w:val="auto"/>
        </w:rPr>
      </w:pPr>
    </w:p>
    <w:p>
      <w:pPr>
        <w:ind w:left="340" w:right="40" w:hanging="332"/>
        <w:spacing w:after="0" w:line="246" w:lineRule="auto"/>
        <w:tabs>
          <w:tab w:leader="none" w:pos="340" w:val="left"/>
        </w:tabs>
        <w:numPr>
          <w:ilvl w:val="0"/>
          <w:numId w:val="49"/>
        </w:numPr>
        <w:rPr>
          <w:rFonts w:ascii="Arial" w:cs="Arial" w:eastAsia="Arial" w:hAnsi="Arial"/>
          <w:sz w:val="16"/>
          <w:szCs w:val="16"/>
          <w:color w:val="auto"/>
        </w:rPr>
      </w:pPr>
      <w:r>
        <w:rPr>
          <w:rFonts w:ascii="Arial" w:cs="Arial" w:eastAsia="Arial" w:hAnsi="Arial"/>
          <w:sz w:val="16"/>
          <w:szCs w:val="16"/>
          <w:color w:val="auto"/>
        </w:rPr>
        <w:t>payment of severance only relative to salary and target annual incentives rather than total taxable earnings;</w:t>
      </w:r>
    </w:p>
    <w:p>
      <w:pPr>
        <w:jc w:val="both"/>
        <w:ind w:left="340" w:right="180" w:hanging="332"/>
        <w:spacing w:after="0" w:line="246" w:lineRule="auto"/>
        <w:tabs>
          <w:tab w:leader="none" w:pos="340" w:val="left"/>
        </w:tabs>
        <w:numPr>
          <w:ilvl w:val="0"/>
          <w:numId w:val="49"/>
        </w:numPr>
        <w:rPr>
          <w:rFonts w:ascii="Arial" w:cs="Arial" w:eastAsia="Arial" w:hAnsi="Arial"/>
          <w:sz w:val="16"/>
          <w:szCs w:val="16"/>
          <w:color w:val="auto"/>
        </w:rPr>
      </w:pPr>
      <w:r>
        <w:rPr>
          <w:rFonts w:ascii="Arial" w:cs="Arial" w:eastAsia="Arial" w:hAnsi="Arial"/>
          <w:sz w:val="16"/>
          <w:szCs w:val="16"/>
          <w:color w:val="auto"/>
        </w:rPr>
        <w:t>a revised severance multiple of two times rather than three times base salary and annual target bonus for all executives other than Mr. Happe, whose multiple remains at three times;</w:t>
      </w:r>
    </w:p>
    <w:p>
      <w:pPr>
        <w:spacing w:after="0" w:line="1" w:lineRule="exact"/>
        <w:rPr>
          <w:rFonts w:ascii="Arial" w:cs="Arial" w:eastAsia="Arial" w:hAnsi="Arial"/>
          <w:sz w:val="16"/>
          <w:szCs w:val="16"/>
          <w:color w:val="auto"/>
        </w:rPr>
      </w:pPr>
    </w:p>
    <w:p>
      <w:pPr>
        <w:ind w:left="340" w:hanging="332"/>
        <w:spacing w:after="0" w:line="246" w:lineRule="auto"/>
        <w:tabs>
          <w:tab w:leader="none" w:pos="340" w:val="left"/>
        </w:tabs>
        <w:numPr>
          <w:ilvl w:val="0"/>
          <w:numId w:val="49"/>
        </w:numPr>
        <w:rPr>
          <w:rFonts w:ascii="Arial" w:cs="Arial" w:eastAsia="Arial" w:hAnsi="Arial"/>
          <w:sz w:val="16"/>
          <w:szCs w:val="16"/>
          <w:color w:val="auto"/>
        </w:rPr>
      </w:pPr>
      <w:r>
        <w:rPr>
          <w:rFonts w:ascii="Arial" w:cs="Arial" w:eastAsia="Arial" w:hAnsi="Arial"/>
          <w:sz w:val="16"/>
          <w:szCs w:val="16"/>
          <w:color w:val="auto"/>
        </w:rPr>
        <w:t>a reduced severance window linked to termination of employment without cause or for good reason within two years of the date of the change in control rather than three years; and</w:t>
      </w:r>
    </w:p>
    <w:p>
      <w:pPr>
        <w:spacing w:after="0" w:line="1" w:lineRule="exact"/>
        <w:rPr>
          <w:rFonts w:ascii="Arial" w:cs="Arial" w:eastAsia="Arial" w:hAnsi="Arial"/>
          <w:sz w:val="16"/>
          <w:szCs w:val="16"/>
          <w:color w:val="auto"/>
        </w:rPr>
      </w:pPr>
    </w:p>
    <w:p>
      <w:pPr>
        <w:ind w:left="340" w:right="220" w:hanging="332"/>
        <w:spacing w:after="0" w:line="260" w:lineRule="auto"/>
        <w:tabs>
          <w:tab w:leader="none" w:pos="340" w:val="left"/>
        </w:tabs>
        <w:numPr>
          <w:ilvl w:val="0"/>
          <w:numId w:val="49"/>
        </w:numPr>
        <w:rPr>
          <w:rFonts w:ascii="Arial" w:cs="Arial" w:eastAsia="Arial" w:hAnsi="Arial"/>
          <w:sz w:val="16"/>
          <w:szCs w:val="16"/>
          <w:color w:val="auto"/>
        </w:rPr>
      </w:pPr>
      <w:r>
        <w:rPr>
          <w:rFonts w:ascii="Arial" w:cs="Arial" w:eastAsia="Arial" w:hAnsi="Arial"/>
          <w:sz w:val="16"/>
          <w:szCs w:val="16"/>
          <w:color w:val="auto"/>
        </w:rPr>
        <w:t>a revised definition of Change in Control that utilizes a 30% acquisition trigger rather than a 20% trigger.</w:t>
      </w:r>
    </w:p>
    <w:p>
      <w:pPr>
        <w:spacing w:after="0" w:line="169" w:lineRule="exact"/>
        <w:rPr>
          <w:sz w:val="20"/>
          <w:szCs w:val="20"/>
          <w:color w:val="auto"/>
        </w:rPr>
      </w:pPr>
    </w:p>
    <w:p>
      <w:pPr>
        <w:ind w:right="160"/>
        <w:spacing w:after="0" w:line="251" w:lineRule="auto"/>
        <w:rPr>
          <w:sz w:val="20"/>
          <w:szCs w:val="20"/>
          <w:color w:val="auto"/>
        </w:rPr>
      </w:pPr>
      <w:r>
        <w:rPr>
          <w:rFonts w:ascii="Arial" w:cs="Arial" w:eastAsia="Arial" w:hAnsi="Arial"/>
          <w:sz w:val="16"/>
          <w:szCs w:val="16"/>
          <w:color w:val="auto"/>
        </w:rPr>
        <w:t>Due to the unique nature of Mr. Clark's employment and compensation arrangements with the Company entered into in association with the Grand Design acquisition, no changes were made to Mr. Clark's Executive Change of Control Agreement.</w:t>
      </w:r>
    </w:p>
    <w:p>
      <w:pPr>
        <w:spacing w:after="0" w:line="721" w:lineRule="exact"/>
        <w:rPr>
          <w:sz w:val="20"/>
          <w:szCs w:val="20"/>
          <w:color w:val="auto"/>
        </w:rPr>
      </w:pPr>
    </w:p>
    <w:p>
      <w:pPr>
        <w:sectPr>
          <w:pgSz w:w="11900" w:h="16838" w:orient="portrait"/>
          <w:cols w:equalWidth="0" w:num="2">
            <w:col w:w="5580" w:space="240"/>
            <w:col w:w="5600"/>
          </w:cols>
          <w:pgMar w:left="240" w:top="303" w:right="239" w:bottom="1440" w:gutter="0" w:footer="0" w:header="0"/>
          <w:type w:val="continuous"/>
        </w:sectPr>
      </w:pPr>
    </w:p>
    <w:p>
      <w:pPr>
        <w:spacing w:after="0"/>
        <w:rPr>
          <w:sz w:val="20"/>
          <w:szCs w:val="20"/>
          <w:color w:val="auto"/>
        </w:rPr>
      </w:pPr>
      <w:r>
        <w:rPr>
          <w:rFonts w:ascii="Arial" w:cs="Arial" w:eastAsia="Arial" w:hAnsi="Arial"/>
          <w:sz w:val="22"/>
          <w:szCs w:val="22"/>
          <w:color w:val="828282"/>
        </w:rPr>
        <w:t>Estimated Change of Control or Termination Payments and Benefits at the End of Fiscal 2018</w:t>
      </w:r>
    </w:p>
    <w:p>
      <w:pPr>
        <w:spacing w:after="0" w:line="188" w:lineRule="exact"/>
        <w:rPr>
          <w:sz w:val="20"/>
          <w:szCs w:val="20"/>
          <w:color w:val="auto"/>
        </w:rPr>
      </w:pPr>
    </w:p>
    <w:p>
      <w:pPr>
        <w:jc w:val="both"/>
        <w:ind w:right="100"/>
        <w:spacing w:after="0" w:line="251" w:lineRule="auto"/>
        <w:rPr>
          <w:sz w:val="20"/>
          <w:szCs w:val="20"/>
          <w:color w:val="auto"/>
        </w:rPr>
      </w:pPr>
      <w:r>
        <w:rPr>
          <w:rFonts w:ascii="Arial" w:cs="Arial" w:eastAsia="Arial" w:hAnsi="Arial"/>
          <w:sz w:val="16"/>
          <w:szCs w:val="16"/>
          <w:color w:val="auto"/>
        </w:rPr>
        <w:t>The following table reflects the payments and benefits payable to each of the NEOs in the event of a termination of the executive's employment under several different circumstances. The amounts shown assume that termination was effective as of August 25, 2018, at the executive's compensation and service levels as of that date, and are estimates of the amounts that would be payable to the NEOs in each scenario. The amounts do not include benefits paid by insurance providers under life and disability policies or</w:t>
      </w: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33</w:t>
      </w:r>
    </w:p>
    <w:p>
      <w:pPr>
        <w:sectPr>
          <w:pgSz w:w="11900" w:h="16838" w:orient="portrait"/>
          <w:cols w:equalWidth="0" w:num="1">
            <w:col w:w="11420"/>
          </w:cols>
          <w:pgMar w:left="240" w:top="303" w:right="239" w:bottom="1440" w:gutter="0" w:footer="0" w:header="0"/>
          <w:type w:val="continuous"/>
        </w:sectPr>
      </w:pPr>
    </w:p>
    <w:bookmarkStart w:id="37" w:name="page38"/>
    <w:bookmarkEnd w:id="37"/>
    <w:p>
      <w:pPr>
        <w:ind w:left="40"/>
        <w:spacing w:after="0"/>
        <w:rPr>
          <w:rFonts w:ascii="Arial" w:cs="Arial" w:eastAsia="Arial" w:hAnsi="Arial"/>
          <w:sz w:val="16"/>
          <w:szCs w:val="16"/>
          <w:u w:val="single" w:color="auto"/>
          <w:color w:val="0000EE"/>
        </w:rPr>
      </w:pPr>
      <w:r>
        <w:rPr>
          <w:rFonts w:ascii="Arial" w:cs="Arial" w:eastAsia="Arial" w:hAnsi="Arial"/>
          <w:sz w:val="16"/>
          <w:szCs w:val="16"/>
          <w:u w:val="single" w:color="auto"/>
          <w:color w:val="0000EE"/>
        </w:rPr>
        <w:drawing>
          <wp:anchor simplePos="0" relativeHeight="251657728" behindDoc="1" locked="0" layoutInCell="0" allowOverlap="1">
            <wp:simplePos x="0" y="0"/>
            <wp:positionH relativeFrom="page">
              <wp:posOffset>5946140</wp:posOffset>
            </wp:positionH>
            <wp:positionV relativeFrom="page">
              <wp:posOffset>191770</wp:posOffset>
            </wp:positionV>
            <wp:extent cx="1440815" cy="20574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clrChange>
                        <a:clrFrom>
                          <a:srgbClr val="FFFFFF"/>
                        </a:clrFrom>
                        <a:clrTo>
                          <a:srgbClr val="FFFFFF">
                            <a:alpha val="0"/>
                          </a:srgbClr>
                        </a:clrTo>
                      </a:clrChange>
                      <a:extLst>
                        <a:ext uri="{28A0092B-C50C-407E-A947-70E740481C1C}"/>
                      </a:extLst>
                    </a:blip>
                    <a:srcRect/>
                    <a:stretch>
                      <a:fillRect/>
                    </a:stretch>
                  </pic:blipFill>
                  <pic:spPr bwMode="auto">
                    <a:xfrm>
                      <a:off x="0" y="0"/>
                      <a:ext cx="1440815" cy="205740"/>
                    </a:xfrm>
                    <a:prstGeom prst="rect">
                      <a:avLst/>
                    </a:prstGeom>
                    <a:noFill/>
                  </pic:spPr>
                </pic:pic>
              </a:graphicData>
            </a:graphic>
          </wp:anchor>
        </w:drawing>
      </w:r>
      <w:hyperlink w:anchor="page4">
        <w:r>
          <w:rPr>
            <w:rFonts w:ascii="Arial" w:cs="Arial" w:eastAsia="Arial" w:hAnsi="Arial"/>
            <w:sz w:val="16"/>
            <w:szCs w:val="16"/>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104775</wp:posOffset>
            </wp:positionV>
            <wp:extent cx="7246620" cy="889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04" w:lineRule="exact"/>
        <w:rPr>
          <w:sz w:val="20"/>
          <w:szCs w:val="20"/>
          <w:color w:val="auto"/>
        </w:rPr>
      </w:pPr>
    </w:p>
    <w:p>
      <w:pPr>
        <w:ind w:right="40"/>
        <w:spacing w:after="0" w:line="253" w:lineRule="auto"/>
        <w:rPr>
          <w:sz w:val="20"/>
          <w:szCs w:val="20"/>
          <w:color w:val="auto"/>
        </w:rPr>
      </w:pPr>
      <w:r>
        <w:rPr>
          <w:rFonts w:ascii="Arial" w:cs="Arial" w:eastAsia="Arial" w:hAnsi="Arial"/>
          <w:sz w:val="16"/>
          <w:szCs w:val="16"/>
          <w:color w:val="auto"/>
        </w:rPr>
        <w:t>payments and benefits provided on a non-discriminatory basis to employees upon a termination of employment. The actual amounts to be paid out can only be determined at the time of an executive's actual separation from the Company. Factors that could affect the nature and the amounts paid on termination of employment, among others, include the timing of event, compensation level, the market price of the Company's Common Stock and the executive's age.</w:t>
      </w:r>
    </w:p>
    <w:p>
      <w:pPr>
        <w:spacing w:after="0" w:line="119"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3220" w:type="dxa"/>
            <w:vAlign w:val="bottom"/>
            <w:shd w:val="clear" w:color="auto" w:fill="BF2115"/>
          </w:tcPr>
          <w:p>
            <w:pPr>
              <w:spacing w:after="0"/>
              <w:rPr>
                <w:sz w:val="15"/>
                <w:szCs w:val="15"/>
                <w:color w:val="auto"/>
              </w:rPr>
            </w:pPr>
          </w:p>
        </w:tc>
        <w:tc>
          <w:tcPr>
            <w:tcW w:w="500" w:type="dxa"/>
            <w:vAlign w:val="bottom"/>
            <w:shd w:val="clear" w:color="auto" w:fill="BF2115"/>
          </w:tcPr>
          <w:p>
            <w:pPr>
              <w:spacing w:after="0"/>
              <w:rPr>
                <w:sz w:val="15"/>
                <w:szCs w:val="15"/>
                <w:color w:val="auto"/>
              </w:rPr>
            </w:pPr>
          </w:p>
        </w:tc>
        <w:tc>
          <w:tcPr>
            <w:tcW w:w="1240" w:type="dxa"/>
            <w:vAlign w:val="bottom"/>
            <w:shd w:val="clear" w:color="auto" w:fill="BF2115"/>
          </w:tcPr>
          <w:p>
            <w:pPr>
              <w:spacing w:after="0"/>
              <w:rPr>
                <w:sz w:val="15"/>
                <w:szCs w:val="15"/>
                <w:color w:val="auto"/>
              </w:rPr>
            </w:pPr>
          </w:p>
        </w:tc>
        <w:tc>
          <w:tcPr>
            <w:tcW w:w="120" w:type="dxa"/>
            <w:vAlign w:val="bottom"/>
            <w:shd w:val="clear" w:color="auto" w:fill="BF2115"/>
          </w:tcPr>
          <w:p>
            <w:pPr>
              <w:spacing w:after="0"/>
              <w:rPr>
                <w:sz w:val="15"/>
                <w:szCs w:val="15"/>
                <w:color w:val="auto"/>
              </w:rPr>
            </w:pPr>
          </w:p>
        </w:tc>
        <w:tc>
          <w:tcPr>
            <w:tcW w:w="1040" w:type="dxa"/>
            <w:vAlign w:val="bottom"/>
            <w:shd w:val="clear" w:color="auto" w:fill="BF2115"/>
          </w:tcPr>
          <w:p>
            <w:pPr>
              <w:jc w:val="right"/>
              <w:ind w:right="168"/>
              <w:spacing w:after="0"/>
              <w:rPr>
                <w:sz w:val="20"/>
                <w:szCs w:val="20"/>
                <w:color w:val="auto"/>
              </w:rPr>
            </w:pPr>
            <w:r>
              <w:rPr>
                <w:rFonts w:ascii="Arial" w:cs="Arial" w:eastAsia="Arial" w:hAnsi="Arial"/>
                <w:sz w:val="14"/>
                <w:szCs w:val="14"/>
                <w:b w:val="1"/>
                <w:bCs w:val="1"/>
                <w:color w:val="FFFFFF"/>
              </w:rPr>
              <w:t>Annual or</w:t>
            </w:r>
          </w:p>
        </w:tc>
        <w:tc>
          <w:tcPr>
            <w:tcW w:w="280" w:type="dxa"/>
            <w:vAlign w:val="bottom"/>
            <w:shd w:val="clear" w:color="auto" w:fill="BF2115"/>
          </w:tcPr>
          <w:p>
            <w:pPr>
              <w:spacing w:after="0"/>
              <w:rPr>
                <w:sz w:val="15"/>
                <w:szCs w:val="15"/>
                <w:color w:val="auto"/>
              </w:rPr>
            </w:pPr>
          </w:p>
        </w:tc>
        <w:tc>
          <w:tcPr>
            <w:tcW w:w="1140" w:type="dxa"/>
            <w:vAlign w:val="bottom"/>
            <w:shd w:val="clear" w:color="auto" w:fill="BF2115"/>
          </w:tcPr>
          <w:p>
            <w:pPr>
              <w:jc w:val="center"/>
              <w:ind w:right="128"/>
              <w:spacing w:after="0"/>
              <w:rPr>
                <w:sz w:val="20"/>
                <w:szCs w:val="20"/>
                <w:color w:val="auto"/>
              </w:rPr>
            </w:pPr>
            <w:r>
              <w:rPr>
                <w:rFonts w:ascii="Arial" w:cs="Arial" w:eastAsia="Arial" w:hAnsi="Arial"/>
                <w:sz w:val="14"/>
                <w:szCs w:val="14"/>
                <w:b w:val="1"/>
                <w:bCs w:val="1"/>
                <w:color w:val="FFFFFF"/>
                <w:w w:val="99"/>
              </w:rPr>
              <w:t>LTIP /</w:t>
            </w:r>
          </w:p>
        </w:tc>
        <w:tc>
          <w:tcPr>
            <w:tcW w:w="1360" w:type="dxa"/>
            <w:vAlign w:val="bottom"/>
            <w:gridSpan w:val="2"/>
            <w:shd w:val="clear" w:color="auto" w:fill="BF2115"/>
          </w:tcPr>
          <w:p>
            <w:pPr>
              <w:jc w:val="right"/>
              <w:ind w:right="8"/>
              <w:spacing w:after="0"/>
              <w:rPr>
                <w:sz w:val="20"/>
                <w:szCs w:val="20"/>
                <w:color w:val="auto"/>
              </w:rPr>
            </w:pPr>
            <w:r>
              <w:rPr>
                <w:rFonts w:ascii="Arial" w:cs="Arial" w:eastAsia="Arial" w:hAnsi="Arial"/>
                <w:sz w:val="14"/>
                <w:szCs w:val="14"/>
                <w:b w:val="1"/>
                <w:bCs w:val="1"/>
                <w:color w:val="FFFFFF"/>
              </w:rPr>
              <w:t>Restricted Stock-</w:t>
            </w:r>
          </w:p>
        </w:tc>
        <w:tc>
          <w:tcPr>
            <w:tcW w:w="160" w:type="dxa"/>
            <w:vAlign w:val="bottom"/>
            <w:shd w:val="clear" w:color="auto" w:fill="BF2115"/>
          </w:tcPr>
          <w:p>
            <w:pPr>
              <w:spacing w:after="0"/>
              <w:rPr>
                <w:sz w:val="15"/>
                <w:szCs w:val="15"/>
                <w:color w:val="auto"/>
              </w:rPr>
            </w:pPr>
          </w:p>
        </w:tc>
        <w:tc>
          <w:tcPr>
            <w:tcW w:w="1180" w:type="dxa"/>
            <w:vAlign w:val="bottom"/>
            <w:shd w:val="clear" w:color="auto" w:fill="BF2115"/>
          </w:tcPr>
          <w:p>
            <w:pPr>
              <w:jc w:val="right"/>
              <w:ind w:right="88"/>
              <w:spacing w:after="0"/>
              <w:rPr>
                <w:sz w:val="20"/>
                <w:szCs w:val="20"/>
                <w:color w:val="auto"/>
              </w:rPr>
            </w:pPr>
            <w:r>
              <w:rPr>
                <w:rFonts w:ascii="Arial" w:cs="Arial" w:eastAsia="Arial" w:hAnsi="Arial"/>
                <w:sz w:val="14"/>
                <w:szCs w:val="14"/>
                <w:b w:val="1"/>
                <w:bCs w:val="1"/>
                <w:color w:val="FFFFFF"/>
              </w:rPr>
              <w:t>Stock Options-</w:t>
            </w:r>
          </w:p>
        </w:tc>
        <w:tc>
          <w:tcPr>
            <w:tcW w:w="300" w:type="dxa"/>
            <w:vAlign w:val="bottom"/>
            <w:shd w:val="clear" w:color="auto" w:fill="BF2115"/>
          </w:tcPr>
          <w:p>
            <w:pPr>
              <w:spacing w:after="0"/>
              <w:rPr>
                <w:sz w:val="15"/>
                <w:szCs w:val="15"/>
                <w:color w:val="auto"/>
              </w:rPr>
            </w:pPr>
          </w:p>
        </w:tc>
        <w:tc>
          <w:tcPr>
            <w:tcW w:w="880" w:type="dxa"/>
            <w:vAlign w:val="bottom"/>
            <w:shd w:val="clear" w:color="auto" w:fill="BF2115"/>
          </w:tcPr>
          <w:p>
            <w:pPr>
              <w:spacing w:after="0"/>
              <w:rPr>
                <w:sz w:val="15"/>
                <w:szCs w:val="15"/>
                <w:color w:val="auto"/>
              </w:rPr>
            </w:pPr>
          </w:p>
        </w:tc>
      </w:tr>
      <w:tr>
        <w:trPr>
          <w:trHeight w:val="162"/>
        </w:trPr>
        <w:tc>
          <w:tcPr>
            <w:tcW w:w="3220" w:type="dxa"/>
            <w:vAlign w:val="bottom"/>
            <w:shd w:val="clear" w:color="auto" w:fill="BF2115"/>
          </w:tcPr>
          <w:p>
            <w:pPr>
              <w:spacing w:after="0"/>
              <w:rPr>
                <w:sz w:val="14"/>
                <w:szCs w:val="14"/>
                <w:color w:val="auto"/>
              </w:rPr>
            </w:pPr>
          </w:p>
        </w:tc>
        <w:tc>
          <w:tcPr>
            <w:tcW w:w="500" w:type="dxa"/>
            <w:vAlign w:val="bottom"/>
            <w:shd w:val="clear" w:color="auto" w:fill="BF2115"/>
          </w:tcPr>
          <w:p>
            <w:pPr>
              <w:spacing w:after="0"/>
              <w:rPr>
                <w:sz w:val="14"/>
                <w:szCs w:val="14"/>
                <w:color w:val="auto"/>
              </w:rPr>
            </w:pPr>
          </w:p>
        </w:tc>
        <w:tc>
          <w:tcPr>
            <w:tcW w:w="1240" w:type="dxa"/>
            <w:vAlign w:val="bottom"/>
            <w:shd w:val="clear" w:color="auto" w:fill="BF2115"/>
          </w:tcPr>
          <w:p>
            <w:pPr>
              <w:spacing w:after="0"/>
              <w:rPr>
                <w:sz w:val="14"/>
                <w:szCs w:val="14"/>
                <w:color w:val="auto"/>
              </w:rPr>
            </w:pPr>
          </w:p>
        </w:tc>
        <w:tc>
          <w:tcPr>
            <w:tcW w:w="120" w:type="dxa"/>
            <w:vAlign w:val="bottom"/>
            <w:shd w:val="clear" w:color="auto" w:fill="BF2115"/>
          </w:tcPr>
          <w:p>
            <w:pPr>
              <w:spacing w:after="0"/>
              <w:rPr>
                <w:sz w:val="14"/>
                <w:szCs w:val="14"/>
                <w:color w:val="auto"/>
              </w:rPr>
            </w:pPr>
          </w:p>
        </w:tc>
        <w:tc>
          <w:tcPr>
            <w:tcW w:w="1040" w:type="dxa"/>
            <w:vAlign w:val="bottom"/>
            <w:shd w:val="clear" w:color="auto" w:fill="BF2115"/>
          </w:tcPr>
          <w:p>
            <w:pPr>
              <w:jc w:val="right"/>
              <w:ind w:right="48"/>
              <w:spacing w:after="0"/>
              <w:rPr>
                <w:sz w:val="20"/>
                <w:szCs w:val="20"/>
                <w:color w:val="auto"/>
              </w:rPr>
            </w:pPr>
            <w:r>
              <w:rPr>
                <w:rFonts w:ascii="Arial" w:cs="Arial" w:eastAsia="Arial" w:hAnsi="Arial"/>
                <w:sz w:val="14"/>
                <w:szCs w:val="14"/>
                <w:b w:val="1"/>
                <w:bCs w:val="1"/>
                <w:color w:val="FFFFFF"/>
                <w:w w:val="99"/>
              </w:rPr>
              <w:t>Manage-ment</w:t>
            </w:r>
          </w:p>
        </w:tc>
        <w:tc>
          <w:tcPr>
            <w:tcW w:w="280" w:type="dxa"/>
            <w:vAlign w:val="bottom"/>
            <w:shd w:val="clear" w:color="auto" w:fill="BF2115"/>
          </w:tcPr>
          <w:p>
            <w:pPr>
              <w:spacing w:after="0"/>
              <w:rPr>
                <w:sz w:val="14"/>
                <w:szCs w:val="14"/>
                <w:color w:val="auto"/>
              </w:rPr>
            </w:pPr>
          </w:p>
        </w:tc>
        <w:tc>
          <w:tcPr>
            <w:tcW w:w="1140" w:type="dxa"/>
            <w:vAlign w:val="bottom"/>
            <w:shd w:val="clear" w:color="auto" w:fill="BF2115"/>
          </w:tcPr>
          <w:p>
            <w:pPr>
              <w:jc w:val="center"/>
              <w:ind w:right="148"/>
              <w:spacing w:after="0"/>
              <w:rPr>
                <w:sz w:val="20"/>
                <w:szCs w:val="20"/>
                <w:color w:val="auto"/>
              </w:rPr>
            </w:pPr>
            <w:r>
              <w:rPr>
                <w:rFonts w:ascii="Arial" w:cs="Arial" w:eastAsia="Arial" w:hAnsi="Arial"/>
                <w:sz w:val="14"/>
                <w:szCs w:val="14"/>
                <w:b w:val="1"/>
                <w:bCs w:val="1"/>
                <w:color w:val="FFFFFF"/>
              </w:rPr>
              <w:t>Performance</w:t>
            </w:r>
          </w:p>
        </w:tc>
        <w:tc>
          <w:tcPr>
            <w:tcW w:w="180" w:type="dxa"/>
            <w:vAlign w:val="bottom"/>
            <w:shd w:val="clear" w:color="auto" w:fill="BF2115"/>
          </w:tcPr>
          <w:p>
            <w:pPr>
              <w:spacing w:after="0"/>
              <w:rPr>
                <w:sz w:val="14"/>
                <w:szCs w:val="14"/>
                <w:color w:val="auto"/>
              </w:rPr>
            </w:pPr>
          </w:p>
        </w:tc>
        <w:tc>
          <w:tcPr>
            <w:tcW w:w="1180" w:type="dxa"/>
            <w:vAlign w:val="bottom"/>
            <w:shd w:val="clear" w:color="auto" w:fill="BF2115"/>
          </w:tcPr>
          <w:p>
            <w:pPr>
              <w:ind w:left="20"/>
              <w:spacing w:after="0"/>
              <w:rPr>
                <w:sz w:val="20"/>
                <w:szCs w:val="20"/>
                <w:color w:val="auto"/>
              </w:rPr>
            </w:pPr>
            <w:r>
              <w:rPr>
                <w:rFonts w:ascii="Arial" w:cs="Arial" w:eastAsia="Arial" w:hAnsi="Arial"/>
                <w:sz w:val="14"/>
                <w:szCs w:val="14"/>
                <w:b w:val="1"/>
                <w:bCs w:val="1"/>
                <w:color w:val="FFFFFF"/>
              </w:rPr>
              <w:t>Unvested and</w:t>
            </w:r>
          </w:p>
        </w:tc>
        <w:tc>
          <w:tcPr>
            <w:tcW w:w="160" w:type="dxa"/>
            <w:vAlign w:val="bottom"/>
            <w:shd w:val="clear" w:color="auto" w:fill="BF2115"/>
          </w:tcPr>
          <w:p>
            <w:pPr>
              <w:spacing w:after="0"/>
              <w:rPr>
                <w:sz w:val="14"/>
                <w:szCs w:val="14"/>
                <w:color w:val="auto"/>
              </w:rPr>
            </w:pPr>
          </w:p>
        </w:tc>
        <w:tc>
          <w:tcPr>
            <w:tcW w:w="1180" w:type="dxa"/>
            <w:vAlign w:val="bottom"/>
            <w:shd w:val="clear" w:color="auto" w:fill="BF2115"/>
          </w:tcPr>
          <w:p>
            <w:pPr>
              <w:jc w:val="right"/>
              <w:ind w:right="128"/>
              <w:spacing w:after="0"/>
              <w:rPr>
                <w:sz w:val="20"/>
                <w:szCs w:val="20"/>
                <w:color w:val="auto"/>
              </w:rPr>
            </w:pPr>
            <w:r>
              <w:rPr>
                <w:rFonts w:ascii="Arial" w:cs="Arial" w:eastAsia="Arial" w:hAnsi="Arial"/>
                <w:sz w:val="14"/>
                <w:szCs w:val="14"/>
                <w:b w:val="1"/>
                <w:bCs w:val="1"/>
                <w:color w:val="FFFFFF"/>
              </w:rPr>
              <w:t>Unvested and</w:t>
            </w:r>
          </w:p>
        </w:tc>
        <w:tc>
          <w:tcPr>
            <w:tcW w:w="300" w:type="dxa"/>
            <w:vAlign w:val="bottom"/>
            <w:shd w:val="clear" w:color="auto" w:fill="BF2115"/>
          </w:tcPr>
          <w:p>
            <w:pPr>
              <w:spacing w:after="0"/>
              <w:rPr>
                <w:sz w:val="14"/>
                <w:szCs w:val="14"/>
                <w:color w:val="auto"/>
              </w:rPr>
            </w:pPr>
          </w:p>
        </w:tc>
        <w:tc>
          <w:tcPr>
            <w:tcW w:w="880" w:type="dxa"/>
            <w:vAlign w:val="bottom"/>
            <w:shd w:val="clear" w:color="auto" w:fill="BF2115"/>
          </w:tcPr>
          <w:p>
            <w:pPr>
              <w:spacing w:after="0"/>
              <w:rPr>
                <w:sz w:val="14"/>
                <w:szCs w:val="14"/>
                <w:color w:val="auto"/>
              </w:rPr>
            </w:pPr>
          </w:p>
        </w:tc>
      </w:tr>
      <w:tr>
        <w:trPr>
          <w:trHeight w:val="202"/>
        </w:trPr>
        <w:tc>
          <w:tcPr>
            <w:tcW w:w="3220" w:type="dxa"/>
            <w:vAlign w:val="bottom"/>
            <w:tcBorders>
              <w:bottom w:val="single" w:sz="8" w:color="auto"/>
            </w:tcBorders>
            <w:shd w:val="clear" w:color="auto" w:fill="BF2115"/>
          </w:tcPr>
          <w:p>
            <w:pPr>
              <w:ind w:left="40"/>
              <w:spacing w:after="0"/>
              <w:rPr>
                <w:sz w:val="20"/>
                <w:szCs w:val="20"/>
                <w:color w:val="auto"/>
              </w:rPr>
            </w:pPr>
            <w:r>
              <w:rPr>
                <w:rFonts w:ascii="Arial" w:cs="Arial" w:eastAsia="Arial" w:hAnsi="Arial"/>
                <w:sz w:val="14"/>
                <w:szCs w:val="14"/>
                <w:b w:val="1"/>
                <w:bCs w:val="1"/>
                <w:color w:val="FFFFFF"/>
              </w:rPr>
              <w:t>Name</w:t>
            </w:r>
          </w:p>
        </w:tc>
        <w:tc>
          <w:tcPr>
            <w:tcW w:w="500" w:type="dxa"/>
            <w:vAlign w:val="bottom"/>
            <w:tcBorders>
              <w:bottom w:val="single" w:sz="8" w:color="auto"/>
            </w:tcBorders>
            <w:shd w:val="clear" w:color="auto" w:fill="BF2115"/>
          </w:tcPr>
          <w:p>
            <w:pPr>
              <w:spacing w:after="0"/>
              <w:rPr>
                <w:sz w:val="17"/>
                <w:szCs w:val="17"/>
                <w:color w:val="auto"/>
              </w:rPr>
            </w:pPr>
          </w:p>
        </w:tc>
        <w:tc>
          <w:tcPr>
            <w:tcW w:w="1240" w:type="dxa"/>
            <w:vAlign w:val="bottom"/>
            <w:tcBorders>
              <w:bottom w:val="single" w:sz="8" w:color="auto"/>
            </w:tcBorders>
            <w:shd w:val="clear" w:color="auto" w:fill="BF2115"/>
          </w:tcPr>
          <w:p>
            <w:pPr>
              <w:jc w:val="right"/>
              <w:ind w:right="268"/>
              <w:spacing w:after="0"/>
              <w:rPr>
                <w:sz w:val="20"/>
                <w:szCs w:val="20"/>
                <w:color w:val="auto"/>
              </w:rPr>
            </w:pPr>
            <w:r>
              <w:rPr>
                <w:rFonts w:ascii="Arial" w:cs="Arial" w:eastAsia="Arial" w:hAnsi="Arial"/>
                <w:sz w:val="14"/>
                <w:szCs w:val="14"/>
                <w:b w:val="1"/>
                <w:bCs w:val="1"/>
                <w:color w:val="FFFFFF"/>
              </w:rPr>
              <w:t>Severance</w:t>
            </w:r>
            <w:r>
              <w:rPr>
                <w:rFonts w:ascii="Arial" w:cs="Arial" w:eastAsia="Arial" w:hAnsi="Arial"/>
                <w:sz w:val="17"/>
                <w:szCs w:val="17"/>
                <w:b w:val="1"/>
                <w:bCs w:val="1"/>
                <w:color w:val="FFFFFF"/>
                <w:vertAlign w:val="superscript"/>
              </w:rPr>
              <w:t>(1)</w:t>
            </w:r>
          </w:p>
        </w:tc>
        <w:tc>
          <w:tcPr>
            <w:tcW w:w="1160" w:type="dxa"/>
            <w:vAlign w:val="bottom"/>
            <w:tcBorders>
              <w:bottom w:val="single" w:sz="8" w:color="auto"/>
            </w:tcBorders>
            <w:gridSpan w:val="2"/>
            <w:shd w:val="clear" w:color="auto" w:fill="BF2115"/>
          </w:tcPr>
          <w:p>
            <w:pPr>
              <w:ind w:left="40"/>
              <w:spacing w:after="0"/>
              <w:rPr>
                <w:sz w:val="20"/>
                <w:szCs w:val="20"/>
                <w:color w:val="auto"/>
              </w:rPr>
            </w:pPr>
            <w:r>
              <w:rPr>
                <w:rFonts w:ascii="Arial" w:cs="Arial" w:eastAsia="Arial" w:hAnsi="Arial"/>
                <w:sz w:val="14"/>
                <w:szCs w:val="14"/>
                <w:b w:val="1"/>
                <w:bCs w:val="1"/>
                <w:color w:val="FFFFFF"/>
              </w:rPr>
              <w:t>Incentive Plan</w:t>
            </w:r>
            <w:r>
              <w:rPr>
                <w:rFonts w:ascii="Arial" w:cs="Arial" w:eastAsia="Arial" w:hAnsi="Arial"/>
                <w:sz w:val="17"/>
                <w:szCs w:val="17"/>
                <w:b w:val="1"/>
                <w:bCs w:val="1"/>
                <w:color w:val="FFFFFF"/>
                <w:vertAlign w:val="superscript"/>
              </w:rPr>
              <w:t>(2)</w:t>
            </w:r>
          </w:p>
        </w:tc>
        <w:tc>
          <w:tcPr>
            <w:tcW w:w="280" w:type="dxa"/>
            <w:vAlign w:val="bottom"/>
            <w:tcBorders>
              <w:bottom w:val="single" w:sz="8" w:color="auto"/>
            </w:tcBorders>
            <w:shd w:val="clear" w:color="auto" w:fill="BF2115"/>
          </w:tcPr>
          <w:p>
            <w:pPr>
              <w:spacing w:after="0"/>
              <w:rPr>
                <w:sz w:val="17"/>
                <w:szCs w:val="17"/>
                <w:color w:val="auto"/>
              </w:rPr>
            </w:pPr>
          </w:p>
        </w:tc>
        <w:tc>
          <w:tcPr>
            <w:tcW w:w="1140" w:type="dxa"/>
            <w:vAlign w:val="bottom"/>
            <w:tcBorders>
              <w:bottom w:val="single" w:sz="8" w:color="auto"/>
            </w:tcBorders>
            <w:shd w:val="clear" w:color="auto" w:fill="BF2115"/>
          </w:tcPr>
          <w:p>
            <w:pPr>
              <w:jc w:val="center"/>
              <w:ind w:right="128"/>
              <w:spacing w:after="0"/>
              <w:rPr>
                <w:sz w:val="20"/>
                <w:szCs w:val="20"/>
                <w:color w:val="auto"/>
              </w:rPr>
            </w:pPr>
            <w:r>
              <w:rPr>
                <w:rFonts w:ascii="Arial" w:cs="Arial" w:eastAsia="Arial" w:hAnsi="Arial"/>
                <w:sz w:val="14"/>
                <w:szCs w:val="14"/>
                <w:b w:val="1"/>
                <w:bCs w:val="1"/>
                <w:color w:val="FFFFFF"/>
                <w:w w:val="95"/>
              </w:rPr>
              <w:t>Shares</w:t>
            </w:r>
            <w:r>
              <w:rPr>
                <w:rFonts w:ascii="Arial" w:cs="Arial" w:eastAsia="Arial" w:hAnsi="Arial"/>
                <w:sz w:val="17"/>
                <w:szCs w:val="17"/>
                <w:b w:val="1"/>
                <w:bCs w:val="1"/>
                <w:color w:val="FFFFFF"/>
                <w:w w:val="95"/>
                <w:vertAlign w:val="superscript"/>
              </w:rPr>
              <w:t>(3)</w:t>
            </w:r>
          </w:p>
        </w:tc>
        <w:tc>
          <w:tcPr>
            <w:tcW w:w="180" w:type="dxa"/>
            <w:vAlign w:val="bottom"/>
            <w:tcBorders>
              <w:bottom w:val="single" w:sz="8" w:color="auto"/>
            </w:tcBorders>
            <w:shd w:val="clear" w:color="auto" w:fill="BF2115"/>
          </w:tcPr>
          <w:p>
            <w:pPr>
              <w:spacing w:after="0"/>
              <w:rPr>
                <w:sz w:val="17"/>
                <w:szCs w:val="17"/>
                <w:color w:val="auto"/>
              </w:rPr>
            </w:pPr>
          </w:p>
        </w:tc>
        <w:tc>
          <w:tcPr>
            <w:tcW w:w="1180" w:type="dxa"/>
            <w:vAlign w:val="bottom"/>
            <w:tcBorders>
              <w:bottom w:val="single" w:sz="8" w:color="auto"/>
            </w:tcBorders>
            <w:shd w:val="clear" w:color="auto" w:fill="BF2115"/>
          </w:tcPr>
          <w:p>
            <w:pPr>
              <w:ind w:left="40"/>
              <w:spacing w:after="0"/>
              <w:rPr>
                <w:sz w:val="20"/>
                <w:szCs w:val="20"/>
                <w:color w:val="auto"/>
              </w:rPr>
            </w:pPr>
            <w:r>
              <w:rPr>
                <w:rFonts w:ascii="Arial" w:cs="Arial" w:eastAsia="Arial" w:hAnsi="Arial"/>
                <w:sz w:val="14"/>
                <w:szCs w:val="14"/>
                <w:b w:val="1"/>
                <w:bCs w:val="1"/>
                <w:color w:val="FFFFFF"/>
              </w:rPr>
              <w:t>Accelerated</w:t>
            </w:r>
            <w:r>
              <w:rPr>
                <w:rFonts w:ascii="Arial" w:cs="Arial" w:eastAsia="Arial" w:hAnsi="Arial"/>
                <w:sz w:val="17"/>
                <w:szCs w:val="17"/>
                <w:b w:val="1"/>
                <w:bCs w:val="1"/>
                <w:color w:val="FFFFFF"/>
                <w:vertAlign w:val="superscript"/>
              </w:rPr>
              <w:t>(4)</w:t>
            </w:r>
          </w:p>
        </w:tc>
        <w:tc>
          <w:tcPr>
            <w:tcW w:w="160" w:type="dxa"/>
            <w:vAlign w:val="bottom"/>
            <w:tcBorders>
              <w:bottom w:val="single" w:sz="8" w:color="auto"/>
            </w:tcBorders>
            <w:shd w:val="clear" w:color="auto" w:fill="BF2115"/>
          </w:tcPr>
          <w:p>
            <w:pPr>
              <w:spacing w:after="0"/>
              <w:rPr>
                <w:sz w:val="17"/>
                <w:szCs w:val="17"/>
                <w:color w:val="auto"/>
              </w:rPr>
            </w:pPr>
          </w:p>
        </w:tc>
        <w:tc>
          <w:tcPr>
            <w:tcW w:w="1180" w:type="dxa"/>
            <w:vAlign w:val="bottom"/>
            <w:tcBorders>
              <w:bottom w:val="single" w:sz="8" w:color="auto"/>
            </w:tcBorders>
            <w:shd w:val="clear" w:color="auto" w:fill="BF2115"/>
          </w:tcPr>
          <w:p>
            <w:pPr>
              <w:jc w:val="right"/>
              <w:ind w:right="128"/>
              <w:spacing w:after="0"/>
              <w:rPr>
                <w:sz w:val="20"/>
                <w:szCs w:val="20"/>
                <w:color w:val="auto"/>
              </w:rPr>
            </w:pPr>
            <w:r>
              <w:rPr>
                <w:rFonts w:ascii="Arial" w:cs="Arial" w:eastAsia="Arial" w:hAnsi="Arial"/>
                <w:sz w:val="14"/>
                <w:szCs w:val="14"/>
                <w:b w:val="1"/>
                <w:bCs w:val="1"/>
                <w:color w:val="FFFFFF"/>
              </w:rPr>
              <w:t>Accelerated</w:t>
            </w:r>
            <w:r>
              <w:rPr>
                <w:rFonts w:ascii="Arial" w:cs="Arial" w:eastAsia="Arial" w:hAnsi="Arial"/>
                <w:sz w:val="17"/>
                <w:szCs w:val="17"/>
                <w:b w:val="1"/>
                <w:bCs w:val="1"/>
                <w:color w:val="FFFFFF"/>
                <w:vertAlign w:val="superscript"/>
              </w:rPr>
              <w:t>(5)</w:t>
            </w:r>
          </w:p>
        </w:tc>
        <w:tc>
          <w:tcPr>
            <w:tcW w:w="1180" w:type="dxa"/>
            <w:vAlign w:val="bottom"/>
            <w:tcBorders>
              <w:bottom w:val="single" w:sz="8" w:color="auto"/>
            </w:tcBorders>
            <w:gridSpan w:val="2"/>
            <w:shd w:val="clear" w:color="auto" w:fill="BF2115"/>
          </w:tcPr>
          <w:p>
            <w:pPr>
              <w:jc w:val="right"/>
              <w:ind w:right="8"/>
              <w:spacing w:after="0"/>
              <w:rPr>
                <w:sz w:val="20"/>
                <w:szCs w:val="20"/>
                <w:color w:val="auto"/>
              </w:rPr>
            </w:pPr>
            <w:r>
              <w:rPr>
                <w:rFonts w:ascii="Arial" w:cs="Arial" w:eastAsia="Arial" w:hAnsi="Arial"/>
                <w:sz w:val="14"/>
                <w:szCs w:val="14"/>
                <w:b w:val="1"/>
                <w:bCs w:val="1"/>
                <w:color w:val="FFFFFF"/>
              </w:rPr>
              <w:t>Total Benefits</w:t>
            </w:r>
          </w:p>
        </w:tc>
      </w:tr>
      <w:tr>
        <w:trPr>
          <w:trHeight w:val="264"/>
        </w:trPr>
        <w:tc>
          <w:tcPr>
            <w:tcW w:w="3220" w:type="dxa"/>
            <w:vAlign w:val="bottom"/>
            <w:shd w:val="clear" w:color="auto" w:fill="ACACAC"/>
          </w:tcPr>
          <w:p>
            <w:pPr>
              <w:ind w:left="40"/>
              <w:spacing w:after="0"/>
              <w:rPr>
                <w:sz w:val="20"/>
                <w:szCs w:val="20"/>
                <w:color w:val="auto"/>
              </w:rPr>
            </w:pPr>
            <w:r>
              <w:rPr>
                <w:rFonts w:ascii="Arial" w:cs="Arial" w:eastAsia="Arial" w:hAnsi="Arial"/>
                <w:sz w:val="14"/>
                <w:szCs w:val="14"/>
                <w:color w:val="auto"/>
              </w:rPr>
              <w:t>Michael J. Happe</w:t>
            </w:r>
          </w:p>
        </w:tc>
        <w:tc>
          <w:tcPr>
            <w:tcW w:w="500" w:type="dxa"/>
            <w:vAlign w:val="bottom"/>
            <w:shd w:val="clear" w:color="auto" w:fill="ACACAC"/>
          </w:tcPr>
          <w:p>
            <w:pPr>
              <w:spacing w:after="0"/>
              <w:rPr>
                <w:sz w:val="22"/>
                <w:szCs w:val="22"/>
                <w:color w:val="auto"/>
              </w:rPr>
            </w:pPr>
          </w:p>
        </w:tc>
        <w:tc>
          <w:tcPr>
            <w:tcW w:w="1240" w:type="dxa"/>
            <w:vAlign w:val="bottom"/>
            <w:shd w:val="clear" w:color="auto" w:fill="ACACAC"/>
          </w:tcPr>
          <w:p>
            <w:pPr>
              <w:spacing w:after="0"/>
              <w:rPr>
                <w:sz w:val="22"/>
                <w:szCs w:val="22"/>
                <w:color w:val="auto"/>
              </w:rPr>
            </w:pPr>
          </w:p>
        </w:tc>
        <w:tc>
          <w:tcPr>
            <w:tcW w:w="120" w:type="dxa"/>
            <w:vAlign w:val="bottom"/>
            <w:shd w:val="clear" w:color="auto" w:fill="ACACAC"/>
          </w:tcPr>
          <w:p>
            <w:pPr>
              <w:spacing w:after="0"/>
              <w:rPr>
                <w:sz w:val="22"/>
                <w:szCs w:val="22"/>
                <w:color w:val="auto"/>
              </w:rPr>
            </w:pPr>
          </w:p>
        </w:tc>
        <w:tc>
          <w:tcPr>
            <w:tcW w:w="1040" w:type="dxa"/>
            <w:vAlign w:val="bottom"/>
            <w:shd w:val="clear" w:color="auto" w:fill="ACACAC"/>
          </w:tcPr>
          <w:p>
            <w:pPr>
              <w:spacing w:after="0"/>
              <w:rPr>
                <w:sz w:val="22"/>
                <w:szCs w:val="22"/>
                <w:color w:val="auto"/>
              </w:rPr>
            </w:pPr>
          </w:p>
        </w:tc>
        <w:tc>
          <w:tcPr>
            <w:tcW w:w="280" w:type="dxa"/>
            <w:vAlign w:val="bottom"/>
            <w:shd w:val="clear" w:color="auto" w:fill="ACACAC"/>
          </w:tcPr>
          <w:p>
            <w:pPr>
              <w:spacing w:after="0"/>
              <w:rPr>
                <w:sz w:val="22"/>
                <w:szCs w:val="22"/>
                <w:color w:val="auto"/>
              </w:rPr>
            </w:pPr>
          </w:p>
        </w:tc>
        <w:tc>
          <w:tcPr>
            <w:tcW w:w="1140" w:type="dxa"/>
            <w:vAlign w:val="bottom"/>
            <w:shd w:val="clear" w:color="auto" w:fill="ACACAC"/>
          </w:tcPr>
          <w:p>
            <w:pPr>
              <w:spacing w:after="0"/>
              <w:rPr>
                <w:sz w:val="22"/>
                <w:szCs w:val="22"/>
                <w:color w:val="auto"/>
              </w:rPr>
            </w:pPr>
          </w:p>
        </w:tc>
        <w:tc>
          <w:tcPr>
            <w:tcW w:w="180" w:type="dxa"/>
            <w:vAlign w:val="bottom"/>
            <w:shd w:val="clear" w:color="auto" w:fill="ACACAC"/>
          </w:tcPr>
          <w:p>
            <w:pPr>
              <w:spacing w:after="0"/>
              <w:rPr>
                <w:sz w:val="22"/>
                <w:szCs w:val="22"/>
                <w:color w:val="auto"/>
              </w:rPr>
            </w:pPr>
          </w:p>
        </w:tc>
        <w:tc>
          <w:tcPr>
            <w:tcW w:w="1180" w:type="dxa"/>
            <w:vAlign w:val="bottom"/>
            <w:shd w:val="clear" w:color="auto" w:fill="ACACAC"/>
          </w:tcPr>
          <w:p>
            <w:pPr>
              <w:spacing w:after="0"/>
              <w:rPr>
                <w:sz w:val="22"/>
                <w:szCs w:val="22"/>
                <w:color w:val="auto"/>
              </w:rPr>
            </w:pPr>
          </w:p>
        </w:tc>
        <w:tc>
          <w:tcPr>
            <w:tcW w:w="160" w:type="dxa"/>
            <w:vAlign w:val="bottom"/>
            <w:shd w:val="clear" w:color="auto" w:fill="ACACAC"/>
          </w:tcPr>
          <w:p>
            <w:pPr>
              <w:spacing w:after="0"/>
              <w:rPr>
                <w:sz w:val="22"/>
                <w:szCs w:val="22"/>
                <w:color w:val="auto"/>
              </w:rPr>
            </w:pPr>
          </w:p>
        </w:tc>
        <w:tc>
          <w:tcPr>
            <w:tcW w:w="1180" w:type="dxa"/>
            <w:vAlign w:val="bottom"/>
            <w:shd w:val="clear" w:color="auto" w:fill="ACACAC"/>
          </w:tcPr>
          <w:p>
            <w:pPr>
              <w:spacing w:after="0"/>
              <w:rPr>
                <w:sz w:val="22"/>
                <w:szCs w:val="22"/>
                <w:color w:val="auto"/>
              </w:rPr>
            </w:pPr>
          </w:p>
        </w:tc>
        <w:tc>
          <w:tcPr>
            <w:tcW w:w="300" w:type="dxa"/>
            <w:vAlign w:val="bottom"/>
            <w:shd w:val="clear" w:color="auto" w:fill="ACACAC"/>
          </w:tcPr>
          <w:p>
            <w:pPr>
              <w:spacing w:after="0"/>
              <w:rPr>
                <w:sz w:val="22"/>
                <w:szCs w:val="22"/>
                <w:color w:val="auto"/>
              </w:rPr>
            </w:pPr>
          </w:p>
        </w:tc>
        <w:tc>
          <w:tcPr>
            <w:tcW w:w="880" w:type="dxa"/>
            <w:vAlign w:val="bottom"/>
            <w:shd w:val="clear" w:color="auto" w:fill="ACACAC"/>
          </w:tcPr>
          <w:p>
            <w:pPr>
              <w:spacing w:after="0"/>
              <w:rPr>
                <w:sz w:val="22"/>
                <w:szCs w:val="22"/>
                <w:color w:val="auto"/>
              </w:rPr>
            </w:pPr>
          </w:p>
        </w:tc>
      </w:tr>
      <w:tr>
        <w:trPr>
          <w:trHeight w:val="270"/>
        </w:trPr>
        <w:tc>
          <w:tcPr>
            <w:tcW w:w="3220" w:type="dxa"/>
            <w:vAlign w:val="bottom"/>
          </w:tcPr>
          <w:p>
            <w:pPr>
              <w:ind w:left="40"/>
              <w:spacing w:after="0"/>
              <w:rPr>
                <w:sz w:val="20"/>
                <w:szCs w:val="20"/>
                <w:color w:val="auto"/>
              </w:rPr>
            </w:pPr>
            <w:r>
              <w:rPr>
                <w:rFonts w:ascii="Arial" w:cs="Arial" w:eastAsia="Arial" w:hAnsi="Arial"/>
                <w:sz w:val="14"/>
                <w:szCs w:val="14"/>
                <w:color w:val="auto"/>
              </w:rPr>
              <w:t>Retirement</w:t>
            </w:r>
            <w:r>
              <w:rPr>
                <w:rFonts w:ascii="Arial" w:cs="Arial" w:eastAsia="Arial" w:hAnsi="Arial"/>
                <w:sz w:val="17"/>
                <w:szCs w:val="17"/>
                <w:color w:val="auto"/>
                <w:vertAlign w:val="superscript"/>
              </w:rPr>
              <w:t>(6)</w:t>
            </w:r>
            <w:r>
              <w:rPr>
                <w:rFonts w:ascii="Arial" w:cs="Arial" w:eastAsia="Arial" w:hAnsi="Arial"/>
                <w:sz w:val="14"/>
                <w:szCs w:val="14"/>
                <w:color w:val="auto"/>
              </w:rPr>
              <w:t xml:space="preserve"> or Voluntary Separation</w:t>
            </w:r>
          </w:p>
        </w:tc>
        <w:tc>
          <w:tcPr>
            <w:tcW w:w="500" w:type="dxa"/>
            <w:vAlign w:val="bottom"/>
          </w:tcPr>
          <w:p>
            <w:pPr>
              <w:jc w:val="right"/>
              <w:spacing w:after="0"/>
              <w:rPr>
                <w:sz w:val="20"/>
                <w:szCs w:val="20"/>
                <w:color w:val="auto"/>
              </w:rPr>
            </w:pPr>
            <w:r>
              <w:rPr>
                <w:rFonts w:ascii="Arial" w:cs="Arial" w:eastAsia="Arial" w:hAnsi="Arial"/>
                <w:sz w:val="14"/>
                <w:szCs w:val="14"/>
                <w:color w:val="auto"/>
              </w:rPr>
              <w:t>$</w:t>
            </w:r>
          </w:p>
        </w:tc>
        <w:tc>
          <w:tcPr>
            <w:tcW w:w="1240" w:type="dxa"/>
            <w:vAlign w:val="bottom"/>
          </w:tcPr>
          <w:p>
            <w:pPr>
              <w:jc w:val="right"/>
              <w:ind w:right="168"/>
              <w:spacing w:after="0"/>
              <w:rPr>
                <w:sz w:val="20"/>
                <w:szCs w:val="20"/>
                <w:color w:val="auto"/>
              </w:rPr>
            </w:pPr>
            <w:r>
              <w:rPr>
                <w:rFonts w:ascii="Arial" w:cs="Arial" w:eastAsia="Arial" w:hAnsi="Arial"/>
                <w:sz w:val="14"/>
                <w:szCs w:val="14"/>
                <w:color w:val="auto"/>
              </w:rPr>
              <w:t>—</w:t>
            </w:r>
          </w:p>
        </w:tc>
        <w:tc>
          <w:tcPr>
            <w:tcW w:w="120" w:type="dxa"/>
            <w:vAlign w:val="bottom"/>
          </w:tcPr>
          <w:p>
            <w:pPr>
              <w:ind w:left="40"/>
              <w:spacing w:after="0"/>
              <w:rPr>
                <w:sz w:val="20"/>
                <w:szCs w:val="20"/>
                <w:color w:val="auto"/>
              </w:rPr>
            </w:pPr>
            <w:r>
              <w:rPr>
                <w:rFonts w:ascii="Arial" w:cs="Arial" w:eastAsia="Arial" w:hAnsi="Arial"/>
                <w:sz w:val="14"/>
                <w:szCs w:val="14"/>
                <w:color w:val="auto"/>
                <w:w w:val="76"/>
              </w:rPr>
              <w:t>$</w:t>
            </w:r>
          </w:p>
        </w:tc>
        <w:tc>
          <w:tcPr>
            <w:tcW w:w="104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280" w:type="dxa"/>
            <w:vAlign w:val="bottom"/>
          </w:tcPr>
          <w:p>
            <w:pPr>
              <w:jc w:val="right"/>
              <w:spacing w:after="0"/>
              <w:rPr>
                <w:sz w:val="20"/>
                <w:szCs w:val="20"/>
                <w:color w:val="auto"/>
              </w:rPr>
            </w:pPr>
            <w:r>
              <w:rPr>
                <w:rFonts w:ascii="Arial" w:cs="Arial" w:eastAsia="Arial" w:hAnsi="Arial"/>
                <w:sz w:val="14"/>
                <w:szCs w:val="14"/>
                <w:color w:val="auto"/>
              </w:rPr>
              <w:t>$</w:t>
            </w:r>
          </w:p>
        </w:tc>
        <w:tc>
          <w:tcPr>
            <w:tcW w:w="114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180" w:type="dxa"/>
            <w:vAlign w:val="bottom"/>
          </w:tcPr>
          <w:p>
            <w:pPr>
              <w:jc w:val="right"/>
              <w:spacing w:after="0"/>
              <w:rPr>
                <w:sz w:val="20"/>
                <w:szCs w:val="20"/>
                <w:color w:val="auto"/>
              </w:rPr>
            </w:pPr>
            <w:r>
              <w:rPr>
                <w:rFonts w:ascii="Arial" w:cs="Arial" w:eastAsia="Arial" w:hAnsi="Arial"/>
                <w:sz w:val="14"/>
                <w:szCs w:val="14"/>
                <w:color w:val="auto"/>
              </w:rPr>
              <w:t>$</w:t>
            </w:r>
          </w:p>
        </w:tc>
        <w:tc>
          <w:tcPr>
            <w:tcW w:w="1180" w:type="dxa"/>
            <w:vAlign w:val="bottom"/>
          </w:tcPr>
          <w:p>
            <w:pPr>
              <w:ind w:left="860"/>
              <w:spacing w:after="0"/>
              <w:rPr>
                <w:sz w:val="20"/>
                <w:szCs w:val="20"/>
                <w:color w:val="auto"/>
              </w:rPr>
            </w:pPr>
            <w:r>
              <w:rPr>
                <w:rFonts w:ascii="Arial" w:cs="Arial" w:eastAsia="Arial" w:hAnsi="Arial"/>
                <w:sz w:val="14"/>
                <w:szCs w:val="14"/>
                <w:color w:val="auto"/>
              </w:rPr>
              <w:t>—</w:t>
            </w: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118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30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880" w:type="dxa"/>
            <w:vAlign w:val="bottom"/>
          </w:tcPr>
          <w:p>
            <w:pPr>
              <w:jc w:val="right"/>
              <w:ind w:right="28"/>
              <w:spacing w:after="0"/>
              <w:rPr>
                <w:sz w:val="20"/>
                <w:szCs w:val="20"/>
                <w:color w:val="auto"/>
              </w:rPr>
            </w:pPr>
            <w:r>
              <w:rPr>
                <w:rFonts w:ascii="Arial" w:cs="Arial" w:eastAsia="Arial" w:hAnsi="Arial"/>
                <w:sz w:val="14"/>
                <w:szCs w:val="14"/>
                <w:color w:val="auto"/>
              </w:rPr>
              <w:t>—</w:t>
            </w:r>
          </w:p>
        </w:tc>
      </w:tr>
      <w:tr>
        <w:trPr>
          <w:trHeight w:val="270"/>
        </w:trPr>
        <w:tc>
          <w:tcPr>
            <w:tcW w:w="3220" w:type="dxa"/>
            <w:vAlign w:val="bottom"/>
            <w:shd w:val="clear" w:color="auto" w:fill="ACACAC"/>
          </w:tcPr>
          <w:p>
            <w:pPr>
              <w:ind w:left="40"/>
              <w:spacing w:after="0"/>
              <w:rPr>
                <w:sz w:val="20"/>
                <w:szCs w:val="20"/>
                <w:color w:val="auto"/>
              </w:rPr>
            </w:pPr>
            <w:r>
              <w:rPr>
                <w:rFonts w:ascii="Arial" w:cs="Arial" w:eastAsia="Arial" w:hAnsi="Arial"/>
                <w:sz w:val="14"/>
                <w:szCs w:val="14"/>
                <w:color w:val="auto"/>
              </w:rPr>
              <w:t>Involuntary Termination for Cause</w:t>
            </w:r>
          </w:p>
        </w:tc>
        <w:tc>
          <w:tcPr>
            <w:tcW w:w="500" w:type="dxa"/>
            <w:vAlign w:val="bottom"/>
            <w:shd w:val="clear" w:color="auto" w:fill="ACACAC"/>
          </w:tcPr>
          <w:p>
            <w:pPr>
              <w:spacing w:after="0"/>
              <w:rPr>
                <w:sz w:val="23"/>
                <w:szCs w:val="23"/>
                <w:color w:val="auto"/>
              </w:rPr>
            </w:pPr>
          </w:p>
        </w:tc>
        <w:tc>
          <w:tcPr>
            <w:tcW w:w="1240" w:type="dxa"/>
            <w:vAlign w:val="bottom"/>
            <w:shd w:val="clear" w:color="auto" w:fill="ACACAC"/>
          </w:tcPr>
          <w:p>
            <w:pPr>
              <w:jc w:val="right"/>
              <w:ind w:right="168"/>
              <w:spacing w:after="0"/>
              <w:rPr>
                <w:sz w:val="20"/>
                <w:szCs w:val="20"/>
                <w:color w:val="auto"/>
              </w:rPr>
            </w:pPr>
            <w:r>
              <w:rPr>
                <w:rFonts w:ascii="Arial" w:cs="Arial" w:eastAsia="Arial" w:hAnsi="Arial"/>
                <w:sz w:val="14"/>
                <w:szCs w:val="14"/>
                <w:color w:val="auto"/>
              </w:rPr>
              <w:t>—</w:t>
            </w:r>
          </w:p>
        </w:tc>
        <w:tc>
          <w:tcPr>
            <w:tcW w:w="120" w:type="dxa"/>
            <w:vAlign w:val="bottom"/>
            <w:shd w:val="clear" w:color="auto" w:fill="ACACAC"/>
          </w:tcPr>
          <w:p>
            <w:pPr>
              <w:spacing w:after="0"/>
              <w:rPr>
                <w:sz w:val="23"/>
                <w:szCs w:val="23"/>
                <w:color w:val="auto"/>
              </w:rPr>
            </w:pPr>
          </w:p>
        </w:tc>
        <w:tc>
          <w:tcPr>
            <w:tcW w:w="1040" w:type="dxa"/>
            <w:vAlign w:val="bottom"/>
            <w:shd w:val="clear" w:color="auto" w:fill="ACACAC"/>
          </w:tcPr>
          <w:p>
            <w:pPr>
              <w:jc w:val="right"/>
              <w:ind w:right="48"/>
              <w:spacing w:after="0"/>
              <w:rPr>
                <w:sz w:val="20"/>
                <w:szCs w:val="20"/>
                <w:color w:val="auto"/>
              </w:rPr>
            </w:pPr>
            <w:r>
              <w:rPr>
                <w:rFonts w:ascii="Arial" w:cs="Arial" w:eastAsia="Arial" w:hAnsi="Arial"/>
                <w:sz w:val="14"/>
                <w:szCs w:val="14"/>
                <w:color w:val="auto"/>
              </w:rPr>
              <w:t>—</w:t>
            </w:r>
          </w:p>
        </w:tc>
        <w:tc>
          <w:tcPr>
            <w:tcW w:w="280" w:type="dxa"/>
            <w:vAlign w:val="bottom"/>
            <w:shd w:val="clear" w:color="auto" w:fill="ACACAC"/>
          </w:tcPr>
          <w:p>
            <w:pPr>
              <w:spacing w:after="0"/>
              <w:rPr>
                <w:sz w:val="23"/>
                <w:szCs w:val="23"/>
                <w:color w:val="auto"/>
              </w:rPr>
            </w:pPr>
          </w:p>
        </w:tc>
        <w:tc>
          <w:tcPr>
            <w:tcW w:w="1140" w:type="dxa"/>
            <w:vAlign w:val="bottom"/>
            <w:shd w:val="clear" w:color="auto" w:fill="ACACAC"/>
          </w:tcPr>
          <w:p>
            <w:pPr>
              <w:jc w:val="right"/>
              <w:ind w:right="88"/>
              <w:spacing w:after="0"/>
              <w:rPr>
                <w:sz w:val="20"/>
                <w:szCs w:val="20"/>
                <w:color w:val="auto"/>
              </w:rPr>
            </w:pPr>
            <w:r>
              <w:rPr>
                <w:rFonts w:ascii="Arial" w:cs="Arial" w:eastAsia="Arial" w:hAnsi="Arial"/>
                <w:sz w:val="14"/>
                <w:szCs w:val="14"/>
                <w:color w:val="auto"/>
              </w:rPr>
              <w:t>—</w:t>
            </w:r>
          </w:p>
        </w:tc>
        <w:tc>
          <w:tcPr>
            <w:tcW w:w="180" w:type="dxa"/>
            <w:vAlign w:val="bottom"/>
            <w:shd w:val="clear" w:color="auto" w:fill="ACACAC"/>
          </w:tcPr>
          <w:p>
            <w:pPr>
              <w:spacing w:after="0"/>
              <w:rPr>
                <w:sz w:val="23"/>
                <w:szCs w:val="23"/>
                <w:color w:val="auto"/>
              </w:rPr>
            </w:pPr>
          </w:p>
        </w:tc>
        <w:tc>
          <w:tcPr>
            <w:tcW w:w="1180" w:type="dxa"/>
            <w:vAlign w:val="bottom"/>
            <w:shd w:val="clear" w:color="auto" w:fill="ACACAC"/>
          </w:tcPr>
          <w:p>
            <w:pPr>
              <w:ind w:left="860"/>
              <w:spacing w:after="0"/>
              <w:rPr>
                <w:sz w:val="20"/>
                <w:szCs w:val="20"/>
                <w:color w:val="auto"/>
              </w:rPr>
            </w:pPr>
            <w:r>
              <w:rPr>
                <w:rFonts w:ascii="Arial" w:cs="Arial" w:eastAsia="Arial" w:hAnsi="Arial"/>
                <w:sz w:val="14"/>
                <w:szCs w:val="14"/>
                <w:color w:val="auto"/>
              </w:rPr>
              <w:t>—</w:t>
            </w:r>
          </w:p>
        </w:tc>
        <w:tc>
          <w:tcPr>
            <w:tcW w:w="160" w:type="dxa"/>
            <w:vAlign w:val="bottom"/>
            <w:shd w:val="clear" w:color="auto" w:fill="ACACAC"/>
          </w:tcPr>
          <w:p>
            <w:pPr>
              <w:spacing w:after="0"/>
              <w:rPr>
                <w:sz w:val="23"/>
                <w:szCs w:val="23"/>
                <w:color w:val="auto"/>
              </w:rPr>
            </w:pPr>
          </w:p>
        </w:tc>
        <w:tc>
          <w:tcPr>
            <w:tcW w:w="1180" w:type="dxa"/>
            <w:vAlign w:val="bottom"/>
            <w:shd w:val="clear" w:color="auto" w:fill="ACACAC"/>
          </w:tcPr>
          <w:p>
            <w:pPr>
              <w:jc w:val="right"/>
              <w:ind w:right="88"/>
              <w:spacing w:after="0"/>
              <w:rPr>
                <w:sz w:val="20"/>
                <w:szCs w:val="20"/>
                <w:color w:val="auto"/>
              </w:rPr>
            </w:pPr>
            <w:r>
              <w:rPr>
                <w:rFonts w:ascii="Arial" w:cs="Arial" w:eastAsia="Arial" w:hAnsi="Arial"/>
                <w:sz w:val="14"/>
                <w:szCs w:val="14"/>
                <w:color w:val="auto"/>
              </w:rPr>
              <w:t>—</w:t>
            </w:r>
          </w:p>
        </w:tc>
        <w:tc>
          <w:tcPr>
            <w:tcW w:w="300" w:type="dxa"/>
            <w:vAlign w:val="bottom"/>
            <w:shd w:val="clear" w:color="auto" w:fill="ACACAC"/>
          </w:tcPr>
          <w:p>
            <w:pPr>
              <w:spacing w:after="0"/>
              <w:rPr>
                <w:sz w:val="23"/>
                <w:szCs w:val="23"/>
                <w:color w:val="auto"/>
              </w:rPr>
            </w:pPr>
          </w:p>
        </w:tc>
        <w:tc>
          <w:tcPr>
            <w:tcW w:w="880" w:type="dxa"/>
            <w:vAlign w:val="bottom"/>
            <w:shd w:val="clear" w:color="auto" w:fill="ACACAC"/>
          </w:tcPr>
          <w:p>
            <w:pPr>
              <w:jc w:val="right"/>
              <w:ind w:right="28"/>
              <w:spacing w:after="0"/>
              <w:rPr>
                <w:sz w:val="20"/>
                <w:szCs w:val="20"/>
                <w:color w:val="auto"/>
              </w:rPr>
            </w:pPr>
            <w:r>
              <w:rPr>
                <w:rFonts w:ascii="Arial" w:cs="Arial" w:eastAsia="Arial" w:hAnsi="Arial"/>
                <w:sz w:val="14"/>
                <w:szCs w:val="14"/>
                <w:color w:val="auto"/>
              </w:rPr>
              <w:t>—</w:t>
            </w:r>
          </w:p>
        </w:tc>
      </w:tr>
      <w:tr>
        <w:trPr>
          <w:trHeight w:val="270"/>
        </w:trPr>
        <w:tc>
          <w:tcPr>
            <w:tcW w:w="3220" w:type="dxa"/>
            <w:vAlign w:val="bottom"/>
          </w:tcPr>
          <w:p>
            <w:pPr>
              <w:ind w:left="40"/>
              <w:spacing w:after="0"/>
              <w:rPr>
                <w:sz w:val="20"/>
                <w:szCs w:val="20"/>
                <w:color w:val="auto"/>
              </w:rPr>
            </w:pPr>
            <w:r>
              <w:rPr>
                <w:rFonts w:ascii="Arial" w:cs="Arial" w:eastAsia="Arial" w:hAnsi="Arial"/>
                <w:sz w:val="14"/>
                <w:szCs w:val="14"/>
                <w:color w:val="auto"/>
              </w:rPr>
              <w:t>Change of Control:</w:t>
            </w:r>
            <w:r>
              <w:rPr>
                <w:rFonts w:ascii="Arial" w:cs="Arial" w:eastAsia="Arial" w:hAnsi="Arial"/>
                <w:sz w:val="17"/>
                <w:szCs w:val="17"/>
                <w:color w:val="auto"/>
                <w:vertAlign w:val="superscript"/>
              </w:rPr>
              <w:t>(7)</w:t>
            </w:r>
          </w:p>
        </w:tc>
        <w:tc>
          <w:tcPr>
            <w:tcW w:w="50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880" w:type="dxa"/>
            <w:vAlign w:val="bottom"/>
          </w:tcPr>
          <w:p>
            <w:pPr>
              <w:jc w:val="right"/>
              <w:ind w:right="28"/>
              <w:spacing w:after="0"/>
              <w:rPr>
                <w:sz w:val="20"/>
                <w:szCs w:val="20"/>
                <w:color w:val="auto"/>
              </w:rPr>
            </w:pPr>
            <w:r>
              <w:rPr>
                <w:rFonts w:ascii="Arial" w:cs="Arial" w:eastAsia="Arial" w:hAnsi="Arial"/>
                <w:sz w:val="14"/>
                <w:szCs w:val="14"/>
                <w:color w:val="auto"/>
              </w:rPr>
              <w:t>—</w:t>
            </w:r>
          </w:p>
        </w:tc>
      </w:tr>
      <w:tr>
        <w:trPr>
          <w:trHeight w:val="270"/>
        </w:trPr>
        <w:tc>
          <w:tcPr>
            <w:tcW w:w="3220" w:type="dxa"/>
            <w:vAlign w:val="bottom"/>
            <w:shd w:val="clear" w:color="auto" w:fill="ACACAC"/>
          </w:tcPr>
          <w:p>
            <w:pPr>
              <w:ind w:left="180"/>
              <w:spacing w:after="0"/>
              <w:rPr>
                <w:sz w:val="20"/>
                <w:szCs w:val="20"/>
                <w:color w:val="auto"/>
              </w:rPr>
            </w:pPr>
            <w:r>
              <w:rPr>
                <w:rFonts w:ascii="Arial" w:cs="Arial" w:eastAsia="Arial" w:hAnsi="Arial"/>
                <w:sz w:val="14"/>
                <w:szCs w:val="14"/>
                <w:color w:val="auto"/>
              </w:rPr>
              <w:t>Without Termination</w:t>
            </w:r>
          </w:p>
        </w:tc>
        <w:tc>
          <w:tcPr>
            <w:tcW w:w="500" w:type="dxa"/>
            <w:vAlign w:val="bottom"/>
            <w:shd w:val="clear" w:color="auto" w:fill="ACACAC"/>
          </w:tcPr>
          <w:p>
            <w:pPr>
              <w:spacing w:after="0"/>
              <w:rPr>
                <w:sz w:val="23"/>
                <w:szCs w:val="23"/>
                <w:color w:val="auto"/>
              </w:rPr>
            </w:pPr>
          </w:p>
        </w:tc>
        <w:tc>
          <w:tcPr>
            <w:tcW w:w="1240" w:type="dxa"/>
            <w:vAlign w:val="bottom"/>
            <w:shd w:val="clear" w:color="auto" w:fill="ACACAC"/>
          </w:tcPr>
          <w:p>
            <w:pPr>
              <w:jc w:val="right"/>
              <w:ind w:right="168"/>
              <w:spacing w:after="0"/>
              <w:rPr>
                <w:sz w:val="20"/>
                <w:szCs w:val="20"/>
                <w:color w:val="auto"/>
              </w:rPr>
            </w:pPr>
            <w:r>
              <w:rPr>
                <w:rFonts w:ascii="Arial" w:cs="Arial" w:eastAsia="Arial" w:hAnsi="Arial"/>
                <w:sz w:val="14"/>
                <w:szCs w:val="14"/>
                <w:color w:val="auto"/>
              </w:rPr>
              <w:t>—</w:t>
            </w:r>
          </w:p>
        </w:tc>
        <w:tc>
          <w:tcPr>
            <w:tcW w:w="120" w:type="dxa"/>
            <w:vAlign w:val="bottom"/>
            <w:shd w:val="clear" w:color="auto" w:fill="ACACAC"/>
          </w:tcPr>
          <w:p>
            <w:pPr>
              <w:spacing w:after="0"/>
              <w:rPr>
                <w:sz w:val="23"/>
                <w:szCs w:val="23"/>
                <w:color w:val="auto"/>
              </w:rPr>
            </w:pPr>
          </w:p>
        </w:tc>
        <w:tc>
          <w:tcPr>
            <w:tcW w:w="1040" w:type="dxa"/>
            <w:vAlign w:val="bottom"/>
            <w:shd w:val="clear" w:color="auto" w:fill="ACACAC"/>
          </w:tcPr>
          <w:p>
            <w:pPr>
              <w:jc w:val="right"/>
              <w:ind w:right="48"/>
              <w:spacing w:after="0"/>
              <w:rPr>
                <w:sz w:val="20"/>
                <w:szCs w:val="20"/>
                <w:color w:val="auto"/>
              </w:rPr>
            </w:pPr>
            <w:r>
              <w:rPr>
                <w:rFonts w:ascii="Arial" w:cs="Arial" w:eastAsia="Arial" w:hAnsi="Arial"/>
                <w:sz w:val="14"/>
                <w:szCs w:val="14"/>
                <w:color w:val="auto"/>
              </w:rPr>
              <w:t>—</w:t>
            </w:r>
          </w:p>
        </w:tc>
        <w:tc>
          <w:tcPr>
            <w:tcW w:w="280" w:type="dxa"/>
            <w:vAlign w:val="bottom"/>
            <w:shd w:val="clear" w:color="auto" w:fill="ACACAC"/>
          </w:tcPr>
          <w:p>
            <w:pPr>
              <w:spacing w:after="0"/>
              <w:rPr>
                <w:sz w:val="23"/>
                <w:szCs w:val="23"/>
                <w:color w:val="auto"/>
              </w:rPr>
            </w:pPr>
          </w:p>
        </w:tc>
        <w:tc>
          <w:tcPr>
            <w:tcW w:w="1140" w:type="dxa"/>
            <w:vAlign w:val="bottom"/>
            <w:shd w:val="clear" w:color="auto" w:fill="ACACAC"/>
          </w:tcPr>
          <w:p>
            <w:pPr>
              <w:jc w:val="right"/>
              <w:ind w:right="8"/>
              <w:spacing w:after="0"/>
              <w:rPr>
                <w:sz w:val="20"/>
                <w:szCs w:val="20"/>
                <w:color w:val="auto"/>
              </w:rPr>
            </w:pPr>
            <w:r>
              <w:rPr>
                <w:rFonts w:ascii="Arial" w:cs="Arial" w:eastAsia="Arial" w:hAnsi="Arial"/>
                <w:sz w:val="14"/>
                <w:szCs w:val="14"/>
                <w:color w:val="auto"/>
              </w:rPr>
              <w:t>$1,940,966</w:t>
            </w:r>
          </w:p>
        </w:tc>
        <w:tc>
          <w:tcPr>
            <w:tcW w:w="180" w:type="dxa"/>
            <w:vAlign w:val="bottom"/>
            <w:shd w:val="clear" w:color="auto" w:fill="ACACAC"/>
          </w:tcPr>
          <w:p>
            <w:pPr>
              <w:spacing w:after="0"/>
              <w:rPr>
                <w:sz w:val="23"/>
                <w:szCs w:val="23"/>
                <w:color w:val="auto"/>
              </w:rPr>
            </w:pPr>
          </w:p>
        </w:tc>
        <w:tc>
          <w:tcPr>
            <w:tcW w:w="1180" w:type="dxa"/>
            <w:vAlign w:val="bottom"/>
            <w:shd w:val="clear" w:color="auto" w:fill="ACACAC"/>
          </w:tcPr>
          <w:p>
            <w:pPr>
              <w:jc w:val="right"/>
              <w:ind w:right="8"/>
              <w:spacing w:after="0"/>
              <w:rPr>
                <w:sz w:val="20"/>
                <w:szCs w:val="20"/>
                <w:color w:val="auto"/>
              </w:rPr>
            </w:pPr>
            <w:r>
              <w:rPr>
                <w:rFonts w:ascii="Arial" w:cs="Arial" w:eastAsia="Arial" w:hAnsi="Arial"/>
                <w:sz w:val="14"/>
                <w:szCs w:val="14"/>
                <w:color w:val="auto"/>
              </w:rPr>
              <w:t>$802,951</w:t>
            </w:r>
          </w:p>
        </w:tc>
        <w:tc>
          <w:tcPr>
            <w:tcW w:w="160" w:type="dxa"/>
            <w:vAlign w:val="bottom"/>
            <w:shd w:val="clear" w:color="auto" w:fill="ACACAC"/>
          </w:tcPr>
          <w:p>
            <w:pPr>
              <w:spacing w:after="0"/>
              <w:rPr>
                <w:sz w:val="23"/>
                <w:szCs w:val="23"/>
                <w:color w:val="auto"/>
              </w:rPr>
            </w:pPr>
          </w:p>
        </w:tc>
        <w:tc>
          <w:tcPr>
            <w:tcW w:w="1180" w:type="dxa"/>
            <w:vAlign w:val="bottom"/>
            <w:shd w:val="clear" w:color="auto" w:fill="ACACAC"/>
          </w:tcPr>
          <w:p>
            <w:pPr>
              <w:jc w:val="right"/>
              <w:ind w:right="8"/>
              <w:spacing w:after="0"/>
              <w:rPr>
                <w:sz w:val="20"/>
                <w:szCs w:val="20"/>
                <w:color w:val="auto"/>
              </w:rPr>
            </w:pPr>
            <w:r>
              <w:rPr>
                <w:rFonts w:ascii="Arial" w:cs="Arial" w:eastAsia="Arial" w:hAnsi="Arial"/>
                <w:sz w:val="14"/>
                <w:szCs w:val="14"/>
                <w:color w:val="auto"/>
              </w:rPr>
              <w:t>$172,620</w:t>
            </w:r>
          </w:p>
        </w:tc>
        <w:tc>
          <w:tcPr>
            <w:tcW w:w="300" w:type="dxa"/>
            <w:vAlign w:val="bottom"/>
            <w:shd w:val="clear" w:color="auto" w:fill="ACACAC"/>
          </w:tcPr>
          <w:p>
            <w:pPr>
              <w:spacing w:after="0"/>
              <w:rPr>
                <w:sz w:val="23"/>
                <w:szCs w:val="23"/>
                <w:color w:val="auto"/>
              </w:rPr>
            </w:pPr>
          </w:p>
        </w:tc>
        <w:tc>
          <w:tcPr>
            <w:tcW w:w="880" w:type="dxa"/>
            <w:vAlign w:val="bottom"/>
            <w:shd w:val="clear" w:color="auto" w:fill="ACACAC"/>
          </w:tcPr>
          <w:p>
            <w:pPr>
              <w:jc w:val="right"/>
              <w:spacing w:after="0"/>
              <w:rPr>
                <w:sz w:val="20"/>
                <w:szCs w:val="20"/>
                <w:color w:val="auto"/>
              </w:rPr>
            </w:pPr>
            <w:r>
              <w:rPr>
                <w:rFonts w:ascii="Arial" w:cs="Arial" w:eastAsia="Arial" w:hAnsi="Arial"/>
                <w:sz w:val="14"/>
                <w:szCs w:val="14"/>
                <w:color w:val="auto"/>
              </w:rPr>
              <w:t>$2,916,537</w:t>
            </w:r>
          </w:p>
        </w:tc>
      </w:tr>
      <w:tr>
        <w:trPr>
          <w:trHeight w:val="264"/>
        </w:trPr>
        <w:tc>
          <w:tcPr>
            <w:tcW w:w="3220" w:type="dxa"/>
            <w:vAlign w:val="bottom"/>
            <w:tcBorders>
              <w:bottom w:val="single" w:sz="8" w:color="ACACAC"/>
            </w:tcBorders>
          </w:tcPr>
          <w:p>
            <w:pPr>
              <w:ind w:left="180"/>
              <w:spacing w:after="0"/>
              <w:rPr>
                <w:sz w:val="20"/>
                <w:szCs w:val="20"/>
                <w:color w:val="auto"/>
              </w:rPr>
            </w:pPr>
            <w:r>
              <w:rPr>
                <w:rFonts w:ascii="Arial" w:cs="Arial" w:eastAsia="Arial" w:hAnsi="Arial"/>
                <w:sz w:val="14"/>
                <w:szCs w:val="14"/>
                <w:color w:val="auto"/>
              </w:rPr>
              <w:t>Termination WIthout Cause/Good Reason</w:t>
            </w:r>
          </w:p>
        </w:tc>
        <w:tc>
          <w:tcPr>
            <w:tcW w:w="500" w:type="dxa"/>
            <w:vAlign w:val="bottom"/>
            <w:tcBorders>
              <w:bottom w:val="single" w:sz="8" w:color="ACACAC"/>
            </w:tcBorders>
          </w:tcPr>
          <w:p>
            <w:pPr>
              <w:spacing w:after="0"/>
              <w:rPr>
                <w:sz w:val="22"/>
                <w:szCs w:val="22"/>
                <w:color w:val="auto"/>
              </w:rPr>
            </w:pPr>
          </w:p>
        </w:tc>
        <w:tc>
          <w:tcPr>
            <w:tcW w:w="1240" w:type="dxa"/>
            <w:vAlign w:val="bottom"/>
            <w:tcBorders>
              <w:bottom w:val="single" w:sz="8" w:color="ACACAC"/>
            </w:tcBorders>
          </w:tcPr>
          <w:p>
            <w:pPr>
              <w:jc w:val="right"/>
              <w:ind w:right="68"/>
              <w:spacing w:after="0"/>
              <w:rPr>
                <w:sz w:val="20"/>
                <w:szCs w:val="20"/>
                <w:color w:val="auto"/>
              </w:rPr>
            </w:pPr>
            <w:r>
              <w:rPr>
                <w:rFonts w:ascii="Arial" w:cs="Arial" w:eastAsia="Arial" w:hAnsi="Arial"/>
                <w:sz w:val="14"/>
                <w:szCs w:val="14"/>
                <w:color w:val="auto"/>
              </w:rPr>
              <w:t>$4,878,721</w:t>
            </w:r>
          </w:p>
        </w:tc>
        <w:tc>
          <w:tcPr>
            <w:tcW w:w="12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$855,658</w:t>
            </w:r>
          </w:p>
        </w:tc>
        <w:tc>
          <w:tcPr>
            <w:tcW w:w="280" w:type="dxa"/>
            <w:vAlign w:val="bottom"/>
            <w:tcBorders>
              <w:bottom w:val="single" w:sz="8" w:color="ACACAC"/>
            </w:tcBorders>
          </w:tcPr>
          <w:p>
            <w:pPr>
              <w:spacing w:after="0"/>
              <w:rPr>
                <w:sz w:val="22"/>
                <w:szCs w:val="22"/>
                <w:color w:val="auto"/>
              </w:rPr>
            </w:pPr>
          </w:p>
        </w:tc>
        <w:tc>
          <w:tcPr>
            <w:tcW w:w="1140" w:type="dxa"/>
            <w:vAlign w:val="bottom"/>
            <w:tcBorders>
              <w:bottom w:val="single" w:sz="8" w:color="ACACAC"/>
            </w:tcBorders>
          </w:tcPr>
          <w:p>
            <w:pPr>
              <w:jc w:val="right"/>
              <w:ind w:right="8"/>
              <w:spacing w:after="0"/>
              <w:rPr>
                <w:sz w:val="20"/>
                <w:szCs w:val="20"/>
                <w:color w:val="auto"/>
              </w:rPr>
            </w:pPr>
            <w:r>
              <w:rPr>
                <w:rFonts w:ascii="Arial" w:cs="Arial" w:eastAsia="Arial" w:hAnsi="Arial"/>
                <w:sz w:val="14"/>
                <w:szCs w:val="14"/>
                <w:color w:val="auto"/>
              </w:rPr>
              <w:t>$1,940,966</w:t>
            </w:r>
          </w:p>
        </w:tc>
        <w:tc>
          <w:tcPr>
            <w:tcW w:w="180" w:type="dxa"/>
            <w:vAlign w:val="bottom"/>
            <w:tcBorders>
              <w:bottom w:val="single" w:sz="8" w:color="ACACAC"/>
            </w:tcBorders>
          </w:tcPr>
          <w:p>
            <w:pPr>
              <w:spacing w:after="0"/>
              <w:rPr>
                <w:sz w:val="22"/>
                <w:szCs w:val="22"/>
                <w:color w:val="auto"/>
              </w:rPr>
            </w:pPr>
          </w:p>
        </w:tc>
        <w:tc>
          <w:tcPr>
            <w:tcW w:w="1180" w:type="dxa"/>
            <w:vAlign w:val="bottom"/>
            <w:tcBorders>
              <w:bottom w:val="single" w:sz="8" w:color="ACACAC"/>
            </w:tcBorders>
          </w:tcPr>
          <w:p>
            <w:pPr>
              <w:jc w:val="right"/>
              <w:ind w:right="8"/>
              <w:spacing w:after="0"/>
              <w:rPr>
                <w:sz w:val="20"/>
                <w:szCs w:val="20"/>
                <w:color w:val="auto"/>
              </w:rPr>
            </w:pPr>
            <w:r>
              <w:rPr>
                <w:rFonts w:ascii="Arial" w:cs="Arial" w:eastAsia="Arial" w:hAnsi="Arial"/>
                <w:sz w:val="14"/>
                <w:szCs w:val="14"/>
                <w:color w:val="auto"/>
              </w:rPr>
              <w:t>$802,951</w:t>
            </w:r>
          </w:p>
        </w:tc>
        <w:tc>
          <w:tcPr>
            <w:tcW w:w="160" w:type="dxa"/>
            <w:vAlign w:val="bottom"/>
            <w:tcBorders>
              <w:bottom w:val="single" w:sz="8" w:color="ACACAC"/>
            </w:tcBorders>
          </w:tcPr>
          <w:p>
            <w:pPr>
              <w:spacing w:after="0"/>
              <w:rPr>
                <w:sz w:val="22"/>
                <w:szCs w:val="22"/>
                <w:color w:val="auto"/>
              </w:rPr>
            </w:pPr>
          </w:p>
        </w:tc>
        <w:tc>
          <w:tcPr>
            <w:tcW w:w="1180" w:type="dxa"/>
            <w:vAlign w:val="bottom"/>
            <w:tcBorders>
              <w:bottom w:val="single" w:sz="8" w:color="ACACAC"/>
            </w:tcBorders>
          </w:tcPr>
          <w:p>
            <w:pPr>
              <w:jc w:val="right"/>
              <w:ind w:right="8"/>
              <w:spacing w:after="0"/>
              <w:rPr>
                <w:sz w:val="20"/>
                <w:szCs w:val="20"/>
                <w:color w:val="auto"/>
              </w:rPr>
            </w:pPr>
            <w:r>
              <w:rPr>
                <w:rFonts w:ascii="Arial" w:cs="Arial" w:eastAsia="Arial" w:hAnsi="Arial"/>
                <w:sz w:val="14"/>
                <w:szCs w:val="14"/>
                <w:color w:val="auto"/>
              </w:rPr>
              <w:t>$172,620</w:t>
            </w:r>
          </w:p>
        </w:tc>
        <w:tc>
          <w:tcPr>
            <w:tcW w:w="300" w:type="dxa"/>
            <w:vAlign w:val="bottom"/>
            <w:tcBorders>
              <w:bottom w:val="single" w:sz="8" w:color="ACACAC"/>
            </w:tcBorders>
          </w:tcPr>
          <w:p>
            <w:pPr>
              <w:spacing w:after="0"/>
              <w:rPr>
                <w:sz w:val="22"/>
                <w:szCs w:val="22"/>
                <w:color w:val="auto"/>
              </w:rPr>
            </w:pPr>
          </w:p>
        </w:tc>
        <w:tc>
          <w:tcPr>
            <w:tcW w:w="880" w:type="dxa"/>
            <w:vAlign w:val="bottom"/>
            <w:tcBorders>
              <w:bottom w:val="single" w:sz="8" w:color="ACACAC"/>
            </w:tcBorders>
          </w:tcPr>
          <w:p>
            <w:pPr>
              <w:jc w:val="right"/>
              <w:spacing w:after="0"/>
              <w:rPr>
                <w:sz w:val="20"/>
                <w:szCs w:val="20"/>
                <w:color w:val="auto"/>
              </w:rPr>
            </w:pPr>
            <w:r>
              <w:rPr>
                <w:rFonts w:ascii="Arial" w:cs="Arial" w:eastAsia="Arial" w:hAnsi="Arial"/>
                <w:sz w:val="14"/>
                <w:szCs w:val="14"/>
                <w:color w:val="auto"/>
              </w:rPr>
              <w:t>$8,650,916</w:t>
            </w:r>
          </w:p>
        </w:tc>
      </w:tr>
      <w:tr>
        <w:trPr>
          <w:trHeight w:val="256"/>
        </w:trPr>
        <w:tc>
          <w:tcPr>
            <w:tcW w:w="3220" w:type="dxa"/>
            <w:vAlign w:val="bottom"/>
            <w:shd w:val="clear" w:color="auto" w:fill="ACACAC"/>
          </w:tcPr>
          <w:p>
            <w:pPr>
              <w:ind w:left="40"/>
              <w:spacing w:after="0"/>
              <w:rPr>
                <w:sz w:val="20"/>
                <w:szCs w:val="20"/>
                <w:color w:val="auto"/>
              </w:rPr>
            </w:pPr>
            <w:r>
              <w:rPr>
                <w:rFonts w:ascii="Arial" w:cs="Arial" w:eastAsia="Arial" w:hAnsi="Arial"/>
                <w:sz w:val="14"/>
                <w:szCs w:val="14"/>
                <w:color w:val="auto"/>
              </w:rPr>
              <w:t>Death</w:t>
            </w:r>
          </w:p>
        </w:tc>
        <w:tc>
          <w:tcPr>
            <w:tcW w:w="500" w:type="dxa"/>
            <w:vAlign w:val="bottom"/>
            <w:shd w:val="clear" w:color="auto" w:fill="ACACAC"/>
          </w:tcPr>
          <w:p>
            <w:pPr>
              <w:spacing w:after="0"/>
              <w:rPr>
                <w:sz w:val="22"/>
                <w:szCs w:val="22"/>
                <w:color w:val="auto"/>
              </w:rPr>
            </w:pPr>
          </w:p>
        </w:tc>
        <w:tc>
          <w:tcPr>
            <w:tcW w:w="1240" w:type="dxa"/>
            <w:vAlign w:val="bottom"/>
            <w:shd w:val="clear" w:color="auto" w:fill="ACACAC"/>
          </w:tcPr>
          <w:p>
            <w:pPr>
              <w:jc w:val="right"/>
              <w:ind w:right="168"/>
              <w:spacing w:after="0"/>
              <w:rPr>
                <w:sz w:val="20"/>
                <w:szCs w:val="20"/>
                <w:color w:val="auto"/>
              </w:rPr>
            </w:pPr>
            <w:r>
              <w:rPr>
                <w:rFonts w:ascii="Arial" w:cs="Arial" w:eastAsia="Arial" w:hAnsi="Arial"/>
                <w:sz w:val="14"/>
                <w:szCs w:val="14"/>
                <w:color w:val="auto"/>
              </w:rPr>
              <w:t>—</w:t>
            </w:r>
          </w:p>
        </w:tc>
        <w:tc>
          <w:tcPr>
            <w:tcW w:w="120" w:type="dxa"/>
            <w:vAlign w:val="bottom"/>
            <w:shd w:val="clear" w:color="auto" w:fill="ACACAC"/>
          </w:tcPr>
          <w:p>
            <w:pPr>
              <w:spacing w:after="0"/>
              <w:rPr>
                <w:sz w:val="22"/>
                <w:szCs w:val="22"/>
                <w:color w:val="auto"/>
              </w:rPr>
            </w:pPr>
          </w:p>
        </w:tc>
        <w:tc>
          <w:tcPr>
            <w:tcW w:w="1040" w:type="dxa"/>
            <w:vAlign w:val="bottom"/>
            <w:shd w:val="clear" w:color="auto" w:fill="ACACAC"/>
          </w:tcPr>
          <w:p>
            <w:pPr>
              <w:jc w:val="right"/>
              <w:spacing w:after="0"/>
              <w:rPr>
                <w:sz w:val="20"/>
                <w:szCs w:val="20"/>
                <w:color w:val="auto"/>
              </w:rPr>
            </w:pPr>
            <w:r>
              <w:rPr>
                <w:rFonts w:ascii="Arial" w:cs="Arial" w:eastAsia="Arial" w:hAnsi="Arial"/>
                <w:sz w:val="14"/>
                <w:szCs w:val="14"/>
                <w:color w:val="auto"/>
              </w:rPr>
              <w:t>$855,658</w:t>
            </w:r>
          </w:p>
        </w:tc>
        <w:tc>
          <w:tcPr>
            <w:tcW w:w="280" w:type="dxa"/>
            <w:vAlign w:val="bottom"/>
            <w:shd w:val="clear" w:color="auto" w:fill="ACACAC"/>
          </w:tcPr>
          <w:p>
            <w:pPr>
              <w:spacing w:after="0"/>
              <w:rPr>
                <w:sz w:val="22"/>
                <w:szCs w:val="22"/>
                <w:color w:val="auto"/>
              </w:rPr>
            </w:pPr>
          </w:p>
        </w:tc>
        <w:tc>
          <w:tcPr>
            <w:tcW w:w="1140" w:type="dxa"/>
            <w:vAlign w:val="bottom"/>
            <w:shd w:val="clear" w:color="auto" w:fill="ACACAC"/>
          </w:tcPr>
          <w:p>
            <w:pPr>
              <w:jc w:val="right"/>
              <w:ind w:right="88"/>
              <w:spacing w:after="0"/>
              <w:rPr>
                <w:sz w:val="20"/>
                <w:szCs w:val="20"/>
                <w:color w:val="auto"/>
              </w:rPr>
            </w:pPr>
            <w:r>
              <w:rPr>
                <w:rFonts w:ascii="Arial" w:cs="Arial" w:eastAsia="Arial" w:hAnsi="Arial"/>
                <w:sz w:val="14"/>
                <w:szCs w:val="14"/>
                <w:color w:val="auto"/>
              </w:rPr>
              <w:t>—</w:t>
            </w:r>
          </w:p>
        </w:tc>
        <w:tc>
          <w:tcPr>
            <w:tcW w:w="180" w:type="dxa"/>
            <w:vAlign w:val="bottom"/>
            <w:shd w:val="clear" w:color="auto" w:fill="ACACAC"/>
          </w:tcPr>
          <w:p>
            <w:pPr>
              <w:spacing w:after="0"/>
              <w:rPr>
                <w:sz w:val="22"/>
                <w:szCs w:val="22"/>
                <w:color w:val="auto"/>
              </w:rPr>
            </w:pPr>
          </w:p>
        </w:tc>
        <w:tc>
          <w:tcPr>
            <w:tcW w:w="1180" w:type="dxa"/>
            <w:vAlign w:val="bottom"/>
            <w:shd w:val="clear" w:color="auto" w:fill="ACACAC"/>
          </w:tcPr>
          <w:p>
            <w:pPr>
              <w:ind w:left="860"/>
              <w:spacing w:after="0"/>
              <w:rPr>
                <w:sz w:val="20"/>
                <w:szCs w:val="20"/>
                <w:color w:val="auto"/>
              </w:rPr>
            </w:pPr>
            <w:r>
              <w:rPr>
                <w:rFonts w:ascii="Arial" w:cs="Arial" w:eastAsia="Arial" w:hAnsi="Arial"/>
                <w:sz w:val="14"/>
                <w:szCs w:val="14"/>
                <w:color w:val="auto"/>
              </w:rPr>
              <w:t>—</w:t>
            </w:r>
          </w:p>
        </w:tc>
        <w:tc>
          <w:tcPr>
            <w:tcW w:w="160" w:type="dxa"/>
            <w:vAlign w:val="bottom"/>
            <w:shd w:val="clear" w:color="auto" w:fill="ACACAC"/>
          </w:tcPr>
          <w:p>
            <w:pPr>
              <w:spacing w:after="0"/>
              <w:rPr>
                <w:sz w:val="22"/>
                <w:szCs w:val="22"/>
                <w:color w:val="auto"/>
              </w:rPr>
            </w:pPr>
          </w:p>
        </w:tc>
        <w:tc>
          <w:tcPr>
            <w:tcW w:w="1180" w:type="dxa"/>
            <w:vAlign w:val="bottom"/>
            <w:shd w:val="clear" w:color="auto" w:fill="ACACAC"/>
          </w:tcPr>
          <w:p>
            <w:pPr>
              <w:jc w:val="right"/>
              <w:ind w:right="88"/>
              <w:spacing w:after="0"/>
              <w:rPr>
                <w:sz w:val="20"/>
                <w:szCs w:val="20"/>
                <w:color w:val="auto"/>
              </w:rPr>
            </w:pPr>
            <w:r>
              <w:rPr>
                <w:rFonts w:ascii="Arial" w:cs="Arial" w:eastAsia="Arial" w:hAnsi="Arial"/>
                <w:sz w:val="14"/>
                <w:szCs w:val="14"/>
                <w:color w:val="auto"/>
              </w:rPr>
              <w:t>—</w:t>
            </w:r>
          </w:p>
        </w:tc>
        <w:tc>
          <w:tcPr>
            <w:tcW w:w="300" w:type="dxa"/>
            <w:vAlign w:val="bottom"/>
            <w:shd w:val="clear" w:color="auto" w:fill="ACACAC"/>
          </w:tcPr>
          <w:p>
            <w:pPr>
              <w:spacing w:after="0"/>
              <w:rPr>
                <w:sz w:val="22"/>
                <w:szCs w:val="22"/>
                <w:color w:val="auto"/>
              </w:rPr>
            </w:pPr>
          </w:p>
        </w:tc>
        <w:tc>
          <w:tcPr>
            <w:tcW w:w="880" w:type="dxa"/>
            <w:vAlign w:val="bottom"/>
            <w:shd w:val="clear" w:color="auto" w:fill="ACACAC"/>
          </w:tcPr>
          <w:p>
            <w:pPr>
              <w:jc w:val="right"/>
              <w:spacing w:after="0"/>
              <w:rPr>
                <w:sz w:val="20"/>
                <w:szCs w:val="20"/>
                <w:color w:val="auto"/>
              </w:rPr>
            </w:pPr>
            <w:r>
              <w:rPr>
                <w:rFonts w:ascii="Arial" w:cs="Arial" w:eastAsia="Arial" w:hAnsi="Arial"/>
                <w:sz w:val="14"/>
                <w:szCs w:val="14"/>
                <w:color w:val="auto"/>
              </w:rPr>
              <w:t>$855,658</w:t>
            </w:r>
          </w:p>
        </w:tc>
      </w:tr>
      <w:tr>
        <w:trPr>
          <w:trHeight w:val="264"/>
        </w:trPr>
        <w:tc>
          <w:tcPr>
            <w:tcW w:w="322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Disability</w:t>
            </w:r>
          </w:p>
        </w:tc>
        <w:tc>
          <w:tcPr>
            <w:tcW w:w="50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$855,658</w:t>
            </w:r>
          </w:p>
        </w:tc>
        <w:tc>
          <w:tcPr>
            <w:tcW w:w="28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w:t>
            </w:r>
          </w:p>
        </w:tc>
        <w:tc>
          <w:tcPr>
            <w:tcW w:w="18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ind w:left="860"/>
              <w:spacing w:after="0"/>
              <w:rPr>
                <w:sz w:val="20"/>
                <w:szCs w:val="20"/>
                <w:color w:val="auto"/>
              </w:rPr>
            </w:pPr>
            <w:r>
              <w:rPr>
                <w:rFonts w:ascii="Arial" w:cs="Arial" w:eastAsia="Arial" w:hAnsi="Arial"/>
                <w:sz w:val="14"/>
                <w:szCs w:val="14"/>
                <w:color w:val="auto"/>
              </w:rPr>
              <w:t>—</w:t>
            </w:r>
          </w:p>
        </w:tc>
        <w:tc>
          <w:tcPr>
            <w:tcW w:w="16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w:t>
            </w:r>
          </w:p>
        </w:tc>
        <w:tc>
          <w:tcPr>
            <w:tcW w:w="30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$855,658</w:t>
            </w:r>
          </w:p>
        </w:tc>
      </w:tr>
      <w:tr>
        <w:trPr>
          <w:trHeight w:val="270"/>
        </w:trPr>
        <w:tc>
          <w:tcPr>
            <w:tcW w:w="3220" w:type="dxa"/>
            <w:vAlign w:val="bottom"/>
            <w:shd w:val="clear" w:color="auto" w:fill="ACACAC"/>
          </w:tcPr>
          <w:p>
            <w:pPr>
              <w:ind w:left="40"/>
              <w:spacing w:after="0"/>
              <w:rPr>
                <w:sz w:val="20"/>
                <w:szCs w:val="20"/>
                <w:color w:val="auto"/>
              </w:rPr>
            </w:pPr>
            <w:r>
              <w:rPr>
                <w:rFonts w:ascii="Arial" w:cs="Arial" w:eastAsia="Arial" w:hAnsi="Arial"/>
                <w:sz w:val="14"/>
                <w:szCs w:val="14"/>
                <w:color w:val="auto"/>
              </w:rPr>
              <w:t>Bryan L. Hughes</w:t>
            </w:r>
          </w:p>
        </w:tc>
        <w:tc>
          <w:tcPr>
            <w:tcW w:w="500" w:type="dxa"/>
            <w:vAlign w:val="bottom"/>
            <w:shd w:val="clear" w:color="auto" w:fill="ACACAC"/>
          </w:tcPr>
          <w:p>
            <w:pPr>
              <w:spacing w:after="0"/>
              <w:rPr>
                <w:sz w:val="23"/>
                <w:szCs w:val="23"/>
                <w:color w:val="auto"/>
              </w:rPr>
            </w:pPr>
          </w:p>
        </w:tc>
        <w:tc>
          <w:tcPr>
            <w:tcW w:w="1240" w:type="dxa"/>
            <w:vAlign w:val="bottom"/>
            <w:shd w:val="clear" w:color="auto" w:fill="ACACAC"/>
          </w:tcPr>
          <w:p>
            <w:pPr>
              <w:spacing w:after="0"/>
              <w:rPr>
                <w:sz w:val="23"/>
                <w:szCs w:val="23"/>
                <w:color w:val="auto"/>
              </w:rPr>
            </w:pPr>
          </w:p>
        </w:tc>
        <w:tc>
          <w:tcPr>
            <w:tcW w:w="120" w:type="dxa"/>
            <w:vAlign w:val="bottom"/>
            <w:shd w:val="clear" w:color="auto" w:fill="ACACAC"/>
          </w:tcPr>
          <w:p>
            <w:pPr>
              <w:spacing w:after="0"/>
              <w:rPr>
                <w:sz w:val="23"/>
                <w:szCs w:val="23"/>
                <w:color w:val="auto"/>
              </w:rPr>
            </w:pPr>
          </w:p>
        </w:tc>
        <w:tc>
          <w:tcPr>
            <w:tcW w:w="1040" w:type="dxa"/>
            <w:vAlign w:val="bottom"/>
            <w:shd w:val="clear" w:color="auto" w:fill="ACACAC"/>
          </w:tcPr>
          <w:p>
            <w:pPr>
              <w:spacing w:after="0"/>
              <w:rPr>
                <w:sz w:val="23"/>
                <w:szCs w:val="23"/>
                <w:color w:val="auto"/>
              </w:rPr>
            </w:pPr>
          </w:p>
        </w:tc>
        <w:tc>
          <w:tcPr>
            <w:tcW w:w="280" w:type="dxa"/>
            <w:vAlign w:val="bottom"/>
            <w:shd w:val="clear" w:color="auto" w:fill="ACACAC"/>
          </w:tcPr>
          <w:p>
            <w:pPr>
              <w:spacing w:after="0"/>
              <w:rPr>
                <w:sz w:val="23"/>
                <w:szCs w:val="23"/>
                <w:color w:val="auto"/>
              </w:rPr>
            </w:pPr>
          </w:p>
        </w:tc>
        <w:tc>
          <w:tcPr>
            <w:tcW w:w="1140" w:type="dxa"/>
            <w:vAlign w:val="bottom"/>
            <w:shd w:val="clear" w:color="auto" w:fill="ACACAC"/>
          </w:tcPr>
          <w:p>
            <w:pPr>
              <w:spacing w:after="0"/>
              <w:rPr>
                <w:sz w:val="23"/>
                <w:szCs w:val="23"/>
                <w:color w:val="auto"/>
              </w:rPr>
            </w:pPr>
          </w:p>
        </w:tc>
        <w:tc>
          <w:tcPr>
            <w:tcW w:w="180" w:type="dxa"/>
            <w:vAlign w:val="bottom"/>
            <w:shd w:val="clear" w:color="auto" w:fill="ACACAC"/>
          </w:tcPr>
          <w:p>
            <w:pPr>
              <w:spacing w:after="0"/>
              <w:rPr>
                <w:sz w:val="23"/>
                <w:szCs w:val="23"/>
                <w:color w:val="auto"/>
              </w:rPr>
            </w:pPr>
          </w:p>
        </w:tc>
        <w:tc>
          <w:tcPr>
            <w:tcW w:w="1180" w:type="dxa"/>
            <w:vAlign w:val="bottom"/>
            <w:shd w:val="clear" w:color="auto" w:fill="ACACAC"/>
          </w:tcPr>
          <w:p>
            <w:pPr>
              <w:spacing w:after="0"/>
              <w:rPr>
                <w:sz w:val="23"/>
                <w:szCs w:val="23"/>
                <w:color w:val="auto"/>
              </w:rPr>
            </w:pPr>
          </w:p>
        </w:tc>
        <w:tc>
          <w:tcPr>
            <w:tcW w:w="160" w:type="dxa"/>
            <w:vAlign w:val="bottom"/>
            <w:shd w:val="clear" w:color="auto" w:fill="ACACAC"/>
          </w:tcPr>
          <w:p>
            <w:pPr>
              <w:spacing w:after="0"/>
              <w:rPr>
                <w:sz w:val="23"/>
                <w:szCs w:val="23"/>
                <w:color w:val="auto"/>
              </w:rPr>
            </w:pPr>
          </w:p>
        </w:tc>
        <w:tc>
          <w:tcPr>
            <w:tcW w:w="1180" w:type="dxa"/>
            <w:vAlign w:val="bottom"/>
            <w:shd w:val="clear" w:color="auto" w:fill="ACACAC"/>
          </w:tcPr>
          <w:p>
            <w:pPr>
              <w:spacing w:after="0"/>
              <w:rPr>
                <w:sz w:val="23"/>
                <w:szCs w:val="23"/>
                <w:color w:val="auto"/>
              </w:rPr>
            </w:pPr>
          </w:p>
        </w:tc>
        <w:tc>
          <w:tcPr>
            <w:tcW w:w="300" w:type="dxa"/>
            <w:vAlign w:val="bottom"/>
            <w:shd w:val="clear" w:color="auto" w:fill="ACACAC"/>
          </w:tcPr>
          <w:p>
            <w:pPr>
              <w:spacing w:after="0"/>
              <w:rPr>
                <w:sz w:val="23"/>
                <w:szCs w:val="23"/>
                <w:color w:val="auto"/>
              </w:rPr>
            </w:pPr>
          </w:p>
        </w:tc>
        <w:tc>
          <w:tcPr>
            <w:tcW w:w="880" w:type="dxa"/>
            <w:vAlign w:val="bottom"/>
            <w:shd w:val="clear" w:color="auto" w:fill="ACACAC"/>
          </w:tcPr>
          <w:p>
            <w:pPr>
              <w:spacing w:after="0"/>
              <w:rPr>
                <w:sz w:val="23"/>
                <w:szCs w:val="23"/>
                <w:color w:val="auto"/>
              </w:rPr>
            </w:pPr>
          </w:p>
        </w:tc>
      </w:tr>
      <w:tr>
        <w:trPr>
          <w:trHeight w:val="270"/>
        </w:trPr>
        <w:tc>
          <w:tcPr>
            <w:tcW w:w="3220" w:type="dxa"/>
            <w:vAlign w:val="bottom"/>
          </w:tcPr>
          <w:p>
            <w:pPr>
              <w:ind w:left="40"/>
              <w:spacing w:after="0"/>
              <w:rPr>
                <w:sz w:val="20"/>
                <w:szCs w:val="20"/>
                <w:color w:val="auto"/>
              </w:rPr>
            </w:pPr>
            <w:r>
              <w:rPr>
                <w:rFonts w:ascii="Arial" w:cs="Arial" w:eastAsia="Arial" w:hAnsi="Arial"/>
                <w:sz w:val="14"/>
                <w:szCs w:val="14"/>
                <w:color w:val="auto"/>
              </w:rPr>
              <w:t>Retirement</w:t>
            </w:r>
            <w:r>
              <w:rPr>
                <w:rFonts w:ascii="Arial" w:cs="Arial" w:eastAsia="Arial" w:hAnsi="Arial"/>
                <w:sz w:val="17"/>
                <w:szCs w:val="17"/>
                <w:color w:val="auto"/>
                <w:vertAlign w:val="superscript"/>
              </w:rPr>
              <w:t>(6)</w:t>
            </w:r>
            <w:r>
              <w:rPr>
                <w:rFonts w:ascii="Arial" w:cs="Arial" w:eastAsia="Arial" w:hAnsi="Arial"/>
                <w:sz w:val="14"/>
                <w:szCs w:val="14"/>
                <w:color w:val="auto"/>
              </w:rPr>
              <w:t xml:space="preserve"> or Voluntary Separation</w:t>
            </w:r>
          </w:p>
        </w:tc>
        <w:tc>
          <w:tcPr>
            <w:tcW w:w="500" w:type="dxa"/>
            <w:vAlign w:val="bottom"/>
          </w:tcPr>
          <w:p>
            <w:pPr>
              <w:spacing w:after="0"/>
              <w:rPr>
                <w:sz w:val="23"/>
                <w:szCs w:val="23"/>
                <w:color w:val="auto"/>
              </w:rPr>
            </w:pPr>
          </w:p>
        </w:tc>
        <w:tc>
          <w:tcPr>
            <w:tcW w:w="1240" w:type="dxa"/>
            <w:vAlign w:val="bottom"/>
          </w:tcPr>
          <w:p>
            <w:pPr>
              <w:jc w:val="right"/>
              <w:ind w:right="168"/>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3"/>
                <w:szCs w:val="23"/>
                <w:color w:val="auto"/>
              </w:rPr>
            </w:pPr>
          </w:p>
        </w:tc>
        <w:tc>
          <w:tcPr>
            <w:tcW w:w="104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23"/>
                <w:szCs w:val="23"/>
                <w:color w:val="auto"/>
              </w:rPr>
            </w:pPr>
          </w:p>
        </w:tc>
        <w:tc>
          <w:tcPr>
            <w:tcW w:w="114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3"/>
                <w:szCs w:val="23"/>
                <w:color w:val="auto"/>
              </w:rPr>
            </w:pPr>
          </w:p>
        </w:tc>
        <w:tc>
          <w:tcPr>
            <w:tcW w:w="1180" w:type="dxa"/>
            <w:vAlign w:val="bottom"/>
          </w:tcPr>
          <w:p>
            <w:pPr>
              <w:ind w:left="86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3"/>
                <w:szCs w:val="23"/>
                <w:color w:val="auto"/>
              </w:rPr>
            </w:pPr>
          </w:p>
        </w:tc>
        <w:tc>
          <w:tcPr>
            <w:tcW w:w="118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23"/>
                <w:szCs w:val="23"/>
                <w:color w:val="auto"/>
              </w:rPr>
            </w:pPr>
          </w:p>
        </w:tc>
        <w:tc>
          <w:tcPr>
            <w:tcW w:w="880" w:type="dxa"/>
            <w:vAlign w:val="bottom"/>
          </w:tcPr>
          <w:p>
            <w:pPr>
              <w:jc w:val="right"/>
              <w:ind w:right="28"/>
              <w:spacing w:after="0"/>
              <w:rPr>
                <w:sz w:val="20"/>
                <w:szCs w:val="20"/>
                <w:color w:val="auto"/>
              </w:rPr>
            </w:pPr>
            <w:r>
              <w:rPr>
                <w:rFonts w:ascii="Arial" w:cs="Arial" w:eastAsia="Arial" w:hAnsi="Arial"/>
                <w:sz w:val="14"/>
                <w:szCs w:val="14"/>
                <w:color w:val="auto"/>
              </w:rPr>
              <w:t>—</w:t>
            </w:r>
          </w:p>
        </w:tc>
      </w:tr>
      <w:tr>
        <w:trPr>
          <w:trHeight w:val="270"/>
        </w:trPr>
        <w:tc>
          <w:tcPr>
            <w:tcW w:w="3220" w:type="dxa"/>
            <w:vAlign w:val="bottom"/>
            <w:shd w:val="clear" w:color="auto" w:fill="ACACAC"/>
          </w:tcPr>
          <w:p>
            <w:pPr>
              <w:ind w:left="40"/>
              <w:spacing w:after="0"/>
              <w:rPr>
                <w:sz w:val="20"/>
                <w:szCs w:val="20"/>
                <w:color w:val="auto"/>
              </w:rPr>
            </w:pPr>
            <w:r>
              <w:rPr>
                <w:rFonts w:ascii="Arial" w:cs="Arial" w:eastAsia="Arial" w:hAnsi="Arial"/>
                <w:sz w:val="14"/>
                <w:szCs w:val="14"/>
                <w:color w:val="auto"/>
              </w:rPr>
              <w:t>Involuntary Termination for Cause</w:t>
            </w:r>
          </w:p>
        </w:tc>
        <w:tc>
          <w:tcPr>
            <w:tcW w:w="500" w:type="dxa"/>
            <w:vAlign w:val="bottom"/>
            <w:shd w:val="clear" w:color="auto" w:fill="ACACAC"/>
          </w:tcPr>
          <w:p>
            <w:pPr>
              <w:spacing w:after="0"/>
              <w:rPr>
                <w:sz w:val="23"/>
                <w:szCs w:val="23"/>
                <w:color w:val="auto"/>
              </w:rPr>
            </w:pPr>
          </w:p>
        </w:tc>
        <w:tc>
          <w:tcPr>
            <w:tcW w:w="1240" w:type="dxa"/>
            <w:vAlign w:val="bottom"/>
            <w:shd w:val="clear" w:color="auto" w:fill="ACACAC"/>
          </w:tcPr>
          <w:p>
            <w:pPr>
              <w:jc w:val="right"/>
              <w:ind w:right="168"/>
              <w:spacing w:after="0"/>
              <w:rPr>
                <w:sz w:val="20"/>
                <w:szCs w:val="20"/>
                <w:color w:val="auto"/>
              </w:rPr>
            </w:pPr>
            <w:r>
              <w:rPr>
                <w:rFonts w:ascii="Arial" w:cs="Arial" w:eastAsia="Arial" w:hAnsi="Arial"/>
                <w:sz w:val="14"/>
                <w:szCs w:val="14"/>
                <w:color w:val="auto"/>
              </w:rPr>
              <w:t>—</w:t>
            </w:r>
          </w:p>
        </w:tc>
        <w:tc>
          <w:tcPr>
            <w:tcW w:w="120" w:type="dxa"/>
            <w:vAlign w:val="bottom"/>
            <w:shd w:val="clear" w:color="auto" w:fill="ACACAC"/>
          </w:tcPr>
          <w:p>
            <w:pPr>
              <w:spacing w:after="0"/>
              <w:rPr>
                <w:sz w:val="23"/>
                <w:szCs w:val="23"/>
                <w:color w:val="auto"/>
              </w:rPr>
            </w:pPr>
          </w:p>
        </w:tc>
        <w:tc>
          <w:tcPr>
            <w:tcW w:w="1040" w:type="dxa"/>
            <w:vAlign w:val="bottom"/>
            <w:shd w:val="clear" w:color="auto" w:fill="ACACAC"/>
          </w:tcPr>
          <w:p>
            <w:pPr>
              <w:jc w:val="right"/>
              <w:ind w:right="48"/>
              <w:spacing w:after="0"/>
              <w:rPr>
                <w:sz w:val="20"/>
                <w:szCs w:val="20"/>
                <w:color w:val="auto"/>
              </w:rPr>
            </w:pPr>
            <w:r>
              <w:rPr>
                <w:rFonts w:ascii="Arial" w:cs="Arial" w:eastAsia="Arial" w:hAnsi="Arial"/>
                <w:sz w:val="14"/>
                <w:szCs w:val="14"/>
                <w:color w:val="auto"/>
              </w:rPr>
              <w:t>—</w:t>
            </w:r>
          </w:p>
        </w:tc>
        <w:tc>
          <w:tcPr>
            <w:tcW w:w="280" w:type="dxa"/>
            <w:vAlign w:val="bottom"/>
            <w:shd w:val="clear" w:color="auto" w:fill="ACACAC"/>
          </w:tcPr>
          <w:p>
            <w:pPr>
              <w:spacing w:after="0"/>
              <w:rPr>
                <w:sz w:val="23"/>
                <w:szCs w:val="23"/>
                <w:color w:val="auto"/>
              </w:rPr>
            </w:pPr>
          </w:p>
        </w:tc>
        <w:tc>
          <w:tcPr>
            <w:tcW w:w="1140" w:type="dxa"/>
            <w:vAlign w:val="bottom"/>
            <w:shd w:val="clear" w:color="auto" w:fill="ACACAC"/>
          </w:tcPr>
          <w:p>
            <w:pPr>
              <w:jc w:val="right"/>
              <w:ind w:right="88"/>
              <w:spacing w:after="0"/>
              <w:rPr>
                <w:sz w:val="20"/>
                <w:szCs w:val="20"/>
                <w:color w:val="auto"/>
              </w:rPr>
            </w:pPr>
            <w:r>
              <w:rPr>
                <w:rFonts w:ascii="Arial" w:cs="Arial" w:eastAsia="Arial" w:hAnsi="Arial"/>
                <w:sz w:val="14"/>
                <w:szCs w:val="14"/>
                <w:color w:val="auto"/>
              </w:rPr>
              <w:t>—</w:t>
            </w:r>
          </w:p>
        </w:tc>
        <w:tc>
          <w:tcPr>
            <w:tcW w:w="180" w:type="dxa"/>
            <w:vAlign w:val="bottom"/>
            <w:shd w:val="clear" w:color="auto" w:fill="ACACAC"/>
          </w:tcPr>
          <w:p>
            <w:pPr>
              <w:spacing w:after="0"/>
              <w:rPr>
                <w:sz w:val="23"/>
                <w:szCs w:val="23"/>
                <w:color w:val="auto"/>
              </w:rPr>
            </w:pPr>
          </w:p>
        </w:tc>
        <w:tc>
          <w:tcPr>
            <w:tcW w:w="1180" w:type="dxa"/>
            <w:vAlign w:val="bottom"/>
            <w:shd w:val="clear" w:color="auto" w:fill="ACACAC"/>
          </w:tcPr>
          <w:p>
            <w:pPr>
              <w:ind w:left="860"/>
              <w:spacing w:after="0"/>
              <w:rPr>
                <w:sz w:val="20"/>
                <w:szCs w:val="20"/>
                <w:color w:val="auto"/>
              </w:rPr>
            </w:pPr>
            <w:r>
              <w:rPr>
                <w:rFonts w:ascii="Arial" w:cs="Arial" w:eastAsia="Arial" w:hAnsi="Arial"/>
                <w:sz w:val="14"/>
                <w:szCs w:val="14"/>
                <w:color w:val="auto"/>
              </w:rPr>
              <w:t>—</w:t>
            </w:r>
          </w:p>
        </w:tc>
        <w:tc>
          <w:tcPr>
            <w:tcW w:w="160" w:type="dxa"/>
            <w:vAlign w:val="bottom"/>
            <w:shd w:val="clear" w:color="auto" w:fill="ACACAC"/>
          </w:tcPr>
          <w:p>
            <w:pPr>
              <w:spacing w:after="0"/>
              <w:rPr>
                <w:sz w:val="23"/>
                <w:szCs w:val="23"/>
                <w:color w:val="auto"/>
              </w:rPr>
            </w:pPr>
          </w:p>
        </w:tc>
        <w:tc>
          <w:tcPr>
            <w:tcW w:w="1180" w:type="dxa"/>
            <w:vAlign w:val="bottom"/>
            <w:shd w:val="clear" w:color="auto" w:fill="ACACAC"/>
          </w:tcPr>
          <w:p>
            <w:pPr>
              <w:jc w:val="right"/>
              <w:ind w:right="88"/>
              <w:spacing w:after="0"/>
              <w:rPr>
                <w:sz w:val="20"/>
                <w:szCs w:val="20"/>
                <w:color w:val="auto"/>
              </w:rPr>
            </w:pPr>
            <w:r>
              <w:rPr>
                <w:rFonts w:ascii="Arial" w:cs="Arial" w:eastAsia="Arial" w:hAnsi="Arial"/>
                <w:sz w:val="14"/>
                <w:szCs w:val="14"/>
                <w:color w:val="auto"/>
              </w:rPr>
              <w:t>—</w:t>
            </w:r>
          </w:p>
        </w:tc>
        <w:tc>
          <w:tcPr>
            <w:tcW w:w="300" w:type="dxa"/>
            <w:vAlign w:val="bottom"/>
            <w:shd w:val="clear" w:color="auto" w:fill="ACACAC"/>
          </w:tcPr>
          <w:p>
            <w:pPr>
              <w:spacing w:after="0"/>
              <w:rPr>
                <w:sz w:val="23"/>
                <w:szCs w:val="23"/>
                <w:color w:val="auto"/>
              </w:rPr>
            </w:pPr>
          </w:p>
        </w:tc>
        <w:tc>
          <w:tcPr>
            <w:tcW w:w="880" w:type="dxa"/>
            <w:vAlign w:val="bottom"/>
            <w:shd w:val="clear" w:color="auto" w:fill="ACACAC"/>
          </w:tcPr>
          <w:p>
            <w:pPr>
              <w:jc w:val="right"/>
              <w:ind w:right="28"/>
              <w:spacing w:after="0"/>
              <w:rPr>
                <w:sz w:val="20"/>
                <w:szCs w:val="20"/>
                <w:color w:val="auto"/>
              </w:rPr>
            </w:pPr>
            <w:r>
              <w:rPr>
                <w:rFonts w:ascii="Arial" w:cs="Arial" w:eastAsia="Arial" w:hAnsi="Arial"/>
                <w:sz w:val="14"/>
                <w:szCs w:val="14"/>
                <w:color w:val="auto"/>
              </w:rPr>
              <w:t>—</w:t>
            </w:r>
          </w:p>
        </w:tc>
      </w:tr>
      <w:tr>
        <w:trPr>
          <w:trHeight w:val="270"/>
        </w:trPr>
        <w:tc>
          <w:tcPr>
            <w:tcW w:w="3220" w:type="dxa"/>
            <w:vAlign w:val="bottom"/>
          </w:tcPr>
          <w:p>
            <w:pPr>
              <w:ind w:left="40"/>
              <w:spacing w:after="0"/>
              <w:rPr>
                <w:sz w:val="20"/>
                <w:szCs w:val="20"/>
                <w:color w:val="auto"/>
              </w:rPr>
            </w:pPr>
            <w:r>
              <w:rPr>
                <w:rFonts w:ascii="Arial" w:cs="Arial" w:eastAsia="Arial" w:hAnsi="Arial"/>
                <w:sz w:val="14"/>
                <w:szCs w:val="14"/>
                <w:color w:val="auto"/>
              </w:rPr>
              <w:t>Change of Control:</w:t>
            </w:r>
            <w:r>
              <w:rPr>
                <w:rFonts w:ascii="Arial" w:cs="Arial" w:eastAsia="Arial" w:hAnsi="Arial"/>
                <w:sz w:val="17"/>
                <w:szCs w:val="17"/>
                <w:color w:val="auto"/>
                <w:vertAlign w:val="superscript"/>
              </w:rPr>
              <w:t>(7)</w:t>
            </w:r>
          </w:p>
        </w:tc>
        <w:tc>
          <w:tcPr>
            <w:tcW w:w="50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880" w:type="dxa"/>
            <w:vAlign w:val="bottom"/>
          </w:tcPr>
          <w:p>
            <w:pPr>
              <w:spacing w:after="0"/>
              <w:rPr>
                <w:sz w:val="23"/>
                <w:szCs w:val="23"/>
                <w:color w:val="auto"/>
              </w:rPr>
            </w:pPr>
          </w:p>
        </w:tc>
      </w:tr>
      <w:tr>
        <w:trPr>
          <w:trHeight w:val="270"/>
        </w:trPr>
        <w:tc>
          <w:tcPr>
            <w:tcW w:w="3220" w:type="dxa"/>
            <w:vAlign w:val="bottom"/>
            <w:shd w:val="clear" w:color="auto" w:fill="ACACAC"/>
          </w:tcPr>
          <w:p>
            <w:pPr>
              <w:ind w:left="180"/>
              <w:spacing w:after="0"/>
              <w:rPr>
                <w:sz w:val="20"/>
                <w:szCs w:val="20"/>
                <w:color w:val="auto"/>
              </w:rPr>
            </w:pPr>
            <w:r>
              <w:rPr>
                <w:rFonts w:ascii="Arial" w:cs="Arial" w:eastAsia="Arial" w:hAnsi="Arial"/>
                <w:sz w:val="14"/>
                <w:szCs w:val="14"/>
                <w:color w:val="auto"/>
              </w:rPr>
              <w:t>Without Termination</w:t>
            </w:r>
          </w:p>
        </w:tc>
        <w:tc>
          <w:tcPr>
            <w:tcW w:w="500" w:type="dxa"/>
            <w:vAlign w:val="bottom"/>
            <w:shd w:val="clear" w:color="auto" w:fill="ACACAC"/>
          </w:tcPr>
          <w:p>
            <w:pPr>
              <w:spacing w:after="0"/>
              <w:rPr>
                <w:sz w:val="23"/>
                <w:szCs w:val="23"/>
                <w:color w:val="auto"/>
              </w:rPr>
            </w:pPr>
          </w:p>
        </w:tc>
        <w:tc>
          <w:tcPr>
            <w:tcW w:w="1240" w:type="dxa"/>
            <w:vAlign w:val="bottom"/>
            <w:shd w:val="clear" w:color="auto" w:fill="ACACAC"/>
          </w:tcPr>
          <w:p>
            <w:pPr>
              <w:jc w:val="right"/>
              <w:ind w:right="168"/>
              <w:spacing w:after="0"/>
              <w:rPr>
                <w:sz w:val="20"/>
                <w:szCs w:val="20"/>
                <w:color w:val="auto"/>
              </w:rPr>
            </w:pPr>
            <w:r>
              <w:rPr>
                <w:rFonts w:ascii="Arial" w:cs="Arial" w:eastAsia="Arial" w:hAnsi="Arial"/>
                <w:sz w:val="14"/>
                <w:szCs w:val="14"/>
                <w:color w:val="auto"/>
              </w:rPr>
              <w:t>—</w:t>
            </w:r>
          </w:p>
        </w:tc>
        <w:tc>
          <w:tcPr>
            <w:tcW w:w="120" w:type="dxa"/>
            <w:vAlign w:val="bottom"/>
            <w:shd w:val="clear" w:color="auto" w:fill="ACACAC"/>
          </w:tcPr>
          <w:p>
            <w:pPr>
              <w:spacing w:after="0"/>
              <w:rPr>
                <w:sz w:val="23"/>
                <w:szCs w:val="23"/>
                <w:color w:val="auto"/>
              </w:rPr>
            </w:pPr>
          </w:p>
        </w:tc>
        <w:tc>
          <w:tcPr>
            <w:tcW w:w="1040" w:type="dxa"/>
            <w:vAlign w:val="bottom"/>
            <w:shd w:val="clear" w:color="auto" w:fill="ACACAC"/>
          </w:tcPr>
          <w:p>
            <w:pPr>
              <w:jc w:val="right"/>
              <w:ind w:right="48"/>
              <w:spacing w:after="0"/>
              <w:rPr>
                <w:sz w:val="20"/>
                <w:szCs w:val="20"/>
                <w:color w:val="auto"/>
              </w:rPr>
            </w:pPr>
            <w:r>
              <w:rPr>
                <w:rFonts w:ascii="Arial" w:cs="Arial" w:eastAsia="Arial" w:hAnsi="Arial"/>
                <w:sz w:val="14"/>
                <w:szCs w:val="14"/>
                <w:color w:val="auto"/>
              </w:rPr>
              <w:t>—</w:t>
            </w:r>
          </w:p>
        </w:tc>
        <w:tc>
          <w:tcPr>
            <w:tcW w:w="280" w:type="dxa"/>
            <w:vAlign w:val="bottom"/>
            <w:shd w:val="clear" w:color="auto" w:fill="ACACAC"/>
          </w:tcPr>
          <w:p>
            <w:pPr>
              <w:spacing w:after="0"/>
              <w:rPr>
                <w:sz w:val="23"/>
                <w:szCs w:val="23"/>
                <w:color w:val="auto"/>
              </w:rPr>
            </w:pPr>
          </w:p>
        </w:tc>
        <w:tc>
          <w:tcPr>
            <w:tcW w:w="1140" w:type="dxa"/>
            <w:vAlign w:val="bottom"/>
            <w:shd w:val="clear" w:color="auto" w:fill="ACACAC"/>
          </w:tcPr>
          <w:p>
            <w:pPr>
              <w:jc w:val="right"/>
              <w:ind w:right="8"/>
              <w:spacing w:after="0"/>
              <w:rPr>
                <w:sz w:val="20"/>
                <w:szCs w:val="20"/>
                <w:color w:val="auto"/>
              </w:rPr>
            </w:pPr>
            <w:r>
              <w:rPr>
                <w:rFonts w:ascii="Arial" w:cs="Arial" w:eastAsia="Arial" w:hAnsi="Arial"/>
                <w:sz w:val="14"/>
                <w:szCs w:val="14"/>
                <w:color w:val="auto"/>
              </w:rPr>
              <w:t>$417,894</w:t>
            </w:r>
          </w:p>
        </w:tc>
        <w:tc>
          <w:tcPr>
            <w:tcW w:w="180" w:type="dxa"/>
            <w:vAlign w:val="bottom"/>
            <w:shd w:val="clear" w:color="auto" w:fill="ACACAC"/>
          </w:tcPr>
          <w:p>
            <w:pPr>
              <w:spacing w:after="0"/>
              <w:rPr>
                <w:sz w:val="23"/>
                <w:szCs w:val="23"/>
                <w:color w:val="auto"/>
              </w:rPr>
            </w:pPr>
          </w:p>
        </w:tc>
        <w:tc>
          <w:tcPr>
            <w:tcW w:w="1180" w:type="dxa"/>
            <w:vAlign w:val="bottom"/>
            <w:shd w:val="clear" w:color="auto" w:fill="ACACAC"/>
          </w:tcPr>
          <w:p>
            <w:pPr>
              <w:jc w:val="right"/>
              <w:ind w:right="8"/>
              <w:spacing w:after="0"/>
              <w:rPr>
                <w:sz w:val="20"/>
                <w:szCs w:val="20"/>
                <w:color w:val="auto"/>
              </w:rPr>
            </w:pPr>
            <w:r>
              <w:rPr>
                <w:rFonts w:ascii="Arial" w:cs="Arial" w:eastAsia="Arial" w:hAnsi="Arial"/>
                <w:sz w:val="14"/>
                <w:szCs w:val="14"/>
                <w:color w:val="auto"/>
              </w:rPr>
              <w:t>$352,634</w:t>
            </w:r>
          </w:p>
        </w:tc>
        <w:tc>
          <w:tcPr>
            <w:tcW w:w="160" w:type="dxa"/>
            <w:vAlign w:val="bottom"/>
            <w:shd w:val="clear" w:color="auto" w:fill="ACACAC"/>
          </w:tcPr>
          <w:p>
            <w:pPr>
              <w:spacing w:after="0"/>
              <w:rPr>
                <w:sz w:val="23"/>
                <w:szCs w:val="23"/>
                <w:color w:val="auto"/>
              </w:rPr>
            </w:pPr>
          </w:p>
        </w:tc>
        <w:tc>
          <w:tcPr>
            <w:tcW w:w="1180" w:type="dxa"/>
            <w:vAlign w:val="bottom"/>
            <w:shd w:val="clear" w:color="auto" w:fill="ACACAC"/>
          </w:tcPr>
          <w:p>
            <w:pPr>
              <w:jc w:val="right"/>
              <w:ind w:right="88"/>
              <w:spacing w:after="0"/>
              <w:rPr>
                <w:sz w:val="20"/>
                <w:szCs w:val="20"/>
                <w:color w:val="auto"/>
              </w:rPr>
            </w:pPr>
            <w:r>
              <w:rPr>
                <w:rFonts w:ascii="Arial" w:cs="Arial" w:eastAsia="Arial" w:hAnsi="Arial"/>
                <w:sz w:val="14"/>
                <w:szCs w:val="14"/>
                <w:color w:val="auto"/>
              </w:rPr>
              <w:t>—</w:t>
            </w:r>
          </w:p>
        </w:tc>
        <w:tc>
          <w:tcPr>
            <w:tcW w:w="300" w:type="dxa"/>
            <w:vAlign w:val="bottom"/>
            <w:shd w:val="clear" w:color="auto" w:fill="ACACAC"/>
          </w:tcPr>
          <w:p>
            <w:pPr>
              <w:spacing w:after="0"/>
              <w:rPr>
                <w:sz w:val="23"/>
                <w:szCs w:val="23"/>
                <w:color w:val="auto"/>
              </w:rPr>
            </w:pPr>
          </w:p>
        </w:tc>
        <w:tc>
          <w:tcPr>
            <w:tcW w:w="880" w:type="dxa"/>
            <w:vAlign w:val="bottom"/>
            <w:shd w:val="clear" w:color="auto" w:fill="ACACAC"/>
          </w:tcPr>
          <w:p>
            <w:pPr>
              <w:jc w:val="right"/>
              <w:spacing w:after="0"/>
              <w:rPr>
                <w:sz w:val="20"/>
                <w:szCs w:val="20"/>
                <w:color w:val="auto"/>
              </w:rPr>
            </w:pPr>
            <w:r>
              <w:rPr>
                <w:rFonts w:ascii="Arial" w:cs="Arial" w:eastAsia="Arial" w:hAnsi="Arial"/>
                <w:sz w:val="14"/>
                <w:szCs w:val="14"/>
                <w:color w:val="auto"/>
              </w:rPr>
              <w:t>$770,528</w:t>
            </w:r>
          </w:p>
        </w:tc>
      </w:tr>
      <w:tr>
        <w:trPr>
          <w:trHeight w:val="264"/>
        </w:trPr>
        <w:tc>
          <w:tcPr>
            <w:tcW w:w="3220" w:type="dxa"/>
            <w:vAlign w:val="bottom"/>
            <w:tcBorders>
              <w:bottom w:val="single" w:sz="8" w:color="ACACAC"/>
            </w:tcBorders>
          </w:tcPr>
          <w:p>
            <w:pPr>
              <w:ind w:left="180"/>
              <w:spacing w:after="0"/>
              <w:rPr>
                <w:sz w:val="20"/>
                <w:szCs w:val="20"/>
                <w:color w:val="auto"/>
              </w:rPr>
            </w:pPr>
            <w:r>
              <w:rPr>
                <w:rFonts w:ascii="Arial" w:cs="Arial" w:eastAsia="Arial" w:hAnsi="Arial"/>
                <w:sz w:val="14"/>
                <w:szCs w:val="14"/>
                <w:color w:val="auto"/>
              </w:rPr>
              <w:t>Termination WIthout Cause/Good Reason</w:t>
            </w:r>
          </w:p>
        </w:tc>
        <w:tc>
          <w:tcPr>
            <w:tcW w:w="500" w:type="dxa"/>
            <w:vAlign w:val="bottom"/>
            <w:tcBorders>
              <w:bottom w:val="single" w:sz="8" w:color="ACACAC"/>
            </w:tcBorders>
          </w:tcPr>
          <w:p>
            <w:pPr>
              <w:spacing w:after="0"/>
              <w:rPr>
                <w:sz w:val="22"/>
                <w:szCs w:val="22"/>
                <w:color w:val="auto"/>
              </w:rPr>
            </w:pPr>
          </w:p>
        </w:tc>
        <w:tc>
          <w:tcPr>
            <w:tcW w:w="1240" w:type="dxa"/>
            <w:vAlign w:val="bottom"/>
            <w:tcBorders>
              <w:bottom w:val="single" w:sz="8" w:color="ACACAC"/>
            </w:tcBorders>
          </w:tcPr>
          <w:p>
            <w:pPr>
              <w:jc w:val="right"/>
              <w:ind w:right="68"/>
              <w:spacing w:after="0"/>
              <w:rPr>
                <w:sz w:val="20"/>
                <w:szCs w:val="20"/>
                <w:color w:val="auto"/>
              </w:rPr>
            </w:pPr>
            <w:r>
              <w:rPr>
                <w:rFonts w:ascii="Arial" w:cs="Arial" w:eastAsia="Arial" w:hAnsi="Arial"/>
                <w:sz w:val="14"/>
                <w:szCs w:val="14"/>
                <w:color w:val="auto"/>
              </w:rPr>
              <w:t>$2,125,196</w:t>
            </w:r>
          </w:p>
        </w:tc>
        <w:tc>
          <w:tcPr>
            <w:tcW w:w="12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$405,277</w:t>
            </w:r>
          </w:p>
        </w:tc>
        <w:tc>
          <w:tcPr>
            <w:tcW w:w="280" w:type="dxa"/>
            <w:vAlign w:val="bottom"/>
            <w:tcBorders>
              <w:bottom w:val="single" w:sz="8" w:color="ACACAC"/>
            </w:tcBorders>
          </w:tcPr>
          <w:p>
            <w:pPr>
              <w:spacing w:after="0"/>
              <w:rPr>
                <w:sz w:val="22"/>
                <w:szCs w:val="22"/>
                <w:color w:val="auto"/>
              </w:rPr>
            </w:pPr>
          </w:p>
        </w:tc>
        <w:tc>
          <w:tcPr>
            <w:tcW w:w="1140" w:type="dxa"/>
            <w:vAlign w:val="bottom"/>
            <w:tcBorders>
              <w:bottom w:val="single" w:sz="8" w:color="ACACAC"/>
            </w:tcBorders>
          </w:tcPr>
          <w:p>
            <w:pPr>
              <w:jc w:val="right"/>
              <w:ind w:right="8"/>
              <w:spacing w:after="0"/>
              <w:rPr>
                <w:sz w:val="20"/>
                <w:szCs w:val="20"/>
                <w:color w:val="auto"/>
              </w:rPr>
            </w:pPr>
            <w:r>
              <w:rPr>
                <w:rFonts w:ascii="Arial" w:cs="Arial" w:eastAsia="Arial" w:hAnsi="Arial"/>
                <w:sz w:val="14"/>
                <w:szCs w:val="14"/>
                <w:color w:val="auto"/>
              </w:rPr>
              <w:t>$417,894</w:t>
            </w:r>
          </w:p>
        </w:tc>
        <w:tc>
          <w:tcPr>
            <w:tcW w:w="180" w:type="dxa"/>
            <w:vAlign w:val="bottom"/>
            <w:tcBorders>
              <w:bottom w:val="single" w:sz="8" w:color="ACACAC"/>
            </w:tcBorders>
          </w:tcPr>
          <w:p>
            <w:pPr>
              <w:spacing w:after="0"/>
              <w:rPr>
                <w:sz w:val="22"/>
                <w:szCs w:val="22"/>
                <w:color w:val="auto"/>
              </w:rPr>
            </w:pPr>
          </w:p>
        </w:tc>
        <w:tc>
          <w:tcPr>
            <w:tcW w:w="1180" w:type="dxa"/>
            <w:vAlign w:val="bottom"/>
            <w:tcBorders>
              <w:bottom w:val="single" w:sz="8" w:color="ACACAC"/>
            </w:tcBorders>
          </w:tcPr>
          <w:p>
            <w:pPr>
              <w:jc w:val="right"/>
              <w:ind w:right="8"/>
              <w:spacing w:after="0"/>
              <w:rPr>
                <w:sz w:val="20"/>
                <w:szCs w:val="20"/>
                <w:color w:val="auto"/>
              </w:rPr>
            </w:pPr>
            <w:r>
              <w:rPr>
                <w:rFonts w:ascii="Arial" w:cs="Arial" w:eastAsia="Arial" w:hAnsi="Arial"/>
                <w:sz w:val="14"/>
                <w:szCs w:val="14"/>
                <w:color w:val="auto"/>
              </w:rPr>
              <w:t>$352,634</w:t>
            </w:r>
          </w:p>
        </w:tc>
        <w:tc>
          <w:tcPr>
            <w:tcW w:w="160" w:type="dxa"/>
            <w:vAlign w:val="bottom"/>
            <w:tcBorders>
              <w:bottom w:val="single" w:sz="8" w:color="ACACAC"/>
            </w:tcBorders>
          </w:tcPr>
          <w:p>
            <w:pPr>
              <w:spacing w:after="0"/>
              <w:rPr>
                <w:sz w:val="22"/>
                <w:szCs w:val="22"/>
                <w:color w:val="auto"/>
              </w:rPr>
            </w:pPr>
          </w:p>
        </w:tc>
        <w:tc>
          <w:tcPr>
            <w:tcW w:w="1180" w:type="dxa"/>
            <w:vAlign w:val="bottom"/>
            <w:tcBorders>
              <w:bottom w:val="single" w:sz="8" w:color="ACACAC"/>
            </w:tcBorders>
          </w:tcPr>
          <w:p>
            <w:pPr>
              <w:jc w:val="right"/>
              <w:ind w:right="88"/>
              <w:spacing w:after="0"/>
              <w:rPr>
                <w:sz w:val="20"/>
                <w:szCs w:val="20"/>
                <w:color w:val="auto"/>
              </w:rPr>
            </w:pPr>
            <w:r>
              <w:rPr>
                <w:rFonts w:ascii="Arial" w:cs="Arial" w:eastAsia="Arial" w:hAnsi="Arial"/>
                <w:sz w:val="14"/>
                <w:szCs w:val="14"/>
                <w:color w:val="auto"/>
              </w:rPr>
              <w:t>—</w:t>
            </w:r>
          </w:p>
        </w:tc>
        <w:tc>
          <w:tcPr>
            <w:tcW w:w="300" w:type="dxa"/>
            <w:vAlign w:val="bottom"/>
            <w:tcBorders>
              <w:bottom w:val="single" w:sz="8" w:color="ACACAC"/>
            </w:tcBorders>
          </w:tcPr>
          <w:p>
            <w:pPr>
              <w:spacing w:after="0"/>
              <w:rPr>
                <w:sz w:val="22"/>
                <w:szCs w:val="22"/>
                <w:color w:val="auto"/>
              </w:rPr>
            </w:pPr>
          </w:p>
        </w:tc>
        <w:tc>
          <w:tcPr>
            <w:tcW w:w="880" w:type="dxa"/>
            <w:vAlign w:val="bottom"/>
            <w:tcBorders>
              <w:bottom w:val="single" w:sz="8" w:color="ACACAC"/>
            </w:tcBorders>
          </w:tcPr>
          <w:p>
            <w:pPr>
              <w:jc w:val="right"/>
              <w:spacing w:after="0"/>
              <w:rPr>
                <w:sz w:val="20"/>
                <w:szCs w:val="20"/>
                <w:color w:val="auto"/>
              </w:rPr>
            </w:pPr>
            <w:r>
              <w:rPr>
                <w:rFonts w:ascii="Arial" w:cs="Arial" w:eastAsia="Arial" w:hAnsi="Arial"/>
                <w:sz w:val="14"/>
                <w:szCs w:val="14"/>
                <w:color w:val="auto"/>
              </w:rPr>
              <w:t>$3,301,001</w:t>
            </w:r>
          </w:p>
        </w:tc>
      </w:tr>
      <w:tr>
        <w:trPr>
          <w:trHeight w:val="256"/>
        </w:trPr>
        <w:tc>
          <w:tcPr>
            <w:tcW w:w="3220" w:type="dxa"/>
            <w:vAlign w:val="bottom"/>
            <w:shd w:val="clear" w:color="auto" w:fill="ACACAC"/>
          </w:tcPr>
          <w:p>
            <w:pPr>
              <w:ind w:left="40"/>
              <w:spacing w:after="0"/>
              <w:rPr>
                <w:sz w:val="20"/>
                <w:szCs w:val="20"/>
                <w:color w:val="auto"/>
              </w:rPr>
            </w:pPr>
            <w:r>
              <w:rPr>
                <w:rFonts w:ascii="Arial" w:cs="Arial" w:eastAsia="Arial" w:hAnsi="Arial"/>
                <w:sz w:val="14"/>
                <w:szCs w:val="14"/>
                <w:color w:val="auto"/>
              </w:rPr>
              <w:t>Death</w:t>
            </w:r>
          </w:p>
        </w:tc>
        <w:tc>
          <w:tcPr>
            <w:tcW w:w="500" w:type="dxa"/>
            <w:vAlign w:val="bottom"/>
            <w:shd w:val="clear" w:color="auto" w:fill="ACACAC"/>
          </w:tcPr>
          <w:p>
            <w:pPr>
              <w:spacing w:after="0"/>
              <w:rPr>
                <w:sz w:val="22"/>
                <w:szCs w:val="22"/>
                <w:color w:val="auto"/>
              </w:rPr>
            </w:pPr>
          </w:p>
        </w:tc>
        <w:tc>
          <w:tcPr>
            <w:tcW w:w="1240" w:type="dxa"/>
            <w:vAlign w:val="bottom"/>
            <w:shd w:val="clear" w:color="auto" w:fill="ACACAC"/>
          </w:tcPr>
          <w:p>
            <w:pPr>
              <w:jc w:val="right"/>
              <w:ind w:right="168"/>
              <w:spacing w:after="0"/>
              <w:rPr>
                <w:sz w:val="20"/>
                <w:szCs w:val="20"/>
                <w:color w:val="auto"/>
              </w:rPr>
            </w:pPr>
            <w:r>
              <w:rPr>
                <w:rFonts w:ascii="Arial" w:cs="Arial" w:eastAsia="Arial" w:hAnsi="Arial"/>
                <w:sz w:val="14"/>
                <w:szCs w:val="14"/>
                <w:color w:val="auto"/>
              </w:rPr>
              <w:t>—</w:t>
            </w:r>
          </w:p>
        </w:tc>
        <w:tc>
          <w:tcPr>
            <w:tcW w:w="120" w:type="dxa"/>
            <w:vAlign w:val="bottom"/>
            <w:shd w:val="clear" w:color="auto" w:fill="ACACAC"/>
          </w:tcPr>
          <w:p>
            <w:pPr>
              <w:spacing w:after="0"/>
              <w:rPr>
                <w:sz w:val="22"/>
                <w:szCs w:val="22"/>
                <w:color w:val="auto"/>
              </w:rPr>
            </w:pPr>
          </w:p>
        </w:tc>
        <w:tc>
          <w:tcPr>
            <w:tcW w:w="1040" w:type="dxa"/>
            <w:vAlign w:val="bottom"/>
            <w:shd w:val="clear" w:color="auto" w:fill="ACACAC"/>
          </w:tcPr>
          <w:p>
            <w:pPr>
              <w:jc w:val="right"/>
              <w:spacing w:after="0"/>
              <w:rPr>
                <w:sz w:val="20"/>
                <w:szCs w:val="20"/>
                <w:color w:val="auto"/>
              </w:rPr>
            </w:pPr>
            <w:r>
              <w:rPr>
                <w:rFonts w:ascii="Arial" w:cs="Arial" w:eastAsia="Arial" w:hAnsi="Arial"/>
                <w:sz w:val="14"/>
                <w:szCs w:val="14"/>
                <w:color w:val="auto"/>
              </w:rPr>
              <w:t>$405,277</w:t>
            </w:r>
          </w:p>
        </w:tc>
        <w:tc>
          <w:tcPr>
            <w:tcW w:w="280" w:type="dxa"/>
            <w:vAlign w:val="bottom"/>
            <w:shd w:val="clear" w:color="auto" w:fill="ACACAC"/>
          </w:tcPr>
          <w:p>
            <w:pPr>
              <w:spacing w:after="0"/>
              <w:rPr>
                <w:sz w:val="22"/>
                <w:szCs w:val="22"/>
                <w:color w:val="auto"/>
              </w:rPr>
            </w:pPr>
          </w:p>
        </w:tc>
        <w:tc>
          <w:tcPr>
            <w:tcW w:w="1140" w:type="dxa"/>
            <w:vAlign w:val="bottom"/>
            <w:shd w:val="clear" w:color="auto" w:fill="ACACAC"/>
          </w:tcPr>
          <w:p>
            <w:pPr>
              <w:jc w:val="right"/>
              <w:ind w:right="88"/>
              <w:spacing w:after="0"/>
              <w:rPr>
                <w:sz w:val="20"/>
                <w:szCs w:val="20"/>
                <w:color w:val="auto"/>
              </w:rPr>
            </w:pPr>
            <w:r>
              <w:rPr>
                <w:rFonts w:ascii="Arial" w:cs="Arial" w:eastAsia="Arial" w:hAnsi="Arial"/>
                <w:sz w:val="14"/>
                <w:szCs w:val="14"/>
                <w:color w:val="auto"/>
              </w:rPr>
              <w:t>—</w:t>
            </w:r>
          </w:p>
        </w:tc>
        <w:tc>
          <w:tcPr>
            <w:tcW w:w="180" w:type="dxa"/>
            <w:vAlign w:val="bottom"/>
            <w:shd w:val="clear" w:color="auto" w:fill="ACACAC"/>
          </w:tcPr>
          <w:p>
            <w:pPr>
              <w:spacing w:after="0"/>
              <w:rPr>
                <w:sz w:val="22"/>
                <w:szCs w:val="22"/>
                <w:color w:val="auto"/>
              </w:rPr>
            </w:pPr>
          </w:p>
        </w:tc>
        <w:tc>
          <w:tcPr>
            <w:tcW w:w="1180" w:type="dxa"/>
            <w:vAlign w:val="bottom"/>
            <w:shd w:val="clear" w:color="auto" w:fill="ACACAC"/>
          </w:tcPr>
          <w:p>
            <w:pPr>
              <w:ind w:left="860"/>
              <w:spacing w:after="0"/>
              <w:rPr>
                <w:sz w:val="20"/>
                <w:szCs w:val="20"/>
                <w:color w:val="auto"/>
              </w:rPr>
            </w:pPr>
            <w:r>
              <w:rPr>
                <w:rFonts w:ascii="Arial" w:cs="Arial" w:eastAsia="Arial" w:hAnsi="Arial"/>
                <w:sz w:val="14"/>
                <w:szCs w:val="14"/>
                <w:color w:val="auto"/>
              </w:rPr>
              <w:t>—</w:t>
            </w:r>
          </w:p>
        </w:tc>
        <w:tc>
          <w:tcPr>
            <w:tcW w:w="160" w:type="dxa"/>
            <w:vAlign w:val="bottom"/>
            <w:shd w:val="clear" w:color="auto" w:fill="ACACAC"/>
          </w:tcPr>
          <w:p>
            <w:pPr>
              <w:spacing w:after="0"/>
              <w:rPr>
                <w:sz w:val="22"/>
                <w:szCs w:val="22"/>
                <w:color w:val="auto"/>
              </w:rPr>
            </w:pPr>
          </w:p>
        </w:tc>
        <w:tc>
          <w:tcPr>
            <w:tcW w:w="1180" w:type="dxa"/>
            <w:vAlign w:val="bottom"/>
            <w:shd w:val="clear" w:color="auto" w:fill="ACACAC"/>
          </w:tcPr>
          <w:p>
            <w:pPr>
              <w:jc w:val="right"/>
              <w:ind w:right="88"/>
              <w:spacing w:after="0"/>
              <w:rPr>
                <w:sz w:val="20"/>
                <w:szCs w:val="20"/>
                <w:color w:val="auto"/>
              </w:rPr>
            </w:pPr>
            <w:r>
              <w:rPr>
                <w:rFonts w:ascii="Arial" w:cs="Arial" w:eastAsia="Arial" w:hAnsi="Arial"/>
                <w:sz w:val="14"/>
                <w:szCs w:val="14"/>
                <w:color w:val="auto"/>
              </w:rPr>
              <w:t>—</w:t>
            </w:r>
          </w:p>
        </w:tc>
        <w:tc>
          <w:tcPr>
            <w:tcW w:w="300" w:type="dxa"/>
            <w:vAlign w:val="bottom"/>
            <w:shd w:val="clear" w:color="auto" w:fill="ACACAC"/>
          </w:tcPr>
          <w:p>
            <w:pPr>
              <w:spacing w:after="0"/>
              <w:rPr>
                <w:sz w:val="22"/>
                <w:szCs w:val="22"/>
                <w:color w:val="auto"/>
              </w:rPr>
            </w:pPr>
          </w:p>
        </w:tc>
        <w:tc>
          <w:tcPr>
            <w:tcW w:w="880" w:type="dxa"/>
            <w:vAlign w:val="bottom"/>
            <w:shd w:val="clear" w:color="auto" w:fill="ACACAC"/>
          </w:tcPr>
          <w:p>
            <w:pPr>
              <w:jc w:val="right"/>
              <w:spacing w:after="0"/>
              <w:rPr>
                <w:sz w:val="20"/>
                <w:szCs w:val="20"/>
                <w:color w:val="auto"/>
              </w:rPr>
            </w:pPr>
            <w:r>
              <w:rPr>
                <w:rFonts w:ascii="Arial" w:cs="Arial" w:eastAsia="Arial" w:hAnsi="Arial"/>
                <w:sz w:val="14"/>
                <w:szCs w:val="14"/>
                <w:color w:val="auto"/>
              </w:rPr>
              <w:t>$405,277</w:t>
            </w:r>
          </w:p>
        </w:tc>
      </w:tr>
      <w:tr>
        <w:trPr>
          <w:trHeight w:val="264"/>
        </w:trPr>
        <w:tc>
          <w:tcPr>
            <w:tcW w:w="322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Disability</w:t>
            </w:r>
          </w:p>
        </w:tc>
        <w:tc>
          <w:tcPr>
            <w:tcW w:w="50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$405,277</w:t>
            </w:r>
          </w:p>
        </w:tc>
        <w:tc>
          <w:tcPr>
            <w:tcW w:w="28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w:t>
            </w:r>
          </w:p>
        </w:tc>
        <w:tc>
          <w:tcPr>
            <w:tcW w:w="18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ind w:left="860"/>
              <w:spacing w:after="0"/>
              <w:rPr>
                <w:sz w:val="20"/>
                <w:szCs w:val="20"/>
                <w:color w:val="auto"/>
              </w:rPr>
            </w:pPr>
            <w:r>
              <w:rPr>
                <w:rFonts w:ascii="Arial" w:cs="Arial" w:eastAsia="Arial" w:hAnsi="Arial"/>
                <w:sz w:val="14"/>
                <w:szCs w:val="14"/>
                <w:color w:val="auto"/>
              </w:rPr>
              <w:t>—</w:t>
            </w:r>
          </w:p>
        </w:tc>
        <w:tc>
          <w:tcPr>
            <w:tcW w:w="16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w:t>
            </w:r>
          </w:p>
        </w:tc>
        <w:tc>
          <w:tcPr>
            <w:tcW w:w="30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$405,277</w:t>
            </w:r>
          </w:p>
        </w:tc>
      </w:tr>
      <w:tr>
        <w:trPr>
          <w:trHeight w:val="270"/>
        </w:trPr>
        <w:tc>
          <w:tcPr>
            <w:tcW w:w="3220" w:type="dxa"/>
            <w:vAlign w:val="bottom"/>
            <w:shd w:val="clear" w:color="auto" w:fill="ACACAC"/>
          </w:tcPr>
          <w:p>
            <w:pPr>
              <w:ind w:left="40"/>
              <w:spacing w:after="0"/>
              <w:rPr>
                <w:sz w:val="20"/>
                <w:szCs w:val="20"/>
                <w:color w:val="auto"/>
              </w:rPr>
            </w:pPr>
            <w:r>
              <w:rPr>
                <w:rFonts w:ascii="Arial" w:cs="Arial" w:eastAsia="Arial" w:hAnsi="Arial"/>
                <w:sz w:val="14"/>
                <w:szCs w:val="14"/>
                <w:color w:val="auto"/>
              </w:rPr>
              <w:t>Stacy L. Bogart</w:t>
            </w:r>
          </w:p>
        </w:tc>
        <w:tc>
          <w:tcPr>
            <w:tcW w:w="500" w:type="dxa"/>
            <w:vAlign w:val="bottom"/>
            <w:shd w:val="clear" w:color="auto" w:fill="ACACAC"/>
          </w:tcPr>
          <w:p>
            <w:pPr>
              <w:spacing w:after="0"/>
              <w:rPr>
                <w:sz w:val="23"/>
                <w:szCs w:val="23"/>
                <w:color w:val="auto"/>
              </w:rPr>
            </w:pPr>
          </w:p>
        </w:tc>
        <w:tc>
          <w:tcPr>
            <w:tcW w:w="1240" w:type="dxa"/>
            <w:vAlign w:val="bottom"/>
            <w:shd w:val="clear" w:color="auto" w:fill="ACACAC"/>
          </w:tcPr>
          <w:p>
            <w:pPr>
              <w:spacing w:after="0"/>
              <w:rPr>
                <w:sz w:val="23"/>
                <w:szCs w:val="23"/>
                <w:color w:val="auto"/>
              </w:rPr>
            </w:pPr>
          </w:p>
        </w:tc>
        <w:tc>
          <w:tcPr>
            <w:tcW w:w="120" w:type="dxa"/>
            <w:vAlign w:val="bottom"/>
            <w:shd w:val="clear" w:color="auto" w:fill="ACACAC"/>
          </w:tcPr>
          <w:p>
            <w:pPr>
              <w:spacing w:after="0"/>
              <w:rPr>
                <w:sz w:val="23"/>
                <w:szCs w:val="23"/>
                <w:color w:val="auto"/>
              </w:rPr>
            </w:pPr>
          </w:p>
        </w:tc>
        <w:tc>
          <w:tcPr>
            <w:tcW w:w="1040" w:type="dxa"/>
            <w:vAlign w:val="bottom"/>
            <w:shd w:val="clear" w:color="auto" w:fill="ACACAC"/>
          </w:tcPr>
          <w:p>
            <w:pPr>
              <w:spacing w:after="0"/>
              <w:rPr>
                <w:sz w:val="23"/>
                <w:szCs w:val="23"/>
                <w:color w:val="auto"/>
              </w:rPr>
            </w:pPr>
          </w:p>
        </w:tc>
        <w:tc>
          <w:tcPr>
            <w:tcW w:w="280" w:type="dxa"/>
            <w:vAlign w:val="bottom"/>
            <w:shd w:val="clear" w:color="auto" w:fill="ACACAC"/>
          </w:tcPr>
          <w:p>
            <w:pPr>
              <w:spacing w:after="0"/>
              <w:rPr>
                <w:sz w:val="23"/>
                <w:szCs w:val="23"/>
                <w:color w:val="auto"/>
              </w:rPr>
            </w:pPr>
          </w:p>
        </w:tc>
        <w:tc>
          <w:tcPr>
            <w:tcW w:w="1140" w:type="dxa"/>
            <w:vAlign w:val="bottom"/>
            <w:shd w:val="clear" w:color="auto" w:fill="ACACAC"/>
          </w:tcPr>
          <w:p>
            <w:pPr>
              <w:spacing w:after="0"/>
              <w:rPr>
                <w:sz w:val="23"/>
                <w:szCs w:val="23"/>
                <w:color w:val="auto"/>
              </w:rPr>
            </w:pPr>
          </w:p>
        </w:tc>
        <w:tc>
          <w:tcPr>
            <w:tcW w:w="180" w:type="dxa"/>
            <w:vAlign w:val="bottom"/>
            <w:shd w:val="clear" w:color="auto" w:fill="ACACAC"/>
          </w:tcPr>
          <w:p>
            <w:pPr>
              <w:spacing w:after="0"/>
              <w:rPr>
                <w:sz w:val="23"/>
                <w:szCs w:val="23"/>
                <w:color w:val="auto"/>
              </w:rPr>
            </w:pPr>
          </w:p>
        </w:tc>
        <w:tc>
          <w:tcPr>
            <w:tcW w:w="1180" w:type="dxa"/>
            <w:vAlign w:val="bottom"/>
            <w:shd w:val="clear" w:color="auto" w:fill="ACACAC"/>
          </w:tcPr>
          <w:p>
            <w:pPr>
              <w:spacing w:after="0"/>
              <w:rPr>
                <w:sz w:val="23"/>
                <w:szCs w:val="23"/>
                <w:color w:val="auto"/>
              </w:rPr>
            </w:pPr>
          </w:p>
        </w:tc>
        <w:tc>
          <w:tcPr>
            <w:tcW w:w="160" w:type="dxa"/>
            <w:vAlign w:val="bottom"/>
            <w:shd w:val="clear" w:color="auto" w:fill="ACACAC"/>
          </w:tcPr>
          <w:p>
            <w:pPr>
              <w:spacing w:after="0"/>
              <w:rPr>
                <w:sz w:val="23"/>
                <w:szCs w:val="23"/>
                <w:color w:val="auto"/>
              </w:rPr>
            </w:pPr>
          </w:p>
        </w:tc>
        <w:tc>
          <w:tcPr>
            <w:tcW w:w="1180" w:type="dxa"/>
            <w:vAlign w:val="bottom"/>
            <w:shd w:val="clear" w:color="auto" w:fill="ACACAC"/>
          </w:tcPr>
          <w:p>
            <w:pPr>
              <w:spacing w:after="0"/>
              <w:rPr>
                <w:sz w:val="23"/>
                <w:szCs w:val="23"/>
                <w:color w:val="auto"/>
              </w:rPr>
            </w:pPr>
          </w:p>
        </w:tc>
        <w:tc>
          <w:tcPr>
            <w:tcW w:w="300" w:type="dxa"/>
            <w:vAlign w:val="bottom"/>
            <w:shd w:val="clear" w:color="auto" w:fill="ACACAC"/>
          </w:tcPr>
          <w:p>
            <w:pPr>
              <w:spacing w:after="0"/>
              <w:rPr>
                <w:sz w:val="23"/>
                <w:szCs w:val="23"/>
                <w:color w:val="auto"/>
              </w:rPr>
            </w:pPr>
          </w:p>
        </w:tc>
        <w:tc>
          <w:tcPr>
            <w:tcW w:w="880" w:type="dxa"/>
            <w:vAlign w:val="bottom"/>
            <w:shd w:val="clear" w:color="auto" w:fill="ACACAC"/>
          </w:tcPr>
          <w:p>
            <w:pPr>
              <w:spacing w:after="0"/>
              <w:rPr>
                <w:sz w:val="23"/>
                <w:szCs w:val="23"/>
                <w:color w:val="auto"/>
              </w:rPr>
            </w:pPr>
          </w:p>
        </w:tc>
      </w:tr>
      <w:tr>
        <w:trPr>
          <w:trHeight w:val="270"/>
        </w:trPr>
        <w:tc>
          <w:tcPr>
            <w:tcW w:w="3220" w:type="dxa"/>
            <w:vAlign w:val="bottom"/>
          </w:tcPr>
          <w:p>
            <w:pPr>
              <w:ind w:left="40"/>
              <w:spacing w:after="0"/>
              <w:rPr>
                <w:sz w:val="20"/>
                <w:szCs w:val="20"/>
                <w:color w:val="auto"/>
              </w:rPr>
            </w:pPr>
            <w:r>
              <w:rPr>
                <w:rFonts w:ascii="Arial" w:cs="Arial" w:eastAsia="Arial" w:hAnsi="Arial"/>
                <w:sz w:val="14"/>
                <w:szCs w:val="14"/>
                <w:color w:val="auto"/>
              </w:rPr>
              <w:t>Retirement</w:t>
            </w:r>
            <w:r>
              <w:rPr>
                <w:rFonts w:ascii="Arial" w:cs="Arial" w:eastAsia="Arial" w:hAnsi="Arial"/>
                <w:sz w:val="17"/>
                <w:szCs w:val="17"/>
                <w:color w:val="auto"/>
                <w:vertAlign w:val="superscript"/>
              </w:rPr>
              <w:t>(6)</w:t>
            </w:r>
            <w:r>
              <w:rPr>
                <w:rFonts w:ascii="Arial" w:cs="Arial" w:eastAsia="Arial" w:hAnsi="Arial"/>
                <w:sz w:val="14"/>
                <w:szCs w:val="14"/>
                <w:color w:val="auto"/>
              </w:rPr>
              <w:t xml:space="preserve"> or Voluntary Separation</w:t>
            </w:r>
          </w:p>
        </w:tc>
        <w:tc>
          <w:tcPr>
            <w:tcW w:w="500" w:type="dxa"/>
            <w:vAlign w:val="bottom"/>
          </w:tcPr>
          <w:p>
            <w:pPr>
              <w:spacing w:after="0"/>
              <w:rPr>
                <w:sz w:val="23"/>
                <w:szCs w:val="23"/>
                <w:color w:val="auto"/>
              </w:rPr>
            </w:pPr>
          </w:p>
        </w:tc>
        <w:tc>
          <w:tcPr>
            <w:tcW w:w="1240" w:type="dxa"/>
            <w:vAlign w:val="bottom"/>
          </w:tcPr>
          <w:p>
            <w:pPr>
              <w:jc w:val="right"/>
              <w:ind w:right="168"/>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3"/>
                <w:szCs w:val="23"/>
                <w:color w:val="auto"/>
              </w:rPr>
            </w:pPr>
          </w:p>
        </w:tc>
        <w:tc>
          <w:tcPr>
            <w:tcW w:w="104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23"/>
                <w:szCs w:val="23"/>
                <w:color w:val="auto"/>
              </w:rPr>
            </w:pPr>
          </w:p>
        </w:tc>
        <w:tc>
          <w:tcPr>
            <w:tcW w:w="114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3"/>
                <w:szCs w:val="23"/>
                <w:color w:val="auto"/>
              </w:rPr>
            </w:pPr>
          </w:p>
        </w:tc>
        <w:tc>
          <w:tcPr>
            <w:tcW w:w="1180" w:type="dxa"/>
            <w:vAlign w:val="bottom"/>
          </w:tcPr>
          <w:p>
            <w:pPr>
              <w:ind w:left="86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3"/>
                <w:szCs w:val="23"/>
                <w:color w:val="auto"/>
              </w:rPr>
            </w:pPr>
          </w:p>
        </w:tc>
        <w:tc>
          <w:tcPr>
            <w:tcW w:w="118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23"/>
                <w:szCs w:val="23"/>
                <w:color w:val="auto"/>
              </w:rPr>
            </w:pPr>
          </w:p>
        </w:tc>
        <w:tc>
          <w:tcPr>
            <w:tcW w:w="880" w:type="dxa"/>
            <w:vAlign w:val="bottom"/>
          </w:tcPr>
          <w:p>
            <w:pPr>
              <w:jc w:val="right"/>
              <w:ind w:right="28"/>
              <w:spacing w:after="0"/>
              <w:rPr>
                <w:sz w:val="20"/>
                <w:szCs w:val="20"/>
                <w:color w:val="auto"/>
              </w:rPr>
            </w:pPr>
            <w:r>
              <w:rPr>
                <w:rFonts w:ascii="Arial" w:cs="Arial" w:eastAsia="Arial" w:hAnsi="Arial"/>
                <w:sz w:val="14"/>
                <w:szCs w:val="14"/>
                <w:color w:val="auto"/>
              </w:rPr>
              <w:t>—</w:t>
            </w:r>
          </w:p>
        </w:tc>
      </w:tr>
      <w:tr>
        <w:trPr>
          <w:trHeight w:val="270"/>
        </w:trPr>
        <w:tc>
          <w:tcPr>
            <w:tcW w:w="3220" w:type="dxa"/>
            <w:vAlign w:val="bottom"/>
            <w:shd w:val="clear" w:color="auto" w:fill="ACACAC"/>
          </w:tcPr>
          <w:p>
            <w:pPr>
              <w:ind w:left="40"/>
              <w:spacing w:after="0"/>
              <w:rPr>
                <w:sz w:val="20"/>
                <w:szCs w:val="20"/>
                <w:color w:val="auto"/>
              </w:rPr>
            </w:pPr>
            <w:r>
              <w:rPr>
                <w:rFonts w:ascii="Arial" w:cs="Arial" w:eastAsia="Arial" w:hAnsi="Arial"/>
                <w:sz w:val="14"/>
                <w:szCs w:val="14"/>
                <w:color w:val="auto"/>
              </w:rPr>
              <w:t>Involuntary Termination for Cause</w:t>
            </w:r>
          </w:p>
        </w:tc>
        <w:tc>
          <w:tcPr>
            <w:tcW w:w="500" w:type="dxa"/>
            <w:vAlign w:val="bottom"/>
            <w:shd w:val="clear" w:color="auto" w:fill="ACACAC"/>
          </w:tcPr>
          <w:p>
            <w:pPr>
              <w:spacing w:after="0"/>
              <w:rPr>
                <w:sz w:val="23"/>
                <w:szCs w:val="23"/>
                <w:color w:val="auto"/>
              </w:rPr>
            </w:pPr>
          </w:p>
        </w:tc>
        <w:tc>
          <w:tcPr>
            <w:tcW w:w="1240" w:type="dxa"/>
            <w:vAlign w:val="bottom"/>
            <w:shd w:val="clear" w:color="auto" w:fill="ACACAC"/>
          </w:tcPr>
          <w:p>
            <w:pPr>
              <w:jc w:val="right"/>
              <w:ind w:right="168"/>
              <w:spacing w:after="0"/>
              <w:rPr>
                <w:sz w:val="20"/>
                <w:szCs w:val="20"/>
                <w:color w:val="auto"/>
              </w:rPr>
            </w:pPr>
            <w:r>
              <w:rPr>
                <w:rFonts w:ascii="Arial" w:cs="Arial" w:eastAsia="Arial" w:hAnsi="Arial"/>
                <w:sz w:val="14"/>
                <w:szCs w:val="14"/>
                <w:color w:val="auto"/>
              </w:rPr>
              <w:t>—</w:t>
            </w:r>
          </w:p>
        </w:tc>
        <w:tc>
          <w:tcPr>
            <w:tcW w:w="120" w:type="dxa"/>
            <w:vAlign w:val="bottom"/>
            <w:shd w:val="clear" w:color="auto" w:fill="ACACAC"/>
          </w:tcPr>
          <w:p>
            <w:pPr>
              <w:spacing w:after="0"/>
              <w:rPr>
                <w:sz w:val="23"/>
                <w:szCs w:val="23"/>
                <w:color w:val="auto"/>
              </w:rPr>
            </w:pPr>
          </w:p>
        </w:tc>
        <w:tc>
          <w:tcPr>
            <w:tcW w:w="1040" w:type="dxa"/>
            <w:vAlign w:val="bottom"/>
            <w:shd w:val="clear" w:color="auto" w:fill="ACACAC"/>
          </w:tcPr>
          <w:p>
            <w:pPr>
              <w:jc w:val="right"/>
              <w:ind w:right="48"/>
              <w:spacing w:after="0"/>
              <w:rPr>
                <w:sz w:val="20"/>
                <w:szCs w:val="20"/>
                <w:color w:val="auto"/>
              </w:rPr>
            </w:pPr>
            <w:r>
              <w:rPr>
                <w:rFonts w:ascii="Arial" w:cs="Arial" w:eastAsia="Arial" w:hAnsi="Arial"/>
                <w:sz w:val="14"/>
                <w:szCs w:val="14"/>
                <w:color w:val="auto"/>
              </w:rPr>
              <w:t>—</w:t>
            </w:r>
          </w:p>
        </w:tc>
        <w:tc>
          <w:tcPr>
            <w:tcW w:w="280" w:type="dxa"/>
            <w:vAlign w:val="bottom"/>
            <w:shd w:val="clear" w:color="auto" w:fill="ACACAC"/>
          </w:tcPr>
          <w:p>
            <w:pPr>
              <w:spacing w:after="0"/>
              <w:rPr>
                <w:sz w:val="23"/>
                <w:szCs w:val="23"/>
                <w:color w:val="auto"/>
              </w:rPr>
            </w:pPr>
          </w:p>
        </w:tc>
        <w:tc>
          <w:tcPr>
            <w:tcW w:w="1140" w:type="dxa"/>
            <w:vAlign w:val="bottom"/>
            <w:shd w:val="clear" w:color="auto" w:fill="ACACAC"/>
          </w:tcPr>
          <w:p>
            <w:pPr>
              <w:jc w:val="right"/>
              <w:ind w:right="88"/>
              <w:spacing w:after="0"/>
              <w:rPr>
                <w:sz w:val="20"/>
                <w:szCs w:val="20"/>
                <w:color w:val="auto"/>
              </w:rPr>
            </w:pPr>
            <w:r>
              <w:rPr>
                <w:rFonts w:ascii="Arial" w:cs="Arial" w:eastAsia="Arial" w:hAnsi="Arial"/>
                <w:sz w:val="14"/>
                <w:szCs w:val="14"/>
                <w:color w:val="auto"/>
              </w:rPr>
              <w:t>—</w:t>
            </w:r>
          </w:p>
        </w:tc>
        <w:tc>
          <w:tcPr>
            <w:tcW w:w="180" w:type="dxa"/>
            <w:vAlign w:val="bottom"/>
            <w:shd w:val="clear" w:color="auto" w:fill="ACACAC"/>
          </w:tcPr>
          <w:p>
            <w:pPr>
              <w:spacing w:after="0"/>
              <w:rPr>
                <w:sz w:val="23"/>
                <w:szCs w:val="23"/>
                <w:color w:val="auto"/>
              </w:rPr>
            </w:pPr>
          </w:p>
        </w:tc>
        <w:tc>
          <w:tcPr>
            <w:tcW w:w="1180" w:type="dxa"/>
            <w:vAlign w:val="bottom"/>
            <w:shd w:val="clear" w:color="auto" w:fill="ACACAC"/>
          </w:tcPr>
          <w:p>
            <w:pPr>
              <w:ind w:left="860"/>
              <w:spacing w:after="0"/>
              <w:rPr>
                <w:sz w:val="20"/>
                <w:szCs w:val="20"/>
                <w:color w:val="auto"/>
              </w:rPr>
            </w:pPr>
            <w:r>
              <w:rPr>
                <w:rFonts w:ascii="Arial" w:cs="Arial" w:eastAsia="Arial" w:hAnsi="Arial"/>
                <w:sz w:val="14"/>
                <w:szCs w:val="14"/>
                <w:color w:val="auto"/>
              </w:rPr>
              <w:t>—</w:t>
            </w:r>
          </w:p>
        </w:tc>
        <w:tc>
          <w:tcPr>
            <w:tcW w:w="160" w:type="dxa"/>
            <w:vAlign w:val="bottom"/>
            <w:shd w:val="clear" w:color="auto" w:fill="ACACAC"/>
          </w:tcPr>
          <w:p>
            <w:pPr>
              <w:spacing w:after="0"/>
              <w:rPr>
                <w:sz w:val="23"/>
                <w:szCs w:val="23"/>
                <w:color w:val="auto"/>
              </w:rPr>
            </w:pPr>
          </w:p>
        </w:tc>
        <w:tc>
          <w:tcPr>
            <w:tcW w:w="1180" w:type="dxa"/>
            <w:vAlign w:val="bottom"/>
            <w:shd w:val="clear" w:color="auto" w:fill="ACACAC"/>
          </w:tcPr>
          <w:p>
            <w:pPr>
              <w:jc w:val="right"/>
              <w:ind w:right="88"/>
              <w:spacing w:after="0"/>
              <w:rPr>
                <w:sz w:val="20"/>
                <w:szCs w:val="20"/>
                <w:color w:val="auto"/>
              </w:rPr>
            </w:pPr>
            <w:r>
              <w:rPr>
                <w:rFonts w:ascii="Arial" w:cs="Arial" w:eastAsia="Arial" w:hAnsi="Arial"/>
                <w:sz w:val="14"/>
                <w:szCs w:val="14"/>
                <w:color w:val="auto"/>
              </w:rPr>
              <w:t>—</w:t>
            </w:r>
          </w:p>
        </w:tc>
        <w:tc>
          <w:tcPr>
            <w:tcW w:w="300" w:type="dxa"/>
            <w:vAlign w:val="bottom"/>
            <w:shd w:val="clear" w:color="auto" w:fill="ACACAC"/>
          </w:tcPr>
          <w:p>
            <w:pPr>
              <w:spacing w:after="0"/>
              <w:rPr>
                <w:sz w:val="23"/>
                <w:szCs w:val="23"/>
                <w:color w:val="auto"/>
              </w:rPr>
            </w:pPr>
          </w:p>
        </w:tc>
        <w:tc>
          <w:tcPr>
            <w:tcW w:w="880" w:type="dxa"/>
            <w:vAlign w:val="bottom"/>
            <w:shd w:val="clear" w:color="auto" w:fill="ACACAC"/>
          </w:tcPr>
          <w:p>
            <w:pPr>
              <w:jc w:val="right"/>
              <w:ind w:right="28"/>
              <w:spacing w:after="0"/>
              <w:rPr>
                <w:sz w:val="20"/>
                <w:szCs w:val="20"/>
                <w:color w:val="auto"/>
              </w:rPr>
            </w:pPr>
            <w:r>
              <w:rPr>
                <w:rFonts w:ascii="Arial" w:cs="Arial" w:eastAsia="Arial" w:hAnsi="Arial"/>
                <w:sz w:val="14"/>
                <w:szCs w:val="14"/>
                <w:color w:val="auto"/>
              </w:rPr>
              <w:t>—</w:t>
            </w:r>
          </w:p>
        </w:tc>
      </w:tr>
      <w:tr>
        <w:trPr>
          <w:trHeight w:val="270"/>
        </w:trPr>
        <w:tc>
          <w:tcPr>
            <w:tcW w:w="3220" w:type="dxa"/>
            <w:vAlign w:val="bottom"/>
          </w:tcPr>
          <w:p>
            <w:pPr>
              <w:ind w:left="40"/>
              <w:spacing w:after="0"/>
              <w:rPr>
                <w:sz w:val="20"/>
                <w:szCs w:val="20"/>
                <w:color w:val="auto"/>
              </w:rPr>
            </w:pPr>
            <w:r>
              <w:rPr>
                <w:rFonts w:ascii="Arial" w:cs="Arial" w:eastAsia="Arial" w:hAnsi="Arial"/>
                <w:sz w:val="14"/>
                <w:szCs w:val="14"/>
                <w:color w:val="auto"/>
              </w:rPr>
              <w:t>Change of Control:</w:t>
            </w:r>
            <w:r>
              <w:rPr>
                <w:rFonts w:ascii="Arial" w:cs="Arial" w:eastAsia="Arial" w:hAnsi="Arial"/>
                <w:sz w:val="17"/>
                <w:szCs w:val="17"/>
                <w:color w:val="auto"/>
                <w:vertAlign w:val="superscript"/>
              </w:rPr>
              <w:t>(7)</w:t>
            </w:r>
          </w:p>
        </w:tc>
        <w:tc>
          <w:tcPr>
            <w:tcW w:w="50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880" w:type="dxa"/>
            <w:vAlign w:val="bottom"/>
          </w:tcPr>
          <w:p>
            <w:pPr>
              <w:spacing w:after="0"/>
              <w:rPr>
                <w:sz w:val="23"/>
                <w:szCs w:val="23"/>
                <w:color w:val="auto"/>
              </w:rPr>
            </w:pPr>
          </w:p>
        </w:tc>
      </w:tr>
      <w:tr>
        <w:trPr>
          <w:trHeight w:val="270"/>
        </w:trPr>
        <w:tc>
          <w:tcPr>
            <w:tcW w:w="3220" w:type="dxa"/>
            <w:vAlign w:val="bottom"/>
            <w:shd w:val="clear" w:color="auto" w:fill="ACACAC"/>
          </w:tcPr>
          <w:p>
            <w:pPr>
              <w:ind w:left="180"/>
              <w:spacing w:after="0"/>
              <w:rPr>
                <w:sz w:val="20"/>
                <w:szCs w:val="20"/>
                <w:color w:val="auto"/>
              </w:rPr>
            </w:pPr>
            <w:r>
              <w:rPr>
                <w:rFonts w:ascii="Arial" w:cs="Arial" w:eastAsia="Arial" w:hAnsi="Arial"/>
                <w:sz w:val="14"/>
                <w:szCs w:val="14"/>
                <w:color w:val="auto"/>
              </w:rPr>
              <w:t>Without Termination</w:t>
            </w:r>
          </w:p>
        </w:tc>
        <w:tc>
          <w:tcPr>
            <w:tcW w:w="500" w:type="dxa"/>
            <w:vAlign w:val="bottom"/>
            <w:shd w:val="clear" w:color="auto" w:fill="ACACAC"/>
          </w:tcPr>
          <w:p>
            <w:pPr>
              <w:spacing w:after="0"/>
              <w:rPr>
                <w:sz w:val="23"/>
                <w:szCs w:val="23"/>
                <w:color w:val="auto"/>
              </w:rPr>
            </w:pPr>
          </w:p>
        </w:tc>
        <w:tc>
          <w:tcPr>
            <w:tcW w:w="1240" w:type="dxa"/>
            <w:vAlign w:val="bottom"/>
            <w:shd w:val="clear" w:color="auto" w:fill="ACACAC"/>
          </w:tcPr>
          <w:p>
            <w:pPr>
              <w:jc w:val="right"/>
              <w:ind w:right="168"/>
              <w:spacing w:after="0"/>
              <w:rPr>
                <w:sz w:val="20"/>
                <w:szCs w:val="20"/>
                <w:color w:val="auto"/>
              </w:rPr>
            </w:pPr>
            <w:r>
              <w:rPr>
                <w:rFonts w:ascii="Arial" w:cs="Arial" w:eastAsia="Arial" w:hAnsi="Arial"/>
                <w:sz w:val="14"/>
                <w:szCs w:val="14"/>
                <w:color w:val="auto"/>
              </w:rPr>
              <w:t>—</w:t>
            </w:r>
          </w:p>
        </w:tc>
        <w:tc>
          <w:tcPr>
            <w:tcW w:w="120" w:type="dxa"/>
            <w:vAlign w:val="bottom"/>
            <w:shd w:val="clear" w:color="auto" w:fill="ACACAC"/>
          </w:tcPr>
          <w:p>
            <w:pPr>
              <w:spacing w:after="0"/>
              <w:rPr>
                <w:sz w:val="23"/>
                <w:szCs w:val="23"/>
                <w:color w:val="auto"/>
              </w:rPr>
            </w:pPr>
          </w:p>
        </w:tc>
        <w:tc>
          <w:tcPr>
            <w:tcW w:w="1040" w:type="dxa"/>
            <w:vAlign w:val="bottom"/>
            <w:shd w:val="clear" w:color="auto" w:fill="ACACAC"/>
          </w:tcPr>
          <w:p>
            <w:pPr>
              <w:jc w:val="right"/>
              <w:ind w:right="48"/>
              <w:spacing w:after="0"/>
              <w:rPr>
                <w:sz w:val="20"/>
                <w:szCs w:val="20"/>
                <w:color w:val="auto"/>
              </w:rPr>
            </w:pPr>
            <w:r>
              <w:rPr>
                <w:rFonts w:ascii="Arial" w:cs="Arial" w:eastAsia="Arial" w:hAnsi="Arial"/>
                <w:sz w:val="14"/>
                <w:szCs w:val="14"/>
                <w:color w:val="auto"/>
              </w:rPr>
              <w:t>—</w:t>
            </w:r>
          </w:p>
        </w:tc>
        <w:tc>
          <w:tcPr>
            <w:tcW w:w="280" w:type="dxa"/>
            <w:vAlign w:val="bottom"/>
            <w:shd w:val="clear" w:color="auto" w:fill="ACACAC"/>
          </w:tcPr>
          <w:p>
            <w:pPr>
              <w:spacing w:after="0"/>
              <w:rPr>
                <w:sz w:val="23"/>
                <w:szCs w:val="23"/>
                <w:color w:val="auto"/>
              </w:rPr>
            </w:pPr>
          </w:p>
        </w:tc>
        <w:tc>
          <w:tcPr>
            <w:tcW w:w="1140" w:type="dxa"/>
            <w:vAlign w:val="bottom"/>
            <w:shd w:val="clear" w:color="auto" w:fill="ACACAC"/>
          </w:tcPr>
          <w:p>
            <w:pPr>
              <w:jc w:val="right"/>
              <w:ind w:right="8"/>
              <w:spacing w:after="0"/>
              <w:rPr>
                <w:sz w:val="20"/>
                <w:szCs w:val="20"/>
                <w:color w:val="auto"/>
              </w:rPr>
            </w:pPr>
            <w:r>
              <w:rPr>
                <w:rFonts w:ascii="Arial" w:cs="Arial" w:eastAsia="Arial" w:hAnsi="Arial"/>
                <w:sz w:val="14"/>
                <w:szCs w:val="14"/>
                <w:color w:val="auto"/>
              </w:rPr>
              <w:t>$146,653</w:t>
            </w:r>
          </w:p>
        </w:tc>
        <w:tc>
          <w:tcPr>
            <w:tcW w:w="180" w:type="dxa"/>
            <w:vAlign w:val="bottom"/>
            <w:shd w:val="clear" w:color="auto" w:fill="ACACAC"/>
          </w:tcPr>
          <w:p>
            <w:pPr>
              <w:spacing w:after="0"/>
              <w:rPr>
                <w:sz w:val="23"/>
                <w:szCs w:val="23"/>
                <w:color w:val="auto"/>
              </w:rPr>
            </w:pPr>
          </w:p>
        </w:tc>
        <w:tc>
          <w:tcPr>
            <w:tcW w:w="1180" w:type="dxa"/>
            <w:vAlign w:val="bottom"/>
            <w:shd w:val="clear" w:color="auto" w:fill="ACACAC"/>
          </w:tcPr>
          <w:p>
            <w:pPr>
              <w:jc w:val="right"/>
              <w:ind w:right="8"/>
              <w:spacing w:after="0"/>
              <w:rPr>
                <w:sz w:val="20"/>
                <w:szCs w:val="20"/>
                <w:color w:val="auto"/>
              </w:rPr>
            </w:pPr>
            <w:r>
              <w:rPr>
                <w:rFonts w:ascii="Arial" w:cs="Arial" w:eastAsia="Arial" w:hAnsi="Arial"/>
                <w:sz w:val="14"/>
                <w:szCs w:val="14"/>
                <w:color w:val="auto"/>
              </w:rPr>
              <w:t>$373,000</w:t>
            </w:r>
          </w:p>
        </w:tc>
        <w:tc>
          <w:tcPr>
            <w:tcW w:w="160" w:type="dxa"/>
            <w:vAlign w:val="bottom"/>
            <w:shd w:val="clear" w:color="auto" w:fill="ACACAC"/>
          </w:tcPr>
          <w:p>
            <w:pPr>
              <w:spacing w:after="0"/>
              <w:rPr>
                <w:sz w:val="23"/>
                <w:szCs w:val="23"/>
                <w:color w:val="auto"/>
              </w:rPr>
            </w:pPr>
          </w:p>
        </w:tc>
        <w:tc>
          <w:tcPr>
            <w:tcW w:w="1180" w:type="dxa"/>
            <w:vAlign w:val="bottom"/>
            <w:shd w:val="clear" w:color="auto" w:fill="ACACAC"/>
          </w:tcPr>
          <w:p>
            <w:pPr>
              <w:jc w:val="right"/>
              <w:ind w:right="88"/>
              <w:spacing w:after="0"/>
              <w:rPr>
                <w:sz w:val="20"/>
                <w:szCs w:val="20"/>
                <w:color w:val="auto"/>
              </w:rPr>
            </w:pPr>
            <w:r>
              <w:rPr>
                <w:rFonts w:ascii="Arial" w:cs="Arial" w:eastAsia="Arial" w:hAnsi="Arial"/>
                <w:sz w:val="14"/>
                <w:szCs w:val="14"/>
                <w:color w:val="auto"/>
              </w:rPr>
              <w:t>—</w:t>
            </w:r>
          </w:p>
        </w:tc>
        <w:tc>
          <w:tcPr>
            <w:tcW w:w="300" w:type="dxa"/>
            <w:vAlign w:val="bottom"/>
            <w:shd w:val="clear" w:color="auto" w:fill="ACACAC"/>
          </w:tcPr>
          <w:p>
            <w:pPr>
              <w:spacing w:after="0"/>
              <w:rPr>
                <w:sz w:val="23"/>
                <w:szCs w:val="23"/>
                <w:color w:val="auto"/>
              </w:rPr>
            </w:pPr>
          </w:p>
        </w:tc>
        <w:tc>
          <w:tcPr>
            <w:tcW w:w="880" w:type="dxa"/>
            <w:vAlign w:val="bottom"/>
            <w:shd w:val="clear" w:color="auto" w:fill="ACACAC"/>
          </w:tcPr>
          <w:p>
            <w:pPr>
              <w:jc w:val="right"/>
              <w:spacing w:after="0"/>
              <w:rPr>
                <w:sz w:val="20"/>
                <w:szCs w:val="20"/>
                <w:color w:val="auto"/>
              </w:rPr>
            </w:pPr>
            <w:r>
              <w:rPr>
                <w:rFonts w:ascii="Arial" w:cs="Arial" w:eastAsia="Arial" w:hAnsi="Arial"/>
                <w:sz w:val="14"/>
                <w:szCs w:val="14"/>
                <w:color w:val="auto"/>
              </w:rPr>
              <w:t>$519,653</w:t>
            </w:r>
          </w:p>
        </w:tc>
      </w:tr>
      <w:tr>
        <w:trPr>
          <w:trHeight w:val="264"/>
        </w:trPr>
        <w:tc>
          <w:tcPr>
            <w:tcW w:w="3220" w:type="dxa"/>
            <w:vAlign w:val="bottom"/>
            <w:tcBorders>
              <w:bottom w:val="single" w:sz="8" w:color="ACACAC"/>
            </w:tcBorders>
          </w:tcPr>
          <w:p>
            <w:pPr>
              <w:ind w:left="180"/>
              <w:spacing w:after="0"/>
              <w:rPr>
                <w:sz w:val="20"/>
                <w:szCs w:val="20"/>
                <w:color w:val="auto"/>
              </w:rPr>
            </w:pPr>
            <w:r>
              <w:rPr>
                <w:rFonts w:ascii="Arial" w:cs="Arial" w:eastAsia="Arial" w:hAnsi="Arial"/>
                <w:sz w:val="14"/>
                <w:szCs w:val="14"/>
                <w:color w:val="auto"/>
              </w:rPr>
              <w:t>Termination WIthout Cause/Good Reason</w:t>
            </w:r>
          </w:p>
        </w:tc>
        <w:tc>
          <w:tcPr>
            <w:tcW w:w="500" w:type="dxa"/>
            <w:vAlign w:val="bottom"/>
            <w:tcBorders>
              <w:bottom w:val="single" w:sz="8" w:color="ACACAC"/>
            </w:tcBorders>
          </w:tcPr>
          <w:p>
            <w:pPr>
              <w:spacing w:after="0"/>
              <w:rPr>
                <w:sz w:val="22"/>
                <w:szCs w:val="22"/>
                <w:color w:val="auto"/>
              </w:rPr>
            </w:pPr>
          </w:p>
        </w:tc>
        <w:tc>
          <w:tcPr>
            <w:tcW w:w="1240" w:type="dxa"/>
            <w:vAlign w:val="bottom"/>
            <w:tcBorders>
              <w:bottom w:val="single" w:sz="8" w:color="ACACAC"/>
            </w:tcBorders>
          </w:tcPr>
          <w:p>
            <w:pPr>
              <w:jc w:val="right"/>
              <w:ind w:right="68"/>
              <w:spacing w:after="0"/>
              <w:rPr>
                <w:sz w:val="20"/>
                <w:szCs w:val="20"/>
                <w:color w:val="auto"/>
              </w:rPr>
            </w:pPr>
            <w:r>
              <w:rPr>
                <w:rFonts w:ascii="Arial" w:cs="Arial" w:eastAsia="Arial" w:hAnsi="Arial"/>
                <w:sz w:val="14"/>
                <w:szCs w:val="14"/>
                <w:color w:val="auto"/>
              </w:rPr>
              <w:t>$1,597,497</w:t>
            </w:r>
          </w:p>
        </w:tc>
        <w:tc>
          <w:tcPr>
            <w:tcW w:w="12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$211,813</w:t>
            </w:r>
          </w:p>
        </w:tc>
        <w:tc>
          <w:tcPr>
            <w:tcW w:w="280" w:type="dxa"/>
            <w:vAlign w:val="bottom"/>
            <w:tcBorders>
              <w:bottom w:val="single" w:sz="8" w:color="ACACAC"/>
            </w:tcBorders>
          </w:tcPr>
          <w:p>
            <w:pPr>
              <w:spacing w:after="0"/>
              <w:rPr>
                <w:sz w:val="22"/>
                <w:szCs w:val="22"/>
                <w:color w:val="auto"/>
              </w:rPr>
            </w:pPr>
          </w:p>
        </w:tc>
        <w:tc>
          <w:tcPr>
            <w:tcW w:w="1140" w:type="dxa"/>
            <w:vAlign w:val="bottom"/>
            <w:tcBorders>
              <w:bottom w:val="single" w:sz="8" w:color="ACACAC"/>
            </w:tcBorders>
          </w:tcPr>
          <w:p>
            <w:pPr>
              <w:jc w:val="right"/>
              <w:ind w:right="8"/>
              <w:spacing w:after="0"/>
              <w:rPr>
                <w:sz w:val="20"/>
                <w:szCs w:val="20"/>
                <w:color w:val="auto"/>
              </w:rPr>
            </w:pPr>
            <w:r>
              <w:rPr>
                <w:rFonts w:ascii="Arial" w:cs="Arial" w:eastAsia="Arial" w:hAnsi="Arial"/>
                <w:sz w:val="14"/>
                <w:szCs w:val="14"/>
                <w:color w:val="auto"/>
              </w:rPr>
              <w:t>$146,653</w:t>
            </w:r>
          </w:p>
        </w:tc>
        <w:tc>
          <w:tcPr>
            <w:tcW w:w="180" w:type="dxa"/>
            <w:vAlign w:val="bottom"/>
            <w:tcBorders>
              <w:bottom w:val="single" w:sz="8" w:color="ACACAC"/>
            </w:tcBorders>
          </w:tcPr>
          <w:p>
            <w:pPr>
              <w:spacing w:after="0"/>
              <w:rPr>
                <w:sz w:val="22"/>
                <w:szCs w:val="22"/>
                <w:color w:val="auto"/>
              </w:rPr>
            </w:pPr>
          </w:p>
        </w:tc>
        <w:tc>
          <w:tcPr>
            <w:tcW w:w="1180" w:type="dxa"/>
            <w:vAlign w:val="bottom"/>
            <w:tcBorders>
              <w:bottom w:val="single" w:sz="8" w:color="ACACAC"/>
            </w:tcBorders>
          </w:tcPr>
          <w:p>
            <w:pPr>
              <w:jc w:val="right"/>
              <w:ind w:right="8"/>
              <w:spacing w:after="0"/>
              <w:rPr>
                <w:sz w:val="20"/>
                <w:szCs w:val="20"/>
                <w:color w:val="auto"/>
              </w:rPr>
            </w:pPr>
            <w:r>
              <w:rPr>
                <w:rFonts w:ascii="Arial" w:cs="Arial" w:eastAsia="Arial" w:hAnsi="Arial"/>
                <w:sz w:val="14"/>
                <w:szCs w:val="14"/>
                <w:color w:val="auto"/>
              </w:rPr>
              <w:t>$373,000</w:t>
            </w:r>
          </w:p>
        </w:tc>
        <w:tc>
          <w:tcPr>
            <w:tcW w:w="160" w:type="dxa"/>
            <w:vAlign w:val="bottom"/>
            <w:tcBorders>
              <w:bottom w:val="single" w:sz="8" w:color="ACACAC"/>
            </w:tcBorders>
          </w:tcPr>
          <w:p>
            <w:pPr>
              <w:spacing w:after="0"/>
              <w:rPr>
                <w:sz w:val="22"/>
                <w:szCs w:val="22"/>
                <w:color w:val="auto"/>
              </w:rPr>
            </w:pPr>
          </w:p>
        </w:tc>
        <w:tc>
          <w:tcPr>
            <w:tcW w:w="1180" w:type="dxa"/>
            <w:vAlign w:val="bottom"/>
            <w:tcBorders>
              <w:bottom w:val="single" w:sz="8" w:color="ACACAC"/>
            </w:tcBorders>
          </w:tcPr>
          <w:p>
            <w:pPr>
              <w:jc w:val="right"/>
              <w:ind w:right="88"/>
              <w:spacing w:after="0"/>
              <w:rPr>
                <w:sz w:val="20"/>
                <w:szCs w:val="20"/>
                <w:color w:val="auto"/>
              </w:rPr>
            </w:pPr>
            <w:r>
              <w:rPr>
                <w:rFonts w:ascii="Arial" w:cs="Arial" w:eastAsia="Arial" w:hAnsi="Arial"/>
                <w:sz w:val="14"/>
                <w:szCs w:val="14"/>
                <w:color w:val="auto"/>
              </w:rPr>
              <w:t>—</w:t>
            </w:r>
          </w:p>
        </w:tc>
        <w:tc>
          <w:tcPr>
            <w:tcW w:w="300" w:type="dxa"/>
            <w:vAlign w:val="bottom"/>
            <w:tcBorders>
              <w:bottom w:val="single" w:sz="8" w:color="ACACAC"/>
            </w:tcBorders>
          </w:tcPr>
          <w:p>
            <w:pPr>
              <w:spacing w:after="0"/>
              <w:rPr>
                <w:sz w:val="22"/>
                <w:szCs w:val="22"/>
                <w:color w:val="auto"/>
              </w:rPr>
            </w:pPr>
          </w:p>
        </w:tc>
        <w:tc>
          <w:tcPr>
            <w:tcW w:w="880" w:type="dxa"/>
            <w:vAlign w:val="bottom"/>
            <w:tcBorders>
              <w:bottom w:val="single" w:sz="8" w:color="ACACAC"/>
            </w:tcBorders>
          </w:tcPr>
          <w:p>
            <w:pPr>
              <w:jc w:val="right"/>
              <w:spacing w:after="0"/>
              <w:rPr>
                <w:sz w:val="20"/>
                <w:szCs w:val="20"/>
                <w:color w:val="auto"/>
              </w:rPr>
            </w:pPr>
            <w:r>
              <w:rPr>
                <w:rFonts w:ascii="Arial" w:cs="Arial" w:eastAsia="Arial" w:hAnsi="Arial"/>
                <w:sz w:val="14"/>
                <w:szCs w:val="14"/>
                <w:color w:val="auto"/>
              </w:rPr>
              <w:t>$2,328,963</w:t>
            </w:r>
          </w:p>
        </w:tc>
      </w:tr>
      <w:tr>
        <w:trPr>
          <w:trHeight w:val="256"/>
        </w:trPr>
        <w:tc>
          <w:tcPr>
            <w:tcW w:w="3220" w:type="dxa"/>
            <w:vAlign w:val="bottom"/>
            <w:shd w:val="clear" w:color="auto" w:fill="ACACAC"/>
          </w:tcPr>
          <w:p>
            <w:pPr>
              <w:ind w:left="40"/>
              <w:spacing w:after="0"/>
              <w:rPr>
                <w:sz w:val="20"/>
                <w:szCs w:val="20"/>
                <w:color w:val="auto"/>
              </w:rPr>
            </w:pPr>
            <w:r>
              <w:rPr>
                <w:rFonts w:ascii="Arial" w:cs="Arial" w:eastAsia="Arial" w:hAnsi="Arial"/>
                <w:sz w:val="14"/>
                <w:szCs w:val="14"/>
                <w:color w:val="auto"/>
              </w:rPr>
              <w:t>Death</w:t>
            </w:r>
          </w:p>
        </w:tc>
        <w:tc>
          <w:tcPr>
            <w:tcW w:w="500" w:type="dxa"/>
            <w:vAlign w:val="bottom"/>
            <w:shd w:val="clear" w:color="auto" w:fill="ACACAC"/>
          </w:tcPr>
          <w:p>
            <w:pPr>
              <w:spacing w:after="0"/>
              <w:rPr>
                <w:sz w:val="22"/>
                <w:szCs w:val="22"/>
                <w:color w:val="auto"/>
              </w:rPr>
            </w:pPr>
          </w:p>
        </w:tc>
        <w:tc>
          <w:tcPr>
            <w:tcW w:w="1240" w:type="dxa"/>
            <w:vAlign w:val="bottom"/>
            <w:shd w:val="clear" w:color="auto" w:fill="ACACAC"/>
          </w:tcPr>
          <w:p>
            <w:pPr>
              <w:jc w:val="right"/>
              <w:ind w:right="168"/>
              <w:spacing w:after="0"/>
              <w:rPr>
                <w:sz w:val="20"/>
                <w:szCs w:val="20"/>
                <w:color w:val="auto"/>
              </w:rPr>
            </w:pPr>
            <w:r>
              <w:rPr>
                <w:rFonts w:ascii="Arial" w:cs="Arial" w:eastAsia="Arial" w:hAnsi="Arial"/>
                <w:sz w:val="14"/>
                <w:szCs w:val="14"/>
                <w:color w:val="auto"/>
              </w:rPr>
              <w:t>—</w:t>
            </w:r>
          </w:p>
        </w:tc>
        <w:tc>
          <w:tcPr>
            <w:tcW w:w="120" w:type="dxa"/>
            <w:vAlign w:val="bottom"/>
            <w:shd w:val="clear" w:color="auto" w:fill="ACACAC"/>
          </w:tcPr>
          <w:p>
            <w:pPr>
              <w:spacing w:after="0"/>
              <w:rPr>
                <w:sz w:val="22"/>
                <w:szCs w:val="22"/>
                <w:color w:val="auto"/>
              </w:rPr>
            </w:pPr>
          </w:p>
        </w:tc>
        <w:tc>
          <w:tcPr>
            <w:tcW w:w="1040" w:type="dxa"/>
            <w:vAlign w:val="bottom"/>
            <w:shd w:val="clear" w:color="auto" w:fill="ACACAC"/>
          </w:tcPr>
          <w:p>
            <w:pPr>
              <w:jc w:val="right"/>
              <w:spacing w:after="0"/>
              <w:rPr>
                <w:sz w:val="20"/>
                <w:szCs w:val="20"/>
                <w:color w:val="auto"/>
              </w:rPr>
            </w:pPr>
            <w:r>
              <w:rPr>
                <w:rFonts w:ascii="Arial" w:cs="Arial" w:eastAsia="Arial" w:hAnsi="Arial"/>
                <w:sz w:val="14"/>
                <w:szCs w:val="14"/>
                <w:color w:val="auto"/>
              </w:rPr>
              <w:t>$211,813</w:t>
            </w:r>
          </w:p>
        </w:tc>
        <w:tc>
          <w:tcPr>
            <w:tcW w:w="280" w:type="dxa"/>
            <w:vAlign w:val="bottom"/>
            <w:shd w:val="clear" w:color="auto" w:fill="ACACAC"/>
          </w:tcPr>
          <w:p>
            <w:pPr>
              <w:spacing w:after="0"/>
              <w:rPr>
                <w:sz w:val="22"/>
                <w:szCs w:val="22"/>
                <w:color w:val="auto"/>
              </w:rPr>
            </w:pPr>
          </w:p>
        </w:tc>
        <w:tc>
          <w:tcPr>
            <w:tcW w:w="1140" w:type="dxa"/>
            <w:vAlign w:val="bottom"/>
            <w:shd w:val="clear" w:color="auto" w:fill="ACACAC"/>
          </w:tcPr>
          <w:p>
            <w:pPr>
              <w:jc w:val="right"/>
              <w:ind w:right="88"/>
              <w:spacing w:after="0"/>
              <w:rPr>
                <w:sz w:val="20"/>
                <w:szCs w:val="20"/>
                <w:color w:val="auto"/>
              </w:rPr>
            </w:pPr>
            <w:r>
              <w:rPr>
                <w:rFonts w:ascii="Arial" w:cs="Arial" w:eastAsia="Arial" w:hAnsi="Arial"/>
                <w:sz w:val="14"/>
                <w:szCs w:val="14"/>
                <w:color w:val="auto"/>
              </w:rPr>
              <w:t>—</w:t>
            </w:r>
          </w:p>
        </w:tc>
        <w:tc>
          <w:tcPr>
            <w:tcW w:w="180" w:type="dxa"/>
            <w:vAlign w:val="bottom"/>
            <w:shd w:val="clear" w:color="auto" w:fill="ACACAC"/>
          </w:tcPr>
          <w:p>
            <w:pPr>
              <w:spacing w:after="0"/>
              <w:rPr>
                <w:sz w:val="22"/>
                <w:szCs w:val="22"/>
                <w:color w:val="auto"/>
              </w:rPr>
            </w:pPr>
          </w:p>
        </w:tc>
        <w:tc>
          <w:tcPr>
            <w:tcW w:w="1180" w:type="dxa"/>
            <w:vAlign w:val="bottom"/>
            <w:shd w:val="clear" w:color="auto" w:fill="ACACAC"/>
          </w:tcPr>
          <w:p>
            <w:pPr>
              <w:ind w:left="860"/>
              <w:spacing w:after="0"/>
              <w:rPr>
                <w:sz w:val="20"/>
                <w:szCs w:val="20"/>
                <w:color w:val="auto"/>
              </w:rPr>
            </w:pPr>
            <w:r>
              <w:rPr>
                <w:rFonts w:ascii="Arial" w:cs="Arial" w:eastAsia="Arial" w:hAnsi="Arial"/>
                <w:sz w:val="14"/>
                <w:szCs w:val="14"/>
                <w:color w:val="auto"/>
              </w:rPr>
              <w:t>—</w:t>
            </w:r>
          </w:p>
        </w:tc>
        <w:tc>
          <w:tcPr>
            <w:tcW w:w="160" w:type="dxa"/>
            <w:vAlign w:val="bottom"/>
            <w:shd w:val="clear" w:color="auto" w:fill="ACACAC"/>
          </w:tcPr>
          <w:p>
            <w:pPr>
              <w:spacing w:after="0"/>
              <w:rPr>
                <w:sz w:val="22"/>
                <w:szCs w:val="22"/>
                <w:color w:val="auto"/>
              </w:rPr>
            </w:pPr>
          </w:p>
        </w:tc>
        <w:tc>
          <w:tcPr>
            <w:tcW w:w="1180" w:type="dxa"/>
            <w:vAlign w:val="bottom"/>
            <w:shd w:val="clear" w:color="auto" w:fill="ACACAC"/>
          </w:tcPr>
          <w:p>
            <w:pPr>
              <w:jc w:val="right"/>
              <w:ind w:right="88"/>
              <w:spacing w:after="0"/>
              <w:rPr>
                <w:sz w:val="20"/>
                <w:szCs w:val="20"/>
                <w:color w:val="auto"/>
              </w:rPr>
            </w:pPr>
            <w:r>
              <w:rPr>
                <w:rFonts w:ascii="Arial" w:cs="Arial" w:eastAsia="Arial" w:hAnsi="Arial"/>
                <w:sz w:val="14"/>
                <w:szCs w:val="14"/>
                <w:color w:val="auto"/>
              </w:rPr>
              <w:t>—</w:t>
            </w:r>
          </w:p>
        </w:tc>
        <w:tc>
          <w:tcPr>
            <w:tcW w:w="300" w:type="dxa"/>
            <w:vAlign w:val="bottom"/>
            <w:shd w:val="clear" w:color="auto" w:fill="ACACAC"/>
          </w:tcPr>
          <w:p>
            <w:pPr>
              <w:spacing w:after="0"/>
              <w:rPr>
                <w:sz w:val="22"/>
                <w:szCs w:val="22"/>
                <w:color w:val="auto"/>
              </w:rPr>
            </w:pPr>
          </w:p>
        </w:tc>
        <w:tc>
          <w:tcPr>
            <w:tcW w:w="880" w:type="dxa"/>
            <w:vAlign w:val="bottom"/>
            <w:shd w:val="clear" w:color="auto" w:fill="ACACAC"/>
          </w:tcPr>
          <w:p>
            <w:pPr>
              <w:jc w:val="right"/>
              <w:spacing w:after="0"/>
              <w:rPr>
                <w:sz w:val="20"/>
                <w:szCs w:val="20"/>
                <w:color w:val="auto"/>
              </w:rPr>
            </w:pPr>
            <w:r>
              <w:rPr>
                <w:rFonts w:ascii="Arial" w:cs="Arial" w:eastAsia="Arial" w:hAnsi="Arial"/>
                <w:sz w:val="14"/>
                <w:szCs w:val="14"/>
                <w:color w:val="auto"/>
              </w:rPr>
              <w:t>$211,813</w:t>
            </w:r>
          </w:p>
        </w:tc>
      </w:tr>
      <w:tr>
        <w:trPr>
          <w:trHeight w:val="264"/>
        </w:trPr>
        <w:tc>
          <w:tcPr>
            <w:tcW w:w="322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Disability</w:t>
            </w:r>
          </w:p>
        </w:tc>
        <w:tc>
          <w:tcPr>
            <w:tcW w:w="50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$211,813</w:t>
            </w:r>
          </w:p>
        </w:tc>
        <w:tc>
          <w:tcPr>
            <w:tcW w:w="28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w:t>
            </w:r>
          </w:p>
        </w:tc>
        <w:tc>
          <w:tcPr>
            <w:tcW w:w="18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ind w:left="860"/>
              <w:spacing w:after="0"/>
              <w:rPr>
                <w:sz w:val="20"/>
                <w:szCs w:val="20"/>
                <w:color w:val="auto"/>
              </w:rPr>
            </w:pPr>
            <w:r>
              <w:rPr>
                <w:rFonts w:ascii="Arial" w:cs="Arial" w:eastAsia="Arial" w:hAnsi="Arial"/>
                <w:sz w:val="14"/>
                <w:szCs w:val="14"/>
                <w:color w:val="auto"/>
              </w:rPr>
              <w:t>—</w:t>
            </w:r>
          </w:p>
        </w:tc>
        <w:tc>
          <w:tcPr>
            <w:tcW w:w="16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w:t>
            </w:r>
          </w:p>
        </w:tc>
        <w:tc>
          <w:tcPr>
            <w:tcW w:w="30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$211,813</w:t>
            </w:r>
          </w:p>
        </w:tc>
      </w:tr>
      <w:tr>
        <w:trPr>
          <w:trHeight w:val="270"/>
        </w:trPr>
        <w:tc>
          <w:tcPr>
            <w:tcW w:w="3220" w:type="dxa"/>
            <w:vAlign w:val="bottom"/>
            <w:shd w:val="clear" w:color="auto" w:fill="ACACAC"/>
          </w:tcPr>
          <w:p>
            <w:pPr>
              <w:ind w:left="40"/>
              <w:spacing w:after="0"/>
              <w:rPr>
                <w:sz w:val="20"/>
                <w:szCs w:val="20"/>
                <w:color w:val="auto"/>
              </w:rPr>
            </w:pPr>
            <w:r>
              <w:rPr>
                <w:rFonts w:ascii="Arial" w:cs="Arial" w:eastAsia="Arial" w:hAnsi="Arial"/>
                <w:sz w:val="14"/>
                <w:szCs w:val="14"/>
                <w:color w:val="auto"/>
              </w:rPr>
              <w:t>Donald J. Clark</w:t>
            </w:r>
          </w:p>
        </w:tc>
        <w:tc>
          <w:tcPr>
            <w:tcW w:w="500" w:type="dxa"/>
            <w:vAlign w:val="bottom"/>
            <w:shd w:val="clear" w:color="auto" w:fill="ACACAC"/>
          </w:tcPr>
          <w:p>
            <w:pPr>
              <w:spacing w:after="0"/>
              <w:rPr>
                <w:sz w:val="23"/>
                <w:szCs w:val="23"/>
                <w:color w:val="auto"/>
              </w:rPr>
            </w:pPr>
          </w:p>
        </w:tc>
        <w:tc>
          <w:tcPr>
            <w:tcW w:w="1240" w:type="dxa"/>
            <w:vAlign w:val="bottom"/>
            <w:shd w:val="clear" w:color="auto" w:fill="ACACAC"/>
          </w:tcPr>
          <w:p>
            <w:pPr>
              <w:spacing w:after="0"/>
              <w:rPr>
                <w:sz w:val="23"/>
                <w:szCs w:val="23"/>
                <w:color w:val="auto"/>
              </w:rPr>
            </w:pPr>
          </w:p>
        </w:tc>
        <w:tc>
          <w:tcPr>
            <w:tcW w:w="120" w:type="dxa"/>
            <w:vAlign w:val="bottom"/>
            <w:shd w:val="clear" w:color="auto" w:fill="ACACAC"/>
          </w:tcPr>
          <w:p>
            <w:pPr>
              <w:spacing w:after="0"/>
              <w:rPr>
                <w:sz w:val="23"/>
                <w:szCs w:val="23"/>
                <w:color w:val="auto"/>
              </w:rPr>
            </w:pPr>
          </w:p>
        </w:tc>
        <w:tc>
          <w:tcPr>
            <w:tcW w:w="1040" w:type="dxa"/>
            <w:vAlign w:val="bottom"/>
            <w:shd w:val="clear" w:color="auto" w:fill="ACACAC"/>
          </w:tcPr>
          <w:p>
            <w:pPr>
              <w:spacing w:after="0"/>
              <w:rPr>
                <w:sz w:val="23"/>
                <w:szCs w:val="23"/>
                <w:color w:val="auto"/>
              </w:rPr>
            </w:pPr>
          </w:p>
        </w:tc>
        <w:tc>
          <w:tcPr>
            <w:tcW w:w="280" w:type="dxa"/>
            <w:vAlign w:val="bottom"/>
            <w:shd w:val="clear" w:color="auto" w:fill="ACACAC"/>
          </w:tcPr>
          <w:p>
            <w:pPr>
              <w:spacing w:after="0"/>
              <w:rPr>
                <w:sz w:val="23"/>
                <w:szCs w:val="23"/>
                <w:color w:val="auto"/>
              </w:rPr>
            </w:pPr>
          </w:p>
        </w:tc>
        <w:tc>
          <w:tcPr>
            <w:tcW w:w="1140" w:type="dxa"/>
            <w:vAlign w:val="bottom"/>
            <w:shd w:val="clear" w:color="auto" w:fill="ACACAC"/>
          </w:tcPr>
          <w:p>
            <w:pPr>
              <w:spacing w:after="0"/>
              <w:rPr>
                <w:sz w:val="23"/>
                <w:szCs w:val="23"/>
                <w:color w:val="auto"/>
              </w:rPr>
            </w:pPr>
          </w:p>
        </w:tc>
        <w:tc>
          <w:tcPr>
            <w:tcW w:w="180" w:type="dxa"/>
            <w:vAlign w:val="bottom"/>
            <w:shd w:val="clear" w:color="auto" w:fill="ACACAC"/>
          </w:tcPr>
          <w:p>
            <w:pPr>
              <w:spacing w:after="0"/>
              <w:rPr>
                <w:sz w:val="23"/>
                <w:szCs w:val="23"/>
                <w:color w:val="auto"/>
              </w:rPr>
            </w:pPr>
          </w:p>
        </w:tc>
        <w:tc>
          <w:tcPr>
            <w:tcW w:w="1180" w:type="dxa"/>
            <w:vAlign w:val="bottom"/>
            <w:shd w:val="clear" w:color="auto" w:fill="ACACAC"/>
          </w:tcPr>
          <w:p>
            <w:pPr>
              <w:spacing w:after="0"/>
              <w:rPr>
                <w:sz w:val="23"/>
                <w:szCs w:val="23"/>
                <w:color w:val="auto"/>
              </w:rPr>
            </w:pPr>
          </w:p>
        </w:tc>
        <w:tc>
          <w:tcPr>
            <w:tcW w:w="160" w:type="dxa"/>
            <w:vAlign w:val="bottom"/>
            <w:shd w:val="clear" w:color="auto" w:fill="ACACAC"/>
          </w:tcPr>
          <w:p>
            <w:pPr>
              <w:spacing w:after="0"/>
              <w:rPr>
                <w:sz w:val="23"/>
                <w:szCs w:val="23"/>
                <w:color w:val="auto"/>
              </w:rPr>
            </w:pPr>
          </w:p>
        </w:tc>
        <w:tc>
          <w:tcPr>
            <w:tcW w:w="1180" w:type="dxa"/>
            <w:vAlign w:val="bottom"/>
            <w:shd w:val="clear" w:color="auto" w:fill="ACACAC"/>
          </w:tcPr>
          <w:p>
            <w:pPr>
              <w:spacing w:after="0"/>
              <w:rPr>
                <w:sz w:val="23"/>
                <w:szCs w:val="23"/>
                <w:color w:val="auto"/>
              </w:rPr>
            </w:pPr>
          </w:p>
        </w:tc>
        <w:tc>
          <w:tcPr>
            <w:tcW w:w="300" w:type="dxa"/>
            <w:vAlign w:val="bottom"/>
            <w:shd w:val="clear" w:color="auto" w:fill="ACACAC"/>
          </w:tcPr>
          <w:p>
            <w:pPr>
              <w:spacing w:after="0"/>
              <w:rPr>
                <w:sz w:val="23"/>
                <w:szCs w:val="23"/>
                <w:color w:val="auto"/>
              </w:rPr>
            </w:pPr>
          </w:p>
        </w:tc>
        <w:tc>
          <w:tcPr>
            <w:tcW w:w="880" w:type="dxa"/>
            <w:vAlign w:val="bottom"/>
            <w:shd w:val="clear" w:color="auto" w:fill="ACACAC"/>
          </w:tcPr>
          <w:p>
            <w:pPr>
              <w:spacing w:after="0"/>
              <w:rPr>
                <w:sz w:val="23"/>
                <w:szCs w:val="23"/>
                <w:color w:val="auto"/>
              </w:rPr>
            </w:pPr>
          </w:p>
        </w:tc>
      </w:tr>
      <w:tr>
        <w:trPr>
          <w:trHeight w:val="270"/>
        </w:trPr>
        <w:tc>
          <w:tcPr>
            <w:tcW w:w="3220" w:type="dxa"/>
            <w:vAlign w:val="bottom"/>
          </w:tcPr>
          <w:p>
            <w:pPr>
              <w:ind w:left="40"/>
              <w:spacing w:after="0"/>
              <w:rPr>
                <w:sz w:val="20"/>
                <w:szCs w:val="20"/>
                <w:color w:val="auto"/>
              </w:rPr>
            </w:pPr>
            <w:r>
              <w:rPr>
                <w:rFonts w:ascii="Arial" w:cs="Arial" w:eastAsia="Arial" w:hAnsi="Arial"/>
                <w:sz w:val="14"/>
                <w:szCs w:val="14"/>
                <w:color w:val="auto"/>
              </w:rPr>
              <w:t>Retirement</w:t>
            </w:r>
            <w:r>
              <w:rPr>
                <w:rFonts w:ascii="Arial" w:cs="Arial" w:eastAsia="Arial" w:hAnsi="Arial"/>
                <w:sz w:val="17"/>
                <w:szCs w:val="17"/>
                <w:color w:val="auto"/>
                <w:vertAlign w:val="superscript"/>
              </w:rPr>
              <w:t>(6)</w:t>
            </w:r>
            <w:r>
              <w:rPr>
                <w:rFonts w:ascii="Arial" w:cs="Arial" w:eastAsia="Arial" w:hAnsi="Arial"/>
                <w:sz w:val="14"/>
                <w:szCs w:val="14"/>
                <w:color w:val="auto"/>
              </w:rPr>
              <w:t xml:space="preserve"> or Voluntary Separation</w:t>
            </w:r>
          </w:p>
        </w:tc>
        <w:tc>
          <w:tcPr>
            <w:tcW w:w="500" w:type="dxa"/>
            <w:vAlign w:val="bottom"/>
          </w:tcPr>
          <w:p>
            <w:pPr>
              <w:spacing w:after="0"/>
              <w:rPr>
                <w:sz w:val="23"/>
                <w:szCs w:val="23"/>
                <w:color w:val="auto"/>
              </w:rPr>
            </w:pPr>
          </w:p>
        </w:tc>
        <w:tc>
          <w:tcPr>
            <w:tcW w:w="1240" w:type="dxa"/>
            <w:vAlign w:val="bottom"/>
          </w:tcPr>
          <w:p>
            <w:pPr>
              <w:jc w:val="right"/>
              <w:ind w:right="168"/>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3"/>
                <w:szCs w:val="23"/>
                <w:color w:val="auto"/>
              </w:rPr>
            </w:pPr>
          </w:p>
        </w:tc>
        <w:tc>
          <w:tcPr>
            <w:tcW w:w="104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23"/>
                <w:szCs w:val="23"/>
                <w:color w:val="auto"/>
              </w:rPr>
            </w:pPr>
          </w:p>
        </w:tc>
        <w:tc>
          <w:tcPr>
            <w:tcW w:w="114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3"/>
                <w:szCs w:val="23"/>
                <w:color w:val="auto"/>
              </w:rPr>
            </w:pPr>
          </w:p>
        </w:tc>
        <w:tc>
          <w:tcPr>
            <w:tcW w:w="1180" w:type="dxa"/>
            <w:vAlign w:val="bottom"/>
          </w:tcPr>
          <w:p>
            <w:pPr>
              <w:ind w:left="86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3"/>
                <w:szCs w:val="23"/>
                <w:color w:val="auto"/>
              </w:rPr>
            </w:pPr>
          </w:p>
        </w:tc>
        <w:tc>
          <w:tcPr>
            <w:tcW w:w="118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$4,574,055</w:t>
            </w:r>
          </w:p>
        </w:tc>
      </w:tr>
      <w:tr>
        <w:trPr>
          <w:trHeight w:val="270"/>
        </w:trPr>
        <w:tc>
          <w:tcPr>
            <w:tcW w:w="3220" w:type="dxa"/>
            <w:vAlign w:val="bottom"/>
            <w:shd w:val="clear" w:color="auto" w:fill="ACACAC"/>
          </w:tcPr>
          <w:p>
            <w:pPr>
              <w:ind w:left="40"/>
              <w:spacing w:after="0"/>
              <w:rPr>
                <w:sz w:val="20"/>
                <w:szCs w:val="20"/>
                <w:color w:val="auto"/>
              </w:rPr>
            </w:pPr>
            <w:r>
              <w:rPr>
                <w:rFonts w:ascii="Arial" w:cs="Arial" w:eastAsia="Arial" w:hAnsi="Arial"/>
                <w:sz w:val="14"/>
                <w:szCs w:val="14"/>
                <w:color w:val="auto"/>
              </w:rPr>
              <w:t>Involuntary Termination for Cause</w:t>
            </w:r>
          </w:p>
        </w:tc>
        <w:tc>
          <w:tcPr>
            <w:tcW w:w="500" w:type="dxa"/>
            <w:vAlign w:val="bottom"/>
            <w:shd w:val="clear" w:color="auto" w:fill="ACACAC"/>
          </w:tcPr>
          <w:p>
            <w:pPr>
              <w:spacing w:after="0"/>
              <w:rPr>
                <w:sz w:val="23"/>
                <w:szCs w:val="23"/>
                <w:color w:val="auto"/>
              </w:rPr>
            </w:pPr>
          </w:p>
        </w:tc>
        <w:tc>
          <w:tcPr>
            <w:tcW w:w="1240" w:type="dxa"/>
            <w:vAlign w:val="bottom"/>
            <w:shd w:val="clear" w:color="auto" w:fill="ACACAC"/>
          </w:tcPr>
          <w:p>
            <w:pPr>
              <w:jc w:val="right"/>
              <w:ind w:right="168"/>
              <w:spacing w:after="0"/>
              <w:rPr>
                <w:sz w:val="20"/>
                <w:szCs w:val="20"/>
                <w:color w:val="auto"/>
              </w:rPr>
            </w:pPr>
            <w:r>
              <w:rPr>
                <w:rFonts w:ascii="Arial" w:cs="Arial" w:eastAsia="Arial" w:hAnsi="Arial"/>
                <w:sz w:val="14"/>
                <w:szCs w:val="14"/>
                <w:color w:val="auto"/>
              </w:rPr>
              <w:t>—</w:t>
            </w:r>
          </w:p>
        </w:tc>
        <w:tc>
          <w:tcPr>
            <w:tcW w:w="120" w:type="dxa"/>
            <w:vAlign w:val="bottom"/>
            <w:shd w:val="clear" w:color="auto" w:fill="ACACAC"/>
          </w:tcPr>
          <w:p>
            <w:pPr>
              <w:spacing w:after="0"/>
              <w:rPr>
                <w:sz w:val="23"/>
                <w:szCs w:val="23"/>
                <w:color w:val="auto"/>
              </w:rPr>
            </w:pPr>
          </w:p>
        </w:tc>
        <w:tc>
          <w:tcPr>
            <w:tcW w:w="1040" w:type="dxa"/>
            <w:vAlign w:val="bottom"/>
            <w:shd w:val="clear" w:color="auto" w:fill="ACACAC"/>
          </w:tcPr>
          <w:p>
            <w:pPr>
              <w:jc w:val="right"/>
              <w:ind w:right="48"/>
              <w:spacing w:after="0"/>
              <w:rPr>
                <w:sz w:val="20"/>
                <w:szCs w:val="20"/>
                <w:color w:val="auto"/>
              </w:rPr>
            </w:pPr>
            <w:r>
              <w:rPr>
                <w:rFonts w:ascii="Arial" w:cs="Arial" w:eastAsia="Arial" w:hAnsi="Arial"/>
                <w:sz w:val="14"/>
                <w:szCs w:val="14"/>
                <w:color w:val="auto"/>
              </w:rPr>
              <w:t>—</w:t>
            </w:r>
          </w:p>
        </w:tc>
        <w:tc>
          <w:tcPr>
            <w:tcW w:w="280" w:type="dxa"/>
            <w:vAlign w:val="bottom"/>
            <w:shd w:val="clear" w:color="auto" w:fill="ACACAC"/>
          </w:tcPr>
          <w:p>
            <w:pPr>
              <w:spacing w:after="0"/>
              <w:rPr>
                <w:sz w:val="23"/>
                <w:szCs w:val="23"/>
                <w:color w:val="auto"/>
              </w:rPr>
            </w:pPr>
          </w:p>
        </w:tc>
        <w:tc>
          <w:tcPr>
            <w:tcW w:w="1140" w:type="dxa"/>
            <w:vAlign w:val="bottom"/>
            <w:shd w:val="clear" w:color="auto" w:fill="ACACAC"/>
          </w:tcPr>
          <w:p>
            <w:pPr>
              <w:jc w:val="right"/>
              <w:ind w:right="88"/>
              <w:spacing w:after="0"/>
              <w:rPr>
                <w:sz w:val="20"/>
                <w:szCs w:val="20"/>
                <w:color w:val="auto"/>
              </w:rPr>
            </w:pPr>
            <w:r>
              <w:rPr>
                <w:rFonts w:ascii="Arial" w:cs="Arial" w:eastAsia="Arial" w:hAnsi="Arial"/>
                <w:sz w:val="14"/>
                <w:szCs w:val="14"/>
                <w:color w:val="auto"/>
              </w:rPr>
              <w:t>—</w:t>
            </w:r>
          </w:p>
        </w:tc>
        <w:tc>
          <w:tcPr>
            <w:tcW w:w="180" w:type="dxa"/>
            <w:vAlign w:val="bottom"/>
            <w:shd w:val="clear" w:color="auto" w:fill="ACACAC"/>
          </w:tcPr>
          <w:p>
            <w:pPr>
              <w:spacing w:after="0"/>
              <w:rPr>
                <w:sz w:val="23"/>
                <w:szCs w:val="23"/>
                <w:color w:val="auto"/>
              </w:rPr>
            </w:pPr>
          </w:p>
        </w:tc>
        <w:tc>
          <w:tcPr>
            <w:tcW w:w="1180" w:type="dxa"/>
            <w:vAlign w:val="bottom"/>
            <w:shd w:val="clear" w:color="auto" w:fill="ACACAC"/>
          </w:tcPr>
          <w:p>
            <w:pPr>
              <w:ind w:left="860"/>
              <w:spacing w:after="0"/>
              <w:rPr>
                <w:sz w:val="20"/>
                <w:szCs w:val="20"/>
                <w:color w:val="auto"/>
              </w:rPr>
            </w:pPr>
            <w:r>
              <w:rPr>
                <w:rFonts w:ascii="Arial" w:cs="Arial" w:eastAsia="Arial" w:hAnsi="Arial"/>
                <w:sz w:val="14"/>
                <w:szCs w:val="14"/>
                <w:color w:val="auto"/>
              </w:rPr>
              <w:t>—</w:t>
            </w:r>
          </w:p>
        </w:tc>
        <w:tc>
          <w:tcPr>
            <w:tcW w:w="160" w:type="dxa"/>
            <w:vAlign w:val="bottom"/>
            <w:shd w:val="clear" w:color="auto" w:fill="ACACAC"/>
          </w:tcPr>
          <w:p>
            <w:pPr>
              <w:spacing w:after="0"/>
              <w:rPr>
                <w:sz w:val="23"/>
                <w:szCs w:val="23"/>
                <w:color w:val="auto"/>
              </w:rPr>
            </w:pPr>
          </w:p>
        </w:tc>
        <w:tc>
          <w:tcPr>
            <w:tcW w:w="1180" w:type="dxa"/>
            <w:vAlign w:val="bottom"/>
            <w:shd w:val="clear" w:color="auto" w:fill="ACACAC"/>
          </w:tcPr>
          <w:p>
            <w:pPr>
              <w:jc w:val="right"/>
              <w:ind w:right="88"/>
              <w:spacing w:after="0"/>
              <w:rPr>
                <w:sz w:val="20"/>
                <w:szCs w:val="20"/>
                <w:color w:val="auto"/>
              </w:rPr>
            </w:pPr>
            <w:r>
              <w:rPr>
                <w:rFonts w:ascii="Arial" w:cs="Arial" w:eastAsia="Arial" w:hAnsi="Arial"/>
                <w:sz w:val="14"/>
                <w:szCs w:val="14"/>
                <w:color w:val="auto"/>
              </w:rPr>
              <w:t>—</w:t>
            </w:r>
          </w:p>
        </w:tc>
        <w:tc>
          <w:tcPr>
            <w:tcW w:w="300" w:type="dxa"/>
            <w:vAlign w:val="bottom"/>
            <w:shd w:val="clear" w:color="auto" w:fill="ACACAC"/>
          </w:tcPr>
          <w:p>
            <w:pPr>
              <w:spacing w:after="0"/>
              <w:rPr>
                <w:sz w:val="23"/>
                <w:szCs w:val="23"/>
                <w:color w:val="auto"/>
              </w:rPr>
            </w:pPr>
          </w:p>
        </w:tc>
        <w:tc>
          <w:tcPr>
            <w:tcW w:w="880" w:type="dxa"/>
            <w:vAlign w:val="bottom"/>
            <w:shd w:val="clear" w:color="auto" w:fill="ACACAC"/>
          </w:tcPr>
          <w:p>
            <w:pPr>
              <w:jc w:val="right"/>
              <w:spacing w:after="0"/>
              <w:rPr>
                <w:sz w:val="20"/>
                <w:szCs w:val="20"/>
                <w:color w:val="auto"/>
              </w:rPr>
            </w:pPr>
            <w:r>
              <w:rPr>
                <w:rFonts w:ascii="Arial" w:cs="Arial" w:eastAsia="Arial" w:hAnsi="Arial"/>
                <w:sz w:val="14"/>
                <w:szCs w:val="14"/>
                <w:color w:val="auto"/>
              </w:rPr>
              <w:t>$4,574,055</w:t>
            </w:r>
          </w:p>
        </w:tc>
      </w:tr>
      <w:tr>
        <w:trPr>
          <w:trHeight w:val="270"/>
        </w:trPr>
        <w:tc>
          <w:tcPr>
            <w:tcW w:w="3220" w:type="dxa"/>
            <w:vAlign w:val="bottom"/>
          </w:tcPr>
          <w:p>
            <w:pPr>
              <w:ind w:left="40"/>
              <w:spacing w:after="0"/>
              <w:rPr>
                <w:sz w:val="20"/>
                <w:szCs w:val="20"/>
                <w:color w:val="auto"/>
              </w:rPr>
            </w:pPr>
            <w:r>
              <w:rPr>
                <w:rFonts w:ascii="Arial" w:cs="Arial" w:eastAsia="Arial" w:hAnsi="Arial"/>
                <w:sz w:val="14"/>
                <w:szCs w:val="14"/>
                <w:color w:val="auto"/>
              </w:rPr>
              <w:t>Change of Control:</w:t>
            </w:r>
            <w:r>
              <w:rPr>
                <w:rFonts w:ascii="Arial" w:cs="Arial" w:eastAsia="Arial" w:hAnsi="Arial"/>
                <w:sz w:val="17"/>
                <w:szCs w:val="17"/>
                <w:color w:val="auto"/>
                <w:vertAlign w:val="superscript"/>
              </w:rPr>
              <w:t>(7)</w:t>
            </w:r>
          </w:p>
        </w:tc>
        <w:tc>
          <w:tcPr>
            <w:tcW w:w="50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880" w:type="dxa"/>
            <w:vAlign w:val="bottom"/>
          </w:tcPr>
          <w:p>
            <w:pPr>
              <w:jc w:val="right"/>
              <w:ind w:right="28"/>
              <w:spacing w:after="0"/>
              <w:rPr>
                <w:sz w:val="20"/>
                <w:szCs w:val="20"/>
                <w:color w:val="auto"/>
              </w:rPr>
            </w:pPr>
            <w:r>
              <w:rPr>
                <w:rFonts w:ascii="Arial" w:cs="Arial" w:eastAsia="Arial" w:hAnsi="Arial"/>
                <w:sz w:val="14"/>
                <w:szCs w:val="14"/>
                <w:color w:val="auto"/>
              </w:rPr>
              <w:t>—</w:t>
            </w:r>
          </w:p>
        </w:tc>
      </w:tr>
      <w:tr>
        <w:trPr>
          <w:trHeight w:val="270"/>
        </w:trPr>
        <w:tc>
          <w:tcPr>
            <w:tcW w:w="3220" w:type="dxa"/>
            <w:vAlign w:val="bottom"/>
            <w:shd w:val="clear" w:color="auto" w:fill="ACACAC"/>
          </w:tcPr>
          <w:p>
            <w:pPr>
              <w:ind w:left="180"/>
              <w:spacing w:after="0"/>
              <w:rPr>
                <w:sz w:val="20"/>
                <w:szCs w:val="20"/>
                <w:color w:val="auto"/>
              </w:rPr>
            </w:pPr>
            <w:r>
              <w:rPr>
                <w:rFonts w:ascii="Arial" w:cs="Arial" w:eastAsia="Arial" w:hAnsi="Arial"/>
                <w:sz w:val="14"/>
                <w:szCs w:val="14"/>
                <w:color w:val="auto"/>
              </w:rPr>
              <w:t>Without Termination</w:t>
            </w:r>
          </w:p>
        </w:tc>
        <w:tc>
          <w:tcPr>
            <w:tcW w:w="500" w:type="dxa"/>
            <w:vAlign w:val="bottom"/>
            <w:shd w:val="clear" w:color="auto" w:fill="ACACAC"/>
          </w:tcPr>
          <w:p>
            <w:pPr>
              <w:spacing w:after="0"/>
              <w:rPr>
                <w:sz w:val="23"/>
                <w:szCs w:val="23"/>
                <w:color w:val="auto"/>
              </w:rPr>
            </w:pPr>
          </w:p>
        </w:tc>
        <w:tc>
          <w:tcPr>
            <w:tcW w:w="1240" w:type="dxa"/>
            <w:vAlign w:val="bottom"/>
            <w:shd w:val="clear" w:color="auto" w:fill="ACACAC"/>
          </w:tcPr>
          <w:p>
            <w:pPr>
              <w:jc w:val="right"/>
              <w:ind w:right="168"/>
              <w:spacing w:after="0"/>
              <w:rPr>
                <w:sz w:val="20"/>
                <w:szCs w:val="20"/>
                <w:color w:val="auto"/>
              </w:rPr>
            </w:pPr>
            <w:r>
              <w:rPr>
                <w:rFonts w:ascii="Arial" w:cs="Arial" w:eastAsia="Arial" w:hAnsi="Arial"/>
                <w:sz w:val="14"/>
                <w:szCs w:val="14"/>
                <w:color w:val="auto"/>
              </w:rPr>
              <w:t>—</w:t>
            </w:r>
          </w:p>
        </w:tc>
        <w:tc>
          <w:tcPr>
            <w:tcW w:w="120" w:type="dxa"/>
            <w:vAlign w:val="bottom"/>
            <w:shd w:val="clear" w:color="auto" w:fill="ACACAC"/>
          </w:tcPr>
          <w:p>
            <w:pPr>
              <w:spacing w:after="0"/>
              <w:rPr>
                <w:sz w:val="23"/>
                <w:szCs w:val="23"/>
                <w:color w:val="auto"/>
              </w:rPr>
            </w:pPr>
          </w:p>
        </w:tc>
        <w:tc>
          <w:tcPr>
            <w:tcW w:w="1040" w:type="dxa"/>
            <w:vAlign w:val="bottom"/>
            <w:shd w:val="clear" w:color="auto" w:fill="ACACAC"/>
          </w:tcPr>
          <w:p>
            <w:pPr>
              <w:jc w:val="right"/>
              <w:ind w:right="48"/>
              <w:spacing w:after="0"/>
              <w:rPr>
                <w:sz w:val="20"/>
                <w:szCs w:val="20"/>
                <w:color w:val="auto"/>
              </w:rPr>
            </w:pPr>
            <w:r>
              <w:rPr>
                <w:rFonts w:ascii="Arial" w:cs="Arial" w:eastAsia="Arial" w:hAnsi="Arial"/>
                <w:sz w:val="14"/>
                <w:szCs w:val="14"/>
                <w:color w:val="auto"/>
              </w:rPr>
              <w:t>—</w:t>
            </w:r>
          </w:p>
        </w:tc>
        <w:tc>
          <w:tcPr>
            <w:tcW w:w="280" w:type="dxa"/>
            <w:vAlign w:val="bottom"/>
            <w:shd w:val="clear" w:color="auto" w:fill="ACACAC"/>
          </w:tcPr>
          <w:p>
            <w:pPr>
              <w:spacing w:after="0"/>
              <w:rPr>
                <w:sz w:val="23"/>
                <w:szCs w:val="23"/>
                <w:color w:val="auto"/>
              </w:rPr>
            </w:pPr>
          </w:p>
        </w:tc>
        <w:tc>
          <w:tcPr>
            <w:tcW w:w="1140" w:type="dxa"/>
            <w:vAlign w:val="bottom"/>
            <w:shd w:val="clear" w:color="auto" w:fill="ACACAC"/>
          </w:tcPr>
          <w:p>
            <w:pPr>
              <w:jc w:val="right"/>
              <w:ind w:right="88"/>
              <w:spacing w:after="0"/>
              <w:rPr>
                <w:sz w:val="20"/>
                <w:szCs w:val="20"/>
                <w:color w:val="auto"/>
              </w:rPr>
            </w:pPr>
            <w:r>
              <w:rPr>
                <w:rFonts w:ascii="Arial" w:cs="Arial" w:eastAsia="Arial" w:hAnsi="Arial"/>
                <w:sz w:val="14"/>
                <w:szCs w:val="14"/>
                <w:color w:val="auto"/>
              </w:rPr>
              <w:t>—</w:t>
            </w:r>
          </w:p>
        </w:tc>
        <w:tc>
          <w:tcPr>
            <w:tcW w:w="180" w:type="dxa"/>
            <w:vAlign w:val="bottom"/>
            <w:shd w:val="clear" w:color="auto" w:fill="ACACAC"/>
          </w:tcPr>
          <w:p>
            <w:pPr>
              <w:spacing w:after="0"/>
              <w:rPr>
                <w:sz w:val="23"/>
                <w:szCs w:val="23"/>
                <w:color w:val="auto"/>
              </w:rPr>
            </w:pPr>
          </w:p>
        </w:tc>
        <w:tc>
          <w:tcPr>
            <w:tcW w:w="1180" w:type="dxa"/>
            <w:vAlign w:val="bottom"/>
            <w:shd w:val="clear" w:color="auto" w:fill="ACACAC"/>
          </w:tcPr>
          <w:p>
            <w:pPr>
              <w:ind w:left="860"/>
              <w:spacing w:after="0"/>
              <w:rPr>
                <w:sz w:val="20"/>
                <w:szCs w:val="20"/>
                <w:color w:val="auto"/>
              </w:rPr>
            </w:pPr>
            <w:r>
              <w:rPr>
                <w:rFonts w:ascii="Arial" w:cs="Arial" w:eastAsia="Arial" w:hAnsi="Arial"/>
                <w:sz w:val="14"/>
                <w:szCs w:val="14"/>
                <w:color w:val="auto"/>
              </w:rPr>
              <w:t>—</w:t>
            </w:r>
          </w:p>
        </w:tc>
        <w:tc>
          <w:tcPr>
            <w:tcW w:w="160" w:type="dxa"/>
            <w:vAlign w:val="bottom"/>
            <w:shd w:val="clear" w:color="auto" w:fill="ACACAC"/>
          </w:tcPr>
          <w:p>
            <w:pPr>
              <w:spacing w:after="0"/>
              <w:rPr>
                <w:sz w:val="23"/>
                <w:szCs w:val="23"/>
                <w:color w:val="auto"/>
              </w:rPr>
            </w:pPr>
          </w:p>
        </w:tc>
        <w:tc>
          <w:tcPr>
            <w:tcW w:w="1180" w:type="dxa"/>
            <w:vAlign w:val="bottom"/>
            <w:shd w:val="clear" w:color="auto" w:fill="ACACAC"/>
          </w:tcPr>
          <w:p>
            <w:pPr>
              <w:jc w:val="right"/>
              <w:ind w:right="88"/>
              <w:spacing w:after="0"/>
              <w:rPr>
                <w:sz w:val="20"/>
                <w:szCs w:val="20"/>
                <w:color w:val="auto"/>
              </w:rPr>
            </w:pPr>
            <w:r>
              <w:rPr>
                <w:rFonts w:ascii="Arial" w:cs="Arial" w:eastAsia="Arial" w:hAnsi="Arial"/>
                <w:sz w:val="14"/>
                <w:szCs w:val="14"/>
                <w:color w:val="auto"/>
              </w:rPr>
              <w:t>—</w:t>
            </w:r>
          </w:p>
        </w:tc>
        <w:tc>
          <w:tcPr>
            <w:tcW w:w="300" w:type="dxa"/>
            <w:vAlign w:val="bottom"/>
            <w:shd w:val="clear" w:color="auto" w:fill="ACACAC"/>
          </w:tcPr>
          <w:p>
            <w:pPr>
              <w:spacing w:after="0"/>
              <w:rPr>
                <w:sz w:val="23"/>
                <w:szCs w:val="23"/>
                <w:color w:val="auto"/>
              </w:rPr>
            </w:pPr>
          </w:p>
        </w:tc>
        <w:tc>
          <w:tcPr>
            <w:tcW w:w="880" w:type="dxa"/>
            <w:vAlign w:val="bottom"/>
            <w:shd w:val="clear" w:color="auto" w:fill="ACACAC"/>
          </w:tcPr>
          <w:p>
            <w:pPr>
              <w:jc w:val="right"/>
              <w:ind w:right="28"/>
              <w:spacing w:after="0"/>
              <w:rPr>
                <w:sz w:val="20"/>
                <w:szCs w:val="20"/>
                <w:color w:val="auto"/>
              </w:rPr>
            </w:pPr>
            <w:r>
              <w:rPr>
                <w:rFonts w:ascii="Arial" w:cs="Arial" w:eastAsia="Arial" w:hAnsi="Arial"/>
                <w:sz w:val="14"/>
                <w:szCs w:val="14"/>
                <w:color w:val="auto"/>
              </w:rPr>
              <w:t>—</w:t>
            </w:r>
          </w:p>
        </w:tc>
      </w:tr>
      <w:tr>
        <w:trPr>
          <w:trHeight w:val="264"/>
        </w:trPr>
        <w:tc>
          <w:tcPr>
            <w:tcW w:w="3220" w:type="dxa"/>
            <w:vAlign w:val="bottom"/>
          </w:tcPr>
          <w:p>
            <w:pPr>
              <w:ind w:left="180"/>
              <w:spacing w:after="0"/>
              <w:rPr>
                <w:sz w:val="20"/>
                <w:szCs w:val="20"/>
                <w:color w:val="auto"/>
              </w:rPr>
            </w:pPr>
            <w:r>
              <w:rPr>
                <w:rFonts w:ascii="Arial" w:cs="Arial" w:eastAsia="Arial" w:hAnsi="Arial"/>
                <w:sz w:val="14"/>
                <w:szCs w:val="14"/>
                <w:color w:val="auto"/>
              </w:rPr>
              <w:t>Termination WIthout Cause/Good Reason</w:t>
            </w:r>
          </w:p>
        </w:tc>
        <w:tc>
          <w:tcPr>
            <w:tcW w:w="500" w:type="dxa"/>
            <w:vAlign w:val="bottom"/>
          </w:tcPr>
          <w:p>
            <w:pPr>
              <w:spacing w:after="0"/>
              <w:rPr>
                <w:sz w:val="22"/>
                <w:szCs w:val="22"/>
                <w:color w:val="auto"/>
              </w:rPr>
            </w:pPr>
          </w:p>
        </w:tc>
        <w:tc>
          <w:tcPr>
            <w:tcW w:w="1240" w:type="dxa"/>
            <w:vAlign w:val="bottom"/>
          </w:tcPr>
          <w:p>
            <w:pPr>
              <w:jc w:val="right"/>
              <w:ind w:right="68"/>
              <w:spacing w:after="0"/>
              <w:rPr>
                <w:sz w:val="20"/>
                <w:szCs w:val="20"/>
                <w:color w:val="auto"/>
              </w:rPr>
            </w:pPr>
            <w:r>
              <w:rPr>
                <w:rFonts w:ascii="Arial" w:cs="Arial" w:eastAsia="Arial" w:hAnsi="Arial"/>
                <w:sz w:val="14"/>
                <w:szCs w:val="14"/>
                <w:color w:val="auto"/>
              </w:rPr>
              <w:t>$12,008,609</w:t>
            </w:r>
          </w:p>
        </w:tc>
        <w:tc>
          <w:tcPr>
            <w:tcW w:w="120" w:type="dxa"/>
            <w:vAlign w:val="bottom"/>
          </w:tcPr>
          <w:p>
            <w:pPr>
              <w:spacing w:after="0"/>
              <w:rPr>
                <w:sz w:val="22"/>
                <w:szCs w:val="22"/>
                <w:color w:val="auto"/>
              </w:rPr>
            </w:pPr>
          </w:p>
        </w:tc>
        <w:tc>
          <w:tcPr>
            <w:tcW w:w="104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22"/>
                <w:szCs w:val="22"/>
                <w:color w:val="auto"/>
              </w:rPr>
            </w:pPr>
          </w:p>
        </w:tc>
        <w:tc>
          <w:tcPr>
            <w:tcW w:w="114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2"/>
                <w:szCs w:val="22"/>
                <w:color w:val="auto"/>
              </w:rPr>
            </w:pPr>
          </w:p>
        </w:tc>
        <w:tc>
          <w:tcPr>
            <w:tcW w:w="1180" w:type="dxa"/>
            <w:vAlign w:val="bottom"/>
          </w:tcPr>
          <w:p>
            <w:pPr>
              <w:ind w:left="86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118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22"/>
                <w:szCs w:val="22"/>
                <w:color w:val="auto"/>
              </w:rPr>
            </w:pPr>
          </w:p>
        </w:tc>
        <w:tc>
          <w:tcPr>
            <w:tcW w:w="880" w:type="dxa"/>
            <w:vAlign w:val="bottom"/>
          </w:tcPr>
          <w:p>
            <w:pPr>
              <w:jc w:val="right"/>
              <w:spacing w:after="0"/>
              <w:rPr>
                <w:sz w:val="20"/>
                <w:szCs w:val="20"/>
                <w:color w:val="auto"/>
              </w:rPr>
            </w:pPr>
            <w:r>
              <w:rPr>
                <w:rFonts w:ascii="Arial" w:cs="Arial" w:eastAsia="Arial" w:hAnsi="Arial"/>
                <w:sz w:val="13"/>
                <w:szCs w:val="13"/>
                <w:color w:val="auto"/>
              </w:rPr>
              <w:t>$12,008,609</w:t>
            </w:r>
          </w:p>
        </w:tc>
      </w:tr>
      <w:tr>
        <w:trPr>
          <w:trHeight w:val="276"/>
        </w:trPr>
        <w:tc>
          <w:tcPr>
            <w:tcW w:w="3220" w:type="dxa"/>
            <w:vAlign w:val="bottom"/>
            <w:shd w:val="clear" w:color="auto" w:fill="ACACAC"/>
          </w:tcPr>
          <w:p>
            <w:pPr>
              <w:ind w:left="40"/>
              <w:spacing w:after="0"/>
              <w:rPr>
                <w:sz w:val="20"/>
                <w:szCs w:val="20"/>
                <w:color w:val="auto"/>
              </w:rPr>
            </w:pPr>
            <w:r>
              <w:rPr>
                <w:rFonts w:ascii="Arial" w:cs="Arial" w:eastAsia="Arial" w:hAnsi="Arial"/>
                <w:sz w:val="14"/>
                <w:szCs w:val="14"/>
                <w:color w:val="auto"/>
              </w:rPr>
              <w:t>Death</w:t>
            </w:r>
          </w:p>
        </w:tc>
        <w:tc>
          <w:tcPr>
            <w:tcW w:w="500" w:type="dxa"/>
            <w:vAlign w:val="bottom"/>
            <w:shd w:val="clear" w:color="auto" w:fill="ACACAC"/>
          </w:tcPr>
          <w:p>
            <w:pPr>
              <w:spacing w:after="0"/>
              <w:rPr>
                <w:sz w:val="24"/>
                <w:szCs w:val="24"/>
                <w:color w:val="auto"/>
              </w:rPr>
            </w:pPr>
          </w:p>
        </w:tc>
        <w:tc>
          <w:tcPr>
            <w:tcW w:w="1240" w:type="dxa"/>
            <w:vAlign w:val="bottom"/>
            <w:shd w:val="clear" w:color="auto" w:fill="ACACAC"/>
          </w:tcPr>
          <w:p>
            <w:pPr>
              <w:jc w:val="right"/>
              <w:ind w:right="168"/>
              <w:spacing w:after="0"/>
              <w:rPr>
                <w:sz w:val="20"/>
                <w:szCs w:val="20"/>
                <w:color w:val="auto"/>
              </w:rPr>
            </w:pPr>
            <w:r>
              <w:rPr>
                <w:rFonts w:ascii="Arial" w:cs="Arial" w:eastAsia="Arial" w:hAnsi="Arial"/>
                <w:sz w:val="14"/>
                <w:szCs w:val="14"/>
                <w:color w:val="auto"/>
              </w:rPr>
              <w:t>—</w:t>
            </w:r>
          </w:p>
        </w:tc>
        <w:tc>
          <w:tcPr>
            <w:tcW w:w="120" w:type="dxa"/>
            <w:vAlign w:val="bottom"/>
            <w:shd w:val="clear" w:color="auto" w:fill="ACACAC"/>
          </w:tcPr>
          <w:p>
            <w:pPr>
              <w:spacing w:after="0"/>
              <w:rPr>
                <w:sz w:val="24"/>
                <w:szCs w:val="24"/>
                <w:color w:val="auto"/>
              </w:rPr>
            </w:pPr>
          </w:p>
        </w:tc>
        <w:tc>
          <w:tcPr>
            <w:tcW w:w="1040" w:type="dxa"/>
            <w:vAlign w:val="bottom"/>
            <w:shd w:val="clear" w:color="auto" w:fill="ACACAC"/>
          </w:tcPr>
          <w:p>
            <w:pPr>
              <w:jc w:val="right"/>
              <w:spacing w:after="0"/>
              <w:rPr>
                <w:sz w:val="20"/>
                <w:szCs w:val="20"/>
                <w:color w:val="auto"/>
              </w:rPr>
            </w:pPr>
            <w:r>
              <w:rPr>
                <w:rFonts w:ascii="Arial" w:cs="Arial" w:eastAsia="Arial" w:hAnsi="Arial"/>
                <w:sz w:val="14"/>
                <w:szCs w:val="14"/>
                <w:color w:val="auto"/>
              </w:rPr>
              <w:t>$4,574,055</w:t>
            </w:r>
          </w:p>
        </w:tc>
        <w:tc>
          <w:tcPr>
            <w:tcW w:w="280" w:type="dxa"/>
            <w:vAlign w:val="bottom"/>
            <w:shd w:val="clear" w:color="auto" w:fill="ACACAC"/>
          </w:tcPr>
          <w:p>
            <w:pPr>
              <w:spacing w:after="0"/>
              <w:rPr>
                <w:sz w:val="24"/>
                <w:szCs w:val="24"/>
                <w:color w:val="auto"/>
              </w:rPr>
            </w:pPr>
          </w:p>
        </w:tc>
        <w:tc>
          <w:tcPr>
            <w:tcW w:w="1140" w:type="dxa"/>
            <w:vAlign w:val="bottom"/>
            <w:shd w:val="clear" w:color="auto" w:fill="ACACAC"/>
          </w:tcPr>
          <w:p>
            <w:pPr>
              <w:jc w:val="right"/>
              <w:ind w:right="88"/>
              <w:spacing w:after="0"/>
              <w:rPr>
                <w:sz w:val="20"/>
                <w:szCs w:val="20"/>
                <w:color w:val="auto"/>
              </w:rPr>
            </w:pPr>
            <w:r>
              <w:rPr>
                <w:rFonts w:ascii="Arial" w:cs="Arial" w:eastAsia="Arial" w:hAnsi="Arial"/>
                <w:sz w:val="14"/>
                <w:szCs w:val="14"/>
                <w:color w:val="auto"/>
              </w:rPr>
              <w:t>—</w:t>
            </w:r>
          </w:p>
        </w:tc>
        <w:tc>
          <w:tcPr>
            <w:tcW w:w="180" w:type="dxa"/>
            <w:vAlign w:val="bottom"/>
            <w:shd w:val="clear" w:color="auto" w:fill="ACACAC"/>
          </w:tcPr>
          <w:p>
            <w:pPr>
              <w:spacing w:after="0"/>
              <w:rPr>
                <w:sz w:val="24"/>
                <w:szCs w:val="24"/>
                <w:color w:val="auto"/>
              </w:rPr>
            </w:pPr>
          </w:p>
        </w:tc>
        <w:tc>
          <w:tcPr>
            <w:tcW w:w="1180" w:type="dxa"/>
            <w:vAlign w:val="bottom"/>
            <w:shd w:val="clear" w:color="auto" w:fill="ACACAC"/>
          </w:tcPr>
          <w:p>
            <w:pPr>
              <w:ind w:left="860"/>
              <w:spacing w:after="0"/>
              <w:rPr>
                <w:sz w:val="20"/>
                <w:szCs w:val="20"/>
                <w:color w:val="auto"/>
              </w:rPr>
            </w:pPr>
            <w:r>
              <w:rPr>
                <w:rFonts w:ascii="Arial" w:cs="Arial" w:eastAsia="Arial" w:hAnsi="Arial"/>
                <w:sz w:val="14"/>
                <w:szCs w:val="14"/>
                <w:color w:val="auto"/>
              </w:rPr>
              <w:t>—</w:t>
            </w:r>
          </w:p>
        </w:tc>
        <w:tc>
          <w:tcPr>
            <w:tcW w:w="160" w:type="dxa"/>
            <w:vAlign w:val="bottom"/>
            <w:shd w:val="clear" w:color="auto" w:fill="ACACAC"/>
          </w:tcPr>
          <w:p>
            <w:pPr>
              <w:spacing w:after="0"/>
              <w:rPr>
                <w:sz w:val="24"/>
                <w:szCs w:val="24"/>
                <w:color w:val="auto"/>
              </w:rPr>
            </w:pPr>
          </w:p>
        </w:tc>
        <w:tc>
          <w:tcPr>
            <w:tcW w:w="1180" w:type="dxa"/>
            <w:vAlign w:val="bottom"/>
            <w:shd w:val="clear" w:color="auto" w:fill="ACACAC"/>
          </w:tcPr>
          <w:p>
            <w:pPr>
              <w:jc w:val="right"/>
              <w:ind w:right="88"/>
              <w:spacing w:after="0"/>
              <w:rPr>
                <w:sz w:val="20"/>
                <w:szCs w:val="20"/>
                <w:color w:val="auto"/>
              </w:rPr>
            </w:pPr>
            <w:r>
              <w:rPr>
                <w:rFonts w:ascii="Arial" w:cs="Arial" w:eastAsia="Arial" w:hAnsi="Arial"/>
                <w:sz w:val="14"/>
                <w:szCs w:val="14"/>
                <w:color w:val="auto"/>
              </w:rPr>
              <w:t>—</w:t>
            </w:r>
          </w:p>
        </w:tc>
        <w:tc>
          <w:tcPr>
            <w:tcW w:w="300" w:type="dxa"/>
            <w:vAlign w:val="bottom"/>
            <w:shd w:val="clear" w:color="auto" w:fill="ACACAC"/>
          </w:tcPr>
          <w:p>
            <w:pPr>
              <w:spacing w:after="0"/>
              <w:rPr>
                <w:sz w:val="24"/>
                <w:szCs w:val="24"/>
                <w:color w:val="auto"/>
              </w:rPr>
            </w:pPr>
          </w:p>
        </w:tc>
        <w:tc>
          <w:tcPr>
            <w:tcW w:w="880" w:type="dxa"/>
            <w:vAlign w:val="bottom"/>
            <w:shd w:val="clear" w:color="auto" w:fill="ACACAC"/>
          </w:tcPr>
          <w:p>
            <w:pPr>
              <w:jc w:val="right"/>
              <w:spacing w:after="0"/>
              <w:rPr>
                <w:sz w:val="20"/>
                <w:szCs w:val="20"/>
                <w:color w:val="auto"/>
              </w:rPr>
            </w:pPr>
            <w:r>
              <w:rPr>
                <w:rFonts w:ascii="Arial" w:cs="Arial" w:eastAsia="Arial" w:hAnsi="Arial"/>
                <w:sz w:val="14"/>
                <w:szCs w:val="14"/>
                <w:color w:val="auto"/>
              </w:rPr>
              <w:t>$4,574,055</w:t>
            </w:r>
          </w:p>
        </w:tc>
      </w:tr>
      <w:tr>
        <w:trPr>
          <w:trHeight w:val="264"/>
        </w:trPr>
        <w:tc>
          <w:tcPr>
            <w:tcW w:w="322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Disability</w:t>
            </w:r>
          </w:p>
        </w:tc>
        <w:tc>
          <w:tcPr>
            <w:tcW w:w="50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$4,574,055</w:t>
            </w:r>
          </w:p>
        </w:tc>
        <w:tc>
          <w:tcPr>
            <w:tcW w:w="28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w:t>
            </w:r>
          </w:p>
        </w:tc>
        <w:tc>
          <w:tcPr>
            <w:tcW w:w="18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ind w:left="860"/>
              <w:spacing w:after="0"/>
              <w:rPr>
                <w:sz w:val="20"/>
                <w:szCs w:val="20"/>
                <w:color w:val="auto"/>
              </w:rPr>
            </w:pPr>
            <w:r>
              <w:rPr>
                <w:rFonts w:ascii="Arial" w:cs="Arial" w:eastAsia="Arial" w:hAnsi="Arial"/>
                <w:sz w:val="14"/>
                <w:szCs w:val="14"/>
                <w:color w:val="auto"/>
              </w:rPr>
              <w:t>—</w:t>
            </w:r>
          </w:p>
        </w:tc>
        <w:tc>
          <w:tcPr>
            <w:tcW w:w="16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w:t>
            </w:r>
          </w:p>
        </w:tc>
        <w:tc>
          <w:tcPr>
            <w:tcW w:w="30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$4,574,055</w:t>
            </w:r>
          </w:p>
        </w:tc>
      </w:tr>
      <w:tr>
        <w:trPr>
          <w:trHeight w:val="270"/>
        </w:trPr>
        <w:tc>
          <w:tcPr>
            <w:tcW w:w="3220" w:type="dxa"/>
            <w:vAlign w:val="bottom"/>
            <w:shd w:val="clear" w:color="auto" w:fill="ACACAC"/>
          </w:tcPr>
          <w:p>
            <w:pPr>
              <w:ind w:left="40"/>
              <w:spacing w:after="0"/>
              <w:rPr>
                <w:sz w:val="20"/>
                <w:szCs w:val="20"/>
                <w:color w:val="auto"/>
              </w:rPr>
            </w:pPr>
            <w:r>
              <w:rPr>
                <w:rFonts w:ascii="Arial" w:cs="Arial" w:eastAsia="Arial" w:hAnsi="Arial"/>
                <w:sz w:val="14"/>
                <w:szCs w:val="14"/>
                <w:color w:val="auto"/>
              </w:rPr>
              <w:t>Brian D. Hazelton</w:t>
            </w:r>
          </w:p>
        </w:tc>
        <w:tc>
          <w:tcPr>
            <w:tcW w:w="500" w:type="dxa"/>
            <w:vAlign w:val="bottom"/>
            <w:shd w:val="clear" w:color="auto" w:fill="ACACAC"/>
          </w:tcPr>
          <w:p>
            <w:pPr>
              <w:spacing w:after="0"/>
              <w:rPr>
                <w:sz w:val="23"/>
                <w:szCs w:val="23"/>
                <w:color w:val="auto"/>
              </w:rPr>
            </w:pPr>
          </w:p>
        </w:tc>
        <w:tc>
          <w:tcPr>
            <w:tcW w:w="1240" w:type="dxa"/>
            <w:vAlign w:val="bottom"/>
            <w:shd w:val="clear" w:color="auto" w:fill="ACACAC"/>
          </w:tcPr>
          <w:p>
            <w:pPr>
              <w:spacing w:after="0"/>
              <w:rPr>
                <w:sz w:val="23"/>
                <w:szCs w:val="23"/>
                <w:color w:val="auto"/>
              </w:rPr>
            </w:pPr>
          </w:p>
        </w:tc>
        <w:tc>
          <w:tcPr>
            <w:tcW w:w="120" w:type="dxa"/>
            <w:vAlign w:val="bottom"/>
            <w:shd w:val="clear" w:color="auto" w:fill="ACACAC"/>
          </w:tcPr>
          <w:p>
            <w:pPr>
              <w:spacing w:after="0"/>
              <w:rPr>
                <w:sz w:val="23"/>
                <w:szCs w:val="23"/>
                <w:color w:val="auto"/>
              </w:rPr>
            </w:pPr>
          </w:p>
        </w:tc>
        <w:tc>
          <w:tcPr>
            <w:tcW w:w="1040" w:type="dxa"/>
            <w:vAlign w:val="bottom"/>
            <w:shd w:val="clear" w:color="auto" w:fill="ACACAC"/>
          </w:tcPr>
          <w:p>
            <w:pPr>
              <w:spacing w:after="0"/>
              <w:rPr>
                <w:sz w:val="23"/>
                <w:szCs w:val="23"/>
                <w:color w:val="auto"/>
              </w:rPr>
            </w:pPr>
          </w:p>
        </w:tc>
        <w:tc>
          <w:tcPr>
            <w:tcW w:w="280" w:type="dxa"/>
            <w:vAlign w:val="bottom"/>
            <w:shd w:val="clear" w:color="auto" w:fill="ACACAC"/>
          </w:tcPr>
          <w:p>
            <w:pPr>
              <w:spacing w:after="0"/>
              <w:rPr>
                <w:sz w:val="23"/>
                <w:szCs w:val="23"/>
                <w:color w:val="auto"/>
              </w:rPr>
            </w:pPr>
          </w:p>
        </w:tc>
        <w:tc>
          <w:tcPr>
            <w:tcW w:w="1140" w:type="dxa"/>
            <w:vAlign w:val="bottom"/>
            <w:shd w:val="clear" w:color="auto" w:fill="ACACAC"/>
          </w:tcPr>
          <w:p>
            <w:pPr>
              <w:spacing w:after="0"/>
              <w:rPr>
                <w:sz w:val="23"/>
                <w:szCs w:val="23"/>
                <w:color w:val="auto"/>
              </w:rPr>
            </w:pPr>
          </w:p>
        </w:tc>
        <w:tc>
          <w:tcPr>
            <w:tcW w:w="180" w:type="dxa"/>
            <w:vAlign w:val="bottom"/>
            <w:shd w:val="clear" w:color="auto" w:fill="ACACAC"/>
          </w:tcPr>
          <w:p>
            <w:pPr>
              <w:spacing w:after="0"/>
              <w:rPr>
                <w:sz w:val="23"/>
                <w:szCs w:val="23"/>
                <w:color w:val="auto"/>
              </w:rPr>
            </w:pPr>
          </w:p>
        </w:tc>
        <w:tc>
          <w:tcPr>
            <w:tcW w:w="1180" w:type="dxa"/>
            <w:vAlign w:val="bottom"/>
            <w:shd w:val="clear" w:color="auto" w:fill="ACACAC"/>
          </w:tcPr>
          <w:p>
            <w:pPr>
              <w:spacing w:after="0"/>
              <w:rPr>
                <w:sz w:val="23"/>
                <w:szCs w:val="23"/>
                <w:color w:val="auto"/>
              </w:rPr>
            </w:pPr>
          </w:p>
        </w:tc>
        <w:tc>
          <w:tcPr>
            <w:tcW w:w="160" w:type="dxa"/>
            <w:vAlign w:val="bottom"/>
            <w:shd w:val="clear" w:color="auto" w:fill="ACACAC"/>
          </w:tcPr>
          <w:p>
            <w:pPr>
              <w:spacing w:after="0"/>
              <w:rPr>
                <w:sz w:val="23"/>
                <w:szCs w:val="23"/>
                <w:color w:val="auto"/>
              </w:rPr>
            </w:pPr>
          </w:p>
        </w:tc>
        <w:tc>
          <w:tcPr>
            <w:tcW w:w="1180" w:type="dxa"/>
            <w:vAlign w:val="bottom"/>
            <w:shd w:val="clear" w:color="auto" w:fill="ACACAC"/>
          </w:tcPr>
          <w:p>
            <w:pPr>
              <w:spacing w:after="0"/>
              <w:rPr>
                <w:sz w:val="23"/>
                <w:szCs w:val="23"/>
                <w:color w:val="auto"/>
              </w:rPr>
            </w:pPr>
          </w:p>
        </w:tc>
        <w:tc>
          <w:tcPr>
            <w:tcW w:w="300" w:type="dxa"/>
            <w:vAlign w:val="bottom"/>
            <w:shd w:val="clear" w:color="auto" w:fill="ACACAC"/>
          </w:tcPr>
          <w:p>
            <w:pPr>
              <w:spacing w:after="0"/>
              <w:rPr>
                <w:sz w:val="23"/>
                <w:szCs w:val="23"/>
                <w:color w:val="auto"/>
              </w:rPr>
            </w:pPr>
          </w:p>
        </w:tc>
        <w:tc>
          <w:tcPr>
            <w:tcW w:w="880" w:type="dxa"/>
            <w:vAlign w:val="bottom"/>
            <w:shd w:val="clear" w:color="auto" w:fill="ACACAC"/>
          </w:tcPr>
          <w:p>
            <w:pPr>
              <w:spacing w:after="0"/>
              <w:rPr>
                <w:sz w:val="23"/>
                <w:szCs w:val="23"/>
                <w:color w:val="auto"/>
              </w:rPr>
            </w:pPr>
          </w:p>
        </w:tc>
      </w:tr>
      <w:tr>
        <w:trPr>
          <w:trHeight w:val="270"/>
        </w:trPr>
        <w:tc>
          <w:tcPr>
            <w:tcW w:w="3220" w:type="dxa"/>
            <w:vAlign w:val="bottom"/>
          </w:tcPr>
          <w:p>
            <w:pPr>
              <w:ind w:left="40"/>
              <w:spacing w:after="0"/>
              <w:rPr>
                <w:sz w:val="20"/>
                <w:szCs w:val="20"/>
                <w:color w:val="auto"/>
              </w:rPr>
            </w:pPr>
            <w:r>
              <w:rPr>
                <w:rFonts w:ascii="Arial" w:cs="Arial" w:eastAsia="Arial" w:hAnsi="Arial"/>
                <w:sz w:val="14"/>
                <w:szCs w:val="14"/>
                <w:color w:val="auto"/>
              </w:rPr>
              <w:t>Retirement</w:t>
            </w:r>
            <w:r>
              <w:rPr>
                <w:rFonts w:ascii="Arial" w:cs="Arial" w:eastAsia="Arial" w:hAnsi="Arial"/>
                <w:sz w:val="17"/>
                <w:szCs w:val="17"/>
                <w:color w:val="auto"/>
                <w:vertAlign w:val="superscript"/>
              </w:rPr>
              <w:t>(6)</w:t>
            </w:r>
            <w:r>
              <w:rPr>
                <w:rFonts w:ascii="Arial" w:cs="Arial" w:eastAsia="Arial" w:hAnsi="Arial"/>
                <w:sz w:val="14"/>
                <w:szCs w:val="14"/>
                <w:color w:val="auto"/>
              </w:rPr>
              <w:t xml:space="preserve"> or Voluntary Separation</w:t>
            </w:r>
          </w:p>
        </w:tc>
        <w:tc>
          <w:tcPr>
            <w:tcW w:w="500" w:type="dxa"/>
            <w:vAlign w:val="bottom"/>
          </w:tcPr>
          <w:p>
            <w:pPr>
              <w:spacing w:after="0"/>
              <w:rPr>
                <w:sz w:val="23"/>
                <w:szCs w:val="23"/>
                <w:color w:val="auto"/>
              </w:rPr>
            </w:pPr>
          </w:p>
        </w:tc>
        <w:tc>
          <w:tcPr>
            <w:tcW w:w="1240" w:type="dxa"/>
            <w:vAlign w:val="bottom"/>
          </w:tcPr>
          <w:p>
            <w:pPr>
              <w:jc w:val="right"/>
              <w:ind w:right="168"/>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3"/>
                <w:szCs w:val="23"/>
                <w:color w:val="auto"/>
              </w:rPr>
            </w:pPr>
          </w:p>
        </w:tc>
        <w:tc>
          <w:tcPr>
            <w:tcW w:w="104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23"/>
                <w:szCs w:val="23"/>
                <w:color w:val="auto"/>
              </w:rPr>
            </w:pPr>
          </w:p>
        </w:tc>
        <w:tc>
          <w:tcPr>
            <w:tcW w:w="114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3"/>
                <w:szCs w:val="23"/>
                <w:color w:val="auto"/>
              </w:rPr>
            </w:pPr>
          </w:p>
        </w:tc>
        <w:tc>
          <w:tcPr>
            <w:tcW w:w="1180" w:type="dxa"/>
            <w:vAlign w:val="bottom"/>
          </w:tcPr>
          <w:p>
            <w:pPr>
              <w:ind w:left="86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3"/>
                <w:szCs w:val="23"/>
                <w:color w:val="auto"/>
              </w:rPr>
            </w:pPr>
          </w:p>
        </w:tc>
        <w:tc>
          <w:tcPr>
            <w:tcW w:w="118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23"/>
                <w:szCs w:val="23"/>
                <w:color w:val="auto"/>
              </w:rPr>
            </w:pPr>
          </w:p>
        </w:tc>
        <w:tc>
          <w:tcPr>
            <w:tcW w:w="880" w:type="dxa"/>
            <w:vAlign w:val="bottom"/>
          </w:tcPr>
          <w:p>
            <w:pPr>
              <w:jc w:val="right"/>
              <w:ind w:right="28"/>
              <w:spacing w:after="0"/>
              <w:rPr>
                <w:sz w:val="20"/>
                <w:szCs w:val="20"/>
                <w:color w:val="auto"/>
              </w:rPr>
            </w:pPr>
            <w:r>
              <w:rPr>
                <w:rFonts w:ascii="Arial" w:cs="Arial" w:eastAsia="Arial" w:hAnsi="Arial"/>
                <w:sz w:val="14"/>
                <w:szCs w:val="14"/>
                <w:color w:val="auto"/>
              </w:rPr>
              <w:t>—</w:t>
            </w:r>
          </w:p>
        </w:tc>
      </w:tr>
      <w:tr>
        <w:trPr>
          <w:trHeight w:val="270"/>
        </w:trPr>
        <w:tc>
          <w:tcPr>
            <w:tcW w:w="3220" w:type="dxa"/>
            <w:vAlign w:val="bottom"/>
            <w:shd w:val="clear" w:color="auto" w:fill="ACACAC"/>
          </w:tcPr>
          <w:p>
            <w:pPr>
              <w:ind w:left="40"/>
              <w:spacing w:after="0"/>
              <w:rPr>
                <w:sz w:val="20"/>
                <w:szCs w:val="20"/>
                <w:color w:val="auto"/>
              </w:rPr>
            </w:pPr>
            <w:r>
              <w:rPr>
                <w:rFonts w:ascii="Arial" w:cs="Arial" w:eastAsia="Arial" w:hAnsi="Arial"/>
                <w:sz w:val="14"/>
                <w:szCs w:val="14"/>
                <w:color w:val="auto"/>
              </w:rPr>
              <w:t>Involuntary Termination for Cause</w:t>
            </w:r>
          </w:p>
        </w:tc>
        <w:tc>
          <w:tcPr>
            <w:tcW w:w="500" w:type="dxa"/>
            <w:vAlign w:val="bottom"/>
            <w:shd w:val="clear" w:color="auto" w:fill="ACACAC"/>
          </w:tcPr>
          <w:p>
            <w:pPr>
              <w:spacing w:after="0"/>
              <w:rPr>
                <w:sz w:val="23"/>
                <w:szCs w:val="23"/>
                <w:color w:val="auto"/>
              </w:rPr>
            </w:pPr>
          </w:p>
        </w:tc>
        <w:tc>
          <w:tcPr>
            <w:tcW w:w="1240" w:type="dxa"/>
            <w:vAlign w:val="bottom"/>
            <w:shd w:val="clear" w:color="auto" w:fill="ACACAC"/>
          </w:tcPr>
          <w:p>
            <w:pPr>
              <w:jc w:val="right"/>
              <w:ind w:right="168"/>
              <w:spacing w:after="0"/>
              <w:rPr>
                <w:sz w:val="20"/>
                <w:szCs w:val="20"/>
                <w:color w:val="auto"/>
              </w:rPr>
            </w:pPr>
            <w:r>
              <w:rPr>
                <w:rFonts w:ascii="Arial" w:cs="Arial" w:eastAsia="Arial" w:hAnsi="Arial"/>
                <w:sz w:val="14"/>
                <w:szCs w:val="14"/>
                <w:color w:val="auto"/>
              </w:rPr>
              <w:t>—</w:t>
            </w:r>
          </w:p>
        </w:tc>
        <w:tc>
          <w:tcPr>
            <w:tcW w:w="120" w:type="dxa"/>
            <w:vAlign w:val="bottom"/>
            <w:shd w:val="clear" w:color="auto" w:fill="ACACAC"/>
          </w:tcPr>
          <w:p>
            <w:pPr>
              <w:spacing w:after="0"/>
              <w:rPr>
                <w:sz w:val="23"/>
                <w:szCs w:val="23"/>
                <w:color w:val="auto"/>
              </w:rPr>
            </w:pPr>
          </w:p>
        </w:tc>
        <w:tc>
          <w:tcPr>
            <w:tcW w:w="1040" w:type="dxa"/>
            <w:vAlign w:val="bottom"/>
            <w:shd w:val="clear" w:color="auto" w:fill="ACACAC"/>
          </w:tcPr>
          <w:p>
            <w:pPr>
              <w:spacing w:after="0"/>
              <w:rPr>
                <w:sz w:val="23"/>
                <w:szCs w:val="23"/>
                <w:color w:val="auto"/>
              </w:rPr>
            </w:pPr>
          </w:p>
        </w:tc>
        <w:tc>
          <w:tcPr>
            <w:tcW w:w="280" w:type="dxa"/>
            <w:vAlign w:val="bottom"/>
            <w:shd w:val="clear" w:color="auto" w:fill="ACACAC"/>
          </w:tcPr>
          <w:p>
            <w:pPr>
              <w:spacing w:after="0"/>
              <w:rPr>
                <w:sz w:val="23"/>
                <w:szCs w:val="23"/>
                <w:color w:val="auto"/>
              </w:rPr>
            </w:pPr>
          </w:p>
        </w:tc>
        <w:tc>
          <w:tcPr>
            <w:tcW w:w="1140" w:type="dxa"/>
            <w:vAlign w:val="bottom"/>
            <w:shd w:val="clear" w:color="auto" w:fill="ACACAC"/>
          </w:tcPr>
          <w:p>
            <w:pPr>
              <w:jc w:val="right"/>
              <w:ind w:right="88"/>
              <w:spacing w:after="0"/>
              <w:rPr>
                <w:sz w:val="20"/>
                <w:szCs w:val="20"/>
                <w:color w:val="auto"/>
              </w:rPr>
            </w:pPr>
            <w:r>
              <w:rPr>
                <w:rFonts w:ascii="Arial" w:cs="Arial" w:eastAsia="Arial" w:hAnsi="Arial"/>
                <w:sz w:val="14"/>
                <w:szCs w:val="14"/>
                <w:color w:val="auto"/>
              </w:rPr>
              <w:t>—</w:t>
            </w:r>
          </w:p>
        </w:tc>
        <w:tc>
          <w:tcPr>
            <w:tcW w:w="180" w:type="dxa"/>
            <w:vAlign w:val="bottom"/>
            <w:shd w:val="clear" w:color="auto" w:fill="ACACAC"/>
          </w:tcPr>
          <w:p>
            <w:pPr>
              <w:spacing w:after="0"/>
              <w:rPr>
                <w:sz w:val="23"/>
                <w:szCs w:val="23"/>
                <w:color w:val="auto"/>
              </w:rPr>
            </w:pPr>
          </w:p>
        </w:tc>
        <w:tc>
          <w:tcPr>
            <w:tcW w:w="1180" w:type="dxa"/>
            <w:vAlign w:val="bottom"/>
            <w:shd w:val="clear" w:color="auto" w:fill="ACACAC"/>
          </w:tcPr>
          <w:p>
            <w:pPr>
              <w:ind w:left="860"/>
              <w:spacing w:after="0"/>
              <w:rPr>
                <w:sz w:val="20"/>
                <w:szCs w:val="20"/>
                <w:color w:val="auto"/>
              </w:rPr>
            </w:pPr>
            <w:r>
              <w:rPr>
                <w:rFonts w:ascii="Arial" w:cs="Arial" w:eastAsia="Arial" w:hAnsi="Arial"/>
                <w:sz w:val="14"/>
                <w:szCs w:val="14"/>
                <w:color w:val="auto"/>
              </w:rPr>
              <w:t>—</w:t>
            </w:r>
          </w:p>
        </w:tc>
        <w:tc>
          <w:tcPr>
            <w:tcW w:w="160" w:type="dxa"/>
            <w:vAlign w:val="bottom"/>
            <w:shd w:val="clear" w:color="auto" w:fill="ACACAC"/>
          </w:tcPr>
          <w:p>
            <w:pPr>
              <w:spacing w:after="0"/>
              <w:rPr>
                <w:sz w:val="23"/>
                <w:szCs w:val="23"/>
                <w:color w:val="auto"/>
              </w:rPr>
            </w:pPr>
          </w:p>
        </w:tc>
        <w:tc>
          <w:tcPr>
            <w:tcW w:w="1180" w:type="dxa"/>
            <w:vAlign w:val="bottom"/>
            <w:shd w:val="clear" w:color="auto" w:fill="ACACAC"/>
          </w:tcPr>
          <w:p>
            <w:pPr>
              <w:jc w:val="right"/>
              <w:ind w:right="88"/>
              <w:spacing w:after="0"/>
              <w:rPr>
                <w:sz w:val="20"/>
                <w:szCs w:val="20"/>
                <w:color w:val="auto"/>
              </w:rPr>
            </w:pPr>
            <w:r>
              <w:rPr>
                <w:rFonts w:ascii="Arial" w:cs="Arial" w:eastAsia="Arial" w:hAnsi="Arial"/>
                <w:sz w:val="14"/>
                <w:szCs w:val="14"/>
                <w:color w:val="auto"/>
              </w:rPr>
              <w:t>—</w:t>
            </w:r>
          </w:p>
        </w:tc>
        <w:tc>
          <w:tcPr>
            <w:tcW w:w="300" w:type="dxa"/>
            <w:vAlign w:val="bottom"/>
            <w:shd w:val="clear" w:color="auto" w:fill="ACACAC"/>
          </w:tcPr>
          <w:p>
            <w:pPr>
              <w:spacing w:after="0"/>
              <w:rPr>
                <w:sz w:val="23"/>
                <w:szCs w:val="23"/>
                <w:color w:val="auto"/>
              </w:rPr>
            </w:pPr>
          </w:p>
        </w:tc>
        <w:tc>
          <w:tcPr>
            <w:tcW w:w="880" w:type="dxa"/>
            <w:vAlign w:val="bottom"/>
            <w:shd w:val="clear" w:color="auto" w:fill="ACACAC"/>
          </w:tcPr>
          <w:p>
            <w:pPr>
              <w:jc w:val="right"/>
              <w:ind w:right="28"/>
              <w:spacing w:after="0"/>
              <w:rPr>
                <w:sz w:val="20"/>
                <w:szCs w:val="20"/>
                <w:color w:val="auto"/>
              </w:rPr>
            </w:pPr>
            <w:r>
              <w:rPr>
                <w:rFonts w:ascii="Arial" w:cs="Arial" w:eastAsia="Arial" w:hAnsi="Arial"/>
                <w:sz w:val="14"/>
                <w:szCs w:val="14"/>
                <w:color w:val="auto"/>
              </w:rPr>
              <w:t>—</w:t>
            </w:r>
          </w:p>
        </w:tc>
      </w:tr>
      <w:tr>
        <w:trPr>
          <w:trHeight w:val="270"/>
        </w:trPr>
        <w:tc>
          <w:tcPr>
            <w:tcW w:w="3220" w:type="dxa"/>
            <w:vAlign w:val="bottom"/>
          </w:tcPr>
          <w:p>
            <w:pPr>
              <w:ind w:left="40"/>
              <w:spacing w:after="0"/>
              <w:rPr>
                <w:sz w:val="20"/>
                <w:szCs w:val="20"/>
                <w:color w:val="auto"/>
              </w:rPr>
            </w:pPr>
            <w:r>
              <w:rPr>
                <w:rFonts w:ascii="Arial" w:cs="Arial" w:eastAsia="Arial" w:hAnsi="Arial"/>
                <w:sz w:val="14"/>
                <w:szCs w:val="14"/>
                <w:color w:val="auto"/>
              </w:rPr>
              <w:t>Change of Control:</w:t>
            </w:r>
            <w:r>
              <w:rPr>
                <w:rFonts w:ascii="Arial" w:cs="Arial" w:eastAsia="Arial" w:hAnsi="Arial"/>
                <w:sz w:val="17"/>
                <w:szCs w:val="17"/>
                <w:color w:val="auto"/>
                <w:vertAlign w:val="superscript"/>
              </w:rPr>
              <w:t>(7)</w:t>
            </w:r>
          </w:p>
        </w:tc>
        <w:tc>
          <w:tcPr>
            <w:tcW w:w="50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880" w:type="dxa"/>
            <w:vAlign w:val="bottom"/>
          </w:tcPr>
          <w:p>
            <w:pPr>
              <w:spacing w:after="0"/>
              <w:rPr>
                <w:sz w:val="23"/>
                <w:szCs w:val="23"/>
                <w:color w:val="auto"/>
              </w:rPr>
            </w:pPr>
          </w:p>
        </w:tc>
      </w:tr>
      <w:tr>
        <w:trPr>
          <w:trHeight w:val="270"/>
        </w:trPr>
        <w:tc>
          <w:tcPr>
            <w:tcW w:w="3220" w:type="dxa"/>
            <w:vAlign w:val="bottom"/>
            <w:shd w:val="clear" w:color="auto" w:fill="ACACAC"/>
          </w:tcPr>
          <w:p>
            <w:pPr>
              <w:ind w:left="180"/>
              <w:spacing w:after="0"/>
              <w:rPr>
                <w:sz w:val="20"/>
                <w:szCs w:val="20"/>
                <w:color w:val="auto"/>
              </w:rPr>
            </w:pPr>
            <w:r>
              <w:rPr>
                <w:rFonts w:ascii="Arial" w:cs="Arial" w:eastAsia="Arial" w:hAnsi="Arial"/>
                <w:sz w:val="14"/>
                <w:szCs w:val="14"/>
                <w:color w:val="auto"/>
              </w:rPr>
              <w:t>Without Termination</w:t>
            </w:r>
          </w:p>
        </w:tc>
        <w:tc>
          <w:tcPr>
            <w:tcW w:w="500" w:type="dxa"/>
            <w:vAlign w:val="bottom"/>
            <w:shd w:val="clear" w:color="auto" w:fill="ACACAC"/>
          </w:tcPr>
          <w:p>
            <w:pPr>
              <w:spacing w:after="0"/>
              <w:rPr>
                <w:sz w:val="23"/>
                <w:szCs w:val="23"/>
                <w:color w:val="auto"/>
              </w:rPr>
            </w:pPr>
          </w:p>
        </w:tc>
        <w:tc>
          <w:tcPr>
            <w:tcW w:w="1240" w:type="dxa"/>
            <w:vAlign w:val="bottom"/>
            <w:shd w:val="clear" w:color="auto" w:fill="ACACAC"/>
          </w:tcPr>
          <w:p>
            <w:pPr>
              <w:jc w:val="right"/>
              <w:ind w:right="168"/>
              <w:spacing w:after="0"/>
              <w:rPr>
                <w:sz w:val="20"/>
                <w:szCs w:val="20"/>
                <w:color w:val="auto"/>
              </w:rPr>
            </w:pPr>
            <w:r>
              <w:rPr>
                <w:rFonts w:ascii="Arial" w:cs="Arial" w:eastAsia="Arial" w:hAnsi="Arial"/>
                <w:sz w:val="14"/>
                <w:szCs w:val="14"/>
                <w:color w:val="auto"/>
              </w:rPr>
              <w:t>—</w:t>
            </w:r>
          </w:p>
        </w:tc>
        <w:tc>
          <w:tcPr>
            <w:tcW w:w="120" w:type="dxa"/>
            <w:vAlign w:val="bottom"/>
            <w:shd w:val="clear" w:color="auto" w:fill="ACACAC"/>
          </w:tcPr>
          <w:p>
            <w:pPr>
              <w:spacing w:after="0"/>
              <w:rPr>
                <w:sz w:val="23"/>
                <w:szCs w:val="23"/>
                <w:color w:val="auto"/>
              </w:rPr>
            </w:pPr>
          </w:p>
        </w:tc>
        <w:tc>
          <w:tcPr>
            <w:tcW w:w="1040" w:type="dxa"/>
            <w:vAlign w:val="bottom"/>
            <w:shd w:val="clear" w:color="auto" w:fill="ACACAC"/>
          </w:tcPr>
          <w:p>
            <w:pPr>
              <w:jc w:val="right"/>
              <w:ind w:right="48"/>
              <w:spacing w:after="0"/>
              <w:rPr>
                <w:sz w:val="20"/>
                <w:szCs w:val="20"/>
                <w:color w:val="auto"/>
              </w:rPr>
            </w:pPr>
            <w:r>
              <w:rPr>
                <w:rFonts w:ascii="Arial" w:cs="Arial" w:eastAsia="Arial" w:hAnsi="Arial"/>
                <w:sz w:val="14"/>
                <w:szCs w:val="14"/>
                <w:color w:val="auto"/>
              </w:rPr>
              <w:t>—</w:t>
            </w:r>
          </w:p>
        </w:tc>
        <w:tc>
          <w:tcPr>
            <w:tcW w:w="280" w:type="dxa"/>
            <w:vAlign w:val="bottom"/>
            <w:shd w:val="clear" w:color="auto" w:fill="ACACAC"/>
          </w:tcPr>
          <w:p>
            <w:pPr>
              <w:spacing w:after="0"/>
              <w:rPr>
                <w:sz w:val="23"/>
                <w:szCs w:val="23"/>
                <w:color w:val="auto"/>
              </w:rPr>
            </w:pPr>
          </w:p>
        </w:tc>
        <w:tc>
          <w:tcPr>
            <w:tcW w:w="1140" w:type="dxa"/>
            <w:vAlign w:val="bottom"/>
            <w:shd w:val="clear" w:color="auto" w:fill="ACACAC"/>
          </w:tcPr>
          <w:p>
            <w:pPr>
              <w:jc w:val="right"/>
              <w:ind w:right="8"/>
              <w:spacing w:after="0"/>
              <w:rPr>
                <w:sz w:val="20"/>
                <w:szCs w:val="20"/>
                <w:color w:val="auto"/>
              </w:rPr>
            </w:pPr>
            <w:r>
              <w:rPr>
                <w:rFonts w:ascii="Arial" w:cs="Arial" w:eastAsia="Arial" w:hAnsi="Arial"/>
                <w:sz w:val="14"/>
                <w:szCs w:val="14"/>
                <w:color w:val="auto"/>
              </w:rPr>
              <w:t>$502,676</w:t>
            </w:r>
          </w:p>
        </w:tc>
        <w:tc>
          <w:tcPr>
            <w:tcW w:w="180" w:type="dxa"/>
            <w:vAlign w:val="bottom"/>
            <w:shd w:val="clear" w:color="auto" w:fill="ACACAC"/>
          </w:tcPr>
          <w:p>
            <w:pPr>
              <w:spacing w:after="0"/>
              <w:rPr>
                <w:sz w:val="23"/>
                <w:szCs w:val="23"/>
                <w:color w:val="auto"/>
              </w:rPr>
            </w:pPr>
          </w:p>
        </w:tc>
        <w:tc>
          <w:tcPr>
            <w:tcW w:w="1180" w:type="dxa"/>
            <w:vAlign w:val="bottom"/>
            <w:shd w:val="clear" w:color="auto" w:fill="ACACAC"/>
          </w:tcPr>
          <w:p>
            <w:pPr>
              <w:jc w:val="right"/>
              <w:ind w:right="8"/>
              <w:spacing w:after="0"/>
              <w:rPr>
                <w:sz w:val="20"/>
                <w:szCs w:val="20"/>
                <w:color w:val="auto"/>
              </w:rPr>
            </w:pPr>
            <w:r>
              <w:rPr>
                <w:rFonts w:ascii="Arial" w:cs="Arial" w:eastAsia="Arial" w:hAnsi="Arial"/>
                <w:sz w:val="14"/>
                <w:szCs w:val="14"/>
                <w:color w:val="auto"/>
              </w:rPr>
              <w:t>$375,872</w:t>
            </w:r>
          </w:p>
        </w:tc>
        <w:tc>
          <w:tcPr>
            <w:tcW w:w="160" w:type="dxa"/>
            <w:vAlign w:val="bottom"/>
            <w:shd w:val="clear" w:color="auto" w:fill="ACACAC"/>
          </w:tcPr>
          <w:p>
            <w:pPr>
              <w:spacing w:after="0"/>
              <w:rPr>
                <w:sz w:val="23"/>
                <w:szCs w:val="23"/>
                <w:color w:val="auto"/>
              </w:rPr>
            </w:pPr>
          </w:p>
        </w:tc>
        <w:tc>
          <w:tcPr>
            <w:tcW w:w="1180" w:type="dxa"/>
            <w:vAlign w:val="bottom"/>
            <w:shd w:val="clear" w:color="auto" w:fill="ACACAC"/>
          </w:tcPr>
          <w:p>
            <w:pPr>
              <w:jc w:val="right"/>
              <w:ind w:right="8"/>
              <w:spacing w:after="0"/>
              <w:rPr>
                <w:sz w:val="20"/>
                <w:szCs w:val="20"/>
                <w:color w:val="auto"/>
              </w:rPr>
            </w:pPr>
            <w:r>
              <w:rPr>
                <w:rFonts w:ascii="Arial" w:cs="Arial" w:eastAsia="Arial" w:hAnsi="Arial"/>
                <w:sz w:val="14"/>
                <w:szCs w:val="14"/>
                <w:color w:val="auto"/>
              </w:rPr>
              <w:t>$43,916</w:t>
            </w:r>
          </w:p>
        </w:tc>
        <w:tc>
          <w:tcPr>
            <w:tcW w:w="300" w:type="dxa"/>
            <w:vAlign w:val="bottom"/>
            <w:shd w:val="clear" w:color="auto" w:fill="ACACAC"/>
          </w:tcPr>
          <w:p>
            <w:pPr>
              <w:spacing w:after="0"/>
              <w:rPr>
                <w:sz w:val="23"/>
                <w:szCs w:val="23"/>
                <w:color w:val="auto"/>
              </w:rPr>
            </w:pPr>
          </w:p>
        </w:tc>
        <w:tc>
          <w:tcPr>
            <w:tcW w:w="880" w:type="dxa"/>
            <w:vAlign w:val="bottom"/>
            <w:shd w:val="clear" w:color="auto" w:fill="ACACAC"/>
          </w:tcPr>
          <w:p>
            <w:pPr>
              <w:jc w:val="right"/>
              <w:spacing w:after="0"/>
              <w:rPr>
                <w:sz w:val="20"/>
                <w:szCs w:val="20"/>
                <w:color w:val="auto"/>
              </w:rPr>
            </w:pPr>
            <w:r>
              <w:rPr>
                <w:rFonts w:ascii="Arial" w:cs="Arial" w:eastAsia="Arial" w:hAnsi="Arial"/>
                <w:sz w:val="14"/>
                <w:szCs w:val="14"/>
                <w:color w:val="auto"/>
              </w:rPr>
              <w:t>$922,464</w:t>
            </w:r>
          </w:p>
        </w:tc>
      </w:tr>
      <w:tr>
        <w:trPr>
          <w:trHeight w:val="264"/>
        </w:trPr>
        <w:tc>
          <w:tcPr>
            <w:tcW w:w="3220" w:type="dxa"/>
            <w:vAlign w:val="bottom"/>
            <w:tcBorders>
              <w:bottom w:val="single" w:sz="8" w:color="ACACAC"/>
            </w:tcBorders>
          </w:tcPr>
          <w:p>
            <w:pPr>
              <w:ind w:left="180"/>
              <w:spacing w:after="0"/>
              <w:rPr>
                <w:sz w:val="20"/>
                <w:szCs w:val="20"/>
                <w:color w:val="auto"/>
              </w:rPr>
            </w:pPr>
            <w:r>
              <w:rPr>
                <w:rFonts w:ascii="Arial" w:cs="Arial" w:eastAsia="Arial" w:hAnsi="Arial"/>
                <w:sz w:val="14"/>
                <w:szCs w:val="14"/>
                <w:color w:val="auto"/>
              </w:rPr>
              <w:t>Termination WIthout Cause/Good Reason</w:t>
            </w:r>
          </w:p>
        </w:tc>
        <w:tc>
          <w:tcPr>
            <w:tcW w:w="500" w:type="dxa"/>
            <w:vAlign w:val="bottom"/>
            <w:tcBorders>
              <w:bottom w:val="single" w:sz="8" w:color="ACACAC"/>
            </w:tcBorders>
          </w:tcPr>
          <w:p>
            <w:pPr>
              <w:spacing w:after="0"/>
              <w:rPr>
                <w:sz w:val="22"/>
                <w:szCs w:val="22"/>
                <w:color w:val="auto"/>
              </w:rPr>
            </w:pPr>
          </w:p>
        </w:tc>
        <w:tc>
          <w:tcPr>
            <w:tcW w:w="1240" w:type="dxa"/>
            <w:vAlign w:val="bottom"/>
            <w:tcBorders>
              <w:bottom w:val="single" w:sz="8" w:color="ACACAC"/>
            </w:tcBorders>
          </w:tcPr>
          <w:p>
            <w:pPr>
              <w:jc w:val="right"/>
              <w:ind w:right="68"/>
              <w:spacing w:after="0"/>
              <w:rPr>
                <w:sz w:val="20"/>
                <w:szCs w:val="20"/>
                <w:color w:val="auto"/>
              </w:rPr>
            </w:pPr>
            <w:r>
              <w:rPr>
                <w:rFonts w:ascii="Arial" w:cs="Arial" w:eastAsia="Arial" w:hAnsi="Arial"/>
                <w:sz w:val="14"/>
                <w:szCs w:val="14"/>
                <w:color w:val="auto"/>
              </w:rPr>
              <w:t>$2,340,211</w:t>
            </w:r>
          </w:p>
        </w:tc>
        <w:tc>
          <w:tcPr>
            <w:tcW w:w="12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$173,054</w:t>
            </w:r>
          </w:p>
        </w:tc>
        <w:tc>
          <w:tcPr>
            <w:tcW w:w="280" w:type="dxa"/>
            <w:vAlign w:val="bottom"/>
            <w:tcBorders>
              <w:bottom w:val="single" w:sz="8" w:color="ACACAC"/>
            </w:tcBorders>
          </w:tcPr>
          <w:p>
            <w:pPr>
              <w:spacing w:after="0"/>
              <w:rPr>
                <w:sz w:val="22"/>
                <w:szCs w:val="22"/>
                <w:color w:val="auto"/>
              </w:rPr>
            </w:pPr>
          </w:p>
        </w:tc>
        <w:tc>
          <w:tcPr>
            <w:tcW w:w="1140" w:type="dxa"/>
            <w:vAlign w:val="bottom"/>
            <w:tcBorders>
              <w:bottom w:val="single" w:sz="8" w:color="ACACAC"/>
            </w:tcBorders>
          </w:tcPr>
          <w:p>
            <w:pPr>
              <w:jc w:val="right"/>
              <w:ind w:right="8"/>
              <w:spacing w:after="0"/>
              <w:rPr>
                <w:sz w:val="20"/>
                <w:szCs w:val="20"/>
                <w:color w:val="auto"/>
              </w:rPr>
            </w:pPr>
            <w:r>
              <w:rPr>
                <w:rFonts w:ascii="Arial" w:cs="Arial" w:eastAsia="Arial" w:hAnsi="Arial"/>
                <w:sz w:val="14"/>
                <w:szCs w:val="14"/>
                <w:color w:val="auto"/>
              </w:rPr>
              <w:t>$502,676</w:t>
            </w:r>
          </w:p>
        </w:tc>
        <w:tc>
          <w:tcPr>
            <w:tcW w:w="180" w:type="dxa"/>
            <w:vAlign w:val="bottom"/>
            <w:tcBorders>
              <w:bottom w:val="single" w:sz="8" w:color="ACACAC"/>
            </w:tcBorders>
          </w:tcPr>
          <w:p>
            <w:pPr>
              <w:spacing w:after="0"/>
              <w:rPr>
                <w:sz w:val="22"/>
                <w:szCs w:val="22"/>
                <w:color w:val="auto"/>
              </w:rPr>
            </w:pPr>
          </w:p>
        </w:tc>
        <w:tc>
          <w:tcPr>
            <w:tcW w:w="1180" w:type="dxa"/>
            <w:vAlign w:val="bottom"/>
            <w:tcBorders>
              <w:bottom w:val="single" w:sz="8" w:color="ACACAC"/>
            </w:tcBorders>
          </w:tcPr>
          <w:p>
            <w:pPr>
              <w:jc w:val="right"/>
              <w:ind w:right="8"/>
              <w:spacing w:after="0"/>
              <w:rPr>
                <w:sz w:val="20"/>
                <w:szCs w:val="20"/>
                <w:color w:val="auto"/>
              </w:rPr>
            </w:pPr>
            <w:r>
              <w:rPr>
                <w:rFonts w:ascii="Arial" w:cs="Arial" w:eastAsia="Arial" w:hAnsi="Arial"/>
                <w:sz w:val="14"/>
                <w:szCs w:val="14"/>
                <w:color w:val="auto"/>
              </w:rPr>
              <w:t>$375,872</w:t>
            </w:r>
          </w:p>
        </w:tc>
        <w:tc>
          <w:tcPr>
            <w:tcW w:w="160" w:type="dxa"/>
            <w:vAlign w:val="bottom"/>
            <w:tcBorders>
              <w:bottom w:val="single" w:sz="8" w:color="ACACAC"/>
            </w:tcBorders>
          </w:tcPr>
          <w:p>
            <w:pPr>
              <w:spacing w:after="0"/>
              <w:rPr>
                <w:sz w:val="22"/>
                <w:szCs w:val="22"/>
                <w:color w:val="auto"/>
              </w:rPr>
            </w:pPr>
          </w:p>
        </w:tc>
        <w:tc>
          <w:tcPr>
            <w:tcW w:w="1180" w:type="dxa"/>
            <w:vAlign w:val="bottom"/>
            <w:tcBorders>
              <w:bottom w:val="single" w:sz="8" w:color="ACACAC"/>
            </w:tcBorders>
          </w:tcPr>
          <w:p>
            <w:pPr>
              <w:jc w:val="right"/>
              <w:ind w:right="8"/>
              <w:spacing w:after="0"/>
              <w:rPr>
                <w:sz w:val="20"/>
                <w:szCs w:val="20"/>
                <w:color w:val="auto"/>
              </w:rPr>
            </w:pPr>
            <w:r>
              <w:rPr>
                <w:rFonts w:ascii="Arial" w:cs="Arial" w:eastAsia="Arial" w:hAnsi="Arial"/>
                <w:sz w:val="14"/>
                <w:szCs w:val="14"/>
                <w:color w:val="auto"/>
              </w:rPr>
              <w:t>$43,916</w:t>
            </w:r>
          </w:p>
        </w:tc>
        <w:tc>
          <w:tcPr>
            <w:tcW w:w="300" w:type="dxa"/>
            <w:vAlign w:val="bottom"/>
            <w:tcBorders>
              <w:bottom w:val="single" w:sz="8" w:color="ACACAC"/>
            </w:tcBorders>
          </w:tcPr>
          <w:p>
            <w:pPr>
              <w:spacing w:after="0"/>
              <w:rPr>
                <w:sz w:val="22"/>
                <w:szCs w:val="22"/>
                <w:color w:val="auto"/>
              </w:rPr>
            </w:pPr>
          </w:p>
        </w:tc>
        <w:tc>
          <w:tcPr>
            <w:tcW w:w="880" w:type="dxa"/>
            <w:vAlign w:val="bottom"/>
            <w:tcBorders>
              <w:bottom w:val="single" w:sz="8" w:color="ACACAC"/>
            </w:tcBorders>
          </w:tcPr>
          <w:p>
            <w:pPr>
              <w:jc w:val="right"/>
              <w:spacing w:after="0"/>
              <w:rPr>
                <w:sz w:val="20"/>
                <w:szCs w:val="20"/>
                <w:color w:val="auto"/>
              </w:rPr>
            </w:pPr>
            <w:r>
              <w:rPr>
                <w:rFonts w:ascii="Arial" w:cs="Arial" w:eastAsia="Arial" w:hAnsi="Arial"/>
                <w:sz w:val="14"/>
                <w:szCs w:val="14"/>
                <w:color w:val="auto"/>
              </w:rPr>
              <w:t>$3,435,729</w:t>
            </w:r>
          </w:p>
        </w:tc>
      </w:tr>
      <w:tr>
        <w:trPr>
          <w:trHeight w:val="256"/>
        </w:trPr>
        <w:tc>
          <w:tcPr>
            <w:tcW w:w="3220" w:type="dxa"/>
            <w:vAlign w:val="bottom"/>
            <w:shd w:val="clear" w:color="auto" w:fill="ACACAC"/>
          </w:tcPr>
          <w:p>
            <w:pPr>
              <w:ind w:left="40"/>
              <w:spacing w:after="0"/>
              <w:rPr>
                <w:sz w:val="20"/>
                <w:szCs w:val="20"/>
                <w:color w:val="auto"/>
              </w:rPr>
            </w:pPr>
            <w:r>
              <w:rPr>
                <w:rFonts w:ascii="Arial" w:cs="Arial" w:eastAsia="Arial" w:hAnsi="Arial"/>
                <w:sz w:val="14"/>
                <w:szCs w:val="14"/>
                <w:color w:val="auto"/>
              </w:rPr>
              <w:t>Death</w:t>
            </w:r>
          </w:p>
        </w:tc>
        <w:tc>
          <w:tcPr>
            <w:tcW w:w="500" w:type="dxa"/>
            <w:vAlign w:val="bottom"/>
            <w:shd w:val="clear" w:color="auto" w:fill="ACACAC"/>
          </w:tcPr>
          <w:p>
            <w:pPr>
              <w:spacing w:after="0"/>
              <w:rPr>
                <w:sz w:val="22"/>
                <w:szCs w:val="22"/>
                <w:color w:val="auto"/>
              </w:rPr>
            </w:pPr>
          </w:p>
        </w:tc>
        <w:tc>
          <w:tcPr>
            <w:tcW w:w="1240" w:type="dxa"/>
            <w:vAlign w:val="bottom"/>
            <w:shd w:val="clear" w:color="auto" w:fill="ACACAC"/>
          </w:tcPr>
          <w:p>
            <w:pPr>
              <w:jc w:val="right"/>
              <w:ind w:right="168"/>
              <w:spacing w:after="0"/>
              <w:rPr>
                <w:sz w:val="20"/>
                <w:szCs w:val="20"/>
                <w:color w:val="auto"/>
              </w:rPr>
            </w:pPr>
            <w:r>
              <w:rPr>
                <w:rFonts w:ascii="Arial" w:cs="Arial" w:eastAsia="Arial" w:hAnsi="Arial"/>
                <w:sz w:val="14"/>
                <w:szCs w:val="14"/>
                <w:color w:val="auto"/>
              </w:rPr>
              <w:t>—</w:t>
            </w:r>
          </w:p>
        </w:tc>
        <w:tc>
          <w:tcPr>
            <w:tcW w:w="120" w:type="dxa"/>
            <w:vAlign w:val="bottom"/>
            <w:shd w:val="clear" w:color="auto" w:fill="ACACAC"/>
          </w:tcPr>
          <w:p>
            <w:pPr>
              <w:spacing w:after="0"/>
              <w:rPr>
                <w:sz w:val="22"/>
                <w:szCs w:val="22"/>
                <w:color w:val="auto"/>
              </w:rPr>
            </w:pPr>
          </w:p>
        </w:tc>
        <w:tc>
          <w:tcPr>
            <w:tcW w:w="1040" w:type="dxa"/>
            <w:vAlign w:val="bottom"/>
            <w:shd w:val="clear" w:color="auto" w:fill="ACACAC"/>
          </w:tcPr>
          <w:p>
            <w:pPr>
              <w:jc w:val="right"/>
              <w:spacing w:after="0"/>
              <w:rPr>
                <w:sz w:val="20"/>
                <w:szCs w:val="20"/>
                <w:color w:val="auto"/>
              </w:rPr>
            </w:pPr>
            <w:r>
              <w:rPr>
                <w:rFonts w:ascii="Arial" w:cs="Arial" w:eastAsia="Arial" w:hAnsi="Arial"/>
                <w:sz w:val="14"/>
                <w:szCs w:val="14"/>
                <w:color w:val="auto"/>
              </w:rPr>
              <w:t>$173,054</w:t>
            </w:r>
          </w:p>
        </w:tc>
        <w:tc>
          <w:tcPr>
            <w:tcW w:w="280" w:type="dxa"/>
            <w:vAlign w:val="bottom"/>
            <w:shd w:val="clear" w:color="auto" w:fill="ACACAC"/>
          </w:tcPr>
          <w:p>
            <w:pPr>
              <w:spacing w:after="0"/>
              <w:rPr>
                <w:sz w:val="22"/>
                <w:szCs w:val="22"/>
                <w:color w:val="auto"/>
              </w:rPr>
            </w:pPr>
          </w:p>
        </w:tc>
        <w:tc>
          <w:tcPr>
            <w:tcW w:w="1140" w:type="dxa"/>
            <w:vAlign w:val="bottom"/>
            <w:shd w:val="clear" w:color="auto" w:fill="ACACAC"/>
          </w:tcPr>
          <w:p>
            <w:pPr>
              <w:jc w:val="right"/>
              <w:ind w:right="88"/>
              <w:spacing w:after="0"/>
              <w:rPr>
                <w:sz w:val="20"/>
                <w:szCs w:val="20"/>
                <w:color w:val="auto"/>
              </w:rPr>
            </w:pPr>
            <w:r>
              <w:rPr>
                <w:rFonts w:ascii="Arial" w:cs="Arial" w:eastAsia="Arial" w:hAnsi="Arial"/>
                <w:sz w:val="14"/>
                <w:szCs w:val="14"/>
                <w:color w:val="auto"/>
              </w:rPr>
              <w:t>—</w:t>
            </w:r>
          </w:p>
        </w:tc>
        <w:tc>
          <w:tcPr>
            <w:tcW w:w="180" w:type="dxa"/>
            <w:vAlign w:val="bottom"/>
            <w:shd w:val="clear" w:color="auto" w:fill="ACACAC"/>
          </w:tcPr>
          <w:p>
            <w:pPr>
              <w:spacing w:after="0"/>
              <w:rPr>
                <w:sz w:val="22"/>
                <w:szCs w:val="22"/>
                <w:color w:val="auto"/>
              </w:rPr>
            </w:pPr>
          </w:p>
        </w:tc>
        <w:tc>
          <w:tcPr>
            <w:tcW w:w="1180" w:type="dxa"/>
            <w:vAlign w:val="bottom"/>
            <w:shd w:val="clear" w:color="auto" w:fill="ACACAC"/>
          </w:tcPr>
          <w:p>
            <w:pPr>
              <w:ind w:left="860"/>
              <w:spacing w:after="0"/>
              <w:rPr>
                <w:sz w:val="20"/>
                <w:szCs w:val="20"/>
                <w:color w:val="auto"/>
              </w:rPr>
            </w:pPr>
            <w:r>
              <w:rPr>
                <w:rFonts w:ascii="Arial" w:cs="Arial" w:eastAsia="Arial" w:hAnsi="Arial"/>
                <w:sz w:val="14"/>
                <w:szCs w:val="14"/>
                <w:color w:val="auto"/>
              </w:rPr>
              <w:t>—</w:t>
            </w:r>
          </w:p>
        </w:tc>
        <w:tc>
          <w:tcPr>
            <w:tcW w:w="160" w:type="dxa"/>
            <w:vAlign w:val="bottom"/>
            <w:shd w:val="clear" w:color="auto" w:fill="ACACAC"/>
          </w:tcPr>
          <w:p>
            <w:pPr>
              <w:spacing w:after="0"/>
              <w:rPr>
                <w:sz w:val="22"/>
                <w:szCs w:val="22"/>
                <w:color w:val="auto"/>
              </w:rPr>
            </w:pPr>
          </w:p>
        </w:tc>
        <w:tc>
          <w:tcPr>
            <w:tcW w:w="1180" w:type="dxa"/>
            <w:vAlign w:val="bottom"/>
            <w:shd w:val="clear" w:color="auto" w:fill="ACACAC"/>
          </w:tcPr>
          <w:p>
            <w:pPr>
              <w:jc w:val="right"/>
              <w:ind w:right="88"/>
              <w:spacing w:after="0"/>
              <w:rPr>
                <w:sz w:val="20"/>
                <w:szCs w:val="20"/>
                <w:color w:val="auto"/>
              </w:rPr>
            </w:pPr>
            <w:r>
              <w:rPr>
                <w:rFonts w:ascii="Arial" w:cs="Arial" w:eastAsia="Arial" w:hAnsi="Arial"/>
                <w:sz w:val="14"/>
                <w:szCs w:val="14"/>
                <w:color w:val="auto"/>
              </w:rPr>
              <w:t>—</w:t>
            </w:r>
          </w:p>
        </w:tc>
        <w:tc>
          <w:tcPr>
            <w:tcW w:w="300" w:type="dxa"/>
            <w:vAlign w:val="bottom"/>
            <w:shd w:val="clear" w:color="auto" w:fill="ACACAC"/>
          </w:tcPr>
          <w:p>
            <w:pPr>
              <w:spacing w:after="0"/>
              <w:rPr>
                <w:sz w:val="22"/>
                <w:szCs w:val="22"/>
                <w:color w:val="auto"/>
              </w:rPr>
            </w:pPr>
          </w:p>
        </w:tc>
        <w:tc>
          <w:tcPr>
            <w:tcW w:w="880" w:type="dxa"/>
            <w:vAlign w:val="bottom"/>
            <w:shd w:val="clear" w:color="auto" w:fill="ACACAC"/>
          </w:tcPr>
          <w:p>
            <w:pPr>
              <w:jc w:val="right"/>
              <w:spacing w:after="0"/>
              <w:rPr>
                <w:sz w:val="20"/>
                <w:szCs w:val="20"/>
                <w:color w:val="auto"/>
              </w:rPr>
            </w:pPr>
            <w:r>
              <w:rPr>
                <w:rFonts w:ascii="Arial" w:cs="Arial" w:eastAsia="Arial" w:hAnsi="Arial"/>
                <w:sz w:val="14"/>
                <w:szCs w:val="14"/>
                <w:color w:val="auto"/>
              </w:rPr>
              <w:t>$173,054</w:t>
            </w:r>
          </w:p>
        </w:tc>
      </w:tr>
      <w:tr>
        <w:trPr>
          <w:trHeight w:val="258"/>
        </w:trPr>
        <w:tc>
          <w:tcPr>
            <w:tcW w:w="3220" w:type="dxa"/>
            <w:vAlign w:val="bottom"/>
          </w:tcPr>
          <w:p>
            <w:pPr>
              <w:ind w:left="40"/>
              <w:spacing w:after="0"/>
              <w:rPr>
                <w:sz w:val="20"/>
                <w:szCs w:val="20"/>
                <w:color w:val="auto"/>
              </w:rPr>
            </w:pPr>
            <w:r>
              <w:rPr>
                <w:rFonts w:ascii="Arial" w:cs="Arial" w:eastAsia="Arial" w:hAnsi="Arial"/>
                <w:sz w:val="14"/>
                <w:szCs w:val="14"/>
                <w:color w:val="auto"/>
              </w:rPr>
              <w:t>Disability</w:t>
            </w:r>
          </w:p>
        </w:tc>
        <w:tc>
          <w:tcPr>
            <w:tcW w:w="500" w:type="dxa"/>
            <w:vAlign w:val="bottom"/>
          </w:tcPr>
          <w:p>
            <w:pPr>
              <w:spacing w:after="0"/>
              <w:rPr>
                <w:sz w:val="22"/>
                <w:szCs w:val="22"/>
                <w:color w:val="auto"/>
              </w:rPr>
            </w:pPr>
          </w:p>
        </w:tc>
        <w:tc>
          <w:tcPr>
            <w:tcW w:w="1240" w:type="dxa"/>
            <w:vAlign w:val="bottom"/>
          </w:tcPr>
          <w:p>
            <w:pPr>
              <w:jc w:val="right"/>
              <w:ind w:right="168"/>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$173,054</w:t>
            </w:r>
          </w:p>
        </w:tc>
        <w:tc>
          <w:tcPr>
            <w:tcW w:w="280" w:type="dxa"/>
            <w:vAlign w:val="bottom"/>
          </w:tcPr>
          <w:p>
            <w:pPr>
              <w:spacing w:after="0"/>
              <w:rPr>
                <w:sz w:val="22"/>
                <w:szCs w:val="22"/>
                <w:color w:val="auto"/>
              </w:rPr>
            </w:pPr>
          </w:p>
        </w:tc>
        <w:tc>
          <w:tcPr>
            <w:tcW w:w="114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2"/>
                <w:szCs w:val="22"/>
                <w:color w:val="auto"/>
              </w:rPr>
            </w:pPr>
          </w:p>
        </w:tc>
        <w:tc>
          <w:tcPr>
            <w:tcW w:w="1180" w:type="dxa"/>
            <w:vAlign w:val="bottom"/>
          </w:tcPr>
          <w:p>
            <w:pPr>
              <w:ind w:left="86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118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22"/>
                <w:szCs w:val="22"/>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$173,054</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0" w:lineRule="exact"/>
        <w:rPr>
          <w:sz w:val="20"/>
          <w:szCs w:val="20"/>
          <w:color w:val="auto"/>
        </w:rPr>
      </w:pPr>
    </w:p>
    <w:p>
      <w:pPr>
        <w:ind w:left="340" w:right="220" w:hanging="332"/>
        <w:spacing w:after="0" w:line="241" w:lineRule="auto"/>
        <w:tabs>
          <w:tab w:leader="none" w:pos="340" w:val="left"/>
        </w:tabs>
        <w:numPr>
          <w:ilvl w:val="0"/>
          <w:numId w:val="50"/>
        </w:numPr>
        <w:rPr>
          <w:rFonts w:ascii="Arial" w:cs="Arial" w:eastAsia="Arial" w:hAnsi="Arial"/>
          <w:sz w:val="14"/>
          <w:szCs w:val="14"/>
          <w:color w:val="auto"/>
        </w:rPr>
      </w:pPr>
      <w:r>
        <w:rPr>
          <w:rFonts w:ascii="Arial" w:cs="Arial" w:eastAsia="Arial" w:hAnsi="Arial"/>
          <w:sz w:val="14"/>
          <w:szCs w:val="14"/>
          <w:color w:val="auto"/>
        </w:rPr>
        <w:t>Severance upon a Change of Control equals an amount equal to three times the average of the aggregate annual compensation paid during our three fiscal years immediately preceding the Change of Control and excludes any payments required to cover IRC Section 280G obligations if applicable. Upon the execution of our revised Change in Control Agreements prior to December 31, 2018, severance equals an amount equal to two times (or three times in the case of our CEO) base salary and target annual incentive for executives party to these agreements.</w:t>
      </w:r>
    </w:p>
    <w:p>
      <w:pPr>
        <w:spacing w:after="0" w:line="1" w:lineRule="exact"/>
        <w:rPr>
          <w:rFonts w:ascii="Arial" w:cs="Arial" w:eastAsia="Arial" w:hAnsi="Arial"/>
          <w:sz w:val="14"/>
          <w:szCs w:val="14"/>
          <w:color w:val="auto"/>
        </w:rPr>
      </w:pPr>
    </w:p>
    <w:p>
      <w:pPr>
        <w:ind w:left="340" w:right="460" w:hanging="332"/>
        <w:spacing w:after="0" w:line="258" w:lineRule="auto"/>
        <w:tabs>
          <w:tab w:leader="none" w:pos="340" w:val="left"/>
        </w:tabs>
        <w:numPr>
          <w:ilvl w:val="0"/>
          <w:numId w:val="50"/>
        </w:numPr>
        <w:rPr>
          <w:rFonts w:ascii="Arial" w:cs="Arial" w:eastAsia="Arial" w:hAnsi="Arial"/>
          <w:sz w:val="13"/>
          <w:szCs w:val="13"/>
          <w:color w:val="auto"/>
        </w:rPr>
      </w:pPr>
      <w:r>
        <w:rPr>
          <w:rFonts w:ascii="Arial" w:cs="Arial" w:eastAsia="Arial" w:hAnsi="Arial"/>
          <w:sz w:val="14"/>
          <w:szCs w:val="14"/>
          <w:color w:val="auto"/>
        </w:rPr>
        <w:t>Represents the NEOs' annual incentive eligibility pursuant to the 2018 Officers Incentive Compensation Plan (other than Mr. Clark) or 2018 Grand Design Management Incentive Plan (Mr. Clark).</w:t>
      </w:r>
    </w:p>
    <w:p>
      <w:pPr>
        <w:sectPr>
          <w:pgSz w:w="11900" w:h="16838" w:orient="portrait"/>
          <w:cols w:equalWidth="0" w:num="1">
            <w:col w:w="11420"/>
          </w:cols>
          <w:pgMar w:left="240" w:top="303" w:right="239" w:bottom="1440" w:gutter="0" w:footer="0" w:header="0"/>
        </w:sect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34</w:t>
      </w:r>
    </w:p>
    <w:p>
      <w:pPr>
        <w:sectPr>
          <w:pgSz w:w="11900" w:h="16838" w:orient="portrait"/>
          <w:cols w:equalWidth="0" w:num="1">
            <w:col w:w="11420"/>
          </w:cols>
          <w:pgMar w:left="240" w:top="303" w:right="239" w:bottom="1440" w:gutter="0" w:footer="0" w:header="0"/>
          <w:type w:val="continuous"/>
        </w:sectPr>
      </w:pPr>
    </w:p>
    <w:bookmarkStart w:id="38" w:name="page39"/>
    <w:bookmarkEnd w:id="38"/>
    <w:p>
      <w:pPr>
        <w:ind w:left="40"/>
        <w:spacing w:after="0"/>
        <w:rPr>
          <w:rFonts w:ascii="Arial" w:cs="Arial" w:eastAsia="Arial" w:hAnsi="Arial"/>
          <w:sz w:val="16"/>
          <w:szCs w:val="16"/>
          <w:u w:val="single" w:color="auto"/>
          <w:color w:val="0000EE"/>
        </w:rPr>
      </w:pPr>
      <w:r>
        <w:rPr>
          <w:rFonts w:ascii="Arial" w:cs="Arial" w:eastAsia="Arial" w:hAnsi="Arial"/>
          <w:sz w:val="16"/>
          <w:szCs w:val="16"/>
          <w:u w:val="single" w:color="auto"/>
          <w:color w:val="0000EE"/>
        </w:rPr>
        <w:drawing>
          <wp:anchor simplePos="0" relativeHeight="251657728" behindDoc="1" locked="0" layoutInCell="0" allowOverlap="1">
            <wp:simplePos x="0" y="0"/>
            <wp:positionH relativeFrom="page">
              <wp:posOffset>5946140</wp:posOffset>
            </wp:positionH>
            <wp:positionV relativeFrom="page">
              <wp:posOffset>191770</wp:posOffset>
            </wp:positionV>
            <wp:extent cx="1440815" cy="20574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clrChange>
                        <a:clrFrom>
                          <a:srgbClr val="FFFFFF"/>
                        </a:clrFrom>
                        <a:clrTo>
                          <a:srgbClr val="FFFFFF">
                            <a:alpha val="0"/>
                          </a:srgbClr>
                        </a:clrTo>
                      </a:clrChange>
                      <a:extLst>
                        <a:ext uri="{28A0092B-C50C-407E-A947-70E740481C1C}"/>
                      </a:extLst>
                    </a:blip>
                    <a:srcRect/>
                    <a:stretch>
                      <a:fillRect/>
                    </a:stretch>
                  </pic:blipFill>
                  <pic:spPr bwMode="auto">
                    <a:xfrm>
                      <a:off x="0" y="0"/>
                      <a:ext cx="1440815" cy="205740"/>
                    </a:xfrm>
                    <a:prstGeom prst="rect">
                      <a:avLst/>
                    </a:prstGeom>
                    <a:noFill/>
                  </pic:spPr>
                </pic:pic>
              </a:graphicData>
            </a:graphic>
          </wp:anchor>
        </w:drawing>
      </w:r>
      <w:hyperlink w:anchor="page4">
        <w:r>
          <w:rPr>
            <w:rFonts w:ascii="Arial" w:cs="Arial" w:eastAsia="Arial" w:hAnsi="Arial"/>
            <w:sz w:val="16"/>
            <w:szCs w:val="16"/>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104775</wp:posOffset>
            </wp:positionV>
            <wp:extent cx="7246620" cy="889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07" w:lineRule="exact"/>
        <w:rPr>
          <w:sz w:val="20"/>
          <w:szCs w:val="20"/>
          <w:color w:val="auto"/>
        </w:rPr>
      </w:pPr>
    </w:p>
    <w:p>
      <w:pPr>
        <w:ind w:left="340" w:right="240" w:hanging="332"/>
        <w:spacing w:after="0" w:line="241" w:lineRule="auto"/>
        <w:tabs>
          <w:tab w:leader="none" w:pos="340" w:val="left"/>
        </w:tabs>
        <w:numPr>
          <w:ilvl w:val="0"/>
          <w:numId w:val="51"/>
        </w:numPr>
        <w:rPr>
          <w:rFonts w:ascii="Arial" w:cs="Arial" w:eastAsia="Arial" w:hAnsi="Arial"/>
          <w:sz w:val="13"/>
          <w:szCs w:val="13"/>
          <w:color w:val="auto"/>
        </w:rPr>
      </w:pPr>
      <w:r>
        <w:rPr>
          <w:rFonts w:ascii="Arial" w:cs="Arial" w:eastAsia="Arial" w:hAnsi="Arial"/>
          <w:sz w:val="14"/>
          <w:szCs w:val="14"/>
          <w:color w:val="auto"/>
        </w:rPr>
        <w:t>Represents the LTIP incentive achieved pursuant to the Fiscal 2016-2018 LTIP, except by a termination pursuant to a Change of Control, which includes the full amount payable under the Fiscal 2016-2018 LTIP and the target amount estimated to be payable under the Fiscal 2017-2019 LTIP and the Fiscal 2018-2020 LTIP. Shares earned under these plans are subject to a one-year holding period post-vesting.</w:t>
      </w:r>
    </w:p>
    <w:p>
      <w:pPr>
        <w:spacing w:after="0" w:line="1" w:lineRule="exact"/>
        <w:rPr>
          <w:rFonts w:ascii="Arial" w:cs="Arial" w:eastAsia="Arial" w:hAnsi="Arial"/>
          <w:sz w:val="13"/>
          <w:szCs w:val="13"/>
          <w:color w:val="auto"/>
        </w:rPr>
      </w:pPr>
    </w:p>
    <w:p>
      <w:pPr>
        <w:ind w:left="340" w:hanging="332"/>
        <w:spacing w:after="0"/>
        <w:tabs>
          <w:tab w:leader="none" w:pos="340" w:val="left"/>
        </w:tabs>
        <w:numPr>
          <w:ilvl w:val="0"/>
          <w:numId w:val="51"/>
        </w:numPr>
        <w:rPr>
          <w:rFonts w:ascii="Arial" w:cs="Arial" w:eastAsia="Arial" w:hAnsi="Arial"/>
          <w:sz w:val="13"/>
          <w:szCs w:val="13"/>
          <w:color w:val="auto"/>
        </w:rPr>
      </w:pPr>
      <w:r>
        <w:rPr>
          <w:rFonts w:ascii="Arial" w:cs="Arial" w:eastAsia="Arial" w:hAnsi="Arial"/>
          <w:sz w:val="14"/>
          <w:szCs w:val="14"/>
          <w:color w:val="auto"/>
        </w:rPr>
        <w:t>Represents the intrinsic value of stock grants based on our closing stock price of $37.30 per share on August 25, 2018, the last day of Fiscal 2018.</w:t>
      </w:r>
    </w:p>
    <w:p>
      <w:pPr>
        <w:spacing w:after="0" w:line="1" w:lineRule="exact"/>
        <w:rPr>
          <w:rFonts w:ascii="Arial" w:cs="Arial" w:eastAsia="Arial" w:hAnsi="Arial"/>
          <w:sz w:val="13"/>
          <w:szCs w:val="13"/>
          <w:color w:val="auto"/>
        </w:rPr>
      </w:pPr>
    </w:p>
    <w:p>
      <w:pPr>
        <w:ind w:left="340" w:hanging="332"/>
        <w:spacing w:after="0"/>
        <w:tabs>
          <w:tab w:leader="none" w:pos="340" w:val="left"/>
        </w:tabs>
        <w:numPr>
          <w:ilvl w:val="0"/>
          <w:numId w:val="51"/>
        </w:numPr>
        <w:rPr>
          <w:rFonts w:ascii="Arial" w:cs="Arial" w:eastAsia="Arial" w:hAnsi="Arial"/>
          <w:sz w:val="13"/>
          <w:szCs w:val="13"/>
          <w:color w:val="auto"/>
        </w:rPr>
      </w:pPr>
      <w:r>
        <w:rPr>
          <w:rFonts w:ascii="Arial" w:cs="Arial" w:eastAsia="Arial" w:hAnsi="Arial"/>
          <w:sz w:val="14"/>
          <w:szCs w:val="14"/>
          <w:color w:val="auto"/>
        </w:rPr>
        <w:t>Represents the intrinsic value of stock options based on our closing stock price of $37.30 per share on August 25, 2018, the last day of Fiscal 2018.</w:t>
      </w:r>
    </w:p>
    <w:p>
      <w:pPr>
        <w:spacing w:after="0" w:line="1" w:lineRule="exact"/>
        <w:rPr>
          <w:rFonts w:ascii="Arial" w:cs="Arial" w:eastAsia="Arial" w:hAnsi="Arial"/>
          <w:sz w:val="13"/>
          <w:szCs w:val="13"/>
          <w:color w:val="auto"/>
        </w:rPr>
      </w:pPr>
    </w:p>
    <w:p>
      <w:pPr>
        <w:ind w:left="340" w:hanging="332"/>
        <w:spacing w:after="0"/>
        <w:tabs>
          <w:tab w:leader="none" w:pos="340" w:val="left"/>
        </w:tabs>
        <w:numPr>
          <w:ilvl w:val="0"/>
          <w:numId w:val="51"/>
        </w:numPr>
        <w:rPr>
          <w:rFonts w:ascii="Arial" w:cs="Arial" w:eastAsia="Arial" w:hAnsi="Arial"/>
          <w:sz w:val="13"/>
          <w:szCs w:val="13"/>
          <w:color w:val="auto"/>
        </w:rPr>
      </w:pPr>
      <w:r>
        <w:rPr>
          <w:rFonts w:ascii="Arial" w:cs="Arial" w:eastAsia="Arial" w:hAnsi="Arial"/>
          <w:sz w:val="14"/>
          <w:szCs w:val="14"/>
          <w:color w:val="auto"/>
        </w:rPr>
        <w:t>Retirement under certain of the 2014 Plan award agreements is defined as attaining age 60 and five or more years of service with the Company.</w:t>
      </w:r>
    </w:p>
    <w:p>
      <w:pPr>
        <w:spacing w:after="0" w:line="1" w:lineRule="exact"/>
        <w:rPr>
          <w:rFonts w:ascii="Arial" w:cs="Arial" w:eastAsia="Arial" w:hAnsi="Arial"/>
          <w:sz w:val="13"/>
          <w:szCs w:val="13"/>
          <w:color w:val="auto"/>
        </w:rPr>
      </w:pPr>
    </w:p>
    <w:p>
      <w:pPr>
        <w:jc w:val="both"/>
        <w:ind w:left="340" w:hanging="332"/>
        <w:spacing w:after="0" w:line="250" w:lineRule="auto"/>
        <w:tabs>
          <w:tab w:leader="none" w:pos="340" w:val="left"/>
        </w:tabs>
        <w:numPr>
          <w:ilvl w:val="0"/>
          <w:numId w:val="51"/>
        </w:numPr>
        <w:rPr>
          <w:rFonts w:ascii="Arial" w:cs="Arial" w:eastAsia="Arial" w:hAnsi="Arial"/>
          <w:sz w:val="14"/>
          <w:szCs w:val="14"/>
          <w:color w:val="auto"/>
        </w:rPr>
      </w:pPr>
      <w:r>
        <w:rPr>
          <w:rFonts w:ascii="Arial" w:cs="Arial" w:eastAsia="Arial" w:hAnsi="Arial"/>
          <w:sz w:val="14"/>
          <w:szCs w:val="14"/>
          <w:color w:val="auto"/>
        </w:rPr>
        <w:t>The term "Change of Control" as used here is the term as defined in the 2014 Plan applicable to all awards granted prior to the Fiscal 2019 equity awards. Beginning with our Fiscal 2019 equity awards, under the 2019 Plan, the definition of Change in Control will be updated to include, among other things, a double trigger mechanism, as described further under "Change in Control Definitions and Triggers" on page 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144780</wp:posOffset>
            </wp:positionV>
            <wp:extent cx="7272020" cy="4254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359" w:lineRule="exact"/>
        <w:rPr>
          <w:sz w:val="20"/>
          <w:szCs w:val="20"/>
          <w:color w:val="auto"/>
        </w:rPr>
      </w:pPr>
    </w:p>
    <w:p>
      <w:pPr>
        <w:spacing w:after="0"/>
        <w:rPr>
          <w:sz w:val="20"/>
          <w:szCs w:val="20"/>
          <w:color w:val="auto"/>
        </w:rPr>
      </w:pPr>
      <w:r>
        <w:rPr>
          <w:rFonts w:ascii="Arial" w:cs="Arial" w:eastAsia="Arial" w:hAnsi="Arial"/>
          <w:sz w:val="29"/>
          <w:szCs w:val="29"/>
          <w:color w:val="BF2115"/>
        </w:rPr>
        <w:t>CEO Pay Ratio Disclosure</w:t>
      </w:r>
    </w:p>
    <w:p>
      <w:pPr>
        <w:spacing w:after="0" w:line="200" w:lineRule="exact"/>
        <w:rPr>
          <w:sz w:val="20"/>
          <w:szCs w:val="20"/>
          <w:color w:val="auto"/>
        </w:rPr>
      </w:pPr>
    </w:p>
    <w:p>
      <w:pPr>
        <w:spacing w:after="0" w:line="215" w:lineRule="exact"/>
        <w:rPr>
          <w:sz w:val="20"/>
          <w:szCs w:val="20"/>
          <w:color w:val="auto"/>
        </w:rPr>
      </w:pPr>
    </w:p>
    <w:p>
      <w:pPr>
        <w:spacing w:after="0" w:line="253" w:lineRule="auto"/>
        <w:rPr>
          <w:sz w:val="20"/>
          <w:szCs w:val="20"/>
          <w:color w:val="auto"/>
        </w:rPr>
      </w:pPr>
      <w:r>
        <w:rPr>
          <w:rFonts w:ascii="Arial" w:cs="Arial" w:eastAsia="Arial" w:hAnsi="Arial"/>
          <w:sz w:val="16"/>
          <w:szCs w:val="16"/>
          <w:color w:val="auto"/>
        </w:rPr>
        <w:t>As a result of rules adopted by the SEC under the Dodd-Frank Act, beginning for fiscal years starting January 1, 2017, the SEC requires disclosure of the ratio of the median employee’s annual total compensation to that of the principal executive officer (“PEO”). The Company’s PEO is Mr. Happe, our President and CEO.</w:t>
      </w:r>
    </w:p>
    <w:p>
      <w:pPr>
        <w:spacing w:after="0" w:line="174" w:lineRule="exact"/>
        <w:rPr>
          <w:sz w:val="20"/>
          <w:szCs w:val="20"/>
          <w:color w:val="auto"/>
        </w:rPr>
      </w:pPr>
    </w:p>
    <w:p>
      <w:pPr>
        <w:ind w:right="80"/>
        <w:spacing w:after="0" w:line="260" w:lineRule="auto"/>
        <w:rPr>
          <w:sz w:val="20"/>
          <w:szCs w:val="20"/>
          <w:color w:val="auto"/>
        </w:rPr>
      </w:pPr>
      <w:r>
        <w:rPr>
          <w:rFonts w:ascii="Arial" w:cs="Arial" w:eastAsia="Arial" w:hAnsi="Arial"/>
          <w:sz w:val="16"/>
          <w:szCs w:val="16"/>
          <w:color w:val="auto"/>
        </w:rPr>
        <w:t>As of our measurement date of August 25, 2018, our employee population including all full-time, part-time and temporary workers, consisted of approximately 5,965 individuals, all of whom worked in the United States.</w:t>
      </w:r>
    </w:p>
    <w:p>
      <w:pPr>
        <w:spacing w:after="0" w:line="182" w:lineRule="exact"/>
        <w:rPr>
          <w:sz w:val="20"/>
          <w:szCs w:val="20"/>
          <w:color w:val="auto"/>
        </w:rPr>
      </w:pPr>
    </w:p>
    <w:p>
      <w:pPr>
        <w:ind w:right="540"/>
        <w:spacing w:after="0" w:line="246" w:lineRule="auto"/>
        <w:rPr>
          <w:sz w:val="20"/>
          <w:szCs w:val="20"/>
          <w:color w:val="auto"/>
        </w:rPr>
      </w:pPr>
      <w:r>
        <w:rPr>
          <w:rFonts w:ascii="Arial" w:cs="Arial" w:eastAsia="Arial" w:hAnsi="Arial"/>
          <w:sz w:val="16"/>
          <w:szCs w:val="16"/>
          <w:color w:val="auto"/>
        </w:rPr>
        <w:t>To identify the median employee, as well as determine the annual total compensation of the median employee, we used the following methodology and consistently applied material assumptions, adjustments and estimates.</w:t>
      </w:r>
    </w:p>
    <w:p>
      <w:pPr>
        <w:spacing w:after="0" w:line="1" w:lineRule="exact"/>
        <w:rPr>
          <w:sz w:val="20"/>
          <w:szCs w:val="20"/>
          <w:color w:val="auto"/>
        </w:rPr>
      </w:pPr>
    </w:p>
    <w:p>
      <w:pPr>
        <w:ind w:left="660" w:right="40" w:hanging="328"/>
        <w:spacing w:after="0" w:line="246" w:lineRule="auto"/>
        <w:tabs>
          <w:tab w:leader="none" w:pos="660" w:val="left"/>
        </w:tabs>
        <w:numPr>
          <w:ilvl w:val="0"/>
          <w:numId w:val="52"/>
        </w:numPr>
        <w:rPr>
          <w:rFonts w:ascii="Arial" w:cs="Arial" w:eastAsia="Arial" w:hAnsi="Arial"/>
          <w:sz w:val="16"/>
          <w:szCs w:val="16"/>
          <w:color w:val="auto"/>
        </w:rPr>
      </w:pPr>
      <w:r>
        <w:rPr>
          <w:rFonts w:ascii="Arial" w:cs="Arial" w:eastAsia="Arial" w:hAnsi="Arial"/>
          <w:sz w:val="16"/>
          <w:szCs w:val="16"/>
          <w:color w:val="auto"/>
        </w:rPr>
        <w:t>We compared the payroll data for our employee population described above (minus our PEO) using a compensation measure consisting of base pay related wages paid during Fiscal 2018. Base pay related wages includes the amount of base salary the employee received during the year and all other pay elements related to base pay including, but not limited to holiday pay, paid time off, overtime and shift differentials. We did not include cash bonuses, commissions, equity grants or any adjustments for the value of benefits provided.</w:t>
      </w:r>
    </w:p>
    <w:p>
      <w:pPr>
        <w:spacing w:after="0" w:line="1" w:lineRule="exact"/>
        <w:rPr>
          <w:rFonts w:ascii="Arial" w:cs="Arial" w:eastAsia="Arial" w:hAnsi="Arial"/>
          <w:sz w:val="16"/>
          <w:szCs w:val="16"/>
          <w:color w:val="auto"/>
        </w:rPr>
      </w:pPr>
    </w:p>
    <w:p>
      <w:pPr>
        <w:ind w:left="660" w:right="320" w:hanging="328"/>
        <w:spacing w:after="0" w:line="246" w:lineRule="auto"/>
        <w:tabs>
          <w:tab w:leader="none" w:pos="660" w:val="left"/>
        </w:tabs>
        <w:numPr>
          <w:ilvl w:val="0"/>
          <w:numId w:val="52"/>
        </w:numPr>
        <w:rPr>
          <w:rFonts w:ascii="Arial" w:cs="Arial" w:eastAsia="Arial" w:hAnsi="Arial"/>
          <w:sz w:val="16"/>
          <w:szCs w:val="16"/>
          <w:color w:val="auto"/>
        </w:rPr>
      </w:pPr>
      <w:r>
        <w:rPr>
          <w:rFonts w:ascii="Arial" w:cs="Arial" w:eastAsia="Arial" w:hAnsi="Arial"/>
          <w:sz w:val="16"/>
          <w:szCs w:val="16"/>
          <w:color w:val="auto"/>
        </w:rPr>
        <w:t>We annualized the base pay related wages of all full-time and part-time employees who were hired by the Company and its subsidiaries between August 26, 2017 and August 25, 2018.</w:t>
      </w:r>
    </w:p>
    <w:p>
      <w:pPr>
        <w:ind w:left="660" w:hanging="328"/>
        <w:spacing w:after="0"/>
        <w:tabs>
          <w:tab w:leader="none" w:pos="660" w:val="left"/>
        </w:tabs>
        <w:numPr>
          <w:ilvl w:val="0"/>
          <w:numId w:val="52"/>
        </w:numPr>
        <w:rPr>
          <w:rFonts w:ascii="Arial" w:cs="Arial" w:eastAsia="Arial" w:hAnsi="Arial"/>
          <w:sz w:val="16"/>
          <w:szCs w:val="16"/>
          <w:color w:val="auto"/>
        </w:rPr>
      </w:pPr>
      <w:r>
        <w:rPr>
          <w:rFonts w:ascii="Arial" w:cs="Arial" w:eastAsia="Arial" w:hAnsi="Arial"/>
          <w:sz w:val="16"/>
          <w:szCs w:val="16"/>
          <w:color w:val="auto"/>
        </w:rPr>
        <w:t>Based upon base pay related wages of each employee, we identified a median employee and calculated that employee’s annual total compensation.</w:t>
      </w:r>
    </w:p>
    <w:p>
      <w:pPr>
        <w:spacing w:after="0" w:line="5" w:lineRule="exact"/>
        <w:rPr>
          <w:rFonts w:ascii="Arial" w:cs="Arial" w:eastAsia="Arial" w:hAnsi="Arial"/>
          <w:sz w:val="16"/>
          <w:szCs w:val="16"/>
          <w:color w:val="auto"/>
        </w:rPr>
      </w:pPr>
    </w:p>
    <w:p>
      <w:pPr>
        <w:ind w:left="660" w:right="440" w:hanging="328"/>
        <w:spacing w:after="0" w:line="260" w:lineRule="auto"/>
        <w:tabs>
          <w:tab w:leader="none" w:pos="660" w:val="left"/>
        </w:tabs>
        <w:numPr>
          <w:ilvl w:val="0"/>
          <w:numId w:val="52"/>
        </w:numPr>
        <w:rPr>
          <w:rFonts w:ascii="Arial" w:cs="Arial" w:eastAsia="Arial" w:hAnsi="Arial"/>
          <w:sz w:val="16"/>
          <w:szCs w:val="16"/>
          <w:color w:val="auto"/>
        </w:rPr>
      </w:pPr>
      <w:r>
        <w:rPr>
          <w:rFonts w:ascii="Arial" w:cs="Arial" w:eastAsia="Arial" w:hAnsi="Arial"/>
          <w:sz w:val="16"/>
          <w:szCs w:val="16"/>
          <w:color w:val="auto"/>
        </w:rPr>
        <w:t>We determined annual total compensation, including any perquisites and other benefits, in the same manner that we determine the annual total compensation of our PEO for purposes of the Summary Compensation Table disclosed below.</w:t>
      </w:r>
    </w:p>
    <w:p>
      <w:pPr>
        <w:spacing w:after="0" w:line="169" w:lineRule="exact"/>
        <w:rPr>
          <w:sz w:val="20"/>
          <w:szCs w:val="20"/>
          <w:color w:val="auto"/>
        </w:rPr>
      </w:pPr>
    </w:p>
    <w:p>
      <w:pPr>
        <w:spacing w:after="0"/>
        <w:rPr>
          <w:sz w:val="20"/>
          <w:szCs w:val="20"/>
          <w:color w:val="auto"/>
        </w:rPr>
      </w:pPr>
      <w:r>
        <w:rPr>
          <w:rFonts w:ascii="Arial" w:cs="Arial" w:eastAsia="Arial" w:hAnsi="Arial"/>
          <w:sz w:val="16"/>
          <w:szCs w:val="16"/>
          <w:color w:val="auto"/>
        </w:rPr>
        <w:t>This resulted in the median employee’s annual total compensation as shown below.</w:t>
      </w:r>
    </w:p>
    <w:p>
      <w:pPr>
        <w:spacing w:after="0" w:line="194" w:lineRule="exact"/>
        <w:rPr>
          <w:sz w:val="20"/>
          <w:szCs w:val="20"/>
          <w:color w:val="auto"/>
        </w:rPr>
      </w:pPr>
    </w:p>
    <w:p>
      <w:pPr>
        <w:ind w:left="660"/>
        <w:spacing w:after="0"/>
        <w:tabs>
          <w:tab w:leader="none" w:pos="4360" w:val="left"/>
        </w:tabs>
        <w:rPr>
          <w:sz w:val="20"/>
          <w:szCs w:val="20"/>
          <w:color w:val="auto"/>
        </w:rPr>
      </w:pPr>
      <w:r>
        <w:rPr>
          <w:rFonts w:ascii="Arial" w:cs="Arial" w:eastAsia="Arial" w:hAnsi="Arial"/>
          <w:sz w:val="16"/>
          <w:szCs w:val="16"/>
          <w:color w:val="auto"/>
        </w:rPr>
        <w:t>Annual Total Compensation of Median Employee:</w:t>
        <w:tab/>
        <w:t>$33,925</w:t>
      </w:r>
    </w:p>
    <w:p>
      <w:pPr>
        <w:spacing w:after="0" w:line="194" w:lineRule="exact"/>
        <w:rPr>
          <w:sz w:val="20"/>
          <w:szCs w:val="20"/>
          <w:color w:val="auto"/>
        </w:rPr>
      </w:pPr>
    </w:p>
    <w:p>
      <w:pPr>
        <w:ind w:left="660"/>
        <w:spacing w:after="0"/>
        <w:tabs>
          <w:tab w:leader="none" w:pos="4320" w:val="left"/>
        </w:tabs>
        <w:rPr>
          <w:sz w:val="20"/>
          <w:szCs w:val="20"/>
          <w:color w:val="auto"/>
        </w:rPr>
      </w:pPr>
      <w:r>
        <w:rPr>
          <w:rFonts w:ascii="Arial" w:cs="Arial" w:eastAsia="Arial" w:hAnsi="Arial"/>
          <w:sz w:val="16"/>
          <w:szCs w:val="16"/>
          <w:color w:val="auto"/>
        </w:rPr>
        <w:t>Annual Total Compensation of PEO (Mr. Happe):</w:t>
      </w:r>
      <w:r>
        <w:rPr>
          <w:sz w:val="20"/>
          <w:szCs w:val="20"/>
          <w:color w:val="auto"/>
        </w:rPr>
        <w:tab/>
      </w:r>
      <w:r>
        <w:rPr>
          <w:rFonts w:ascii="Arial" w:cs="Arial" w:eastAsia="Arial" w:hAnsi="Arial"/>
          <w:sz w:val="15"/>
          <w:szCs w:val="15"/>
          <w:color w:val="auto"/>
        </w:rPr>
        <w:t>$3,213,673</w:t>
      </w:r>
    </w:p>
    <w:p>
      <w:pPr>
        <w:spacing w:after="0" w:line="194" w:lineRule="exact"/>
        <w:rPr>
          <w:sz w:val="20"/>
          <w:szCs w:val="20"/>
          <w:color w:val="auto"/>
        </w:rPr>
      </w:pPr>
    </w:p>
    <w:p>
      <w:pPr>
        <w:ind w:right="180"/>
        <w:spacing w:after="0" w:line="260" w:lineRule="auto"/>
        <w:rPr>
          <w:sz w:val="20"/>
          <w:szCs w:val="20"/>
          <w:color w:val="auto"/>
        </w:rPr>
      </w:pPr>
      <w:r>
        <w:rPr>
          <w:rFonts w:ascii="Arial" w:cs="Arial" w:eastAsia="Arial" w:hAnsi="Arial"/>
          <w:sz w:val="16"/>
          <w:szCs w:val="16"/>
          <w:color w:val="auto"/>
        </w:rPr>
        <w:t>Based on this information for Fiscal 2018, we reasonably estimate that the ratio of our CEO’s annual total compensation to the annual total compensation of our median employee was 95 to 1. Our pay ratio estimate has been calculated in a manner consistent with Item 402(u) of Regulation S-K.</w:t>
      </w:r>
    </w:p>
    <w:p>
      <w:pPr>
        <w:spacing w:after="0" w:line="169" w:lineRule="exact"/>
        <w:rPr>
          <w:sz w:val="20"/>
          <w:szCs w:val="20"/>
          <w:color w:val="auto"/>
        </w:rPr>
      </w:pPr>
    </w:p>
    <w:p>
      <w:pPr>
        <w:jc w:val="both"/>
        <w:ind w:right="240"/>
        <w:spacing w:after="0" w:line="253" w:lineRule="auto"/>
        <w:rPr>
          <w:sz w:val="20"/>
          <w:szCs w:val="20"/>
          <w:color w:val="auto"/>
        </w:rPr>
      </w:pPr>
      <w:r>
        <w:rPr>
          <w:rFonts w:ascii="Arial" w:cs="Arial" w:eastAsia="Arial" w:hAnsi="Arial"/>
          <w:sz w:val="16"/>
          <w:szCs w:val="16"/>
          <w:color w:val="auto"/>
        </w:rPr>
        <w:t>The SEC’s rules for identifying the median compensated employee and calculating the pay ratio based on that employee’s annual total compensation allow companies to adopt a variety of methodologies, to apply certain exclusions, and to make reasonable estimates and assumptions that reflect their employee populations and compensation practices. As a result, the pay ratio reported by other companies may not be comparable to our pay ratio reported above.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165735</wp:posOffset>
            </wp:positionV>
            <wp:extent cx="7272020" cy="4254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ind w:right="-79"/>
        <w:spacing w:after="0"/>
        <w:rPr>
          <w:sz w:val="20"/>
          <w:szCs w:val="20"/>
          <w:color w:val="auto"/>
        </w:rPr>
      </w:pPr>
      <w:r>
        <w:rPr>
          <w:rFonts w:ascii="Arial" w:cs="Arial" w:eastAsia="Arial" w:hAnsi="Arial"/>
          <w:sz w:val="16"/>
          <w:szCs w:val="16"/>
          <w:color w:val="auto"/>
        </w:rPr>
        <w:t>35</w:t>
      </w:r>
    </w:p>
    <w:p>
      <w:pPr>
        <w:sectPr>
          <w:pgSz w:w="11900" w:h="16838" w:orient="portrait"/>
          <w:cols w:equalWidth="0" w:num="1">
            <w:col w:w="11340"/>
          </w:cols>
          <w:pgMar w:left="240" w:top="303" w:right="319" w:bottom="1440" w:gutter="0" w:footer="0" w:header="0"/>
        </w:sectPr>
      </w:pPr>
    </w:p>
    <w:bookmarkStart w:id="39" w:name="page40"/>
    <w:bookmarkEnd w:id="39"/>
    <w:p>
      <w:pPr>
        <w:ind w:left="40"/>
        <w:spacing w:after="0"/>
        <w:rPr>
          <w:rFonts w:ascii="Arial" w:cs="Arial" w:eastAsia="Arial" w:hAnsi="Arial"/>
          <w:sz w:val="15"/>
          <w:szCs w:val="15"/>
          <w:u w:val="single" w:color="auto"/>
          <w:color w:val="0000EE"/>
        </w:rPr>
      </w:pPr>
      <w:r>
        <w:rPr>
          <w:rFonts w:ascii="Arial" w:cs="Arial" w:eastAsia="Arial" w:hAnsi="Arial"/>
          <w:sz w:val="15"/>
          <w:szCs w:val="15"/>
          <w:u w:val="single" w:color="auto"/>
          <w:color w:val="0000EE"/>
        </w:rPr>
        <w:drawing>
          <wp:anchor simplePos="0" relativeHeight="251657728" behindDoc="1" locked="0" layoutInCell="0" allowOverlap="1">
            <wp:simplePos x="0" y="0"/>
            <wp:positionH relativeFrom="page">
              <wp:posOffset>5946140</wp:posOffset>
            </wp:positionH>
            <wp:positionV relativeFrom="page">
              <wp:posOffset>191770</wp:posOffset>
            </wp:positionV>
            <wp:extent cx="1440815" cy="20574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clrChange>
                        <a:clrFrom>
                          <a:srgbClr val="FFFFFF"/>
                        </a:clrFrom>
                        <a:clrTo>
                          <a:srgbClr val="FFFFFF">
                            <a:alpha val="0"/>
                          </a:srgbClr>
                        </a:clrTo>
                      </a:clrChange>
                      <a:extLst>
                        <a:ext uri="{28A0092B-C50C-407E-A947-70E740481C1C}"/>
                      </a:extLst>
                    </a:blip>
                    <a:srcRect/>
                    <a:stretch>
                      <a:fillRect/>
                    </a:stretch>
                  </pic:blipFill>
                  <pic:spPr bwMode="auto">
                    <a:xfrm>
                      <a:off x="0" y="0"/>
                      <a:ext cx="1440815" cy="205740"/>
                    </a:xfrm>
                    <a:prstGeom prst="rect">
                      <a:avLst/>
                    </a:prstGeom>
                    <a:noFill/>
                  </pic:spPr>
                </pic:pic>
              </a:graphicData>
            </a:graphic>
          </wp:anchor>
        </w:drawing>
      </w:r>
      <w:hyperlink w:anchor="page4">
        <w:r>
          <w:rPr>
            <w:rFonts w:ascii="Arial" w:cs="Arial" w:eastAsia="Arial" w:hAnsi="Arial"/>
            <w:sz w:val="15"/>
            <w:szCs w:val="15"/>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112395</wp:posOffset>
            </wp:positionV>
            <wp:extent cx="7246620" cy="889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303" w:right="239" w:bottom="1440" w:gutter="0" w:footer="0" w:header="0"/>
        </w:sectPr>
      </w:pPr>
    </w:p>
    <w:p>
      <w:pPr>
        <w:spacing w:after="0" w:line="393" w:lineRule="exact"/>
        <w:rPr>
          <w:sz w:val="20"/>
          <w:szCs w:val="20"/>
          <w:color w:val="auto"/>
        </w:rPr>
      </w:pPr>
    </w:p>
    <w:p>
      <w:pPr>
        <w:ind w:right="320"/>
        <w:spacing w:after="0" w:line="296" w:lineRule="auto"/>
        <w:rPr>
          <w:sz w:val="20"/>
          <w:szCs w:val="20"/>
          <w:color w:val="auto"/>
        </w:rPr>
      </w:pPr>
      <w:r>
        <w:rPr>
          <w:rFonts w:ascii="Arial" w:cs="Arial" w:eastAsia="Arial" w:hAnsi="Arial"/>
          <w:sz w:val="28"/>
          <w:szCs w:val="28"/>
          <w:b w:val="1"/>
          <w:bCs w:val="1"/>
          <w:color w:val="BF2115"/>
        </w:rPr>
        <w:t>Item 2: Approval of Executive Compensation (the "Say on Pay" Vote)</w:t>
      </w:r>
    </w:p>
    <w:p>
      <w:pPr>
        <w:spacing w:after="0" w:line="193" w:lineRule="exact"/>
        <w:rPr>
          <w:sz w:val="20"/>
          <w:szCs w:val="20"/>
          <w:color w:val="auto"/>
        </w:rPr>
      </w:pPr>
    </w:p>
    <w:p>
      <w:pPr>
        <w:ind w:right="40"/>
        <w:spacing w:after="0" w:line="248" w:lineRule="auto"/>
        <w:rPr>
          <w:sz w:val="20"/>
          <w:szCs w:val="20"/>
          <w:color w:val="auto"/>
        </w:rPr>
      </w:pPr>
      <w:r>
        <w:rPr>
          <w:rFonts w:ascii="Arial" w:cs="Arial" w:eastAsia="Arial" w:hAnsi="Arial"/>
          <w:sz w:val="16"/>
          <w:szCs w:val="16"/>
          <w:color w:val="auto"/>
        </w:rPr>
        <w:t>The Dodd-Frank Wall Street Reform and Consumer Protection Act requires the Board to provide our shareholders with the opportunity to vote, on a non-binding, advisory basis, on the compensation of our NEOs as set forth in this Proxy Statement in accordance with the compensation disclosure rules of the SEC. This proposal is also referred to as the "Say on Pay" vote. At the 2017 Annual Meeting, the shareholders determined that the Say on Pay vote would be held annually.</w:t>
      </w:r>
    </w:p>
    <w:p>
      <w:pPr>
        <w:spacing w:after="0" w:line="182" w:lineRule="exact"/>
        <w:rPr>
          <w:sz w:val="20"/>
          <w:szCs w:val="20"/>
          <w:color w:val="auto"/>
        </w:rPr>
      </w:pPr>
    </w:p>
    <w:p>
      <w:pPr>
        <w:ind w:right="120"/>
        <w:spacing w:after="0" w:line="248" w:lineRule="auto"/>
        <w:rPr>
          <w:sz w:val="20"/>
          <w:szCs w:val="20"/>
          <w:color w:val="auto"/>
        </w:rPr>
      </w:pPr>
      <w:r>
        <w:rPr>
          <w:rFonts w:ascii="Arial" w:cs="Arial" w:eastAsia="Arial" w:hAnsi="Arial"/>
          <w:sz w:val="16"/>
          <w:szCs w:val="16"/>
          <w:color w:val="auto"/>
        </w:rPr>
        <w:t>As described in the “Compensation Discussion and Analysis” section of this Proxy Statement, the primary objectives of our executive compensation programs are to attract and retain key executives critical to us; to align the interests of our Management with those of our shareholders; to integrate compensation with our business plans; and to reward for both business and individual performance, whereby a substantial portion of each executive officer's total compensation potential is a function of performance incentives. The Board believes the compensation of the NEOs outlined in the Proxy Statement is appropriate based upon the performance of the Company.</w:t>
      </w:r>
    </w:p>
    <w:p>
      <w:pPr>
        <w:spacing w:after="0" w:line="180" w:lineRule="exact"/>
        <w:rPr>
          <w:sz w:val="20"/>
          <w:szCs w:val="20"/>
          <w:color w:val="auto"/>
        </w:rPr>
      </w:pPr>
    </w:p>
    <w:p>
      <w:pPr>
        <w:spacing w:after="0" w:line="251" w:lineRule="auto"/>
        <w:rPr>
          <w:sz w:val="20"/>
          <w:szCs w:val="20"/>
          <w:color w:val="auto"/>
        </w:rPr>
      </w:pPr>
      <w:r>
        <w:rPr>
          <w:rFonts w:ascii="Arial" w:cs="Arial" w:eastAsia="Arial" w:hAnsi="Arial"/>
          <w:sz w:val="16"/>
          <w:szCs w:val="16"/>
          <w:color w:val="auto"/>
        </w:rPr>
        <w:t>While the Board of Directors and especially the Human Resources Committee intend to carefully consider the results of the voting on this proposal when making future decisions regarding executive compensation, the vote is not binding on the Company or the Board and is advisory in nature.</w:t>
      </w:r>
    </w:p>
    <w:p>
      <w:pPr>
        <w:spacing w:after="0" w:line="181" w:lineRule="exact"/>
        <w:rPr>
          <w:sz w:val="20"/>
          <w:szCs w:val="20"/>
          <w:color w:val="auto"/>
        </w:rPr>
      </w:pPr>
    </w:p>
    <w:p>
      <w:pPr>
        <w:ind w:right="60"/>
        <w:spacing w:after="0" w:line="244" w:lineRule="auto"/>
        <w:rPr>
          <w:sz w:val="20"/>
          <w:szCs w:val="20"/>
          <w:color w:val="auto"/>
        </w:rPr>
      </w:pPr>
      <w:r>
        <w:rPr>
          <w:rFonts w:ascii="Arial" w:cs="Arial" w:eastAsia="Arial" w:hAnsi="Arial"/>
          <w:sz w:val="22"/>
          <w:szCs w:val="22"/>
          <w:color w:val="828282"/>
        </w:rPr>
        <w:t>YOUR BOARD OF DIRECTORS UNANIMOUSLY RECOMMENDS VOTING, ON A NON-BINDING, ADVISORY BASIS, FOR APPROVAL OF THE EXECUTIVE COMPENSATION AS OUTLINED IN THE PROXY STATEMENT FOR THE REASONS DISCUSSED ABOVE.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49530</wp:posOffset>
            </wp:positionV>
            <wp:extent cx="3575685" cy="4254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3575685" cy="425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373" w:lineRule="exact"/>
        <w:rPr>
          <w:sz w:val="20"/>
          <w:szCs w:val="20"/>
          <w:color w:val="auto"/>
        </w:rPr>
      </w:pPr>
    </w:p>
    <w:p>
      <w:pPr>
        <w:ind w:right="420"/>
        <w:spacing w:after="0" w:line="278" w:lineRule="auto"/>
        <w:rPr>
          <w:sz w:val="20"/>
          <w:szCs w:val="20"/>
          <w:color w:val="auto"/>
        </w:rPr>
      </w:pPr>
      <w:r>
        <w:rPr>
          <w:rFonts w:ascii="Arial" w:cs="Arial" w:eastAsia="Arial" w:hAnsi="Arial"/>
          <w:sz w:val="29"/>
          <w:szCs w:val="29"/>
          <w:b w:val="1"/>
          <w:bCs w:val="1"/>
          <w:color w:val="BF2115"/>
        </w:rPr>
        <w:t>Item 3: Approval of the 2019 Omnibus Incentive Plan</w:t>
      </w:r>
    </w:p>
    <w:p>
      <w:pPr>
        <w:spacing w:after="0" w:line="396" w:lineRule="exact"/>
        <w:rPr>
          <w:sz w:val="20"/>
          <w:szCs w:val="20"/>
          <w:color w:val="auto"/>
        </w:rPr>
      </w:pPr>
    </w:p>
    <w:p>
      <w:pPr>
        <w:spacing w:after="0"/>
        <w:rPr>
          <w:sz w:val="20"/>
          <w:szCs w:val="20"/>
          <w:color w:val="auto"/>
        </w:rPr>
      </w:pPr>
      <w:r>
        <w:rPr>
          <w:rFonts w:ascii="Arial" w:cs="Arial" w:eastAsia="Arial" w:hAnsi="Arial"/>
          <w:sz w:val="22"/>
          <w:szCs w:val="22"/>
          <w:color w:val="828282"/>
        </w:rPr>
        <w:t>Introduction</w:t>
      </w:r>
    </w:p>
    <w:p>
      <w:pPr>
        <w:spacing w:after="0" w:line="188"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auto"/>
        </w:rPr>
        <w:t>On October 16, 2018, our Board of Directors, at the recommendation of our Human Resources Committee (the “Committee”), approved the Winnebago Industries, Inc. 2019 Omnibus Incentive Plan (the “2019 Plan”), subject to approval by our shareholders at the 2018 Annual Meeting. The 2019 Plan will become effective on the date it is approved by our shareholders, and will replace the 2014 Omnibus Equity, Performance Award and Incentive Compensation Plan (the “2014 Plan”). We do not grant any equity awards under any plan other than the 2014 Plan and our Directors’ Deferred Compensation Plan (the "Directors' Plan").</w:t>
      </w:r>
    </w:p>
    <w:p>
      <w:pPr>
        <w:spacing w:after="0" w:line="180"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auto"/>
        </w:rPr>
        <w:t>After the 2019 Plan becomes effective upon approval by our shareholders, no new awards will be made under the 2014 Plan. The number of shares of our Common Stock that may be the subject of awards and issued under the 2019 Plan is 4,100,000, plus the shares subject to any awards outstanding under the 2014 Plan and our predecessor plan, the 2004 Incentive Compensation Plan (the “2004 Plan”), as of the date the 2019 Plan becomes effective that subsequently expire, are forfeited or canceled or are settled for cash. Until such time, however, awards under the 2014 Plan and the 2004 Plan, respectively, that are outstanding on the date the 2019 Plan becomes effective will continue to be subject to the terms of the 2014 Plan or 2004 Plan, as applicable.</w:t>
      </w:r>
    </w:p>
    <w:p>
      <w:pPr>
        <w:spacing w:after="0" w:line="178" w:lineRule="exact"/>
        <w:rPr>
          <w:sz w:val="20"/>
          <w:szCs w:val="20"/>
          <w:color w:val="auto"/>
        </w:rPr>
      </w:pPr>
    </w:p>
    <w:p>
      <w:pPr>
        <w:jc w:val="both"/>
        <w:spacing w:after="0" w:line="249" w:lineRule="auto"/>
        <w:rPr>
          <w:sz w:val="20"/>
          <w:szCs w:val="20"/>
          <w:color w:val="auto"/>
        </w:rPr>
      </w:pPr>
      <w:r>
        <w:rPr>
          <w:rFonts w:ascii="Arial" w:cs="Arial" w:eastAsia="Arial" w:hAnsi="Arial"/>
          <w:sz w:val="16"/>
          <w:szCs w:val="16"/>
          <w:color w:val="auto"/>
        </w:rPr>
        <w:t>As of August 25, 2018, a total of 469,704 shares were subject to outstanding awards under the 2014 Plan, and 9,000 shares were subject to outstanding awards under the 2004 Plan. As of the same date, 1,677,481 shares in the aggregate were available for future awards under the 2014 Plan. Any shares remaining available for future awards under the 2014 Plan as of the effective date of the 2019 Plan will not be carried over into the 2019 Plan.</w:t>
      </w:r>
    </w:p>
    <w:p>
      <w:pPr>
        <w:spacing w:after="0" w:line="183" w:lineRule="exact"/>
        <w:rPr>
          <w:sz w:val="20"/>
          <w:szCs w:val="20"/>
          <w:color w:val="auto"/>
        </w:rPr>
      </w:pPr>
    </w:p>
    <w:p>
      <w:pPr>
        <w:ind w:right="1280"/>
        <w:spacing w:after="0" w:line="249" w:lineRule="auto"/>
        <w:rPr>
          <w:sz w:val="20"/>
          <w:szCs w:val="20"/>
          <w:color w:val="auto"/>
        </w:rPr>
      </w:pPr>
      <w:r>
        <w:rPr>
          <w:rFonts w:ascii="Arial" w:cs="Arial" w:eastAsia="Arial" w:hAnsi="Arial"/>
          <w:sz w:val="22"/>
          <w:szCs w:val="22"/>
          <w:color w:val="828282"/>
        </w:rPr>
        <w:t>Shareholder Approval and Board of Directors Recommendation</w:t>
      </w:r>
    </w:p>
    <w:p>
      <w:pPr>
        <w:spacing w:after="0" w:line="172" w:lineRule="exact"/>
        <w:rPr>
          <w:sz w:val="20"/>
          <w:szCs w:val="20"/>
          <w:color w:val="auto"/>
        </w:rPr>
      </w:pPr>
    </w:p>
    <w:p>
      <w:pPr>
        <w:jc w:val="both"/>
        <w:spacing w:after="0" w:line="251" w:lineRule="auto"/>
        <w:rPr>
          <w:sz w:val="20"/>
          <w:szCs w:val="20"/>
          <w:color w:val="auto"/>
        </w:rPr>
      </w:pPr>
      <w:r>
        <w:rPr>
          <w:rFonts w:ascii="Arial" w:cs="Arial" w:eastAsia="Arial" w:hAnsi="Arial"/>
          <w:sz w:val="16"/>
          <w:szCs w:val="16"/>
          <w:color w:val="auto"/>
        </w:rPr>
        <w:t>Shareholder approval of the 2019 Plan is being sought in order to satisfy the shareholder approval requirements of the NYSE and Internal Revenue Code (as amended, the “Code”) Section 422 to enable options granted under the 2019 Plan to qualify as incentive stock options.</w:t>
      </w:r>
    </w:p>
    <w:p>
      <w:pPr>
        <w:spacing w:after="0" w:line="156" w:lineRule="exact"/>
        <w:rPr>
          <w:sz w:val="20"/>
          <w:szCs w:val="20"/>
          <w:color w:val="auto"/>
        </w:rPr>
      </w:pPr>
    </w:p>
    <w:p>
      <w:pPr>
        <w:jc w:val="both"/>
        <w:spacing w:after="0" w:line="252" w:lineRule="auto"/>
        <w:rPr>
          <w:sz w:val="20"/>
          <w:szCs w:val="20"/>
          <w:color w:val="auto"/>
        </w:rPr>
      </w:pPr>
      <w:r>
        <w:rPr>
          <w:rFonts w:ascii="Arial" w:cs="Arial" w:eastAsia="Arial" w:hAnsi="Arial"/>
          <w:sz w:val="16"/>
          <w:szCs w:val="16"/>
          <w:color w:val="auto"/>
        </w:rPr>
        <w:t xml:space="preserve">Our Board of Directors recommends that our shareholders vote </w:t>
      </w:r>
      <w:r>
        <w:rPr>
          <w:rFonts w:ascii="Arial" w:cs="Arial" w:eastAsia="Arial" w:hAnsi="Arial"/>
          <w:sz w:val="16"/>
          <w:szCs w:val="16"/>
          <w:b w:val="1"/>
          <w:bCs w:val="1"/>
          <w:color w:val="auto"/>
        </w:rPr>
        <w:t>FOR</w:t>
      </w:r>
      <w:r>
        <w:rPr>
          <w:rFonts w:ascii="Arial" w:cs="Arial" w:eastAsia="Arial" w:hAnsi="Arial"/>
          <w:sz w:val="16"/>
          <w:szCs w:val="16"/>
          <w:color w:val="auto"/>
        </w:rPr>
        <w:t xml:space="preserve"> the 2019 Plan because it includes a number of features that we believe are consistent with the interests of our shareholders and sound corporate governance practices. The 2019 Plan also will provide us with a share reserve that will enable us to continue to provide a competitive mix of compensation to our key employees. If the 2019 Plan is not approved by our shareholders, the 2014 Plan will remain in effect and we will remain subject to its existing share reserve.</w:t>
      </w:r>
    </w:p>
    <w:p>
      <w:pPr>
        <w:spacing w:after="0" w:line="200" w:lineRule="exact"/>
        <w:rPr>
          <w:sz w:val="20"/>
          <w:szCs w:val="20"/>
          <w:color w:val="auto"/>
        </w:rPr>
      </w:pPr>
    </w:p>
    <w:p>
      <w:pPr>
        <w:sectPr>
          <w:pgSz w:w="11900" w:h="16838" w:orient="portrait"/>
          <w:cols w:equalWidth="0" w:num="2">
            <w:col w:w="5600" w:space="220"/>
            <w:col w:w="5600"/>
          </w:cols>
          <w:pgMar w:left="240" w:top="303" w:right="2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36</w:t>
      </w:r>
    </w:p>
    <w:p>
      <w:pPr>
        <w:sectPr>
          <w:pgSz w:w="11900" w:h="16838" w:orient="portrait"/>
          <w:cols w:equalWidth="0" w:num="1">
            <w:col w:w="11420"/>
          </w:cols>
          <w:pgMar w:left="240" w:top="303" w:right="239" w:bottom="1440" w:gutter="0" w:footer="0" w:header="0"/>
          <w:type w:val="continuous"/>
        </w:sectPr>
      </w:pPr>
    </w:p>
    <w:bookmarkStart w:id="40" w:name="page41"/>
    <w:bookmarkEnd w:id="40"/>
    <w:p>
      <w:pPr>
        <w:ind w:left="40"/>
        <w:spacing w:after="0"/>
        <w:rPr>
          <w:rFonts w:ascii="Arial" w:cs="Arial" w:eastAsia="Arial" w:hAnsi="Arial"/>
          <w:sz w:val="16"/>
          <w:szCs w:val="16"/>
          <w:u w:val="single" w:color="auto"/>
          <w:color w:val="0000EE"/>
        </w:rPr>
      </w:pPr>
      <w:r>
        <w:rPr>
          <w:rFonts w:ascii="Arial" w:cs="Arial" w:eastAsia="Arial" w:hAnsi="Arial"/>
          <w:sz w:val="16"/>
          <w:szCs w:val="16"/>
          <w:u w:val="single" w:color="auto"/>
          <w:color w:val="0000EE"/>
        </w:rPr>
        <w:drawing>
          <wp:anchor simplePos="0" relativeHeight="251657728" behindDoc="1" locked="0" layoutInCell="0" allowOverlap="1">
            <wp:simplePos x="0" y="0"/>
            <wp:positionH relativeFrom="page">
              <wp:posOffset>5946140</wp:posOffset>
            </wp:positionH>
            <wp:positionV relativeFrom="page">
              <wp:posOffset>191770</wp:posOffset>
            </wp:positionV>
            <wp:extent cx="1440815" cy="20574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clrChange>
                        <a:clrFrom>
                          <a:srgbClr val="FFFFFF"/>
                        </a:clrFrom>
                        <a:clrTo>
                          <a:srgbClr val="FFFFFF">
                            <a:alpha val="0"/>
                          </a:srgbClr>
                        </a:clrTo>
                      </a:clrChange>
                      <a:extLst>
                        <a:ext uri="{28A0092B-C50C-407E-A947-70E740481C1C}"/>
                      </a:extLst>
                    </a:blip>
                    <a:srcRect/>
                    <a:stretch>
                      <a:fillRect/>
                    </a:stretch>
                  </pic:blipFill>
                  <pic:spPr bwMode="auto">
                    <a:xfrm>
                      <a:off x="0" y="0"/>
                      <a:ext cx="1440815" cy="205740"/>
                    </a:xfrm>
                    <a:prstGeom prst="rect">
                      <a:avLst/>
                    </a:prstGeom>
                    <a:noFill/>
                  </pic:spPr>
                </pic:pic>
              </a:graphicData>
            </a:graphic>
          </wp:anchor>
        </w:drawing>
      </w:r>
      <w:hyperlink w:anchor="page4">
        <w:r>
          <w:rPr>
            <w:rFonts w:ascii="Arial" w:cs="Arial" w:eastAsia="Arial" w:hAnsi="Arial"/>
            <w:sz w:val="16"/>
            <w:szCs w:val="16"/>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104775</wp:posOffset>
            </wp:positionV>
            <wp:extent cx="7246620" cy="889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Arial" w:cs="Arial" w:eastAsia="Arial" w:hAnsi="Arial"/>
          <w:sz w:val="22"/>
          <w:szCs w:val="22"/>
          <w:color w:val="828282"/>
        </w:rPr>
        <w:t>Factors Considered in Setting Size of Requested Share Reserve</w:t>
      </w:r>
    </w:p>
    <w:p>
      <w:pPr>
        <w:spacing w:after="0" w:line="188" w:lineRule="exact"/>
        <w:rPr>
          <w:sz w:val="20"/>
          <w:szCs w:val="20"/>
          <w:color w:val="auto"/>
        </w:rPr>
      </w:pPr>
    </w:p>
    <w:p>
      <w:pPr>
        <w:jc w:val="both"/>
        <w:ind w:right="20"/>
        <w:spacing w:after="0" w:line="260" w:lineRule="auto"/>
        <w:rPr>
          <w:sz w:val="20"/>
          <w:szCs w:val="20"/>
          <w:color w:val="auto"/>
        </w:rPr>
      </w:pPr>
      <w:r>
        <w:rPr>
          <w:rFonts w:ascii="Arial" w:cs="Arial" w:eastAsia="Arial" w:hAnsi="Arial"/>
          <w:sz w:val="16"/>
          <w:szCs w:val="16"/>
          <w:color w:val="auto"/>
        </w:rPr>
        <w:t>As of August 25, 2018, there were 31,824,951 shares of our Common Stock issued and outstanding. The closing sale price of a share of our Common Stock on the NYSE on that date was $37.30.</w:t>
      </w:r>
    </w:p>
    <w:p>
      <w:pPr>
        <w:spacing w:after="0" w:line="196" w:lineRule="exact"/>
        <w:rPr>
          <w:sz w:val="20"/>
          <w:szCs w:val="20"/>
          <w:color w:val="auto"/>
        </w:rPr>
      </w:pPr>
    </w:p>
    <w:p>
      <w:pPr>
        <w:jc w:val="both"/>
        <w:ind w:right="20"/>
        <w:spacing w:after="0" w:line="260" w:lineRule="auto"/>
        <w:rPr>
          <w:sz w:val="20"/>
          <w:szCs w:val="20"/>
          <w:color w:val="auto"/>
        </w:rPr>
      </w:pPr>
      <w:r>
        <w:rPr>
          <w:rFonts w:ascii="Arial" w:cs="Arial" w:eastAsia="Arial" w:hAnsi="Arial"/>
          <w:sz w:val="16"/>
          <w:szCs w:val="16"/>
          <w:color w:val="auto"/>
        </w:rPr>
        <w:t>In setting the proposed number of shares reserved and issuable under the 2019 Plan, the Committee and our Board of Directors considered a number of factors as described below.</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color w:val="828282"/>
        </w:rPr>
        <w:t>Awards Outstanding and Shares Available for Grant</w:t>
      </w:r>
    </w:p>
    <w:p>
      <w:pPr>
        <w:spacing w:after="0" w:line="201"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The table below shows, as of August 25, 2018, the shares reserved for issuance of outstanding awards under the 2014 Plan as well as its predecessor, our 2004 Plan, and available for future grant under our 2014 Plan. The table also shows the number of shares that will be available for future grants under each equity compensation plan following approval of the 2019 Plan by our shareholders.</w:t>
      </w:r>
    </w:p>
    <w:p>
      <w:pPr>
        <w:spacing w:after="0" w:line="308"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420" w:type="dxa"/>
            <w:vAlign w:val="bottom"/>
            <w:shd w:val="clear" w:color="auto" w:fill="BF2115"/>
          </w:tcPr>
          <w:p>
            <w:pPr>
              <w:spacing w:after="0"/>
              <w:rPr>
                <w:sz w:val="23"/>
                <w:szCs w:val="23"/>
                <w:color w:val="auto"/>
              </w:rPr>
            </w:pPr>
          </w:p>
        </w:tc>
        <w:tc>
          <w:tcPr>
            <w:tcW w:w="1880" w:type="dxa"/>
            <w:vAlign w:val="bottom"/>
            <w:shd w:val="clear" w:color="auto" w:fill="BF2115"/>
          </w:tcPr>
          <w:p>
            <w:pPr>
              <w:spacing w:after="0"/>
              <w:rPr>
                <w:sz w:val="23"/>
                <w:szCs w:val="23"/>
                <w:color w:val="auto"/>
              </w:rPr>
            </w:pPr>
          </w:p>
        </w:tc>
        <w:tc>
          <w:tcPr>
            <w:tcW w:w="4520" w:type="dxa"/>
            <w:vAlign w:val="bottom"/>
            <w:gridSpan w:val="2"/>
            <w:shd w:val="clear" w:color="auto" w:fill="BF2115"/>
          </w:tcPr>
          <w:p>
            <w:pPr>
              <w:jc w:val="right"/>
              <w:ind w:right="1279"/>
              <w:spacing w:after="0"/>
              <w:rPr>
                <w:sz w:val="20"/>
                <w:szCs w:val="20"/>
                <w:color w:val="auto"/>
              </w:rPr>
            </w:pPr>
            <w:r>
              <w:rPr>
                <w:rFonts w:ascii="Arial" w:cs="Arial" w:eastAsia="Arial" w:hAnsi="Arial"/>
                <w:sz w:val="16"/>
                <w:szCs w:val="16"/>
                <w:color w:val="FFFFFF"/>
              </w:rPr>
              <w:t>As of August 25, 2018</w:t>
            </w:r>
            <w:r>
              <w:rPr>
                <w:rFonts w:ascii="Arial" w:cs="Arial" w:eastAsia="Arial" w:hAnsi="Arial"/>
                <w:sz w:val="21"/>
                <w:szCs w:val="21"/>
                <w:color w:val="FFFFFF"/>
                <w:vertAlign w:val="superscript"/>
              </w:rPr>
              <w:t>(1)</w:t>
            </w:r>
          </w:p>
        </w:tc>
        <w:tc>
          <w:tcPr>
            <w:tcW w:w="4600" w:type="dxa"/>
            <w:vAlign w:val="bottom"/>
            <w:gridSpan w:val="2"/>
            <w:shd w:val="clear" w:color="auto" w:fill="BF2115"/>
          </w:tcPr>
          <w:p>
            <w:pPr>
              <w:jc w:val="right"/>
              <w:ind w:right="1199"/>
              <w:spacing w:after="0"/>
              <w:rPr>
                <w:sz w:val="20"/>
                <w:szCs w:val="20"/>
                <w:color w:val="auto"/>
              </w:rPr>
            </w:pPr>
            <w:r>
              <w:rPr>
                <w:rFonts w:ascii="Arial" w:cs="Arial" w:eastAsia="Arial" w:hAnsi="Arial"/>
                <w:sz w:val="16"/>
                <w:szCs w:val="16"/>
                <w:color w:val="FFFFFF"/>
              </w:rPr>
              <w:t>After Approval of 2019 Plan</w:t>
            </w:r>
          </w:p>
        </w:tc>
      </w:tr>
      <w:tr>
        <w:trPr>
          <w:trHeight w:val="213"/>
        </w:trPr>
        <w:tc>
          <w:tcPr>
            <w:tcW w:w="420" w:type="dxa"/>
            <w:vAlign w:val="bottom"/>
            <w:shd w:val="clear" w:color="auto" w:fill="BF2115"/>
          </w:tcPr>
          <w:p>
            <w:pPr>
              <w:spacing w:after="0"/>
              <w:rPr>
                <w:sz w:val="18"/>
                <w:szCs w:val="18"/>
                <w:color w:val="auto"/>
              </w:rPr>
            </w:pPr>
          </w:p>
        </w:tc>
        <w:tc>
          <w:tcPr>
            <w:tcW w:w="1880" w:type="dxa"/>
            <w:vAlign w:val="bottom"/>
            <w:shd w:val="clear" w:color="auto" w:fill="BF2115"/>
          </w:tcPr>
          <w:p>
            <w:pPr>
              <w:spacing w:after="0"/>
              <w:rPr>
                <w:sz w:val="18"/>
                <w:szCs w:val="18"/>
                <w:color w:val="auto"/>
              </w:rPr>
            </w:pPr>
          </w:p>
        </w:tc>
        <w:tc>
          <w:tcPr>
            <w:tcW w:w="2280" w:type="dxa"/>
            <w:vAlign w:val="bottom"/>
            <w:shd w:val="clear" w:color="auto" w:fill="BF2115"/>
          </w:tcPr>
          <w:p>
            <w:pPr>
              <w:jc w:val="right"/>
              <w:spacing w:after="0"/>
              <w:rPr>
                <w:sz w:val="20"/>
                <w:szCs w:val="20"/>
                <w:color w:val="auto"/>
              </w:rPr>
            </w:pPr>
            <w:r>
              <w:rPr>
                <w:rFonts w:ascii="Arial" w:cs="Arial" w:eastAsia="Arial" w:hAnsi="Arial"/>
                <w:sz w:val="16"/>
                <w:szCs w:val="16"/>
                <w:color w:val="FFFFFF"/>
              </w:rPr>
              <w:t>Shares Reserved for Issuance</w:t>
            </w:r>
          </w:p>
        </w:tc>
        <w:tc>
          <w:tcPr>
            <w:tcW w:w="2240" w:type="dxa"/>
            <w:vAlign w:val="bottom"/>
            <w:shd w:val="clear" w:color="auto" w:fill="BF2115"/>
          </w:tcPr>
          <w:p>
            <w:pPr>
              <w:jc w:val="right"/>
              <w:ind w:right="19"/>
              <w:spacing w:after="0"/>
              <w:rPr>
                <w:sz w:val="20"/>
                <w:szCs w:val="20"/>
                <w:color w:val="auto"/>
              </w:rPr>
            </w:pPr>
            <w:r>
              <w:rPr>
                <w:rFonts w:ascii="Arial" w:cs="Arial" w:eastAsia="Arial" w:hAnsi="Arial"/>
                <w:sz w:val="16"/>
                <w:szCs w:val="16"/>
                <w:color w:val="FFFFFF"/>
              </w:rPr>
              <w:t>Shares Available for Future</w:t>
            </w:r>
          </w:p>
        </w:tc>
        <w:tc>
          <w:tcPr>
            <w:tcW w:w="2300" w:type="dxa"/>
            <w:vAlign w:val="bottom"/>
            <w:shd w:val="clear" w:color="auto" w:fill="BF2115"/>
          </w:tcPr>
          <w:p>
            <w:pPr>
              <w:jc w:val="right"/>
              <w:spacing w:after="0"/>
              <w:rPr>
                <w:sz w:val="20"/>
                <w:szCs w:val="20"/>
                <w:color w:val="auto"/>
              </w:rPr>
            </w:pPr>
            <w:r>
              <w:rPr>
                <w:rFonts w:ascii="Arial" w:cs="Arial" w:eastAsia="Arial" w:hAnsi="Arial"/>
                <w:sz w:val="16"/>
                <w:szCs w:val="16"/>
                <w:color w:val="FFFFFF"/>
              </w:rPr>
              <w:t>Shares Reserved for Issuance</w:t>
            </w:r>
          </w:p>
        </w:tc>
        <w:tc>
          <w:tcPr>
            <w:tcW w:w="2300" w:type="dxa"/>
            <w:vAlign w:val="bottom"/>
            <w:shd w:val="clear" w:color="auto" w:fill="BF2115"/>
          </w:tcPr>
          <w:p>
            <w:pPr>
              <w:jc w:val="right"/>
              <w:ind w:right="79"/>
              <w:spacing w:after="0"/>
              <w:rPr>
                <w:sz w:val="20"/>
                <w:szCs w:val="20"/>
                <w:color w:val="auto"/>
              </w:rPr>
            </w:pPr>
            <w:r>
              <w:rPr>
                <w:rFonts w:ascii="Arial" w:cs="Arial" w:eastAsia="Arial" w:hAnsi="Arial"/>
                <w:sz w:val="16"/>
                <w:szCs w:val="16"/>
                <w:color w:val="FFFFFF"/>
              </w:rPr>
              <w:t>Shares Available for Future</w:t>
            </w:r>
          </w:p>
        </w:tc>
      </w:tr>
      <w:tr>
        <w:trPr>
          <w:trHeight w:val="219"/>
        </w:trPr>
        <w:tc>
          <w:tcPr>
            <w:tcW w:w="420" w:type="dxa"/>
            <w:vAlign w:val="bottom"/>
            <w:shd w:val="clear" w:color="auto" w:fill="BF2115"/>
          </w:tcPr>
          <w:p>
            <w:pPr>
              <w:spacing w:after="0"/>
              <w:rPr>
                <w:sz w:val="19"/>
                <w:szCs w:val="19"/>
                <w:color w:val="auto"/>
              </w:rPr>
            </w:pPr>
          </w:p>
        </w:tc>
        <w:tc>
          <w:tcPr>
            <w:tcW w:w="1880" w:type="dxa"/>
            <w:vAlign w:val="bottom"/>
            <w:shd w:val="clear" w:color="auto" w:fill="BF2115"/>
          </w:tcPr>
          <w:p>
            <w:pPr>
              <w:spacing w:after="0"/>
              <w:rPr>
                <w:sz w:val="19"/>
                <w:szCs w:val="19"/>
                <w:color w:val="auto"/>
              </w:rPr>
            </w:pPr>
          </w:p>
        </w:tc>
        <w:tc>
          <w:tcPr>
            <w:tcW w:w="2280" w:type="dxa"/>
            <w:vAlign w:val="bottom"/>
            <w:shd w:val="clear" w:color="auto" w:fill="BF2115"/>
          </w:tcPr>
          <w:p>
            <w:pPr>
              <w:jc w:val="right"/>
              <w:ind w:right="159"/>
              <w:spacing w:after="0" w:line="219" w:lineRule="exact"/>
              <w:rPr>
                <w:sz w:val="20"/>
                <w:szCs w:val="20"/>
                <w:color w:val="auto"/>
              </w:rPr>
            </w:pPr>
            <w:r>
              <w:rPr>
                <w:rFonts w:ascii="Arial" w:cs="Arial" w:eastAsia="Arial" w:hAnsi="Arial"/>
                <w:sz w:val="16"/>
                <w:szCs w:val="16"/>
                <w:color w:val="FFFFFF"/>
              </w:rPr>
              <w:t>of Outstanding Awards</w:t>
            </w:r>
            <w:r>
              <w:rPr>
                <w:rFonts w:ascii="Arial" w:cs="Arial" w:eastAsia="Arial" w:hAnsi="Arial"/>
                <w:sz w:val="21"/>
                <w:szCs w:val="21"/>
                <w:color w:val="FFFFFF"/>
                <w:vertAlign w:val="superscript"/>
              </w:rPr>
              <w:t>(1)</w:t>
            </w:r>
          </w:p>
        </w:tc>
        <w:tc>
          <w:tcPr>
            <w:tcW w:w="2240" w:type="dxa"/>
            <w:vAlign w:val="bottom"/>
            <w:shd w:val="clear" w:color="auto" w:fill="BF2115"/>
          </w:tcPr>
          <w:p>
            <w:pPr>
              <w:jc w:val="right"/>
              <w:ind w:right="739"/>
              <w:spacing w:after="0"/>
              <w:rPr>
                <w:sz w:val="20"/>
                <w:szCs w:val="20"/>
                <w:color w:val="auto"/>
              </w:rPr>
            </w:pPr>
            <w:r>
              <w:rPr>
                <w:rFonts w:ascii="Arial" w:cs="Arial" w:eastAsia="Arial" w:hAnsi="Arial"/>
                <w:sz w:val="16"/>
                <w:szCs w:val="16"/>
                <w:color w:val="FFFFFF"/>
              </w:rPr>
              <w:t>Awards</w:t>
            </w:r>
          </w:p>
        </w:tc>
        <w:tc>
          <w:tcPr>
            <w:tcW w:w="2300" w:type="dxa"/>
            <w:vAlign w:val="bottom"/>
            <w:shd w:val="clear" w:color="auto" w:fill="BF2115"/>
          </w:tcPr>
          <w:p>
            <w:pPr>
              <w:jc w:val="right"/>
              <w:ind w:right="219"/>
              <w:spacing w:after="0"/>
              <w:rPr>
                <w:sz w:val="20"/>
                <w:szCs w:val="20"/>
                <w:color w:val="auto"/>
              </w:rPr>
            </w:pPr>
            <w:r>
              <w:rPr>
                <w:rFonts w:ascii="Arial" w:cs="Arial" w:eastAsia="Arial" w:hAnsi="Arial"/>
                <w:sz w:val="16"/>
                <w:szCs w:val="16"/>
                <w:color w:val="FFFFFF"/>
              </w:rPr>
              <w:t>of Outstanding Awards</w:t>
            </w:r>
          </w:p>
        </w:tc>
        <w:tc>
          <w:tcPr>
            <w:tcW w:w="2300" w:type="dxa"/>
            <w:vAlign w:val="bottom"/>
            <w:shd w:val="clear" w:color="auto" w:fill="BF2115"/>
          </w:tcPr>
          <w:p>
            <w:pPr>
              <w:jc w:val="right"/>
              <w:ind w:right="799"/>
              <w:spacing w:after="0"/>
              <w:rPr>
                <w:sz w:val="20"/>
                <w:szCs w:val="20"/>
                <w:color w:val="auto"/>
              </w:rPr>
            </w:pPr>
            <w:r>
              <w:rPr>
                <w:rFonts w:ascii="Arial" w:cs="Arial" w:eastAsia="Arial" w:hAnsi="Arial"/>
                <w:sz w:val="16"/>
                <w:szCs w:val="16"/>
                <w:color w:val="FFFFFF"/>
              </w:rPr>
              <w:t>Awards</w:t>
            </w:r>
          </w:p>
        </w:tc>
      </w:tr>
      <w:tr>
        <w:trPr>
          <w:trHeight w:val="243"/>
        </w:trPr>
        <w:tc>
          <w:tcPr>
            <w:tcW w:w="420" w:type="dxa"/>
            <w:vAlign w:val="bottom"/>
          </w:tcPr>
          <w:p>
            <w:pPr>
              <w:ind w:left="40"/>
              <w:spacing w:after="0"/>
              <w:rPr>
                <w:sz w:val="20"/>
                <w:szCs w:val="20"/>
                <w:color w:val="auto"/>
              </w:rPr>
            </w:pPr>
            <w:r>
              <w:rPr>
                <w:rFonts w:ascii="Arial" w:cs="Arial" w:eastAsia="Arial" w:hAnsi="Arial"/>
                <w:sz w:val="16"/>
                <w:szCs w:val="16"/>
                <w:color w:val="auto"/>
              </w:rPr>
              <w:t>2004</w:t>
            </w:r>
          </w:p>
        </w:tc>
        <w:tc>
          <w:tcPr>
            <w:tcW w:w="1880" w:type="dxa"/>
            <w:vAlign w:val="bottom"/>
          </w:tcPr>
          <w:p>
            <w:pPr>
              <w:ind w:left="20"/>
              <w:spacing w:after="0"/>
              <w:rPr>
                <w:sz w:val="20"/>
                <w:szCs w:val="20"/>
                <w:color w:val="auto"/>
              </w:rPr>
            </w:pPr>
            <w:r>
              <w:rPr>
                <w:rFonts w:ascii="Arial" w:cs="Arial" w:eastAsia="Arial" w:hAnsi="Arial"/>
                <w:sz w:val="16"/>
                <w:szCs w:val="16"/>
                <w:color w:val="auto"/>
              </w:rPr>
              <w:t>Plan</w:t>
            </w:r>
            <w:r>
              <w:rPr>
                <w:rFonts w:ascii="Arial" w:cs="Arial" w:eastAsia="Arial" w:hAnsi="Arial"/>
                <w:sz w:val="21"/>
                <w:szCs w:val="21"/>
                <w:color w:val="auto"/>
                <w:vertAlign w:val="superscript"/>
              </w:rPr>
              <w:t>(2)</w:t>
            </w:r>
          </w:p>
        </w:tc>
        <w:tc>
          <w:tcPr>
            <w:tcW w:w="2280" w:type="dxa"/>
            <w:vAlign w:val="bottom"/>
          </w:tcPr>
          <w:p>
            <w:pPr>
              <w:jc w:val="right"/>
              <w:ind w:right="19"/>
              <w:spacing w:after="0"/>
              <w:rPr>
                <w:sz w:val="20"/>
                <w:szCs w:val="20"/>
                <w:color w:val="auto"/>
              </w:rPr>
            </w:pPr>
            <w:r>
              <w:rPr>
                <w:rFonts w:ascii="Arial" w:cs="Arial" w:eastAsia="Arial" w:hAnsi="Arial"/>
                <w:sz w:val="16"/>
                <w:szCs w:val="16"/>
                <w:color w:val="auto"/>
              </w:rPr>
              <w:t>9,000</w:t>
            </w:r>
          </w:p>
        </w:tc>
        <w:tc>
          <w:tcPr>
            <w:tcW w:w="2240" w:type="dxa"/>
            <w:vAlign w:val="bottom"/>
          </w:tcPr>
          <w:p>
            <w:pPr>
              <w:jc w:val="right"/>
              <w:ind w:right="2019"/>
              <w:spacing w:after="0"/>
              <w:rPr>
                <w:sz w:val="20"/>
                <w:szCs w:val="20"/>
                <w:color w:val="auto"/>
              </w:rPr>
            </w:pPr>
            <w:r>
              <w:rPr>
                <w:rFonts w:ascii="Arial" w:cs="Arial" w:eastAsia="Arial" w:hAnsi="Arial"/>
                <w:sz w:val="16"/>
                <w:szCs w:val="16"/>
                <w:color w:val="auto"/>
              </w:rPr>
              <w:t>0</w:t>
            </w:r>
          </w:p>
        </w:tc>
        <w:tc>
          <w:tcPr>
            <w:tcW w:w="2300" w:type="dxa"/>
            <w:vAlign w:val="bottom"/>
          </w:tcPr>
          <w:p>
            <w:pPr>
              <w:jc w:val="right"/>
              <w:ind w:right="19"/>
              <w:spacing w:after="0"/>
              <w:rPr>
                <w:sz w:val="20"/>
                <w:szCs w:val="20"/>
                <w:color w:val="auto"/>
              </w:rPr>
            </w:pPr>
            <w:r>
              <w:rPr>
                <w:rFonts w:ascii="Arial" w:cs="Arial" w:eastAsia="Arial" w:hAnsi="Arial"/>
                <w:sz w:val="16"/>
                <w:szCs w:val="16"/>
                <w:color w:val="auto"/>
              </w:rPr>
              <w:t>6,500</w:t>
            </w:r>
          </w:p>
        </w:tc>
        <w:tc>
          <w:tcPr>
            <w:tcW w:w="2300" w:type="dxa"/>
            <w:vAlign w:val="bottom"/>
          </w:tcPr>
          <w:p>
            <w:pPr>
              <w:jc w:val="right"/>
              <w:ind w:right="2079"/>
              <w:spacing w:after="0"/>
              <w:rPr>
                <w:sz w:val="20"/>
                <w:szCs w:val="20"/>
                <w:color w:val="auto"/>
              </w:rPr>
            </w:pPr>
            <w:r>
              <w:rPr>
                <w:rFonts w:ascii="Arial" w:cs="Arial" w:eastAsia="Arial" w:hAnsi="Arial"/>
                <w:sz w:val="16"/>
                <w:szCs w:val="16"/>
                <w:color w:val="auto"/>
              </w:rPr>
              <w:t>0</w:t>
            </w:r>
          </w:p>
        </w:tc>
      </w:tr>
      <w:tr>
        <w:trPr>
          <w:trHeight w:val="243"/>
        </w:trPr>
        <w:tc>
          <w:tcPr>
            <w:tcW w:w="420" w:type="dxa"/>
            <w:vAlign w:val="bottom"/>
            <w:shd w:val="clear" w:color="auto" w:fill="ACACAC"/>
          </w:tcPr>
          <w:p>
            <w:pPr>
              <w:ind w:left="40"/>
              <w:spacing w:after="0"/>
              <w:rPr>
                <w:sz w:val="20"/>
                <w:szCs w:val="20"/>
                <w:color w:val="auto"/>
              </w:rPr>
            </w:pPr>
            <w:r>
              <w:rPr>
                <w:rFonts w:ascii="Arial" w:cs="Arial" w:eastAsia="Arial" w:hAnsi="Arial"/>
                <w:sz w:val="16"/>
                <w:szCs w:val="16"/>
                <w:color w:val="auto"/>
              </w:rPr>
              <w:t>2014</w:t>
            </w:r>
          </w:p>
        </w:tc>
        <w:tc>
          <w:tcPr>
            <w:tcW w:w="1880" w:type="dxa"/>
            <w:vAlign w:val="bottom"/>
            <w:shd w:val="clear" w:color="auto" w:fill="ACACAC"/>
          </w:tcPr>
          <w:p>
            <w:pPr>
              <w:ind w:left="20"/>
              <w:spacing w:after="0"/>
              <w:rPr>
                <w:sz w:val="20"/>
                <w:szCs w:val="20"/>
                <w:color w:val="auto"/>
              </w:rPr>
            </w:pPr>
            <w:r>
              <w:rPr>
                <w:rFonts w:ascii="Arial" w:cs="Arial" w:eastAsia="Arial" w:hAnsi="Arial"/>
                <w:sz w:val="16"/>
                <w:szCs w:val="16"/>
                <w:color w:val="auto"/>
              </w:rPr>
              <w:t>Plan</w:t>
            </w:r>
            <w:r>
              <w:rPr>
                <w:rFonts w:ascii="Arial" w:cs="Arial" w:eastAsia="Arial" w:hAnsi="Arial"/>
                <w:sz w:val="21"/>
                <w:szCs w:val="21"/>
                <w:color w:val="auto"/>
                <w:vertAlign w:val="superscript"/>
              </w:rPr>
              <w:t>(2)</w:t>
            </w:r>
          </w:p>
        </w:tc>
        <w:tc>
          <w:tcPr>
            <w:tcW w:w="2280" w:type="dxa"/>
            <w:vAlign w:val="bottom"/>
            <w:shd w:val="clear" w:color="auto" w:fill="ACACAC"/>
          </w:tcPr>
          <w:p>
            <w:pPr>
              <w:jc w:val="right"/>
              <w:ind w:right="19"/>
              <w:spacing w:after="0"/>
              <w:rPr>
                <w:sz w:val="20"/>
                <w:szCs w:val="20"/>
                <w:color w:val="auto"/>
              </w:rPr>
            </w:pPr>
            <w:r>
              <w:rPr>
                <w:rFonts w:ascii="Arial" w:cs="Arial" w:eastAsia="Arial" w:hAnsi="Arial"/>
                <w:sz w:val="16"/>
                <w:szCs w:val="16"/>
                <w:color w:val="auto"/>
              </w:rPr>
              <w:t>469,704</w:t>
            </w:r>
          </w:p>
        </w:tc>
        <w:tc>
          <w:tcPr>
            <w:tcW w:w="2240" w:type="dxa"/>
            <w:vAlign w:val="bottom"/>
            <w:shd w:val="clear" w:color="auto" w:fill="ACACAC"/>
          </w:tcPr>
          <w:p>
            <w:pPr>
              <w:jc w:val="right"/>
              <w:spacing w:after="0"/>
              <w:rPr>
                <w:sz w:val="20"/>
                <w:szCs w:val="20"/>
                <w:color w:val="auto"/>
              </w:rPr>
            </w:pPr>
            <w:r>
              <w:rPr>
                <w:rFonts w:ascii="Arial" w:cs="Arial" w:eastAsia="Arial" w:hAnsi="Arial"/>
                <w:sz w:val="16"/>
                <w:szCs w:val="16"/>
                <w:color w:val="auto"/>
              </w:rPr>
              <w:t>1,677,481</w:t>
            </w:r>
          </w:p>
        </w:tc>
        <w:tc>
          <w:tcPr>
            <w:tcW w:w="2300" w:type="dxa"/>
            <w:vAlign w:val="bottom"/>
            <w:shd w:val="clear" w:color="auto" w:fill="ACACAC"/>
          </w:tcPr>
          <w:p>
            <w:pPr>
              <w:jc w:val="right"/>
              <w:ind w:right="19"/>
              <w:spacing w:after="0"/>
              <w:rPr>
                <w:sz w:val="20"/>
                <w:szCs w:val="20"/>
                <w:color w:val="auto"/>
              </w:rPr>
            </w:pPr>
            <w:r>
              <w:rPr>
                <w:rFonts w:ascii="Arial" w:cs="Arial" w:eastAsia="Arial" w:hAnsi="Arial"/>
                <w:sz w:val="16"/>
                <w:szCs w:val="16"/>
                <w:color w:val="auto"/>
              </w:rPr>
              <w:t>353,347</w:t>
            </w:r>
          </w:p>
        </w:tc>
        <w:tc>
          <w:tcPr>
            <w:tcW w:w="2300" w:type="dxa"/>
            <w:vAlign w:val="bottom"/>
            <w:shd w:val="clear" w:color="auto" w:fill="ACACAC"/>
          </w:tcPr>
          <w:p>
            <w:pPr>
              <w:jc w:val="right"/>
              <w:ind w:right="2079"/>
              <w:spacing w:after="0"/>
              <w:rPr>
                <w:sz w:val="20"/>
                <w:szCs w:val="20"/>
                <w:color w:val="auto"/>
              </w:rPr>
            </w:pPr>
            <w:r>
              <w:rPr>
                <w:rFonts w:ascii="Arial" w:cs="Arial" w:eastAsia="Arial" w:hAnsi="Arial"/>
                <w:sz w:val="16"/>
                <w:szCs w:val="16"/>
                <w:color w:val="auto"/>
              </w:rPr>
              <w:t>0</w:t>
            </w:r>
          </w:p>
        </w:tc>
      </w:tr>
      <w:tr>
        <w:trPr>
          <w:trHeight w:val="243"/>
        </w:trPr>
        <w:tc>
          <w:tcPr>
            <w:tcW w:w="420" w:type="dxa"/>
            <w:vAlign w:val="bottom"/>
          </w:tcPr>
          <w:p>
            <w:pPr>
              <w:ind w:left="40"/>
              <w:spacing w:after="0"/>
              <w:rPr>
                <w:sz w:val="20"/>
                <w:szCs w:val="20"/>
                <w:color w:val="auto"/>
              </w:rPr>
            </w:pPr>
            <w:r>
              <w:rPr>
                <w:rFonts w:ascii="Arial" w:cs="Arial" w:eastAsia="Arial" w:hAnsi="Arial"/>
                <w:sz w:val="16"/>
                <w:szCs w:val="16"/>
                <w:color w:val="auto"/>
              </w:rPr>
              <w:t>2019</w:t>
            </w:r>
          </w:p>
        </w:tc>
        <w:tc>
          <w:tcPr>
            <w:tcW w:w="1880" w:type="dxa"/>
            <w:vAlign w:val="bottom"/>
          </w:tcPr>
          <w:p>
            <w:pPr>
              <w:ind w:left="20"/>
              <w:spacing w:after="0"/>
              <w:rPr>
                <w:sz w:val="20"/>
                <w:szCs w:val="20"/>
                <w:color w:val="auto"/>
              </w:rPr>
            </w:pPr>
            <w:r>
              <w:rPr>
                <w:rFonts w:ascii="Arial" w:cs="Arial" w:eastAsia="Arial" w:hAnsi="Arial"/>
                <w:sz w:val="16"/>
                <w:szCs w:val="16"/>
                <w:color w:val="auto"/>
              </w:rPr>
              <w:t>Plan</w:t>
            </w:r>
          </w:p>
        </w:tc>
        <w:tc>
          <w:tcPr>
            <w:tcW w:w="2280" w:type="dxa"/>
            <w:vAlign w:val="bottom"/>
          </w:tcPr>
          <w:p>
            <w:pPr>
              <w:jc w:val="right"/>
              <w:ind w:right="2079"/>
              <w:spacing w:after="0"/>
              <w:rPr>
                <w:sz w:val="20"/>
                <w:szCs w:val="20"/>
                <w:color w:val="auto"/>
              </w:rPr>
            </w:pPr>
            <w:r>
              <w:rPr>
                <w:rFonts w:ascii="Arial" w:cs="Arial" w:eastAsia="Arial" w:hAnsi="Arial"/>
                <w:sz w:val="16"/>
                <w:szCs w:val="16"/>
                <w:color w:val="auto"/>
              </w:rPr>
              <w:t>0</w:t>
            </w:r>
          </w:p>
        </w:tc>
        <w:tc>
          <w:tcPr>
            <w:tcW w:w="2240" w:type="dxa"/>
            <w:vAlign w:val="bottom"/>
          </w:tcPr>
          <w:p>
            <w:pPr>
              <w:jc w:val="right"/>
              <w:ind w:right="2019"/>
              <w:spacing w:after="0"/>
              <w:rPr>
                <w:sz w:val="20"/>
                <w:szCs w:val="20"/>
                <w:color w:val="auto"/>
              </w:rPr>
            </w:pPr>
            <w:r>
              <w:rPr>
                <w:rFonts w:ascii="Arial" w:cs="Arial" w:eastAsia="Arial" w:hAnsi="Arial"/>
                <w:sz w:val="16"/>
                <w:szCs w:val="16"/>
                <w:color w:val="auto"/>
              </w:rPr>
              <w:t>0</w:t>
            </w:r>
          </w:p>
        </w:tc>
        <w:tc>
          <w:tcPr>
            <w:tcW w:w="2300" w:type="dxa"/>
            <w:vAlign w:val="bottom"/>
          </w:tcPr>
          <w:p>
            <w:pPr>
              <w:jc w:val="right"/>
              <w:ind w:right="2059"/>
              <w:spacing w:after="0"/>
              <w:rPr>
                <w:sz w:val="20"/>
                <w:szCs w:val="20"/>
                <w:color w:val="auto"/>
              </w:rPr>
            </w:pPr>
            <w:r>
              <w:rPr>
                <w:rFonts w:ascii="Arial" w:cs="Arial" w:eastAsia="Arial" w:hAnsi="Arial"/>
                <w:sz w:val="16"/>
                <w:szCs w:val="16"/>
                <w:color w:val="auto"/>
              </w:rPr>
              <w:t>0</w:t>
            </w:r>
          </w:p>
        </w:tc>
        <w:tc>
          <w:tcPr>
            <w:tcW w:w="2300" w:type="dxa"/>
            <w:vAlign w:val="bottom"/>
          </w:tcPr>
          <w:p>
            <w:pPr>
              <w:jc w:val="right"/>
              <w:spacing w:after="0"/>
              <w:rPr>
                <w:sz w:val="20"/>
                <w:szCs w:val="20"/>
                <w:color w:val="auto"/>
              </w:rPr>
            </w:pPr>
            <w:r>
              <w:rPr>
                <w:rFonts w:ascii="Arial" w:cs="Arial" w:eastAsia="Arial" w:hAnsi="Arial"/>
                <w:sz w:val="16"/>
                <w:szCs w:val="16"/>
                <w:color w:val="auto"/>
              </w:rPr>
              <w:t>4,100,000</w:t>
            </w:r>
            <w:r>
              <w:rPr>
                <w:rFonts w:ascii="Arial" w:cs="Arial" w:eastAsia="Arial" w:hAnsi="Arial"/>
                <w:sz w:val="21"/>
                <w:szCs w:val="21"/>
                <w:color w:val="auto"/>
                <w:vertAlign w:val="superscript"/>
              </w:rPr>
              <w:t>(3)</w:t>
            </w:r>
          </w:p>
        </w:tc>
      </w:tr>
      <w:tr>
        <w:trPr>
          <w:trHeight w:val="243"/>
        </w:trPr>
        <w:tc>
          <w:tcPr>
            <w:tcW w:w="420" w:type="dxa"/>
            <w:vAlign w:val="bottom"/>
            <w:shd w:val="clear" w:color="auto" w:fill="ACACAC"/>
          </w:tcPr>
          <w:p>
            <w:pPr>
              <w:ind w:left="40"/>
              <w:spacing w:after="0"/>
              <w:rPr>
                <w:sz w:val="20"/>
                <w:szCs w:val="20"/>
                <w:color w:val="auto"/>
              </w:rPr>
            </w:pPr>
            <w:r>
              <w:rPr>
                <w:rFonts w:ascii="Arial" w:cs="Arial" w:eastAsia="Arial" w:hAnsi="Arial"/>
                <w:sz w:val="16"/>
                <w:szCs w:val="16"/>
                <w:color w:val="auto"/>
              </w:rPr>
              <w:t>Total</w:t>
            </w:r>
          </w:p>
        </w:tc>
        <w:tc>
          <w:tcPr>
            <w:tcW w:w="1880" w:type="dxa"/>
            <w:vAlign w:val="bottom"/>
            <w:shd w:val="clear" w:color="auto" w:fill="ACACAC"/>
          </w:tcPr>
          <w:p>
            <w:pPr>
              <w:spacing w:after="0"/>
              <w:rPr>
                <w:sz w:val="21"/>
                <w:szCs w:val="21"/>
                <w:color w:val="auto"/>
              </w:rPr>
            </w:pPr>
          </w:p>
        </w:tc>
        <w:tc>
          <w:tcPr>
            <w:tcW w:w="2280" w:type="dxa"/>
            <w:vAlign w:val="bottom"/>
            <w:shd w:val="clear" w:color="auto" w:fill="ACACAC"/>
          </w:tcPr>
          <w:p>
            <w:pPr>
              <w:jc w:val="right"/>
              <w:ind w:right="19"/>
              <w:spacing w:after="0"/>
              <w:rPr>
                <w:sz w:val="20"/>
                <w:szCs w:val="20"/>
                <w:color w:val="auto"/>
              </w:rPr>
            </w:pPr>
            <w:r>
              <w:rPr>
                <w:rFonts w:ascii="Arial" w:cs="Arial" w:eastAsia="Arial" w:hAnsi="Arial"/>
                <w:sz w:val="16"/>
                <w:szCs w:val="16"/>
                <w:color w:val="auto"/>
              </w:rPr>
              <w:t>478,704</w:t>
            </w:r>
          </w:p>
        </w:tc>
        <w:tc>
          <w:tcPr>
            <w:tcW w:w="2240" w:type="dxa"/>
            <w:vAlign w:val="bottom"/>
            <w:shd w:val="clear" w:color="auto" w:fill="ACACAC"/>
          </w:tcPr>
          <w:p>
            <w:pPr>
              <w:jc w:val="right"/>
              <w:spacing w:after="0"/>
              <w:rPr>
                <w:sz w:val="20"/>
                <w:szCs w:val="20"/>
                <w:color w:val="auto"/>
              </w:rPr>
            </w:pPr>
            <w:r>
              <w:rPr>
                <w:rFonts w:ascii="Arial" w:cs="Arial" w:eastAsia="Arial" w:hAnsi="Arial"/>
                <w:sz w:val="16"/>
                <w:szCs w:val="16"/>
                <w:color w:val="auto"/>
              </w:rPr>
              <w:t>1,677,481</w:t>
            </w:r>
          </w:p>
        </w:tc>
        <w:tc>
          <w:tcPr>
            <w:tcW w:w="2300" w:type="dxa"/>
            <w:vAlign w:val="bottom"/>
            <w:shd w:val="clear" w:color="auto" w:fill="ACACAC"/>
          </w:tcPr>
          <w:p>
            <w:pPr>
              <w:jc w:val="right"/>
              <w:ind w:right="19"/>
              <w:spacing w:after="0"/>
              <w:rPr>
                <w:sz w:val="20"/>
                <w:szCs w:val="20"/>
                <w:color w:val="auto"/>
              </w:rPr>
            </w:pPr>
            <w:r>
              <w:rPr>
                <w:rFonts w:ascii="Arial" w:cs="Arial" w:eastAsia="Arial" w:hAnsi="Arial"/>
                <w:sz w:val="16"/>
                <w:szCs w:val="16"/>
                <w:color w:val="auto"/>
              </w:rPr>
              <w:t>359,847</w:t>
            </w:r>
          </w:p>
        </w:tc>
        <w:tc>
          <w:tcPr>
            <w:tcW w:w="2300" w:type="dxa"/>
            <w:vAlign w:val="bottom"/>
            <w:shd w:val="clear" w:color="auto" w:fill="ACACAC"/>
          </w:tcPr>
          <w:p>
            <w:pPr>
              <w:jc w:val="right"/>
              <w:spacing w:after="0"/>
              <w:rPr>
                <w:sz w:val="20"/>
                <w:szCs w:val="20"/>
                <w:color w:val="auto"/>
              </w:rPr>
            </w:pPr>
            <w:r>
              <w:rPr>
                <w:rFonts w:ascii="Arial" w:cs="Arial" w:eastAsia="Arial" w:hAnsi="Arial"/>
                <w:sz w:val="16"/>
                <w:szCs w:val="16"/>
                <w:color w:val="auto"/>
              </w:rPr>
              <w:t>4,100,000</w:t>
            </w:r>
            <w:r>
              <w:rPr>
                <w:rFonts w:ascii="Arial" w:cs="Arial" w:eastAsia="Arial" w:hAnsi="Arial"/>
                <w:sz w:val="21"/>
                <w:szCs w:val="21"/>
                <w:color w:val="auto"/>
                <w:vertAlign w:val="superscript"/>
              </w:rPr>
              <w:t>(3)</w:t>
            </w:r>
          </w:p>
        </w:tc>
      </w:tr>
    </w:tbl>
    <w:p>
      <w:pPr>
        <w:spacing w:after="0" w:line="21" w:lineRule="exact"/>
        <w:rPr>
          <w:sz w:val="20"/>
          <w:szCs w:val="20"/>
          <w:color w:val="auto"/>
        </w:rPr>
      </w:pPr>
    </w:p>
    <w:p>
      <w:pPr>
        <w:ind w:left="660"/>
        <w:spacing w:after="0"/>
        <w:rPr>
          <w:sz w:val="20"/>
          <w:szCs w:val="20"/>
          <w:color w:val="auto"/>
        </w:rPr>
      </w:pPr>
      <w:r>
        <w:rPr>
          <w:rFonts w:ascii="Arial" w:cs="Arial" w:eastAsia="Arial" w:hAnsi="Arial"/>
          <w:sz w:val="13"/>
          <w:szCs w:val="13"/>
          <w:color w:val="auto"/>
        </w:rPr>
        <w:t>(1) Shares reserved for issuance of outstanding awards at August 25, 2018 consist of the following: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246620" cy="44577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246620" cy="445770"/>
                    </a:xfrm>
                    <a:prstGeom prst="rect">
                      <a:avLst/>
                    </a:prstGeom>
                    <a:noFill/>
                  </pic:spPr>
                </pic:pic>
              </a:graphicData>
            </a:graphic>
          </wp:anchor>
        </w:drawing>
      </w:r>
    </w:p>
    <w:p>
      <w:pPr>
        <w:spacing w:after="0" w:line="190" w:lineRule="exact"/>
        <w:rPr>
          <w:sz w:val="20"/>
          <w:szCs w:val="20"/>
          <w:color w:val="auto"/>
        </w:rPr>
      </w:pPr>
    </w:p>
    <w:p>
      <w:pPr>
        <w:ind w:left="4000"/>
        <w:spacing w:after="0"/>
        <w:rPr>
          <w:sz w:val="20"/>
          <w:szCs w:val="20"/>
          <w:color w:val="auto"/>
        </w:rPr>
      </w:pPr>
      <w:r>
        <w:rPr>
          <w:rFonts w:ascii="Arial" w:cs="Arial" w:eastAsia="Arial" w:hAnsi="Arial"/>
          <w:sz w:val="16"/>
          <w:szCs w:val="16"/>
          <w:color w:val="FFFFFF"/>
        </w:rPr>
        <w:t>Types of Awards</w:t>
      </w:r>
    </w:p>
    <w:p>
      <w:pPr>
        <w:spacing w:after="0" w:line="31" w:lineRule="exact"/>
        <w:rPr>
          <w:sz w:val="20"/>
          <w:szCs w:val="20"/>
          <w:color w:val="auto"/>
        </w:rPr>
      </w:pPr>
    </w:p>
    <w:tbl>
      <w:tblPr>
        <w:tblLayout w:type="fixed"/>
        <w:tblInd w:w="40" w:type="dxa"/>
        <w:tblCellMar>
          <w:top w:w="0" w:type="dxa"/>
          <w:left w:w="0" w:type="dxa"/>
          <w:bottom w:w="0" w:type="dxa"/>
          <w:right w:w="0" w:type="dxa"/>
        </w:tblCellMar>
      </w:tblPr>
      <w:tr>
        <w:trPr>
          <w:trHeight w:val="218"/>
        </w:trPr>
        <w:tc>
          <w:tcPr>
            <w:tcW w:w="2260" w:type="dxa"/>
            <w:vAlign w:val="bottom"/>
          </w:tcPr>
          <w:p>
            <w:pPr>
              <w:spacing w:after="0"/>
              <w:rPr>
                <w:sz w:val="18"/>
                <w:szCs w:val="18"/>
                <w:color w:val="auto"/>
              </w:rPr>
            </w:pPr>
          </w:p>
        </w:tc>
        <w:tc>
          <w:tcPr>
            <w:tcW w:w="2240" w:type="dxa"/>
            <w:vAlign w:val="bottom"/>
            <w:shd w:val="clear" w:color="auto" w:fill="BF2115"/>
          </w:tcPr>
          <w:p>
            <w:pPr>
              <w:spacing w:after="0"/>
              <w:rPr>
                <w:sz w:val="18"/>
                <w:szCs w:val="18"/>
                <w:color w:val="auto"/>
              </w:rPr>
            </w:pPr>
          </w:p>
        </w:tc>
        <w:tc>
          <w:tcPr>
            <w:tcW w:w="2340" w:type="dxa"/>
            <w:vAlign w:val="bottom"/>
            <w:shd w:val="clear" w:color="auto" w:fill="BF2115"/>
          </w:tcPr>
          <w:p>
            <w:pPr>
              <w:spacing w:after="0"/>
              <w:rPr>
                <w:sz w:val="18"/>
                <w:szCs w:val="18"/>
                <w:color w:val="auto"/>
              </w:rPr>
            </w:pPr>
          </w:p>
        </w:tc>
        <w:tc>
          <w:tcPr>
            <w:tcW w:w="2400" w:type="dxa"/>
            <w:vAlign w:val="bottom"/>
            <w:shd w:val="clear" w:color="auto" w:fill="BF2115"/>
          </w:tcPr>
          <w:p>
            <w:pPr>
              <w:jc w:val="right"/>
              <w:ind w:right="199"/>
              <w:spacing w:after="0"/>
              <w:rPr>
                <w:sz w:val="20"/>
                <w:szCs w:val="20"/>
                <w:color w:val="auto"/>
              </w:rPr>
            </w:pPr>
            <w:r>
              <w:rPr>
                <w:rFonts w:ascii="Arial" w:cs="Arial" w:eastAsia="Arial" w:hAnsi="Arial"/>
                <w:sz w:val="16"/>
                <w:szCs w:val="16"/>
                <w:color w:val="FFFFFF"/>
              </w:rPr>
              <w:t>Weighted Average Exercise</w:t>
            </w:r>
          </w:p>
        </w:tc>
        <w:tc>
          <w:tcPr>
            <w:tcW w:w="2140" w:type="dxa"/>
            <w:vAlign w:val="bottom"/>
            <w:shd w:val="clear" w:color="auto" w:fill="BF2115"/>
          </w:tcPr>
          <w:p>
            <w:pPr>
              <w:jc w:val="center"/>
              <w:ind w:right="59"/>
              <w:spacing w:after="0"/>
              <w:rPr>
                <w:sz w:val="20"/>
                <w:szCs w:val="20"/>
                <w:color w:val="auto"/>
              </w:rPr>
            </w:pPr>
            <w:r>
              <w:rPr>
                <w:rFonts w:ascii="Arial" w:cs="Arial" w:eastAsia="Arial" w:hAnsi="Arial"/>
                <w:sz w:val="16"/>
                <w:szCs w:val="16"/>
                <w:color w:val="FFFFFF"/>
              </w:rPr>
              <w:t>Shares Available for Future</w:t>
            </w:r>
          </w:p>
        </w:tc>
      </w:tr>
      <w:tr>
        <w:trPr>
          <w:trHeight w:val="214"/>
        </w:trPr>
        <w:tc>
          <w:tcPr>
            <w:tcW w:w="2260" w:type="dxa"/>
            <w:vAlign w:val="bottom"/>
          </w:tcPr>
          <w:p>
            <w:pPr>
              <w:spacing w:after="0"/>
              <w:rPr>
                <w:sz w:val="18"/>
                <w:szCs w:val="18"/>
                <w:color w:val="auto"/>
              </w:rPr>
            </w:pPr>
          </w:p>
        </w:tc>
        <w:tc>
          <w:tcPr>
            <w:tcW w:w="2240" w:type="dxa"/>
            <w:vAlign w:val="bottom"/>
            <w:shd w:val="clear" w:color="auto" w:fill="BF2115"/>
          </w:tcPr>
          <w:p>
            <w:pPr>
              <w:jc w:val="right"/>
              <w:ind w:right="499"/>
              <w:spacing w:after="0"/>
              <w:rPr>
                <w:sz w:val="20"/>
                <w:szCs w:val="20"/>
                <w:color w:val="auto"/>
              </w:rPr>
            </w:pPr>
            <w:r>
              <w:rPr>
                <w:rFonts w:ascii="Arial" w:cs="Arial" w:eastAsia="Arial" w:hAnsi="Arial"/>
                <w:sz w:val="16"/>
                <w:szCs w:val="16"/>
                <w:color w:val="FFFFFF"/>
              </w:rPr>
              <w:t>Options/SARs</w:t>
            </w:r>
          </w:p>
        </w:tc>
        <w:tc>
          <w:tcPr>
            <w:tcW w:w="2340" w:type="dxa"/>
            <w:vAlign w:val="bottom"/>
            <w:shd w:val="clear" w:color="auto" w:fill="BF2115"/>
          </w:tcPr>
          <w:p>
            <w:pPr>
              <w:jc w:val="right"/>
              <w:ind w:right="439"/>
              <w:spacing w:after="0"/>
              <w:rPr>
                <w:sz w:val="20"/>
                <w:szCs w:val="20"/>
                <w:color w:val="auto"/>
              </w:rPr>
            </w:pPr>
            <w:r>
              <w:rPr>
                <w:rFonts w:ascii="Arial" w:cs="Arial" w:eastAsia="Arial" w:hAnsi="Arial"/>
                <w:sz w:val="16"/>
                <w:szCs w:val="16"/>
                <w:color w:val="FFFFFF"/>
              </w:rPr>
              <w:t>Full Value Awards</w:t>
            </w:r>
          </w:p>
        </w:tc>
        <w:tc>
          <w:tcPr>
            <w:tcW w:w="2400" w:type="dxa"/>
            <w:vAlign w:val="bottom"/>
            <w:shd w:val="clear" w:color="auto" w:fill="BF2115"/>
          </w:tcPr>
          <w:p>
            <w:pPr>
              <w:jc w:val="right"/>
              <w:ind w:right="399"/>
              <w:spacing w:after="0"/>
              <w:rPr>
                <w:sz w:val="20"/>
                <w:szCs w:val="20"/>
                <w:color w:val="auto"/>
              </w:rPr>
            </w:pPr>
            <w:r>
              <w:rPr>
                <w:rFonts w:ascii="Arial" w:cs="Arial" w:eastAsia="Arial" w:hAnsi="Arial"/>
                <w:sz w:val="16"/>
                <w:szCs w:val="16"/>
                <w:color w:val="FFFFFF"/>
              </w:rPr>
              <w:t>Price of Options/SARs</w:t>
            </w:r>
          </w:p>
        </w:tc>
        <w:tc>
          <w:tcPr>
            <w:tcW w:w="2140" w:type="dxa"/>
            <w:vAlign w:val="bottom"/>
            <w:shd w:val="clear" w:color="auto" w:fill="BF2115"/>
          </w:tcPr>
          <w:p>
            <w:pPr>
              <w:jc w:val="center"/>
              <w:ind w:right="59"/>
              <w:spacing w:after="0"/>
              <w:rPr>
                <w:sz w:val="20"/>
                <w:szCs w:val="20"/>
                <w:color w:val="auto"/>
              </w:rPr>
            </w:pPr>
            <w:r>
              <w:rPr>
                <w:rFonts w:ascii="Arial" w:cs="Arial" w:eastAsia="Arial" w:hAnsi="Arial"/>
                <w:sz w:val="16"/>
                <w:szCs w:val="16"/>
                <w:color w:val="FFFFFF"/>
                <w:w w:val="97"/>
              </w:rPr>
              <w:t>Awards</w:t>
            </w:r>
          </w:p>
        </w:tc>
      </w:tr>
      <w:tr>
        <w:trPr>
          <w:trHeight w:val="267"/>
        </w:trPr>
        <w:tc>
          <w:tcPr>
            <w:tcW w:w="2260" w:type="dxa"/>
            <w:vAlign w:val="bottom"/>
          </w:tcPr>
          <w:p>
            <w:pPr>
              <w:spacing w:after="0"/>
              <w:rPr>
                <w:sz w:val="20"/>
                <w:szCs w:val="20"/>
                <w:color w:val="auto"/>
              </w:rPr>
            </w:pPr>
            <w:r>
              <w:rPr>
                <w:rFonts w:ascii="Arial" w:cs="Arial" w:eastAsia="Arial" w:hAnsi="Arial"/>
                <w:sz w:val="16"/>
                <w:szCs w:val="16"/>
                <w:color w:val="auto"/>
              </w:rPr>
              <w:t>2004 Plan</w:t>
            </w:r>
            <w:r>
              <w:rPr>
                <w:rFonts w:ascii="Arial" w:cs="Arial" w:eastAsia="Arial" w:hAnsi="Arial"/>
                <w:sz w:val="21"/>
                <w:szCs w:val="21"/>
                <w:color w:val="auto"/>
                <w:vertAlign w:val="superscript"/>
              </w:rPr>
              <w:t>(2)</w:t>
            </w:r>
          </w:p>
        </w:tc>
        <w:tc>
          <w:tcPr>
            <w:tcW w:w="2240" w:type="dxa"/>
            <w:vAlign w:val="bottom"/>
          </w:tcPr>
          <w:p>
            <w:pPr>
              <w:jc w:val="right"/>
              <w:spacing w:after="0"/>
              <w:rPr>
                <w:sz w:val="20"/>
                <w:szCs w:val="20"/>
                <w:color w:val="auto"/>
              </w:rPr>
            </w:pPr>
            <w:r>
              <w:rPr>
                <w:rFonts w:ascii="Arial" w:cs="Arial" w:eastAsia="Arial" w:hAnsi="Arial"/>
                <w:sz w:val="16"/>
                <w:szCs w:val="16"/>
                <w:color w:val="auto"/>
              </w:rPr>
              <w:t>0</w:t>
            </w:r>
          </w:p>
        </w:tc>
        <w:tc>
          <w:tcPr>
            <w:tcW w:w="2340" w:type="dxa"/>
            <w:vAlign w:val="bottom"/>
          </w:tcPr>
          <w:p>
            <w:pPr>
              <w:jc w:val="right"/>
              <w:ind w:right="2099"/>
              <w:spacing w:after="0"/>
              <w:rPr>
                <w:sz w:val="20"/>
                <w:szCs w:val="20"/>
                <w:color w:val="auto"/>
              </w:rPr>
            </w:pPr>
            <w:r>
              <w:rPr>
                <w:rFonts w:ascii="Arial" w:cs="Arial" w:eastAsia="Arial" w:hAnsi="Arial"/>
                <w:sz w:val="16"/>
                <w:szCs w:val="16"/>
                <w:color w:val="auto"/>
              </w:rPr>
              <w:t>0</w:t>
            </w:r>
          </w:p>
        </w:tc>
        <w:tc>
          <w:tcPr>
            <w:tcW w:w="2400" w:type="dxa"/>
            <w:vAlign w:val="bottom"/>
          </w:tcPr>
          <w:p>
            <w:pPr>
              <w:jc w:val="right"/>
              <w:spacing w:after="0"/>
              <w:rPr>
                <w:sz w:val="20"/>
                <w:szCs w:val="20"/>
                <w:color w:val="auto"/>
              </w:rPr>
            </w:pPr>
            <w:r>
              <w:rPr>
                <w:rFonts w:ascii="Arial" w:cs="Arial" w:eastAsia="Arial" w:hAnsi="Arial"/>
                <w:sz w:val="16"/>
                <w:szCs w:val="16"/>
                <w:color w:val="auto"/>
              </w:rPr>
              <w:t>N/A 0</w:t>
            </w:r>
          </w:p>
        </w:tc>
        <w:tc>
          <w:tcPr>
            <w:tcW w:w="2140" w:type="dxa"/>
            <w:vAlign w:val="bottom"/>
          </w:tcPr>
          <w:p>
            <w:pPr>
              <w:spacing w:after="0"/>
              <w:rPr>
                <w:sz w:val="23"/>
                <w:szCs w:val="23"/>
                <w:color w:val="auto"/>
              </w:rPr>
            </w:pPr>
          </w:p>
        </w:tc>
      </w:tr>
      <w:tr>
        <w:trPr>
          <w:trHeight w:val="213"/>
        </w:trPr>
        <w:tc>
          <w:tcPr>
            <w:tcW w:w="2260" w:type="dxa"/>
            <w:vAlign w:val="bottom"/>
          </w:tcPr>
          <w:p>
            <w:pPr>
              <w:spacing w:after="0" w:line="214" w:lineRule="exact"/>
              <w:rPr>
                <w:sz w:val="20"/>
                <w:szCs w:val="20"/>
                <w:color w:val="auto"/>
              </w:rPr>
            </w:pPr>
            <w:r>
              <w:rPr>
                <w:rFonts w:ascii="Arial" w:cs="Arial" w:eastAsia="Arial" w:hAnsi="Arial"/>
                <w:sz w:val="16"/>
                <w:szCs w:val="16"/>
                <w:color w:val="auto"/>
              </w:rPr>
              <w:t>2014 Plan</w:t>
            </w:r>
            <w:r>
              <w:rPr>
                <w:rFonts w:ascii="Arial" w:cs="Arial" w:eastAsia="Arial" w:hAnsi="Arial"/>
                <w:sz w:val="21"/>
                <w:szCs w:val="21"/>
                <w:color w:val="auto"/>
                <w:vertAlign w:val="superscript"/>
              </w:rPr>
              <w:t>(2)</w:t>
            </w:r>
          </w:p>
        </w:tc>
        <w:tc>
          <w:tcPr>
            <w:tcW w:w="2240" w:type="dxa"/>
            <w:vAlign w:val="bottom"/>
          </w:tcPr>
          <w:p>
            <w:pPr>
              <w:jc w:val="right"/>
              <w:spacing w:after="0"/>
              <w:rPr>
                <w:sz w:val="20"/>
                <w:szCs w:val="20"/>
                <w:color w:val="auto"/>
              </w:rPr>
            </w:pPr>
            <w:r>
              <w:rPr>
                <w:rFonts w:ascii="Arial" w:cs="Arial" w:eastAsia="Arial" w:hAnsi="Arial"/>
                <w:sz w:val="16"/>
                <w:szCs w:val="16"/>
                <w:color w:val="auto"/>
              </w:rPr>
              <w:t>138,510</w:t>
            </w:r>
          </w:p>
        </w:tc>
        <w:tc>
          <w:tcPr>
            <w:tcW w:w="2340" w:type="dxa"/>
            <w:vAlign w:val="bottom"/>
          </w:tcPr>
          <w:p>
            <w:pPr>
              <w:jc w:val="right"/>
              <w:ind w:right="59"/>
              <w:spacing w:after="0"/>
              <w:rPr>
                <w:sz w:val="20"/>
                <w:szCs w:val="20"/>
                <w:color w:val="auto"/>
              </w:rPr>
            </w:pPr>
            <w:r>
              <w:rPr>
                <w:rFonts w:ascii="Arial" w:cs="Arial" w:eastAsia="Arial" w:hAnsi="Arial"/>
                <w:sz w:val="16"/>
                <w:szCs w:val="16"/>
                <w:color w:val="auto"/>
              </w:rPr>
              <w:t>331,194</w:t>
            </w:r>
          </w:p>
        </w:tc>
        <w:tc>
          <w:tcPr>
            <w:tcW w:w="2400" w:type="dxa"/>
            <w:vAlign w:val="bottom"/>
          </w:tcPr>
          <w:p>
            <w:pPr>
              <w:jc w:val="right"/>
              <w:spacing w:after="0"/>
              <w:rPr>
                <w:sz w:val="20"/>
                <w:szCs w:val="20"/>
                <w:color w:val="auto"/>
              </w:rPr>
            </w:pPr>
            <w:r>
              <w:rPr>
                <w:rFonts w:ascii="Arial" w:cs="Arial" w:eastAsia="Arial" w:hAnsi="Arial"/>
                <w:sz w:val="16"/>
                <w:szCs w:val="16"/>
                <w:color w:val="auto"/>
              </w:rPr>
              <w:t>36.68 0</w:t>
            </w:r>
          </w:p>
        </w:tc>
        <w:tc>
          <w:tcPr>
            <w:tcW w:w="2140" w:type="dxa"/>
            <w:vAlign w:val="bottom"/>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-149860</wp:posOffset>
            </wp:positionV>
            <wp:extent cx="7246620" cy="15430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246620" cy="154305"/>
                    </a:xfrm>
                    <a:prstGeom prst="rect">
                      <a:avLst/>
                    </a:prstGeom>
                    <a:noFill/>
                  </pic:spPr>
                </pic:pic>
              </a:graphicData>
            </a:graphic>
          </wp:anchor>
        </w:drawing>
      </w:r>
    </w:p>
    <w:p>
      <w:pPr>
        <w:jc w:val="both"/>
        <w:ind w:left="660" w:hanging="4"/>
        <w:spacing w:after="0" w:line="238" w:lineRule="auto"/>
        <w:tabs>
          <w:tab w:leader="none" w:pos="853" w:val="left"/>
        </w:tabs>
        <w:numPr>
          <w:ilvl w:val="0"/>
          <w:numId w:val="53"/>
        </w:numPr>
        <w:rPr>
          <w:rFonts w:ascii="Arial" w:cs="Arial" w:eastAsia="Arial" w:hAnsi="Arial"/>
          <w:sz w:val="13"/>
          <w:szCs w:val="13"/>
          <w:color w:val="auto"/>
        </w:rPr>
      </w:pPr>
      <w:r>
        <w:rPr>
          <w:rFonts w:ascii="Arial" w:cs="Arial" w:eastAsia="Arial" w:hAnsi="Arial"/>
          <w:sz w:val="13"/>
          <w:szCs w:val="13"/>
          <w:color w:val="auto"/>
        </w:rPr>
        <w:t>We also issue stock units pursuant to our Directors’ Plan using treasury shares. The Directors’ Plan does not limit the number of shares of Common Stock issuable thereunder. The number of stock units to be distributed pursuant to the Directors’ Plan upon a directors' separation from service of the Company will be based upon the amount of the participating directors’ compensation and the per share price at the time of deferral.</w:t>
      </w:r>
    </w:p>
    <w:p>
      <w:pPr>
        <w:ind w:left="660" w:hanging="4"/>
        <w:spacing w:after="0" w:line="238" w:lineRule="auto"/>
        <w:tabs>
          <w:tab w:leader="none" w:pos="855" w:val="left"/>
        </w:tabs>
        <w:numPr>
          <w:ilvl w:val="0"/>
          <w:numId w:val="53"/>
        </w:numPr>
        <w:rPr>
          <w:rFonts w:ascii="Arial" w:cs="Arial" w:eastAsia="Arial" w:hAnsi="Arial"/>
          <w:sz w:val="13"/>
          <w:szCs w:val="13"/>
          <w:color w:val="auto"/>
        </w:rPr>
      </w:pPr>
      <w:r>
        <w:rPr>
          <w:rFonts w:ascii="Arial" w:cs="Arial" w:eastAsia="Arial" w:hAnsi="Arial"/>
          <w:sz w:val="13"/>
          <w:szCs w:val="13"/>
          <w:color w:val="auto"/>
        </w:rPr>
        <w:t>No further equity awards may be granted under the 2004 Plan or, following shareholder approval of the 2019 Plan, under the 2014 Plan; however, any shares that would return to the 2004 Plan or 2014 Plan as a result of an award terminating, expiring or being forfeited or being settled in cash in lieu of shares will instead become available under the 2019 Plan.</w:t>
      </w:r>
    </w:p>
    <w:p>
      <w:pPr>
        <w:ind w:left="840" w:hanging="184"/>
        <w:spacing w:after="0"/>
        <w:tabs>
          <w:tab w:leader="none" w:pos="840" w:val="left"/>
        </w:tabs>
        <w:numPr>
          <w:ilvl w:val="0"/>
          <w:numId w:val="53"/>
        </w:numPr>
        <w:rPr>
          <w:rFonts w:ascii="Arial" w:cs="Arial" w:eastAsia="Arial" w:hAnsi="Arial"/>
          <w:sz w:val="13"/>
          <w:szCs w:val="13"/>
          <w:color w:val="auto"/>
        </w:rPr>
      </w:pPr>
      <w:r>
        <w:rPr>
          <w:rFonts w:ascii="Arial" w:cs="Arial" w:eastAsia="Arial" w:hAnsi="Arial"/>
          <w:sz w:val="13"/>
          <w:szCs w:val="13"/>
          <w:color w:val="auto"/>
        </w:rPr>
        <w:t>The 2019 Plan authorizes 4,100,000 shares for awards.</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color w:val="828282"/>
        </w:rPr>
        <w:t>Historical Equity Granting Practices</w:t>
      </w:r>
    </w:p>
    <w:p>
      <w:pPr>
        <w:spacing w:after="0" w:line="201"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Our three-year average “burn rate” was 0.8% for Fiscal 2016 through Fiscal 2018. We define burn rate as the total number of shares subject to awards granted to participants in a single year expressed as a percent of our basic weighted average common shares outstanding for that year. We believe our historical burn rate is reasonable for a company of our size in our industry.</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color w:val="828282"/>
        </w:rPr>
        <w:t>Estimated Duration of Shares Available for Issuance under the 2019 Plan</w:t>
      </w:r>
    </w:p>
    <w:p>
      <w:pPr>
        <w:spacing w:after="0" w:line="201"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auto"/>
        </w:rPr>
        <w:t>Based on the 4,100,000 shares to be reserved under the 2019 Plan and our three-year average burn rate as described above, we expect that the requested share reserve will cover awards for approximately 8 years.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color w:val="828282"/>
        </w:rPr>
        <w:t>Expected Dilution</w:t>
      </w:r>
    </w:p>
    <w:p>
      <w:pPr>
        <w:spacing w:after="0" w:line="201" w:lineRule="exact"/>
        <w:rPr>
          <w:sz w:val="20"/>
          <w:szCs w:val="20"/>
          <w:color w:val="auto"/>
        </w:rPr>
      </w:pPr>
    </w:p>
    <w:p>
      <w:pPr>
        <w:jc w:val="both"/>
        <w:spacing w:after="0" w:line="249" w:lineRule="auto"/>
        <w:rPr>
          <w:sz w:val="20"/>
          <w:szCs w:val="20"/>
          <w:color w:val="auto"/>
        </w:rPr>
      </w:pPr>
      <w:r>
        <w:rPr>
          <w:rFonts w:ascii="Arial" w:cs="Arial" w:eastAsia="Arial" w:hAnsi="Arial"/>
          <w:sz w:val="16"/>
          <w:szCs w:val="16"/>
          <w:color w:val="auto"/>
        </w:rPr>
        <w:t>As of August 25, 2018, our existing voting power dilution under the 2014 Plan was 6.6%. We define existing voting power dilution as the sum of (i) the total number of shares available for future grants under the 2014 Plan and (ii) the total number of shares of our Common Stock subject to outstanding awards under the 2014 Plan and the 2004 Plan, divided by the fully diluted number of common shares outstanding. Our projected voting power dilution as of that same date would be 14.2%, based on including the 4,100,000 share reserve under the 2019 Plan in the formula, and eliminating the shares available for future grants under the 2014 Plan, since unused shares under the 2014 Plan will not be carried over to the 2014 Plan. In light of the expected duration of 2019 Plan’s share reserve, we believe that the expected dilution that will result from the 2019 Plan is reasonable for a company of our size in our industry.</w:t>
      </w: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37</w:t>
      </w:r>
    </w:p>
    <w:p>
      <w:pPr>
        <w:sectPr>
          <w:pgSz w:w="11900" w:h="16838" w:orient="portrait"/>
          <w:cols w:equalWidth="0" w:num="1">
            <w:col w:w="11420"/>
          </w:cols>
          <w:pgMar w:left="240" w:top="304" w:right="239" w:bottom="1440" w:gutter="0" w:footer="0" w:header="0"/>
        </w:sectPr>
      </w:pPr>
    </w:p>
    <w:bookmarkStart w:id="41" w:name="page42"/>
    <w:bookmarkEnd w:id="41"/>
    <w:p>
      <w:pPr>
        <w:ind w:left="40"/>
        <w:spacing w:after="0"/>
        <w:rPr>
          <w:rFonts w:ascii="Arial" w:cs="Arial" w:eastAsia="Arial" w:hAnsi="Arial"/>
          <w:sz w:val="15"/>
          <w:szCs w:val="15"/>
          <w:u w:val="single" w:color="auto"/>
          <w:color w:val="0000EE"/>
        </w:rPr>
      </w:pPr>
      <w:r>
        <w:rPr>
          <w:rFonts w:ascii="Arial" w:cs="Arial" w:eastAsia="Arial" w:hAnsi="Arial"/>
          <w:sz w:val="15"/>
          <w:szCs w:val="15"/>
          <w:u w:val="single" w:color="auto"/>
          <w:color w:val="0000EE"/>
        </w:rPr>
        <w:drawing>
          <wp:anchor simplePos="0" relativeHeight="251657728" behindDoc="1" locked="0" layoutInCell="0" allowOverlap="1">
            <wp:simplePos x="0" y="0"/>
            <wp:positionH relativeFrom="page">
              <wp:posOffset>5946140</wp:posOffset>
            </wp:positionH>
            <wp:positionV relativeFrom="page">
              <wp:posOffset>191770</wp:posOffset>
            </wp:positionV>
            <wp:extent cx="1440815" cy="20574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clrChange>
                        <a:clrFrom>
                          <a:srgbClr val="FFFFFF"/>
                        </a:clrFrom>
                        <a:clrTo>
                          <a:srgbClr val="FFFFFF">
                            <a:alpha val="0"/>
                          </a:srgbClr>
                        </a:clrTo>
                      </a:clrChange>
                      <a:extLst>
                        <a:ext uri="{28A0092B-C50C-407E-A947-70E740481C1C}"/>
                      </a:extLst>
                    </a:blip>
                    <a:srcRect/>
                    <a:stretch>
                      <a:fillRect/>
                    </a:stretch>
                  </pic:blipFill>
                  <pic:spPr bwMode="auto">
                    <a:xfrm>
                      <a:off x="0" y="0"/>
                      <a:ext cx="1440815" cy="205740"/>
                    </a:xfrm>
                    <a:prstGeom prst="rect">
                      <a:avLst/>
                    </a:prstGeom>
                    <a:noFill/>
                  </pic:spPr>
                </pic:pic>
              </a:graphicData>
            </a:graphic>
          </wp:anchor>
        </w:drawing>
      </w:r>
      <w:hyperlink w:anchor="page4">
        <w:r>
          <w:rPr>
            <w:rFonts w:ascii="Arial" w:cs="Arial" w:eastAsia="Arial" w:hAnsi="Arial"/>
            <w:sz w:val="15"/>
            <w:szCs w:val="15"/>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112395</wp:posOffset>
            </wp:positionV>
            <wp:extent cx="7246620" cy="889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303" w:right="239" w:bottom="1440" w:gutter="0" w:footer="0" w:header="0"/>
        </w:sectPr>
      </w:pPr>
    </w:p>
    <w:p>
      <w:pPr>
        <w:spacing w:after="0" w:line="200" w:lineRule="exact"/>
        <w:rPr>
          <w:sz w:val="20"/>
          <w:szCs w:val="20"/>
          <w:color w:val="auto"/>
        </w:rPr>
      </w:pPr>
    </w:p>
    <w:p>
      <w:pPr>
        <w:spacing w:after="0" w:line="240" w:lineRule="exact"/>
        <w:rPr>
          <w:sz w:val="20"/>
          <w:szCs w:val="20"/>
          <w:color w:val="auto"/>
        </w:rPr>
      </w:pPr>
    </w:p>
    <w:p>
      <w:pPr>
        <w:spacing w:after="0"/>
        <w:rPr>
          <w:sz w:val="20"/>
          <w:szCs w:val="20"/>
          <w:color w:val="auto"/>
        </w:rPr>
      </w:pPr>
      <w:r>
        <w:rPr>
          <w:rFonts w:ascii="Arial" w:cs="Arial" w:eastAsia="Arial" w:hAnsi="Arial"/>
          <w:sz w:val="22"/>
          <w:szCs w:val="22"/>
          <w:color w:val="828282"/>
        </w:rPr>
        <w:t>Key Compensation Practices</w:t>
      </w:r>
    </w:p>
    <w:p>
      <w:pPr>
        <w:spacing w:after="0" w:line="188" w:lineRule="exact"/>
        <w:rPr>
          <w:sz w:val="20"/>
          <w:szCs w:val="20"/>
          <w:color w:val="auto"/>
        </w:rPr>
      </w:pPr>
    </w:p>
    <w:p>
      <w:pPr>
        <w:ind w:right="20"/>
        <w:spacing w:after="0" w:line="260" w:lineRule="auto"/>
        <w:rPr>
          <w:sz w:val="20"/>
          <w:szCs w:val="20"/>
          <w:color w:val="auto"/>
        </w:rPr>
      </w:pPr>
      <w:r>
        <w:rPr>
          <w:rFonts w:ascii="Arial" w:cs="Arial" w:eastAsia="Arial" w:hAnsi="Arial"/>
          <w:sz w:val="16"/>
          <w:szCs w:val="16"/>
          <w:color w:val="auto"/>
        </w:rPr>
        <w:t>The content of the 2019 Plan is similar to our 2014 Plan. The primary changes reflected in the 2019 Plan, as compared to the 2014 Plan include:</w:t>
      </w:r>
    </w:p>
    <w:p>
      <w:pPr>
        <w:spacing w:after="0" w:line="153" w:lineRule="exact"/>
        <w:rPr>
          <w:sz w:val="20"/>
          <w:szCs w:val="20"/>
          <w:color w:val="auto"/>
        </w:rPr>
      </w:pPr>
    </w:p>
    <w:p>
      <w:pPr>
        <w:jc w:val="both"/>
        <w:ind w:left="660" w:hanging="328"/>
        <w:spacing w:after="0" w:line="258" w:lineRule="auto"/>
        <w:tabs>
          <w:tab w:leader="none" w:pos="660" w:val="left"/>
        </w:tabs>
        <w:numPr>
          <w:ilvl w:val="0"/>
          <w:numId w:val="54"/>
        </w:numPr>
        <w:rPr>
          <w:rFonts w:ascii="Arial" w:cs="Arial" w:eastAsia="Arial" w:hAnsi="Arial"/>
          <w:sz w:val="16"/>
          <w:szCs w:val="16"/>
          <w:color w:val="auto"/>
        </w:rPr>
      </w:pPr>
      <w:r>
        <w:rPr>
          <w:rFonts w:ascii="Arial" w:cs="Arial" w:eastAsia="Arial" w:hAnsi="Arial"/>
          <w:sz w:val="16"/>
          <w:szCs w:val="16"/>
          <w:i w:val="1"/>
          <w:iCs w:val="1"/>
          <w:color w:val="auto"/>
        </w:rPr>
        <w:t>Updated definition of “Change in Control”</w:t>
      </w:r>
      <w:r>
        <w:rPr>
          <w:rFonts w:ascii="Arial" w:cs="Arial" w:eastAsia="Arial" w:hAnsi="Arial"/>
          <w:sz w:val="16"/>
          <w:szCs w:val="16"/>
          <w:color w:val="auto"/>
        </w:rPr>
        <w:t>. The 2019 Plan definition</w:t>
      </w:r>
      <w:r>
        <w:rPr>
          <w:rFonts w:ascii="Arial" w:cs="Arial" w:eastAsia="Arial" w:hAnsi="Arial"/>
          <w:sz w:val="16"/>
          <w:szCs w:val="16"/>
          <w:i w:val="1"/>
          <w:iCs w:val="1"/>
          <w:color w:val="auto"/>
        </w:rPr>
        <w:t xml:space="preserve"> </w:t>
      </w:r>
      <w:r>
        <w:rPr>
          <w:rFonts w:ascii="Arial" w:cs="Arial" w:eastAsia="Arial" w:hAnsi="Arial"/>
          <w:sz w:val="16"/>
          <w:szCs w:val="16"/>
          <w:color w:val="auto"/>
        </w:rPr>
        <w:t>increases the level of stock ownership required to trigger a change in control to 30%, up from 20% in the 2014 Plan and better reflects current market practices.</w:t>
      </w:r>
    </w:p>
    <w:p>
      <w:pPr>
        <w:spacing w:after="0" w:line="154" w:lineRule="exact"/>
        <w:rPr>
          <w:rFonts w:ascii="Arial" w:cs="Arial" w:eastAsia="Arial" w:hAnsi="Arial"/>
          <w:sz w:val="16"/>
          <w:szCs w:val="16"/>
          <w:color w:val="auto"/>
        </w:rPr>
      </w:pPr>
    </w:p>
    <w:p>
      <w:pPr>
        <w:jc w:val="both"/>
        <w:ind w:left="660" w:hanging="328"/>
        <w:spacing w:after="0" w:line="250" w:lineRule="auto"/>
        <w:tabs>
          <w:tab w:leader="none" w:pos="660" w:val="left"/>
        </w:tabs>
        <w:numPr>
          <w:ilvl w:val="0"/>
          <w:numId w:val="54"/>
        </w:numPr>
        <w:rPr>
          <w:rFonts w:ascii="Arial" w:cs="Arial" w:eastAsia="Arial" w:hAnsi="Arial"/>
          <w:sz w:val="16"/>
          <w:szCs w:val="16"/>
          <w:color w:val="auto"/>
        </w:rPr>
      </w:pPr>
      <w:r>
        <w:rPr>
          <w:rFonts w:ascii="Arial" w:cs="Arial" w:eastAsia="Arial" w:hAnsi="Arial"/>
          <w:sz w:val="16"/>
          <w:szCs w:val="16"/>
          <w:i w:val="1"/>
          <w:iCs w:val="1"/>
          <w:color w:val="auto"/>
        </w:rPr>
        <w:t>“Double trigger” acceleration of equity awards upon a Change in Control</w:t>
      </w:r>
      <w:r>
        <w:rPr>
          <w:rFonts w:ascii="Arial" w:cs="Arial" w:eastAsia="Arial" w:hAnsi="Arial"/>
          <w:sz w:val="16"/>
          <w:szCs w:val="16"/>
          <w:color w:val="auto"/>
        </w:rPr>
        <w:t>. The 2019 Plan provides for vesting of time-based equity</w:t>
      </w:r>
      <w:r>
        <w:rPr>
          <w:rFonts w:ascii="Arial" w:cs="Arial" w:eastAsia="Arial" w:hAnsi="Arial"/>
          <w:sz w:val="16"/>
          <w:szCs w:val="16"/>
          <w:i w:val="1"/>
          <w:iCs w:val="1"/>
          <w:color w:val="auto"/>
        </w:rPr>
        <w:t xml:space="preserve"> </w:t>
      </w:r>
      <w:r>
        <w:rPr>
          <w:rFonts w:ascii="Arial" w:cs="Arial" w:eastAsia="Arial" w:hAnsi="Arial"/>
          <w:sz w:val="16"/>
          <w:szCs w:val="16"/>
          <w:color w:val="auto"/>
        </w:rPr>
        <w:t>awards or performance-based equity awards based on both (1) the occurrence of a change in control and (2) an accompanying involuntary termination of service without cause or, if so provided by the Committee, a termination for good reason, within 24 months of the consummation of the change in control (other than in the event awards are not continued, assumed, or replaced in connection with a corporate transaction, in which case they will accelerate upon the change in control).</w:t>
      </w:r>
    </w:p>
    <w:p>
      <w:pPr>
        <w:spacing w:after="0" w:line="163" w:lineRule="exact"/>
        <w:rPr>
          <w:rFonts w:ascii="Arial" w:cs="Arial" w:eastAsia="Arial" w:hAnsi="Arial"/>
          <w:sz w:val="16"/>
          <w:szCs w:val="16"/>
          <w:color w:val="auto"/>
        </w:rPr>
      </w:pPr>
    </w:p>
    <w:p>
      <w:pPr>
        <w:jc w:val="both"/>
        <w:ind w:left="660" w:hanging="328"/>
        <w:spacing w:after="0" w:line="258" w:lineRule="auto"/>
        <w:tabs>
          <w:tab w:leader="none" w:pos="660" w:val="left"/>
        </w:tabs>
        <w:numPr>
          <w:ilvl w:val="0"/>
          <w:numId w:val="54"/>
        </w:numPr>
        <w:rPr>
          <w:rFonts w:ascii="Arial" w:cs="Arial" w:eastAsia="Arial" w:hAnsi="Arial"/>
          <w:sz w:val="16"/>
          <w:szCs w:val="16"/>
          <w:color w:val="auto"/>
        </w:rPr>
      </w:pPr>
      <w:r>
        <w:rPr>
          <w:rFonts w:ascii="Arial" w:cs="Arial" w:eastAsia="Arial" w:hAnsi="Arial"/>
          <w:sz w:val="16"/>
          <w:szCs w:val="16"/>
          <w:i w:val="1"/>
          <w:iCs w:val="1"/>
          <w:color w:val="auto"/>
        </w:rPr>
        <w:t>Increased flexibility of design</w:t>
      </w:r>
      <w:r>
        <w:rPr>
          <w:rFonts w:ascii="Arial" w:cs="Arial" w:eastAsia="Arial" w:hAnsi="Arial"/>
          <w:sz w:val="16"/>
          <w:szCs w:val="16"/>
          <w:color w:val="auto"/>
        </w:rPr>
        <w:t>. The 2019 Plan increases flexibility for</w:t>
      </w:r>
      <w:r>
        <w:rPr>
          <w:rFonts w:ascii="Arial" w:cs="Arial" w:eastAsia="Arial" w:hAnsi="Arial"/>
          <w:sz w:val="16"/>
          <w:szCs w:val="16"/>
          <w:i w:val="1"/>
          <w:iCs w:val="1"/>
          <w:color w:val="auto"/>
        </w:rPr>
        <w:t xml:space="preserve"> </w:t>
      </w:r>
      <w:r>
        <w:rPr>
          <w:rFonts w:ascii="Arial" w:cs="Arial" w:eastAsia="Arial" w:hAnsi="Arial"/>
          <w:sz w:val="16"/>
          <w:szCs w:val="16"/>
          <w:color w:val="auto"/>
        </w:rPr>
        <w:t>the design of performance-based awards following the repeal of the performance-based compensation exception under Section 162(m) of the Code.</w:t>
      </w:r>
    </w:p>
    <w:p>
      <w:pPr>
        <w:spacing w:after="0" w:line="154" w:lineRule="exact"/>
        <w:rPr>
          <w:rFonts w:ascii="Arial" w:cs="Arial" w:eastAsia="Arial" w:hAnsi="Arial"/>
          <w:sz w:val="16"/>
          <w:szCs w:val="16"/>
          <w:color w:val="auto"/>
        </w:rPr>
      </w:pPr>
    </w:p>
    <w:p>
      <w:pPr>
        <w:jc w:val="both"/>
        <w:ind w:left="660" w:hanging="328"/>
        <w:spacing w:after="0" w:line="250" w:lineRule="auto"/>
        <w:tabs>
          <w:tab w:leader="none" w:pos="660" w:val="left"/>
        </w:tabs>
        <w:numPr>
          <w:ilvl w:val="0"/>
          <w:numId w:val="54"/>
        </w:numPr>
        <w:rPr>
          <w:rFonts w:ascii="Arial" w:cs="Arial" w:eastAsia="Arial" w:hAnsi="Arial"/>
          <w:sz w:val="16"/>
          <w:szCs w:val="16"/>
          <w:color w:val="auto"/>
        </w:rPr>
      </w:pPr>
      <w:r>
        <w:rPr>
          <w:rFonts w:ascii="Arial" w:cs="Arial" w:eastAsia="Arial" w:hAnsi="Arial"/>
          <w:sz w:val="16"/>
          <w:szCs w:val="16"/>
          <w:i w:val="1"/>
          <w:iCs w:val="1"/>
          <w:color w:val="auto"/>
        </w:rPr>
        <w:t>Restrictions on dividends and dividend equivalents</w:t>
      </w:r>
      <w:r>
        <w:rPr>
          <w:rFonts w:ascii="Arial" w:cs="Arial" w:eastAsia="Arial" w:hAnsi="Arial"/>
          <w:sz w:val="16"/>
          <w:szCs w:val="16"/>
          <w:color w:val="auto"/>
        </w:rPr>
        <w:t>. The 2019 Plan</w:t>
      </w:r>
      <w:r>
        <w:rPr>
          <w:rFonts w:ascii="Arial" w:cs="Arial" w:eastAsia="Arial" w:hAnsi="Arial"/>
          <w:sz w:val="16"/>
          <w:szCs w:val="16"/>
          <w:i w:val="1"/>
          <w:iCs w:val="1"/>
          <w:color w:val="auto"/>
        </w:rPr>
        <w:t xml:space="preserve"> </w:t>
      </w:r>
      <w:r>
        <w:rPr>
          <w:rFonts w:ascii="Arial" w:cs="Arial" w:eastAsia="Arial" w:hAnsi="Arial"/>
          <w:sz w:val="16"/>
          <w:szCs w:val="16"/>
          <w:color w:val="auto"/>
        </w:rPr>
        <w:t>prohibits the payment of dividends or dividend equivalents on stock options and stock appreciation rights (“SARs”), and provides that unless otherwise specified in an award agreement, any dividends or dividend equivalents payable with respect to shares or share equivalents subject to the unvested portion of a full value award will be subject to the same restrictions and risk of forfeiture as the shares or share equivalents to which such dividends or dividend equivalents relate.</w:t>
      </w:r>
    </w:p>
    <w:p>
      <w:pPr>
        <w:spacing w:after="0" w:line="165" w:lineRule="exact"/>
        <w:rPr>
          <w:rFonts w:ascii="Arial" w:cs="Arial" w:eastAsia="Arial" w:hAnsi="Arial"/>
          <w:sz w:val="16"/>
          <w:szCs w:val="16"/>
          <w:color w:val="auto"/>
        </w:rPr>
      </w:pPr>
    </w:p>
    <w:p>
      <w:pPr>
        <w:jc w:val="both"/>
        <w:ind w:left="660" w:hanging="328"/>
        <w:spacing w:after="0" w:line="249" w:lineRule="auto"/>
        <w:tabs>
          <w:tab w:leader="none" w:pos="660" w:val="left"/>
        </w:tabs>
        <w:numPr>
          <w:ilvl w:val="0"/>
          <w:numId w:val="54"/>
        </w:numPr>
        <w:rPr>
          <w:rFonts w:ascii="Arial" w:cs="Arial" w:eastAsia="Arial" w:hAnsi="Arial"/>
          <w:sz w:val="16"/>
          <w:szCs w:val="16"/>
          <w:color w:val="auto"/>
        </w:rPr>
      </w:pPr>
      <w:r>
        <w:rPr>
          <w:rFonts w:ascii="Arial" w:cs="Arial" w:eastAsia="Arial" w:hAnsi="Arial"/>
          <w:sz w:val="16"/>
          <w:szCs w:val="16"/>
          <w:i w:val="1"/>
          <w:iCs w:val="1"/>
          <w:color w:val="auto"/>
        </w:rPr>
        <w:t>Net best cutbacks</w:t>
      </w:r>
      <w:r>
        <w:rPr>
          <w:rFonts w:ascii="Arial" w:cs="Arial" w:eastAsia="Arial" w:hAnsi="Arial"/>
          <w:sz w:val="16"/>
          <w:szCs w:val="16"/>
          <w:color w:val="auto"/>
        </w:rPr>
        <w:t>. Like the 2014 Plan, the 2019 Plan does not</w:t>
      </w:r>
      <w:r>
        <w:rPr>
          <w:rFonts w:ascii="Arial" w:cs="Arial" w:eastAsia="Arial" w:hAnsi="Arial"/>
          <w:sz w:val="16"/>
          <w:szCs w:val="16"/>
          <w:i w:val="1"/>
          <w:iCs w:val="1"/>
          <w:color w:val="auto"/>
        </w:rPr>
        <w:t xml:space="preserve"> </w:t>
      </w:r>
      <w:r>
        <w:rPr>
          <w:rFonts w:ascii="Arial" w:cs="Arial" w:eastAsia="Arial" w:hAnsi="Arial"/>
          <w:sz w:val="16"/>
          <w:szCs w:val="16"/>
          <w:color w:val="auto"/>
        </w:rPr>
        <w:t>provide any parachute payment gross-ups to its participants. The 2019 Plan also provides that if any benefits provided to a participant under the 2019 Plan or other Company compensation arrangements in connection with a change in control would constitute “parachute payments” within the meaning of Code Section 280G and result in the imposition of an excise tax on the participant under Code Section 4999, then the amount of such payments and benefits will either (i) be reduced to the extent necessary to avoid characterization as parachute payments and the imposition of the excise tax, or (ii) be paid in full and remain subject to the imposition of the excise tax, whichever results in the participant’s receipt on an after-tax basis of the greatest amount of payments and benefits.</w:t>
      </w:r>
    </w:p>
    <w:p>
      <w:pPr>
        <w:spacing w:after="0" w:line="182" w:lineRule="exact"/>
        <w:rPr>
          <w:sz w:val="20"/>
          <w:szCs w:val="20"/>
          <w:color w:val="auto"/>
        </w:rPr>
      </w:pPr>
    </w:p>
    <w:p>
      <w:pPr>
        <w:spacing w:after="0" w:line="260" w:lineRule="auto"/>
        <w:rPr>
          <w:sz w:val="20"/>
          <w:szCs w:val="20"/>
          <w:color w:val="auto"/>
        </w:rPr>
      </w:pPr>
      <w:r>
        <w:rPr>
          <w:rFonts w:ascii="Arial" w:cs="Arial" w:eastAsia="Arial" w:hAnsi="Arial"/>
          <w:sz w:val="16"/>
          <w:szCs w:val="16"/>
          <w:color w:val="auto"/>
        </w:rPr>
        <w:t>The 2019 Plan continues to include a number of features similar to our 2014 Plan that we believe are consistent with the interests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15" w:lineRule="exact"/>
        <w:rPr>
          <w:sz w:val="20"/>
          <w:szCs w:val="20"/>
          <w:color w:val="auto"/>
        </w:rPr>
      </w:pPr>
    </w:p>
    <w:p>
      <w:pPr>
        <w:spacing w:after="0" w:line="260" w:lineRule="auto"/>
        <w:rPr>
          <w:sz w:val="20"/>
          <w:szCs w:val="20"/>
          <w:color w:val="auto"/>
        </w:rPr>
      </w:pPr>
      <w:r>
        <w:rPr>
          <w:rFonts w:ascii="Arial" w:cs="Arial" w:eastAsia="Arial" w:hAnsi="Arial"/>
          <w:sz w:val="16"/>
          <w:szCs w:val="16"/>
          <w:color w:val="auto"/>
        </w:rPr>
        <w:t>of our shareholders and sensible corporate governance practices, including the following:</w:t>
      </w:r>
    </w:p>
    <w:p>
      <w:pPr>
        <w:spacing w:after="0" w:line="153" w:lineRule="exact"/>
        <w:rPr>
          <w:sz w:val="20"/>
          <w:szCs w:val="20"/>
          <w:color w:val="auto"/>
        </w:rPr>
      </w:pPr>
    </w:p>
    <w:p>
      <w:pPr>
        <w:jc w:val="both"/>
        <w:ind w:left="660" w:hanging="328"/>
        <w:spacing w:after="0" w:line="253" w:lineRule="auto"/>
        <w:tabs>
          <w:tab w:leader="none" w:pos="660" w:val="left"/>
        </w:tabs>
        <w:numPr>
          <w:ilvl w:val="0"/>
          <w:numId w:val="55"/>
        </w:numPr>
        <w:rPr>
          <w:rFonts w:ascii="Arial" w:cs="Arial" w:eastAsia="Arial" w:hAnsi="Arial"/>
          <w:sz w:val="16"/>
          <w:szCs w:val="16"/>
          <w:color w:val="auto"/>
        </w:rPr>
      </w:pPr>
      <w:r>
        <w:rPr>
          <w:rFonts w:ascii="Arial" w:cs="Arial" w:eastAsia="Arial" w:hAnsi="Arial"/>
          <w:sz w:val="16"/>
          <w:szCs w:val="16"/>
          <w:i w:val="1"/>
          <w:iCs w:val="1"/>
          <w:color w:val="auto"/>
        </w:rPr>
        <w:t>Incorporates a fungible share design</w:t>
      </w:r>
      <w:r>
        <w:rPr>
          <w:rFonts w:ascii="Arial" w:cs="Arial" w:eastAsia="Arial" w:hAnsi="Arial"/>
          <w:sz w:val="16"/>
          <w:szCs w:val="16"/>
          <w:color w:val="auto"/>
        </w:rPr>
        <w:t>. Full value awards (such as</w:t>
      </w:r>
      <w:r>
        <w:rPr>
          <w:rFonts w:ascii="Arial" w:cs="Arial" w:eastAsia="Arial" w:hAnsi="Arial"/>
          <w:sz w:val="16"/>
          <w:szCs w:val="16"/>
          <w:i w:val="1"/>
          <w:iCs w:val="1"/>
          <w:color w:val="auto"/>
        </w:rPr>
        <w:t xml:space="preserve"> </w:t>
      </w:r>
      <w:r>
        <w:rPr>
          <w:rFonts w:ascii="Arial" w:cs="Arial" w:eastAsia="Arial" w:hAnsi="Arial"/>
          <w:sz w:val="16"/>
          <w:szCs w:val="16"/>
          <w:color w:val="auto"/>
        </w:rPr>
        <w:t>restricted stock units and performance stock units), count against the shares reserved for issuance at a 2.0:1 ratio (slightly lower than the 2.5:1 ratio under the 2014 Plan), while appreciation awards (such as SARs and stock options) continue to be counted against the share reserve at a 1:1 ratio.</w:t>
      </w:r>
    </w:p>
    <w:p>
      <w:pPr>
        <w:spacing w:after="0" w:line="159" w:lineRule="exact"/>
        <w:rPr>
          <w:rFonts w:ascii="Arial" w:cs="Arial" w:eastAsia="Arial" w:hAnsi="Arial"/>
          <w:sz w:val="16"/>
          <w:szCs w:val="16"/>
          <w:color w:val="auto"/>
        </w:rPr>
      </w:pPr>
    </w:p>
    <w:p>
      <w:pPr>
        <w:jc w:val="both"/>
        <w:ind w:left="660" w:hanging="328"/>
        <w:spacing w:after="0" w:line="264" w:lineRule="auto"/>
        <w:tabs>
          <w:tab w:leader="none" w:pos="660" w:val="left"/>
        </w:tabs>
        <w:numPr>
          <w:ilvl w:val="0"/>
          <w:numId w:val="55"/>
        </w:numPr>
        <w:rPr>
          <w:rFonts w:ascii="Arial" w:cs="Arial" w:eastAsia="Arial" w:hAnsi="Arial"/>
          <w:sz w:val="16"/>
          <w:szCs w:val="16"/>
          <w:color w:val="auto"/>
        </w:rPr>
      </w:pPr>
      <w:r>
        <w:rPr>
          <w:rFonts w:ascii="Arial" w:cs="Arial" w:eastAsia="Arial" w:hAnsi="Arial"/>
          <w:sz w:val="16"/>
          <w:szCs w:val="16"/>
          <w:i w:val="1"/>
          <w:iCs w:val="1"/>
          <w:color w:val="auto"/>
        </w:rPr>
        <w:t xml:space="preserve">Minimum vesting or performance period for all awards. </w:t>
      </w:r>
      <w:r>
        <w:rPr>
          <w:rFonts w:ascii="Arial" w:cs="Arial" w:eastAsia="Arial" w:hAnsi="Arial"/>
          <w:sz w:val="16"/>
          <w:szCs w:val="16"/>
          <w:color w:val="auto"/>
        </w:rPr>
        <w:t>A minimum</w:t>
      </w:r>
      <w:r>
        <w:rPr>
          <w:rFonts w:ascii="Arial" w:cs="Arial" w:eastAsia="Arial" w:hAnsi="Arial"/>
          <w:sz w:val="16"/>
          <w:szCs w:val="16"/>
          <w:i w:val="1"/>
          <w:iCs w:val="1"/>
          <w:color w:val="auto"/>
        </w:rPr>
        <w:t xml:space="preserve"> </w:t>
      </w:r>
      <w:r>
        <w:rPr>
          <w:rFonts w:ascii="Arial" w:cs="Arial" w:eastAsia="Arial" w:hAnsi="Arial"/>
          <w:sz w:val="16"/>
          <w:szCs w:val="16"/>
          <w:color w:val="auto"/>
        </w:rPr>
        <w:t>vesting or performance period of one year is prescribed for all awards, subject to limited exceptions.</w:t>
      </w:r>
    </w:p>
    <w:p>
      <w:pPr>
        <w:spacing w:after="0" w:line="149" w:lineRule="exact"/>
        <w:rPr>
          <w:rFonts w:ascii="Arial" w:cs="Arial" w:eastAsia="Arial" w:hAnsi="Arial"/>
          <w:sz w:val="16"/>
          <w:szCs w:val="16"/>
          <w:color w:val="auto"/>
        </w:rPr>
      </w:pPr>
    </w:p>
    <w:p>
      <w:pPr>
        <w:jc w:val="both"/>
        <w:ind w:left="660" w:hanging="328"/>
        <w:spacing w:after="0" w:line="256" w:lineRule="auto"/>
        <w:tabs>
          <w:tab w:leader="none" w:pos="660" w:val="left"/>
        </w:tabs>
        <w:numPr>
          <w:ilvl w:val="0"/>
          <w:numId w:val="55"/>
        </w:numPr>
        <w:rPr>
          <w:rFonts w:ascii="Arial" w:cs="Arial" w:eastAsia="Arial" w:hAnsi="Arial"/>
          <w:sz w:val="16"/>
          <w:szCs w:val="16"/>
          <w:color w:val="auto"/>
        </w:rPr>
      </w:pPr>
      <w:r>
        <w:rPr>
          <w:rFonts w:ascii="Arial" w:cs="Arial" w:eastAsia="Arial" w:hAnsi="Arial"/>
          <w:sz w:val="16"/>
          <w:szCs w:val="16"/>
          <w:i w:val="1"/>
          <w:iCs w:val="1"/>
          <w:color w:val="auto"/>
        </w:rPr>
        <w:t xml:space="preserve">No liberal definition of “change in control.” </w:t>
      </w:r>
      <w:r>
        <w:rPr>
          <w:rFonts w:ascii="Arial" w:cs="Arial" w:eastAsia="Arial" w:hAnsi="Arial"/>
          <w:sz w:val="16"/>
          <w:szCs w:val="16"/>
          <w:color w:val="auto"/>
        </w:rPr>
        <w:t>No change in control</w:t>
      </w:r>
      <w:r>
        <w:rPr>
          <w:rFonts w:ascii="Arial" w:cs="Arial" w:eastAsia="Arial" w:hAnsi="Arial"/>
          <w:sz w:val="16"/>
          <w:szCs w:val="16"/>
          <w:i w:val="1"/>
          <w:iCs w:val="1"/>
          <w:color w:val="auto"/>
        </w:rPr>
        <w:t xml:space="preserve"> </w:t>
      </w:r>
      <w:r>
        <w:rPr>
          <w:rFonts w:ascii="Arial" w:cs="Arial" w:eastAsia="Arial" w:hAnsi="Arial"/>
          <w:sz w:val="16"/>
          <w:szCs w:val="16"/>
          <w:color w:val="auto"/>
        </w:rPr>
        <w:t>would be triggered by shareholder approval of a business combination transaction, the announcement or commencement of a tender offer, or any board assessment that a change in control may be imminent.</w:t>
      </w:r>
    </w:p>
    <w:p>
      <w:pPr>
        <w:spacing w:after="0" w:line="349" w:lineRule="exact"/>
        <w:rPr>
          <w:rFonts w:ascii="Arial" w:cs="Arial" w:eastAsia="Arial" w:hAnsi="Arial"/>
          <w:sz w:val="16"/>
          <w:szCs w:val="16"/>
          <w:color w:val="auto"/>
        </w:rPr>
      </w:pPr>
    </w:p>
    <w:p>
      <w:pPr>
        <w:jc w:val="both"/>
        <w:ind w:left="660" w:hanging="328"/>
        <w:spacing w:after="0" w:line="255" w:lineRule="auto"/>
        <w:tabs>
          <w:tab w:leader="none" w:pos="660" w:val="left"/>
        </w:tabs>
        <w:numPr>
          <w:ilvl w:val="0"/>
          <w:numId w:val="55"/>
        </w:numPr>
        <w:rPr>
          <w:rFonts w:ascii="Arial" w:cs="Arial" w:eastAsia="Arial" w:hAnsi="Arial"/>
          <w:sz w:val="16"/>
          <w:szCs w:val="16"/>
          <w:color w:val="auto"/>
        </w:rPr>
      </w:pPr>
      <w:r>
        <w:rPr>
          <w:rFonts w:ascii="Arial" w:cs="Arial" w:eastAsia="Arial" w:hAnsi="Arial"/>
          <w:sz w:val="16"/>
          <w:szCs w:val="16"/>
          <w:i w:val="1"/>
          <w:iCs w:val="1"/>
          <w:color w:val="auto"/>
        </w:rPr>
        <w:t xml:space="preserve">No repricing of underwater options or stock appreciation rights without shareholder approval. </w:t>
      </w:r>
      <w:r>
        <w:rPr>
          <w:rFonts w:ascii="Arial" w:cs="Arial" w:eastAsia="Arial" w:hAnsi="Arial"/>
          <w:sz w:val="16"/>
          <w:szCs w:val="16"/>
          <w:color w:val="auto"/>
        </w:rPr>
        <w:t>The 2019 Plan prohibits, without</w:t>
      </w:r>
      <w:r>
        <w:rPr>
          <w:rFonts w:ascii="Arial" w:cs="Arial" w:eastAsia="Arial" w:hAnsi="Arial"/>
          <w:sz w:val="16"/>
          <w:szCs w:val="16"/>
          <w:i w:val="1"/>
          <w:iCs w:val="1"/>
          <w:color w:val="auto"/>
        </w:rPr>
        <w:t xml:space="preserve"> </w:t>
      </w:r>
      <w:r>
        <w:rPr>
          <w:rFonts w:ascii="Arial" w:cs="Arial" w:eastAsia="Arial" w:hAnsi="Arial"/>
          <w:sz w:val="16"/>
          <w:szCs w:val="16"/>
          <w:color w:val="auto"/>
        </w:rPr>
        <w:t>shareholder approval, actions to reprice, replace, or repurchase options or SARs when the exercise price per share of an option or SAR exceeds the fair market value of a share of our Common Stock.</w:t>
      </w:r>
    </w:p>
    <w:p>
      <w:pPr>
        <w:spacing w:after="0" w:line="157" w:lineRule="exact"/>
        <w:rPr>
          <w:rFonts w:ascii="Arial" w:cs="Arial" w:eastAsia="Arial" w:hAnsi="Arial"/>
          <w:sz w:val="16"/>
          <w:szCs w:val="16"/>
          <w:color w:val="auto"/>
        </w:rPr>
      </w:pPr>
    </w:p>
    <w:p>
      <w:pPr>
        <w:jc w:val="both"/>
        <w:ind w:left="660" w:right="20" w:hanging="328"/>
        <w:spacing w:after="0" w:line="264" w:lineRule="auto"/>
        <w:tabs>
          <w:tab w:leader="none" w:pos="660" w:val="left"/>
        </w:tabs>
        <w:numPr>
          <w:ilvl w:val="0"/>
          <w:numId w:val="55"/>
        </w:numPr>
        <w:rPr>
          <w:rFonts w:ascii="Arial" w:cs="Arial" w:eastAsia="Arial" w:hAnsi="Arial"/>
          <w:sz w:val="16"/>
          <w:szCs w:val="16"/>
          <w:color w:val="auto"/>
        </w:rPr>
      </w:pPr>
      <w:r>
        <w:rPr>
          <w:rFonts w:ascii="Arial" w:cs="Arial" w:eastAsia="Arial" w:hAnsi="Arial"/>
          <w:sz w:val="16"/>
          <w:szCs w:val="16"/>
          <w:i w:val="1"/>
          <w:iCs w:val="1"/>
          <w:color w:val="auto"/>
        </w:rPr>
        <w:t xml:space="preserve">No parachute payment gross-ups. </w:t>
      </w:r>
      <w:r>
        <w:rPr>
          <w:rFonts w:ascii="Arial" w:cs="Arial" w:eastAsia="Arial" w:hAnsi="Arial"/>
          <w:sz w:val="16"/>
          <w:szCs w:val="16"/>
          <w:color w:val="auto"/>
        </w:rPr>
        <w:t>Like the 2014 Plan, the 2019 Plan</w:t>
      </w:r>
      <w:r>
        <w:rPr>
          <w:rFonts w:ascii="Arial" w:cs="Arial" w:eastAsia="Arial" w:hAnsi="Arial"/>
          <w:sz w:val="16"/>
          <w:szCs w:val="16"/>
          <w:i w:val="1"/>
          <w:iCs w:val="1"/>
          <w:color w:val="auto"/>
        </w:rPr>
        <w:t xml:space="preserve"> </w:t>
      </w:r>
      <w:r>
        <w:rPr>
          <w:rFonts w:ascii="Arial" w:cs="Arial" w:eastAsia="Arial" w:hAnsi="Arial"/>
          <w:sz w:val="16"/>
          <w:szCs w:val="16"/>
          <w:color w:val="auto"/>
        </w:rPr>
        <w:t>does not provide any parachute payment gross-ups to its participants.</w:t>
      </w:r>
    </w:p>
    <w:p>
      <w:pPr>
        <w:spacing w:after="0" w:line="149" w:lineRule="exact"/>
        <w:rPr>
          <w:rFonts w:ascii="Arial" w:cs="Arial" w:eastAsia="Arial" w:hAnsi="Arial"/>
          <w:sz w:val="16"/>
          <w:szCs w:val="16"/>
          <w:color w:val="auto"/>
        </w:rPr>
      </w:pPr>
    </w:p>
    <w:p>
      <w:pPr>
        <w:jc w:val="both"/>
        <w:ind w:left="660" w:hanging="328"/>
        <w:spacing w:after="0" w:line="258" w:lineRule="auto"/>
        <w:tabs>
          <w:tab w:leader="none" w:pos="660" w:val="left"/>
        </w:tabs>
        <w:numPr>
          <w:ilvl w:val="0"/>
          <w:numId w:val="55"/>
        </w:numPr>
        <w:rPr>
          <w:rFonts w:ascii="Arial" w:cs="Arial" w:eastAsia="Arial" w:hAnsi="Arial"/>
          <w:sz w:val="16"/>
          <w:szCs w:val="16"/>
          <w:color w:val="auto"/>
        </w:rPr>
      </w:pPr>
      <w:r>
        <w:rPr>
          <w:rFonts w:ascii="Arial" w:cs="Arial" w:eastAsia="Arial" w:hAnsi="Arial"/>
          <w:sz w:val="16"/>
          <w:szCs w:val="16"/>
          <w:i w:val="1"/>
          <w:iCs w:val="1"/>
          <w:color w:val="auto"/>
        </w:rPr>
        <w:t>Limit on non</w:t>
      </w:r>
      <w:r>
        <w:rPr>
          <w:rFonts w:ascii="Arial" w:cs="Arial" w:eastAsia="Arial" w:hAnsi="Arial"/>
          <w:sz w:val="16"/>
          <w:szCs w:val="16"/>
          <w:color w:val="auto"/>
        </w:rPr>
        <w:t>-</w:t>
      </w:r>
      <w:r>
        <w:rPr>
          <w:rFonts w:ascii="Arial" w:cs="Arial" w:eastAsia="Arial" w:hAnsi="Arial"/>
          <w:sz w:val="16"/>
          <w:szCs w:val="16"/>
          <w:i w:val="1"/>
          <w:iCs w:val="1"/>
          <w:color w:val="auto"/>
        </w:rPr>
        <w:t>employee director awards</w:t>
      </w:r>
      <w:r>
        <w:rPr>
          <w:rFonts w:ascii="Arial" w:cs="Arial" w:eastAsia="Arial" w:hAnsi="Arial"/>
          <w:sz w:val="16"/>
          <w:szCs w:val="16"/>
          <w:color w:val="auto"/>
        </w:rPr>
        <w:t>. The 2019 Plan subjects</w:t>
      </w:r>
      <w:r>
        <w:rPr>
          <w:rFonts w:ascii="Arial" w:cs="Arial" w:eastAsia="Arial" w:hAnsi="Arial"/>
          <w:sz w:val="16"/>
          <w:szCs w:val="16"/>
          <w:i w:val="1"/>
          <w:iCs w:val="1"/>
          <w:color w:val="auto"/>
        </w:rPr>
        <w:t xml:space="preserve"> </w:t>
      </w:r>
      <w:r>
        <w:rPr>
          <w:rFonts w:ascii="Arial" w:cs="Arial" w:eastAsia="Arial" w:hAnsi="Arial"/>
          <w:sz w:val="16"/>
          <w:szCs w:val="16"/>
          <w:color w:val="auto"/>
        </w:rPr>
        <w:t>awards to individual non-employee directors under the 2019 Plan to an annual grant date fair value limit of $300,000, similar to the share limits included in in the 2014 Plan.</w:t>
      </w:r>
    </w:p>
    <w:p>
      <w:pPr>
        <w:spacing w:after="0" w:line="154" w:lineRule="exact"/>
        <w:rPr>
          <w:rFonts w:ascii="Arial" w:cs="Arial" w:eastAsia="Arial" w:hAnsi="Arial"/>
          <w:sz w:val="16"/>
          <w:szCs w:val="16"/>
          <w:color w:val="auto"/>
        </w:rPr>
      </w:pPr>
    </w:p>
    <w:p>
      <w:pPr>
        <w:jc w:val="both"/>
        <w:ind w:left="660" w:hanging="328"/>
        <w:spacing w:after="0" w:line="251" w:lineRule="auto"/>
        <w:tabs>
          <w:tab w:leader="none" w:pos="660" w:val="left"/>
        </w:tabs>
        <w:numPr>
          <w:ilvl w:val="0"/>
          <w:numId w:val="55"/>
        </w:numPr>
        <w:rPr>
          <w:rFonts w:ascii="Arial" w:cs="Arial" w:eastAsia="Arial" w:hAnsi="Arial"/>
          <w:sz w:val="16"/>
          <w:szCs w:val="16"/>
          <w:color w:val="auto"/>
        </w:rPr>
      </w:pPr>
      <w:r>
        <w:rPr>
          <w:rFonts w:ascii="Arial" w:cs="Arial" w:eastAsia="Arial" w:hAnsi="Arial"/>
          <w:sz w:val="16"/>
          <w:szCs w:val="16"/>
          <w:i w:val="1"/>
          <w:iCs w:val="1"/>
          <w:color w:val="auto"/>
        </w:rPr>
        <w:t xml:space="preserve">Limits on awards. </w:t>
      </w:r>
      <w:r>
        <w:rPr>
          <w:rFonts w:ascii="Arial" w:cs="Arial" w:eastAsia="Arial" w:hAnsi="Arial"/>
          <w:sz w:val="16"/>
          <w:szCs w:val="16"/>
          <w:color w:val="auto"/>
        </w:rPr>
        <w:t>The 2019 Plan provides that the number of shares</w:t>
      </w:r>
      <w:r>
        <w:rPr>
          <w:rFonts w:ascii="Arial" w:cs="Arial" w:eastAsia="Arial" w:hAnsi="Arial"/>
          <w:sz w:val="16"/>
          <w:szCs w:val="16"/>
          <w:i w:val="1"/>
          <w:iCs w:val="1"/>
          <w:color w:val="auto"/>
        </w:rPr>
        <w:t xml:space="preserve"> </w:t>
      </w:r>
      <w:r>
        <w:rPr>
          <w:rFonts w:ascii="Arial" w:cs="Arial" w:eastAsia="Arial" w:hAnsi="Arial"/>
          <w:sz w:val="16"/>
          <w:szCs w:val="16"/>
          <w:color w:val="auto"/>
        </w:rPr>
        <w:t>subject to options or SARS that may be granted to any one participant (other than a non-employee director) during any calendar year may not exceed 500,000, and that the annual grant date fair value of all full value awards that are granted to any one participant (other than a non-employee director) during any calendar year may not exceed $5,000,000. These limits update but do not effectively eliminate the share limits and dollar limits included in the 2014 Plan.</w:t>
      </w:r>
    </w:p>
    <w:p>
      <w:pPr>
        <w:spacing w:after="0" w:line="162" w:lineRule="exact"/>
        <w:rPr>
          <w:rFonts w:ascii="Arial" w:cs="Arial" w:eastAsia="Arial" w:hAnsi="Arial"/>
          <w:sz w:val="16"/>
          <w:szCs w:val="16"/>
          <w:color w:val="auto"/>
        </w:rPr>
      </w:pPr>
    </w:p>
    <w:p>
      <w:pPr>
        <w:jc w:val="both"/>
        <w:ind w:left="660" w:hanging="328"/>
        <w:spacing w:after="0" w:line="258" w:lineRule="auto"/>
        <w:tabs>
          <w:tab w:leader="none" w:pos="660" w:val="left"/>
        </w:tabs>
        <w:numPr>
          <w:ilvl w:val="0"/>
          <w:numId w:val="55"/>
        </w:numPr>
        <w:rPr>
          <w:rFonts w:ascii="Arial" w:cs="Arial" w:eastAsia="Arial" w:hAnsi="Arial"/>
          <w:sz w:val="16"/>
          <w:szCs w:val="16"/>
          <w:color w:val="auto"/>
        </w:rPr>
      </w:pPr>
      <w:r>
        <w:rPr>
          <w:rFonts w:ascii="Arial" w:cs="Arial" w:eastAsia="Arial" w:hAnsi="Arial"/>
          <w:sz w:val="16"/>
          <w:szCs w:val="16"/>
          <w:i w:val="1"/>
          <w:iCs w:val="1"/>
          <w:color w:val="auto"/>
        </w:rPr>
        <w:t xml:space="preserve">No discounted option or SAR grants. </w:t>
      </w:r>
      <w:r>
        <w:rPr>
          <w:rFonts w:ascii="Arial" w:cs="Arial" w:eastAsia="Arial" w:hAnsi="Arial"/>
          <w:sz w:val="16"/>
          <w:szCs w:val="16"/>
          <w:color w:val="auto"/>
        </w:rPr>
        <w:t>The 2019 Plan requires that</w:t>
      </w:r>
      <w:r>
        <w:rPr>
          <w:rFonts w:ascii="Arial" w:cs="Arial" w:eastAsia="Arial" w:hAnsi="Arial"/>
          <w:sz w:val="16"/>
          <w:szCs w:val="16"/>
          <w:i w:val="1"/>
          <w:iCs w:val="1"/>
          <w:color w:val="auto"/>
        </w:rPr>
        <w:t xml:space="preserve"> </w:t>
      </w:r>
      <w:r>
        <w:rPr>
          <w:rFonts w:ascii="Arial" w:cs="Arial" w:eastAsia="Arial" w:hAnsi="Arial"/>
          <w:sz w:val="16"/>
          <w:szCs w:val="16"/>
          <w:color w:val="auto"/>
        </w:rPr>
        <w:t>the exercise price of options or SARs be at least equal to the fair market value of our Common Stock on the date of grant (except in the limited case of “substitute awards” as described below).</w:t>
      </w:r>
    </w:p>
    <w:p>
      <w:pPr>
        <w:spacing w:after="0" w:line="1025" w:lineRule="exact"/>
        <w:rPr>
          <w:sz w:val="20"/>
          <w:szCs w:val="20"/>
          <w:color w:val="auto"/>
        </w:rPr>
      </w:pPr>
    </w:p>
    <w:p>
      <w:pPr>
        <w:sectPr>
          <w:pgSz w:w="11900" w:h="16838" w:orient="portrait"/>
          <w:cols w:equalWidth="0" w:num="2">
            <w:col w:w="5600" w:space="220"/>
            <w:col w:w="5600"/>
          </w:cols>
          <w:pgMar w:left="240" w:top="303" w:right="239" w:bottom="1440" w:gutter="0" w:footer="0" w:header="0"/>
          <w:type w:val="continuous"/>
        </w:sectPr>
      </w:pP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38</w:t>
      </w:r>
    </w:p>
    <w:p>
      <w:pPr>
        <w:sectPr>
          <w:pgSz w:w="11900" w:h="16838" w:orient="portrait"/>
          <w:cols w:equalWidth="0" w:num="1">
            <w:col w:w="11420"/>
          </w:cols>
          <w:pgMar w:left="240" w:top="303" w:right="239" w:bottom="1440" w:gutter="0" w:footer="0" w:header="0"/>
          <w:type w:val="continuous"/>
        </w:sectPr>
      </w:pPr>
    </w:p>
    <w:bookmarkStart w:id="42" w:name="page43"/>
    <w:bookmarkEnd w:id="42"/>
    <w:p>
      <w:pPr>
        <w:ind w:left="40"/>
        <w:spacing w:after="0"/>
        <w:rPr>
          <w:rFonts w:ascii="Arial" w:cs="Arial" w:eastAsia="Arial" w:hAnsi="Arial"/>
          <w:sz w:val="15"/>
          <w:szCs w:val="15"/>
          <w:u w:val="single" w:color="auto"/>
          <w:color w:val="0000EE"/>
        </w:rPr>
      </w:pPr>
      <w:r>
        <w:rPr>
          <w:rFonts w:ascii="Arial" w:cs="Arial" w:eastAsia="Arial" w:hAnsi="Arial"/>
          <w:sz w:val="15"/>
          <w:szCs w:val="15"/>
          <w:u w:val="single" w:color="auto"/>
          <w:color w:val="0000EE"/>
        </w:rPr>
        <w:drawing>
          <wp:anchor simplePos="0" relativeHeight="251657728" behindDoc="1" locked="0" layoutInCell="0" allowOverlap="1">
            <wp:simplePos x="0" y="0"/>
            <wp:positionH relativeFrom="page">
              <wp:posOffset>5946140</wp:posOffset>
            </wp:positionH>
            <wp:positionV relativeFrom="page">
              <wp:posOffset>191770</wp:posOffset>
            </wp:positionV>
            <wp:extent cx="1440815" cy="20574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clrChange>
                        <a:clrFrom>
                          <a:srgbClr val="FFFFFF"/>
                        </a:clrFrom>
                        <a:clrTo>
                          <a:srgbClr val="FFFFFF">
                            <a:alpha val="0"/>
                          </a:srgbClr>
                        </a:clrTo>
                      </a:clrChange>
                      <a:extLst>
                        <a:ext uri="{28A0092B-C50C-407E-A947-70E740481C1C}"/>
                      </a:extLst>
                    </a:blip>
                    <a:srcRect/>
                    <a:stretch>
                      <a:fillRect/>
                    </a:stretch>
                  </pic:blipFill>
                  <pic:spPr bwMode="auto">
                    <a:xfrm>
                      <a:off x="0" y="0"/>
                      <a:ext cx="1440815" cy="205740"/>
                    </a:xfrm>
                    <a:prstGeom prst="rect">
                      <a:avLst/>
                    </a:prstGeom>
                    <a:noFill/>
                  </pic:spPr>
                </pic:pic>
              </a:graphicData>
            </a:graphic>
          </wp:anchor>
        </w:drawing>
      </w:r>
      <w:hyperlink w:anchor="page4">
        <w:r>
          <w:rPr>
            <w:rFonts w:ascii="Arial" w:cs="Arial" w:eastAsia="Arial" w:hAnsi="Arial"/>
            <w:sz w:val="15"/>
            <w:szCs w:val="15"/>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112395</wp:posOffset>
            </wp:positionV>
            <wp:extent cx="7246620" cy="889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304" w:right="239" w:bottom="1440" w:gutter="0" w:footer="0" w:header="0"/>
        </w:sectPr>
      </w:pPr>
    </w:p>
    <w:p>
      <w:pPr>
        <w:spacing w:after="0" w:line="200" w:lineRule="exact"/>
        <w:rPr>
          <w:sz w:val="20"/>
          <w:szCs w:val="20"/>
          <w:color w:val="auto"/>
        </w:rPr>
      </w:pPr>
    </w:p>
    <w:p>
      <w:pPr>
        <w:spacing w:after="0" w:line="240" w:lineRule="exact"/>
        <w:rPr>
          <w:sz w:val="20"/>
          <w:szCs w:val="20"/>
          <w:color w:val="auto"/>
        </w:rPr>
      </w:pPr>
    </w:p>
    <w:p>
      <w:pPr>
        <w:spacing w:after="0"/>
        <w:rPr>
          <w:sz w:val="20"/>
          <w:szCs w:val="20"/>
          <w:color w:val="auto"/>
        </w:rPr>
      </w:pPr>
      <w:r>
        <w:rPr>
          <w:rFonts w:ascii="Arial" w:cs="Arial" w:eastAsia="Arial" w:hAnsi="Arial"/>
          <w:sz w:val="22"/>
          <w:szCs w:val="22"/>
          <w:color w:val="828282"/>
        </w:rPr>
        <w:t>Description of the 2019 Incentive Compensation Plan</w:t>
      </w:r>
    </w:p>
    <w:p>
      <w:pPr>
        <w:spacing w:after="0" w:line="188"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The major features of the 2019 Plan are summarized below. The summary is qualified in its entirety by reference to the full text of the 2019 Plan, which is attached to this Proxy Statement as Appendix A.</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color w:val="828282"/>
        </w:rPr>
        <w:t>Eligible Participants</w:t>
      </w:r>
    </w:p>
    <w:p>
      <w:pPr>
        <w:spacing w:after="0" w:line="201" w:lineRule="exact"/>
        <w:rPr>
          <w:sz w:val="20"/>
          <w:szCs w:val="20"/>
          <w:color w:val="auto"/>
        </w:rPr>
      </w:pPr>
    </w:p>
    <w:p>
      <w:pPr>
        <w:jc w:val="both"/>
        <w:spacing w:after="0" w:line="249" w:lineRule="auto"/>
        <w:rPr>
          <w:sz w:val="20"/>
          <w:szCs w:val="20"/>
          <w:color w:val="auto"/>
        </w:rPr>
      </w:pPr>
      <w:r>
        <w:rPr>
          <w:rFonts w:ascii="Arial" w:cs="Arial" w:eastAsia="Arial" w:hAnsi="Arial"/>
          <w:sz w:val="16"/>
          <w:szCs w:val="16"/>
          <w:color w:val="auto"/>
        </w:rPr>
        <w:t>Employees, consultants, and advisors of the Company or its affiliates, as well as non-employee directors of the Company, will be eligible to receive awards under the 2019 Plan. As of August 25, 2018, there were approximately 4,721 employees of the Company and its affiliates and seven non-employee directors of the Company who would be eligible to receive awards under the 2019 Plan.</w:t>
      </w:r>
    </w:p>
    <w:p>
      <w:pPr>
        <w:spacing w:after="0" w:line="366" w:lineRule="exact"/>
        <w:rPr>
          <w:sz w:val="20"/>
          <w:szCs w:val="20"/>
          <w:color w:val="auto"/>
        </w:rPr>
      </w:pPr>
    </w:p>
    <w:p>
      <w:pPr>
        <w:spacing w:after="0"/>
        <w:rPr>
          <w:sz w:val="20"/>
          <w:szCs w:val="20"/>
          <w:color w:val="auto"/>
        </w:rPr>
      </w:pPr>
      <w:r>
        <w:rPr>
          <w:rFonts w:ascii="Arial" w:cs="Arial" w:eastAsia="Arial" w:hAnsi="Arial"/>
          <w:sz w:val="18"/>
          <w:szCs w:val="18"/>
          <w:color w:val="828282"/>
        </w:rPr>
        <w:t>Administration</w:t>
      </w:r>
    </w:p>
    <w:p>
      <w:pPr>
        <w:spacing w:after="0" w:line="201"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auto"/>
        </w:rPr>
        <w:t>The 2019 Plan will be administered by the Committee. To the extent not inconsistent with applicable law or stock exchange rules, the Committee may delegate its authority under the 2019 Plan to any one or more of its members, or, with respect to awards to participants who are not themselves our directors or executive officers, to one or more of our directors or executive officers or to a committee of the Board comprised of one or more directors. The Committee may also delegate non-discretionary administrative duties to other persons as it deems advisable. The full Board of Directors will perform the duties and have the responsibilities of the Committee with respect to awards under the 2019 Plan that are made to our non-employee directors.</w:t>
      </w:r>
    </w:p>
    <w:p>
      <w:pPr>
        <w:spacing w:after="0" w:line="179" w:lineRule="exact"/>
        <w:rPr>
          <w:sz w:val="20"/>
          <w:szCs w:val="20"/>
          <w:color w:val="auto"/>
        </w:rPr>
      </w:pPr>
    </w:p>
    <w:p>
      <w:pPr>
        <w:jc w:val="both"/>
        <w:spacing w:after="0" w:line="247" w:lineRule="auto"/>
        <w:rPr>
          <w:sz w:val="20"/>
          <w:szCs w:val="20"/>
          <w:color w:val="auto"/>
        </w:rPr>
      </w:pPr>
      <w:r>
        <w:rPr>
          <w:rFonts w:ascii="Arial" w:cs="Arial" w:eastAsia="Arial" w:hAnsi="Arial"/>
          <w:sz w:val="16"/>
          <w:szCs w:val="16"/>
          <w:color w:val="auto"/>
        </w:rPr>
        <w:t>The Committee has the authority to determine the persons to whom awards will be granted, the timing of awards, the type and number of shares covered by each award, the terms, conditions, performance criteria, and restrictions of the awards as well as the manner in which awards are paid and settled. The Committee may also establish, rescind, and modify rules to administer the 2019 Plan, adopt subplans or special provisions applicable to certain awards, interpret the 2019 Plan, any award and any related award agreement, reconcile any inconsistency, correct any defect or supply an omission in the 2019 Plan and any related award agreement, cancel or suspend an award, determine in what circumstances an award shall be forfeited, accelerate the vesting (subject to certain minimum vesting provisions) or extend the exercise period of an award (whether by amendment or other action), grant substitute awards in accordance with the 2019 Plan, and require or permit the deferral of the settlement of an award.</w:t>
      </w:r>
    </w:p>
    <w:p>
      <w:pPr>
        <w:spacing w:after="0" w:line="185"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auto"/>
        </w:rPr>
        <w:t>Except in connection with equity restructurings and other situations in which share adjustments are specifically authorized, the 2019 Plan prohibits the Committee from repricing any outstanding option or SAR awards without the prior approval of our shareholders. For these purposes, a “repricing” includes amending the terms of an option or SAR award to lower the exercise price, canceling an option or SAR award in conjunction with granting a replacement option or SAR award with a lower exercise price, canceling an option or SAR award in exchange for cash, other property or grant of a new full value award at a time when the per share exercise price of the option or SAR award is greater than the fair market value of a share of our Common Stock, or otherwise making an option or SAR award subject to</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Arial" w:cs="Arial" w:eastAsia="Arial" w:hAnsi="Arial"/>
          <w:sz w:val="16"/>
          <w:szCs w:val="16"/>
          <w:color w:val="auto"/>
        </w:rPr>
        <w:t>any action that would be treated under accounting rules as a “repricing.”</w:t>
      </w:r>
    </w:p>
    <w:p>
      <w:pPr>
        <w:spacing w:after="0" w:line="194" w:lineRule="exact"/>
        <w:rPr>
          <w:sz w:val="20"/>
          <w:szCs w:val="20"/>
          <w:color w:val="auto"/>
        </w:rPr>
      </w:pPr>
    </w:p>
    <w:p>
      <w:pPr>
        <w:jc w:val="both"/>
        <w:spacing w:after="0" w:line="250" w:lineRule="auto"/>
        <w:rPr>
          <w:sz w:val="20"/>
          <w:szCs w:val="20"/>
          <w:color w:val="auto"/>
        </w:rPr>
      </w:pPr>
      <w:r>
        <w:rPr>
          <w:rFonts w:ascii="Arial" w:cs="Arial" w:eastAsia="Arial" w:hAnsi="Arial"/>
          <w:sz w:val="16"/>
          <w:szCs w:val="16"/>
          <w:color w:val="auto"/>
        </w:rPr>
        <w:t>Subject to certain limitations set forth in the 2019 Plan, the Committee may also modify the terms of awards under the 2019 Plan with respect to participants who reside outside of the United States or who are employed by a non-United States subsidiary of the Company in order to comply with local legal or regulatory requirements.</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color w:val="828282"/>
        </w:rPr>
        <w:t>Available Shares and Limitations on Awards</w:t>
      </w:r>
    </w:p>
    <w:p>
      <w:pPr>
        <w:spacing w:after="0" w:line="201"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auto"/>
        </w:rPr>
        <w:t>A maximum of 4,100,000 shares of our Common Stock may be the subject of awards and issued under the 2019 Plan. The shares of Common Stock issuable under the 2019 Plan may come from authorized and unissued shares or treasury shares. Full value awards granted under the 2019 Plan will count as 2.0 shares against the 2019 Plan’s authorized share reserve, whereas options and SARs will continue to count as one share against the authorized share reserve.</w:t>
      </w:r>
    </w:p>
    <w:p>
      <w:pPr>
        <w:spacing w:after="0" w:line="182" w:lineRule="exact"/>
        <w:rPr>
          <w:sz w:val="20"/>
          <w:szCs w:val="20"/>
          <w:color w:val="auto"/>
        </w:rPr>
      </w:pPr>
    </w:p>
    <w:p>
      <w:pPr>
        <w:jc w:val="both"/>
        <w:spacing w:after="0" w:line="247" w:lineRule="auto"/>
        <w:rPr>
          <w:sz w:val="20"/>
          <w:szCs w:val="20"/>
          <w:color w:val="auto"/>
        </w:rPr>
      </w:pPr>
      <w:r>
        <w:rPr>
          <w:rFonts w:ascii="Arial" w:cs="Arial" w:eastAsia="Arial" w:hAnsi="Arial"/>
          <w:sz w:val="16"/>
          <w:szCs w:val="16"/>
          <w:color w:val="auto"/>
        </w:rPr>
        <w:t>Under the terms of the 2019 Plan, the number of shares of Common Stock subject to options or SARs that may be granted to any one participant (other than a non-employee director) during a calendar year may not exceed 500,000. The annual grant date fair value of all full value awards that are granted to any one participant (other than a non-employee director) during any calendar year may not exceed $5,000,000. The aggregate grant date fair value of awards granted under the 2019 Plan during a calendar year to any one of our non-employee directors (excluding awards granted at his or her election in lieu of any portion of retainers or fees otherwise payable in cash) may not exceed $300,000. The share limitations under the 2019 Plan are subject to adjustment for changes in our corporate structure or shares, as described below.</w:t>
      </w:r>
    </w:p>
    <w:p>
      <w:pPr>
        <w:spacing w:after="0" w:line="186" w:lineRule="exact"/>
        <w:rPr>
          <w:sz w:val="20"/>
          <w:szCs w:val="20"/>
          <w:color w:val="auto"/>
        </w:rPr>
      </w:pPr>
    </w:p>
    <w:p>
      <w:pPr>
        <w:jc w:val="both"/>
        <w:spacing w:after="0" w:line="247" w:lineRule="auto"/>
        <w:rPr>
          <w:sz w:val="20"/>
          <w:szCs w:val="20"/>
          <w:color w:val="auto"/>
        </w:rPr>
      </w:pPr>
      <w:r>
        <w:rPr>
          <w:rFonts w:ascii="Arial" w:cs="Arial" w:eastAsia="Arial" w:hAnsi="Arial"/>
          <w:sz w:val="16"/>
          <w:szCs w:val="16"/>
          <w:color w:val="auto"/>
        </w:rPr>
        <w:t>If any shares of our Common Stock subject to any award under the 2019 Plan, or to an award under the 2014 Plan or the 2004 Plan that is outstanding on the date our shareholders approve the 2019 Plan, that expires, is forfeited or cancelled, or is settled or paid in cash will, to the extent of such expiration, forfeiture, cancellation or cash settlement, become available again for future awards under the 2019 Plan. Each share that again becomes available for awards in such manner shall increase the share reserve, with shares subject to full value awards increasing the share reserve by 2.0 shares and shares subject to options and SARs increasing the share reserve by one share. However, shares tendered or withheld in payment of the purchase price of a stock option, shares tendered or withheld to satisfy a tax withholding obligation, shares repurchased with proceeds received by the Company from exercise of a stock option and shares subject to a stock appreciation right that are not issued in connection with the stock settlement of the stock appreciation right may not be used again under the 2019 Plan.</w:t>
      </w:r>
    </w:p>
    <w:p>
      <w:pPr>
        <w:spacing w:after="0" w:line="185" w:lineRule="exact"/>
        <w:rPr>
          <w:sz w:val="20"/>
          <w:szCs w:val="20"/>
          <w:color w:val="auto"/>
        </w:rPr>
      </w:pPr>
    </w:p>
    <w:p>
      <w:pPr>
        <w:jc w:val="both"/>
        <w:spacing w:after="0" w:line="250" w:lineRule="auto"/>
        <w:rPr>
          <w:sz w:val="20"/>
          <w:szCs w:val="20"/>
          <w:color w:val="auto"/>
        </w:rPr>
      </w:pPr>
      <w:r>
        <w:rPr>
          <w:rFonts w:ascii="Arial" w:cs="Arial" w:eastAsia="Arial" w:hAnsi="Arial"/>
          <w:sz w:val="16"/>
          <w:szCs w:val="16"/>
          <w:color w:val="auto"/>
        </w:rPr>
        <w:t>Any shares of Common Stock issuable during the term of the 2019 Plan as a result of the reinvestment of dividends or the deemed reinvestment of dividend equivalents in connection with an award under the 2019 Plan or our 2014 Plan that are forfeited also will automatically replenish the 2019 Plan share reserve to the extent of such forfeiture.</w:t>
      </w:r>
    </w:p>
    <w:p>
      <w:pPr>
        <w:spacing w:after="0" w:line="671" w:lineRule="exact"/>
        <w:rPr>
          <w:sz w:val="20"/>
          <w:szCs w:val="20"/>
          <w:color w:val="auto"/>
        </w:rPr>
      </w:pPr>
    </w:p>
    <w:p>
      <w:pPr>
        <w:sectPr>
          <w:pgSz w:w="11900" w:h="16838" w:orient="portrait"/>
          <w:cols w:equalWidth="0" w:num="2">
            <w:col w:w="5600" w:space="220"/>
            <w:col w:w="5600"/>
          </w:cols>
          <w:pgMar w:left="240" w:top="304" w:right="239" w:bottom="1440" w:gutter="0" w:footer="0" w:header="0"/>
          <w:type w:val="continuous"/>
        </w:sectPr>
      </w:pPr>
    </w:p>
    <w:p>
      <w:pPr>
        <w:spacing w:after="0" w:line="3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39</w:t>
      </w:r>
    </w:p>
    <w:p>
      <w:pPr>
        <w:sectPr>
          <w:pgSz w:w="11900" w:h="16838" w:orient="portrait"/>
          <w:cols w:equalWidth="0" w:num="1">
            <w:col w:w="11420"/>
          </w:cols>
          <w:pgMar w:left="240" w:top="304" w:right="239" w:bottom="1440" w:gutter="0" w:footer="0" w:header="0"/>
          <w:type w:val="continuous"/>
        </w:sectPr>
      </w:pPr>
    </w:p>
    <w:bookmarkStart w:id="43" w:name="page44"/>
    <w:bookmarkEnd w:id="43"/>
    <w:p>
      <w:pPr>
        <w:ind w:left="40"/>
        <w:spacing w:after="0"/>
        <w:rPr>
          <w:rFonts w:ascii="Arial" w:cs="Arial" w:eastAsia="Arial" w:hAnsi="Arial"/>
          <w:sz w:val="15"/>
          <w:szCs w:val="15"/>
          <w:u w:val="single" w:color="auto"/>
          <w:color w:val="0000EE"/>
        </w:rPr>
      </w:pPr>
      <w:r>
        <w:rPr>
          <w:rFonts w:ascii="Arial" w:cs="Arial" w:eastAsia="Arial" w:hAnsi="Arial"/>
          <w:sz w:val="15"/>
          <w:szCs w:val="15"/>
          <w:u w:val="single" w:color="auto"/>
          <w:color w:val="0000EE"/>
        </w:rPr>
        <w:drawing>
          <wp:anchor simplePos="0" relativeHeight="251657728" behindDoc="1" locked="0" layoutInCell="0" allowOverlap="1">
            <wp:simplePos x="0" y="0"/>
            <wp:positionH relativeFrom="page">
              <wp:posOffset>5946140</wp:posOffset>
            </wp:positionH>
            <wp:positionV relativeFrom="page">
              <wp:posOffset>191770</wp:posOffset>
            </wp:positionV>
            <wp:extent cx="1440815" cy="20574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clrChange>
                        <a:clrFrom>
                          <a:srgbClr val="FFFFFF"/>
                        </a:clrFrom>
                        <a:clrTo>
                          <a:srgbClr val="FFFFFF">
                            <a:alpha val="0"/>
                          </a:srgbClr>
                        </a:clrTo>
                      </a:clrChange>
                      <a:extLst>
                        <a:ext uri="{28A0092B-C50C-407E-A947-70E740481C1C}"/>
                      </a:extLst>
                    </a:blip>
                    <a:srcRect/>
                    <a:stretch>
                      <a:fillRect/>
                    </a:stretch>
                  </pic:blipFill>
                  <pic:spPr bwMode="auto">
                    <a:xfrm>
                      <a:off x="0" y="0"/>
                      <a:ext cx="1440815" cy="205740"/>
                    </a:xfrm>
                    <a:prstGeom prst="rect">
                      <a:avLst/>
                    </a:prstGeom>
                    <a:noFill/>
                  </pic:spPr>
                </pic:pic>
              </a:graphicData>
            </a:graphic>
          </wp:anchor>
        </w:drawing>
      </w:r>
      <w:hyperlink w:anchor="page4">
        <w:r>
          <w:rPr>
            <w:rFonts w:ascii="Arial" w:cs="Arial" w:eastAsia="Arial" w:hAnsi="Arial"/>
            <w:sz w:val="15"/>
            <w:szCs w:val="15"/>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112395</wp:posOffset>
            </wp:positionV>
            <wp:extent cx="7246620" cy="889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304" w:right="239" w:bottom="1440" w:gutter="0" w:footer="0" w:header="0"/>
        </w:sectPr>
      </w:pPr>
    </w:p>
    <w:p>
      <w:pPr>
        <w:spacing w:after="0" w:line="200" w:lineRule="exact"/>
        <w:rPr>
          <w:sz w:val="20"/>
          <w:szCs w:val="20"/>
          <w:color w:val="auto"/>
        </w:rPr>
      </w:pPr>
    </w:p>
    <w:p>
      <w:pPr>
        <w:spacing w:after="0" w:line="235" w:lineRule="exact"/>
        <w:rPr>
          <w:sz w:val="20"/>
          <w:szCs w:val="20"/>
          <w:color w:val="auto"/>
        </w:rPr>
      </w:pPr>
    </w:p>
    <w:p>
      <w:pPr>
        <w:jc w:val="both"/>
        <w:spacing w:after="0" w:line="249" w:lineRule="auto"/>
        <w:rPr>
          <w:sz w:val="20"/>
          <w:szCs w:val="20"/>
          <w:color w:val="auto"/>
        </w:rPr>
      </w:pPr>
      <w:r>
        <w:rPr>
          <w:rFonts w:ascii="Arial" w:cs="Arial" w:eastAsia="Arial" w:hAnsi="Arial"/>
          <w:sz w:val="16"/>
          <w:szCs w:val="16"/>
          <w:color w:val="auto"/>
        </w:rPr>
        <w:t>Awards granted or shares of our Common Stock issued under the 2019 Plan upon the assumption of, or in substitution or exchange for, outstanding equity awards previously granted by an entity acquired by us or any of our affiliates or with which we or any of our affiliates combines (referred to as “substitute awards”) will not reduce the share reserve under the 2019 Plan and will not reduce the shares authorized for grant to a participant in any calendar year.</w:t>
      </w:r>
    </w:p>
    <w:p>
      <w:pPr>
        <w:spacing w:after="0" w:line="178"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auto"/>
        </w:rPr>
        <w:t>Additionally, if a company acquired by us or any of our subsidiaries or with which we or any of our subsidiaries combines has shares available under a pre-existing plan approved by its shareholders and not adopted in contemplation of such acquisition or combination, the shares available for grant pursuant to the terms of that pre-existing plan may be used for awards under the 2019 Plan and shall supplement the share reserve under the 2019 Plan, but only if the awards are made to individuals who were not employed by, or serving as a non-employee director of, us or any of our subsidiaries prior to such acquisition or combination.</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828282"/>
        </w:rPr>
        <w:t>Share Adjustment Provisions</w:t>
      </w:r>
    </w:p>
    <w:p>
      <w:pPr>
        <w:spacing w:after="0" w:line="201" w:lineRule="exact"/>
        <w:rPr>
          <w:sz w:val="20"/>
          <w:szCs w:val="20"/>
          <w:color w:val="auto"/>
        </w:rPr>
      </w:pPr>
    </w:p>
    <w:p>
      <w:pPr>
        <w:jc w:val="both"/>
        <w:spacing w:after="0" w:line="246" w:lineRule="auto"/>
        <w:rPr>
          <w:sz w:val="20"/>
          <w:szCs w:val="20"/>
          <w:color w:val="auto"/>
        </w:rPr>
      </w:pPr>
      <w:r>
        <w:rPr>
          <w:rFonts w:ascii="Arial" w:cs="Arial" w:eastAsia="Arial" w:hAnsi="Arial"/>
          <w:sz w:val="16"/>
          <w:szCs w:val="16"/>
          <w:color w:val="auto"/>
        </w:rPr>
        <w:t>If certain equity transactions occur that cause the per share value of our Common Stock to change, such as stock dividends, stock splits, spin-offs, rights offerings, or certain recapitalizations (referred to as “equity restructurings”), the Committee will make adjustments as it deems equitable and appropriate to: (i) the aggregate number and kind of shares or other securities issued or reserved for issuance under the 2019 Plan, (ii) the number and kind of shares or other securities subject to outstanding awards,</w:t>
      </w:r>
    </w:p>
    <w:p>
      <w:pPr>
        <w:spacing w:after="0" w:line="3" w:lineRule="exact"/>
        <w:rPr>
          <w:sz w:val="20"/>
          <w:szCs w:val="20"/>
          <w:color w:val="auto"/>
        </w:rPr>
      </w:pPr>
    </w:p>
    <w:p>
      <w:pPr>
        <w:jc w:val="both"/>
        <w:ind w:firstLine="8"/>
        <w:spacing w:after="0" w:line="248" w:lineRule="auto"/>
        <w:tabs>
          <w:tab w:leader="none" w:pos="264" w:val="left"/>
        </w:tabs>
        <w:numPr>
          <w:ilvl w:val="0"/>
          <w:numId w:val="56"/>
        </w:numPr>
        <w:rPr>
          <w:rFonts w:ascii="Arial" w:cs="Arial" w:eastAsia="Arial" w:hAnsi="Arial"/>
          <w:sz w:val="16"/>
          <w:szCs w:val="16"/>
          <w:color w:val="auto"/>
        </w:rPr>
      </w:pPr>
      <w:r>
        <w:rPr>
          <w:rFonts w:ascii="Arial" w:cs="Arial" w:eastAsia="Arial" w:hAnsi="Arial"/>
          <w:sz w:val="16"/>
          <w:szCs w:val="16"/>
          <w:color w:val="auto"/>
        </w:rPr>
        <w:t>the exercise price of outstanding options and SAR awards, and (iv) award limitations prescribed by the 2019 Plan. Other types of transactions may also affect our Common Stock, such as a reorganization, merger, consolidation or partial or complete liquidation of our Company. If there is such a transaction and the Committee determines that adjustments of the type previously described in connection with equity restructurings would be appropriate to prevent any dilution or enlargement of benefits under the 2019 Plan, the Committee may make such adjustments as it deems equitable.</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color w:val="828282"/>
        </w:rPr>
        <w:t>Types of Awards</w:t>
      </w:r>
    </w:p>
    <w:p>
      <w:pPr>
        <w:spacing w:after="0" w:line="201"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The 2019 Plan permits us to award stock options, SARs, restricted stock awards, stock unit awards, and other stock-based awards to eligible recipients. These types of awards are described in more detail below.</w:t>
      </w:r>
    </w:p>
    <w:p>
      <w:pPr>
        <w:spacing w:after="0" w:line="158" w:lineRule="exact"/>
        <w:rPr>
          <w:sz w:val="20"/>
          <w:szCs w:val="20"/>
          <w:color w:val="auto"/>
        </w:rPr>
      </w:pPr>
    </w:p>
    <w:p>
      <w:pPr>
        <w:spacing w:after="0"/>
        <w:rPr>
          <w:sz w:val="20"/>
          <w:szCs w:val="20"/>
          <w:color w:val="auto"/>
        </w:rPr>
      </w:pPr>
      <w:r>
        <w:rPr>
          <w:rFonts w:ascii="Arial" w:cs="Arial" w:eastAsia="Arial" w:hAnsi="Arial"/>
          <w:sz w:val="16"/>
          <w:szCs w:val="16"/>
          <w:i w:val="1"/>
          <w:iCs w:val="1"/>
          <w:color w:val="828282"/>
        </w:rPr>
        <w:t>Stock Options</w:t>
      </w:r>
    </w:p>
    <w:p>
      <w:pPr>
        <w:spacing w:after="0" w:line="210"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auto"/>
        </w:rPr>
        <w:t>Employees of the Company or any subsidiary may be granted options to purchase Common Stock that qualify as “incentive stock options” within the meaning of Section 422 of the Code, and any eligible recipient may be granted options to purchase Common Stock that do not qualify as incentive stock options, referred to as “nonqualified stock options.” The per share exercise price to be paid by a participant at the time an option is exercised may not be less than 100% of the fair market value of one share of our Common Stock on the date of grant, unless the option is granted as a substitute award as described above. “Fair market value” under the 2019 Plan as of any date generally means the closing sale price of a share of our Common Stock on the NYSE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15" w:lineRule="exact"/>
        <w:rPr>
          <w:sz w:val="20"/>
          <w:szCs w:val="20"/>
          <w:color w:val="auto"/>
        </w:rPr>
      </w:pPr>
    </w:p>
    <w:p>
      <w:pPr>
        <w:jc w:val="both"/>
        <w:ind w:left="200"/>
        <w:spacing w:after="0" w:line="260" w:lineRule="auto"/>
        <w:rPr>
          <w:sz w:val="20"/>
          <w:szCs w:val="20"/>
          <w:color w:val="auto"/>
        </w:rPr>
      </w:pPr>
      <w:r>
        <w:rPr>
          <w:rFonts w:ascii="Arial" w:cs="Arial" w:eastAsia="Arial" w:hAnsi="Arial"/>
          <w:sz w:val="16"/>
          <w:szCs w:val="16"/>
          <w:color w:val="auto"/>
        </w:rPr>
        <w:t>on that date. As of August 25, 2018, the closing sale price of a share of our Common Stock on the NYSE was $37.30.</w:t>
      </w:r>
    </w:p>
    <w:p>
      <w:pPr>
        <w:spacing w:after="0" w:line="169" w:lineRule="exact"/>
        <w:rPr>
          <w:sz w:val="20"/>
          <w:szCs w:val="20"/>
          <w:color w:val="auto"/>
        </w:rPr>
      </w:pPr>
    </w:p>
    <w:p>
      <w:pPr>
        <w:jc w:val="both"/>
        <w:ind w:left="200"/>
        <w:spacing w:after="0" w:line="248" w:lineRule="auto"/>
        <w:rPr>
          <w:sz w:val="20"/>
          <w:szCs w:val="20"/>
          <w:color w:val="auto"/>
        </w:rPr>
      </w:pPr>
      <w:r>
        <w:rPr>
          <w:rFonts w:ascii="Arial" w:cs="Arial" w:eastAsia="Arial" w:hAnsi="Arial"/>
          <w:sz w:val="16"/>
          <w:szCs w:val="16"/>
          <w:color w:val="auto"/>
        </w:rPr>
        <w:t>The total purchase price of the shares to be purchased upon exercise of an option will be paid by the participant in cash unless the Committee permits exercise payments to be made, in whole or in part, (i) by means of a broker-assisted sale and remittance program, (ii) by delivery to us (or attestation as to ownership) of shares of Common Stock already owned by the participant, or (iii) by a “net exercise” of the option in which a portion of the shares otherwise issuable upon exercise of the option are withheld by us. Any shares delivered or withheld in payment of an exercise price will be valued at their fair market value on the exercise date and have an aggregate value equal to the purchase price of the shares being purchased.</w:t>
      </w:r>
    </w:p>
    <w:p>
      <w:pPr>
        <w:spacing w:after="0" w:line="179" w:lineRule="exact"/>
        <w:rPr>
          <w:sz w:val="20"/>
          <w:szCs w:val="20"/>
          <w:color w:val="auto"/>
        </w:rPr>
      </w:pPr>
    </w:p>
    <w:p>
      <w:pPr>
        <w:jc w:val="both"/>
        <w:ind w:left="200"/>
        <w:spacing w:after="0" w:line="250" w:lineRule="auto"/>
        <w:rPr>
          <w:sz w:val="20"/>
          <w:szCs w:val="20"/>
          <w:color w:val="auto"/>
        </w:rPr>
      </w:pPr>
      <w:r>
        <w:rPr>
          <w:rFonts w:ascii="Arial" w:cs="Arial" w:eastAsia="Arial" w:hAnsi="Arial"/>
          <w:sz w:val="16"/>
          <w:szCs w:val="16"/>
          <w:color w:val="auto"/>
        </w:rPr>
        <w:t>An option will vest and become exercisable at such time, in such installments and subject to such conditions as may be determined by the Committee, and no option may have a term greater than ten years from its date of grant. No dividends or dividend equivalents may be paid or credited with respect to shares subject to an option award.</w:t>
      </w:r>
    </w:p>
    <w:p>
      <w:pPr>
        <w:spacing w:after="0" w:line="176" w:lineRule="exact"/>
        <w:rPr>
          <w:sz w:val="20"/>
          <w:szCs w:val="20"/>
          <w:color w:val="auto"/>
        </w:rPr>
      </w:pPr>
    </w:p>
    <w:p>
      <w:pPr>
        <w:jc w:val="both"/>
        <w:ind w:left="200"/>
        <w:spacing w:after="0" w:line="248" w:lineRule="auto"/>
        <w:rPr>
          <w:sz w:val="20"/>
          <w:szCs w:val="20"/>
          <w:color w:val="auto"/>
        </w:rPr>
      </w:pPr>
      <w:r>
        <w:rPr>
          <w:rFonts w:ascii="Arial" w:cs="Arial" w:eastAsia="Arial" w:hAnsi="Arial"/>
          <w:sz w:val="16"/>
          <w:szCs w:val="16"/>
          <w:color w:val="auto"/>
        </w:rPr>
        <w:t>The aggregate fair market value of shares of our Common Stock with respect to which incentive stock options granted to any participant may first become exercisable during any calendar year may not exceed $100,000. Any incentive stock options that become exercisable in excess of this amount will be treated as nonqualified stock options. The maximum number of shares that may be issued upon the exercise of incentive stock option awards under the 2019 Plan is 4,100,000.</w:t>
      </w:r>
    </w:p>
    <w:p>
      <w:pPr>
        <w:spacing w:after="0" w:line="166" w:lineRule="exact"/>
        <w:rPr>
          <w:sz w:val="20"/>
          <w:szCs w:val="20"/>
          <w:color w:val="auto"/>
        </w:rPr>
      </w:pPr>
    </w:p>
    <w:p>
      <w:pPr>
        <w:ind w:left="200"/>
        <w:spacing w:after="0"/>
        <w:rPr>
          <w:sz w:val="20"/>
          <w:szCs w:val="20"/>
          <w:color w:val="auto"/>
        </w:rPr>
      </w:pPr>
      <w:r>
        <w:rPr>
          <w:rFonts w:ascii="Arial" w:cs="Arial" w:eastAsia="Arial" w:hAnsi="Arial"/>
          <w:sz w:val="16"/>
          <w:szCs w:val="16"/>
          <w:i w:val="1"/>
          <w:iCs w:val="1"/>
          <w:color w:val="828282"/>
        </w:rPr>
        <w:t>Stock Appreciation Rights</w:t>
      </w:r>
    </w:p>
    <w:p>
      <w:pPr>
        <w:spacing w:after="0" w:line="210" w:lineRule="exact"/>
        <w:rPr>
          <w:sz w:val="20"/>
          <w:szCs w:val="20"/>
          <w:color w:val="auto"/>
        </w:rPr>
      </w:pPr>
    </w:p>
    <w:p>
      <w:pPr>
        <w:jc w:val="both"/>
        <w:ind w:left="200"/>
        <w:spacing w:after="0" w:line="247" w:lineRule="auto"/>
        <w:rPr>
          <w:sz w:val="20"/>
          <w:szCs w:val="20"/>
          <w:color w:val="auto"/>
        </w:rPr>
      </w:pPr>
      <w:r>
        <w:rPr>
          <w:rFonts w:ascii="Arial" w:cs="Arial" w:eastAsia="Arial" w:hAnsi="Arial"/>
          <w:sz w:val="16"/>
          <w:szCs w:val="16"/>
          <w:color w:val="auto"/>
        </w:rPr>
        <w:t>A SAR award provides the right to receive, in cash and/or shares of our Common Stock (as determined by the Committee), an amount equal to the difference between (i) the fair market value as of the date of exercise of the number of shares of our Common Stock as to which the SAR is being exercised, and (ii) the aggregate exercise price of that number of shares. The exercise price per share of a SAR award will be determined by the Committee, but may not be less than 100% of the fair market value of one share of our Common Stock on the date of grant, unless the SAR is granted as a substitute award as described above. No dividends or dividend equivalents may be paid or credited with respect to shares subject to a SAR award. A SAR award may not have a term greater than ten years from its date of grant, and will be subject to such other terms and conditions, consistent with the terms of the 2019 Plan, as may be determined by the Committee.</w:t>
      </w:r>
    </w:p>
    <w:p>
      <w:pPr>
        <w:spacing w:after="0" w:line="359" w:lineRule="exact"/>
        <w:rPr>
          <w:sz w:val="20"/>
          <w:szCs w:val="20"/>
          <w:color w:val="auto"/>
        </w:rPr>
      </w:pPr>
    </w:p>
    <w:p>
      <w:pPr>
        <w:ind w:left="200"/>
        <w:spacing w:after="0"/>
        <w:rPr>
          <w:sz w:val="20"/>
          <w:szCs w:val="20"/>
          <w:color w:val="auto"/>
        </w:rPr>
      </w:pPr>
      <w:r>
        <w:rPr>
          <w:rFonts w:ascii="Arial" w:cs="Arial" w:eastAsia="Arial" w:hAnsi="Arial"/>
          <w:sz w:val="16"/>
          <w:szCs w:val="16"/>
          <w:i w:val="1"/>
          <w:iCs w:val="1"/>
          <w:color w:val="828282"/>
        </w:rPr>
        <w:t>Restricted Stock Awards</w:t>
      </w:r>
    </w:p>
    <w:p>
      <w:pPr>
        <w:spacing w:after="0" w:line="210" w:lineRule="exact"/>
        <w:rPr>
          <w:sz w:val="20"/>
          <w:szCs w:val="20"/>
          <w:color w:val="auto"/>
        </w:rPr>
      </w:pPr>
    </w:p>
    <w:p>
      <w:pPr>
        <w:jc w:val="both"/>
        <w:ind w:left="200"/>
        <w:spacing w:after="0" w:line="248" w:lineRule="auto"/>
        <w:rPr>
          <w:sz w:val="20"/>
          <w:szCs w:val="20"/>
          <w:color w:val="auto"/>
        </w:rPr>
      </w:pPr>
      <w:r>
        <w:rPr>
          <w:rFonts w:ascii="Arial" w:cs="Arial" w:eastAsia="Arial" w:hAnsi="Arial"/>
          <w:sz w:val="16"/>
          <w:szCs w:val="16"/>
          <w:color w:val="auto"/>
        </w:rPr>
        <w:t>A restricted stock award is an award of our Common Stock that vests at such times and in such installments as may be determined by the Committee. Until it vests, the shares subject to the award are subject to restrictions on transferability and the possibility of forfeiture. The Committee may impose such restrictions or conditions to the vesting of restricted stock awards as it deems appropriate, including that we, or any of our subsidiaries or business units, satisfy specified performance goals. Unless otherwise provided in an award agreement, dividends or distributions payable with respect to shares that are subject to the unvested portion of a restricted stock award will be</w:t>
      </w:r>
    </w:p>
    <w:p>
      <w:pPr>
        <w:spacing w:after="0" w:line="234" w:lineRule="exact"/>
        <w:rPr>
          <w:sz w:val="20"/>
          <w:szCs w:val="20"/>
          <w:color w:val="auto"/>
        </w:rPr>
      </w:pPr>
    </w:p>
    <w:p>
      <w:pPr>
        <w:spacing w:after="0"/>
        <w:rPr>
          <w:sz w:val="20"/>
          <w:szCs w:val="20"/>
          <w:color w:val="auto"/>
        </w:rPr>
      </w:pPr>
      <w:r>
        <w:rPr>
          <w:rFonts w:ascii="Arial" w:cs="Arial" w:eastAsia="Arial" w:hAnsi="Arial"/>
          <w:sz w:val="16"/>
          <w:szCs w:val="16"/>
          <w:color w:val="auto"/>
        </w:rPr>
        <w:t>40</w:t>
      </w:r>
    </w:p>
    <w:p>
      <w:pPr>
        <w:sectPr>
          <w:pgSz w:w="11900" w:h="16838" w:orient="portrait"/>
          <w:cols w:equalWidth="0" w:num="2">
            <w:col w:w="5600" w:space="20"/>
            <w:col w:w="5800"/>
          </w:cols>
          <w:pgMar w:left="240" w:top="304" w:right="239" w:bottom="1440" w:gutter="0" w:footer="0" w:header="0"/>
          <w:type w:val="continuous"/>
        </w:sectPr>
      </w:pPr>
    </w:p>
    <w:bookmarkStart w:id="44" w:name="page45"/>
    <w:bookmarkEnd w:id="44"/>
    <w:p>
      <w:pPr>
        <w:ind w:left="40"/>
        <w:spacing w:after="0"/>
        <w:rPr>
          <w:rFonts w:ascii="Arial" w:cs="Arial" w:eastAsia="Arial" w:hAnsi="Arial"/>
          <w:sz w:val="15"/>
          <w:szCs w:val="15"/>
          <w:u w:val="single" w:color="auto"/>
          <w:color w:val="0000EE"/>
        </w:rPr>
      </w:pPr>
      <w:r>
        <w:rPr>
          <w:rFonts w:ascii="Arial" w:cs="Arial" w:eastAsia="Arial" w:hAnsi="Arial"/>
          <w:sz w:val="15"/>
          <w:szCs w:val="15"/>
          <w:u w:val="single" w:color="auto"/>
          <w:color w:val="0000EE"/>
        </w:rPr>
        <w:drawing>
          <wp:anchor simplePos="0" relativeHeight="251657728" behindDoc="1" locked="0" layoutInCell="0" allowOverlap="1">
            <wp:simplePos x="0" y="0"/>
            <wp:positionH relativeFrom="page">
              <wp:posOffset>5946140</wp:posOffset>
            </wp:positionH>
            <wp:positionV relativeFrom="page">
              <wp:posOffset>191770</wp:posOffset>
            </wp:positionV>
            <wp:extent cx="1440815" cy="20574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clrChange>
                        <a:clrFrom>
                          <a:srgbClr val="FFFFFF"/>
                        </a:clrFrom>
                        <a:clrTo>
                          <a:srgbClr val="FFFFFF">
                            <a:alpha val="0"/>
                          </a:srgbClr>
                        </a:clrTo>
                      </a:clrChange>
                      <a:extLst>
                        <a:ext uri="{28A0092B-C50C-407E-A947-70E740481C1C}"/>
                      </a:extLst>
                    </a:blip>
                    <a:srcRect/>
                    <a:stretch>
                      <a:fillRect/>
                    </a:stretch>
                  </pic:blipFill>
                  <pic:spPr bwMode="auto">
                    <a:xfrm>
                      <a:off x="0" y="0"/>
                      <a:ext cx="1440815" cy="205740"/>
                    </a:xfrm>
                    <a:prstGeom prst="rect">
                      <a:avLst/>
                    </a:prstGeom>
                    <a:noFill/>
                  </pic:spPr>
                </pic:pic>
              </a:graphicData>
            </a:graphic>
          </wp:anchor>
        </w:drawing>
      </w:r>
      <w:hyperlink w:anchor="page4">
        <w:r>
          <w:rPr>
            <w:rFonts w:ascii="Arial" w:cs="Arial" w:eastAsia="Arial" w:hAnsi="Arial"/>
            <w:sz w:val="15"/>
            <w:szCs w:val="15"/>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112395</wp:posOffset>
            </wp:positionV>
            <wp:extent cx="7246620" cy="889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303" w:right="239" w:bottom="1440" w:gutter="0" w:footer="0" w:header="0"/>
        </w:sectPr>
      </w:pPr>
    </w:p>
    <w:p>
      <w:pPr>
        <w:spacing w:after="0" w:line="200" w:lineRule="exact"/>
        <w:rPr>
          <w:sz w:val="20"/>
          <w:szCs w:val="20"/>
          <w:color w:val="auto"/>
        </w:rPr>
      </w:pPr>
    </w:p>
    <w:p>
      <w:pPr>
        <w:spacing w:after="0" w:line="235" w:lineRule="exact"/>
        <w:rPr>
          <w:sz w:val="20"/>
          <w:szCs w:val="20"/>
          <w:color w:val="auto"/>
        </w:rPr>
      </w:pPr>
    </w:p>
    <w:p>
      <w:pPr>
        <w:jc w:val="both"/>
        <w:ind w:right="200"/>
        <w:spacing w:after="0" w:line="251" w:lineRule="auto"/>
        <w:rPr>
          <w:sz w:val="20"/>
          <w:szCs w:val="20"/>
          <w:color w:val="auto"/>
        </w:rPr>
      </w:pPr>
      <w:r>
        <w:rPr>
          <w:rFonts w:ascii="Arial" w:cs="Arial" w:eastAsia="Arial" w:hAnsi="Arial"/>
          <w:sz w:val="16"/>
          <w:szCs w:val="16"/>
          <w:color w:val="auto"/>
        </w:rPr>
        <w:t>subject to the same restrictions and risk of forfeiture as the shares to which such dividends or distributions relate. Unless otherwise provided in an award agreement, participants are entitled to vote restricted shares prior to the time they vest.</w:t>
      </w:r>
    </w:p>
    <w:p>
      <w:pPr>
        <w:spacing w:after="0" w:line="160" w:lineRule="exact"/>
        <w:rPr>
          <w:sz w:val="20"/>
          <w:szCs w:val="20"/>
          <w:color w:val="auto"/>
        </w:rPr>
      </w:pPr>
    </w:p>
    <w:p>
      <w:pPr>
        <w:spacing w:after="0"/>
        <w:rPr>
          <w:sz w:val="20"/>
          <w:szCs w:val="20"/>
          <w:color w:val="auto"/>
        </w:rPr>
      </w:pPr>
      <w:r>
        <w:rPr>
          <w:rFonts w:ascii="Arial" w:cs="Arial" w:eastAsia="Arial" w:hAnsi="Arial"/>
          <w:sz w:val="16"/>
          <w:szCs w:val="16"/>
          <w:i w:val="1"/>
          <w:iCs w:val="1"/>
          <w:color w:val="828282"/>
        </w:rPr>
        <w:t>Stock Unit Awards</w:t>
      </w:r>
    </w:p>
    <w:p>
      <w:pPr>
        <w:spacing w:after="0" w:line="210" w:lineRule="exact"/>
        <w:rPr>
          <w:sz w:val="20"/>
          <w:szCs w:val="20"/>
          <w:color w:val="auto"/>
        </w:rPr>
      </w:pPr>
    </w:p>
    <w:p>
      <w:pPr>
        <w:jc w:val="both"/>
        <w:ind w:right="200"/>
        <w:spacing w:after="0" w:line="247" w:lineRule="auto"/>
        <w:rPr>
          <w:sz w:val="20"/>
          <w:szCs w:val="20"/>
          <w:color w:val="auto"/>
        </w:rPr>
      </w:pPr>
      <w:r>
        <w:rPr>
          <w:rFonts w:ascii="Arial" w:cs="Arial" w:eastAsia="Arial" w:hAnsi="Arial"/>
          <w:sz w:val="16"/>
          <w:szCs w:val="16"/>
          <w:color w:val="auto"/>
        </w:rPr>
        <w:t>A stock unit award is a right to receive the fair market value of a specified number of shares of our Common Stock, payable in cash, shares, or a combination of both, that vests at such times, in such installments and subject to such conditions as may be determined by the Committee, including the satisfaction of specified performance goals. Until it vests, a stock unit award is subject to restrictions and the possibility of forfeiture. Following the vesting of a stock unit award, settlement of the award and payment to the participant will be made at such time as determined by the Committee. Stock unit awards will be subject to such other terms and conditions, consistent with the other provisions of the 2019 Plan, as may be determined by the Committee. The Committee may provide for the payment of dividend equivalents on stock unit awards and other stock-based awards and any such dividend equivalents will be subject to the same restrictions and risk of forfeiture as the underlying units or other awards to which such dividend equivalents relate, unless otherwise provided in the applicable award agreement.</w:t>
      </w:r>
    </w:p>
    <w:p>
      <w:pPr>
        <w:spacing w:after="0" w:line="169" w:lineRule="exact"/>
        <w:rPr>
          <w:sz w:val="20"/>
          <w:szCs w:val="20"/>
          <w:color w:val="auto"/>
        </w:rPr>
      </w:pPr>
    </w:p>
    <w:p>
      <w:pPr>
        <w:spacing w:after="0"/>
        <w:rPr>
          <w:sz w:val="20"/>
          <w:szCs w:val="20"/>
          <w:color w:val="auto"/>
        </w:rPr>
      </w:pPr>
      <w:r>
        <w:rPr>
          <w:rFonts w:ascii="Arial" w:cs="Arial" w:eastAsia="Arial" w:hAnsi="Arial"/>
          <w:sz w:val="16"/>
          <w:szCs w:val="16"/>
          <w:i w:val="1"/>
          <w:iCs w:val="1"/>
          <w:color w:val="828282"/>
        </w:rPr>
        <w:t>Other Stock-Based Awards</w:t>
      </w:r>
    </w:p>
    <w:p>
      <w:pPr>
        <w:spacing w:after="0" w:line="210" w:lineRule="exact"/>
        <w:rPr>
          <w:sz w:val="20"/>
          <w:szCs w:val="20"/>
          <w:color w:val="auto"/>
        </w:rPr>
      </w:pPr>
    </w:p>
    <w:p>
      <w:pPr>
        <w:jc w:val="both"/>
        <w:ind w:right="200"/>
        <w:spacing w:after="0" w:line="250" w:lineRule="auto"/>
        <w:rPr>
          <w:sz w:val="20"/>
          <w:szCs w:val="20"/>
          <w:color w:val="auto"/>
        </w:rPr>
      </w:pPr>
      <w:r>
        <w:rPr>
          <w:rFonts w:ascii="Arial" w:cs="Arial" w:eastAsia="Arial" w:hAnsi="Arial"/>
          <w:sz w:val="16"/>
          <w:szCs w:val="16"/>
          <w:color w:val="auto"/>
        </w:rPr>
        <w:t>The Committee may grant awards of Common Stock and other awards that are valued by reference to and/or payable in shares of our Common Stock under the 2019 Plan. The Committee has discretion in determining the terms and conditions of such awards, consistent with the terms and purposes of the 2019 Plan.</w:t>
      </w:r>
    </w:p>
    <w:p>
      <w:pPr>
        <w:spacing w:after="0" w:line="160" w:lineRule="exact"/>
        <w:rPr>
          <w:sz w:val="20"/>
          <w:szCs w:val="20"/>
          <w:color w:val="auto"/>
        </w:rPr>
      </w:pPr>
    </w:p>
    <w:p>
      <w:pPr>
        <w:spacing w:after="0"/>
        <w:rPr>
          <w:sz w:val="20"/>
          <w:szCs w:val="20"/>
          <w:color w:val="auto"/>
        </w:rPr>
      </w:pPr>
      <w:r>
        <w:rPr>
          <w:rFonts w:ascii="Arial" w:cs="Arial" w:eastAsia="Arial" w:hAnsi="Arial"/>
          <w:sz w:val="16"/>
          <w:szCs w:val="16"/>
          <w:i w:val="1"/>
          <w:iCs w:val="1"/>
          <w:color w:val="828282"/>
        </w:rPr>
        <w:t>Minimum Vesting Periods</w:t>
      </w:r>
    </w:p>
    <w:p>
      <w:pPr>
        <w:spacing w:after="0" w:line="210" w:lineRule="exact"/>
        <w:rPr>
          <w:sz w:val="20"/>
          <w:szCs w:val="20"/>
          <w:color w:val="auto"/>
        </w:rPr>
      </w:pPr>
    </w:p>
    <w:p>
      <w:pPr>
        <w:jc w:val="both"/>
        <w:ind w:right="200"/>
        <w:spacing w:after="0" w:line="246" w:lineRule="auto"/>
        <w:rPr>
          <w:sz w:val="20"/>
          <w:szCs w:val="20"/>
          <w:color w:val="auto"/>
        </w:rPr>
      </w:pPr>
      <w:r>
        <w:rPr>
          <w:rFonts w:ascii="Arial" w:cs="Arial" w:eastAsia="Arial" w:hAnsi="Arial"/>
          <w:sz w:val="16"/>
          <w:szCs w:val="16"/>
          <w:color w:val="auto"/>
        </w:rPr>
        <w:t>Awards that vest based solely on the satisfaction of service-based vesting conditions are subject to a minimum vesting period of one year from the date of grant, and awards whose grant or vesting is subject to performance-based vesting conditions must be subject to a performance period of not less than one year. These required vesting and performance periods will not apply:</w:t>
      </w:r>
    </w:p>
    <w:p>
      <w:pPr>
        <w:spacing w:after="0" w:line="2" w:lineRule="exact"/>
        <w:rPr>
          <w:sz w:val="20"/>
          <w:szCs w:val="20"/>
          <w:color w:val="auto"/>
        </w:rPr>
      </w:pPr>
    </w:p>
    <w:p>
      <w:pPr>
        <w:jc w:val="both"/>
        <w:ind w:right="200" w:firstLine="8"/>
        <w:spacing w:after="0" w:line="246" w:lineRule="auto"/>
        <w:tabs>
          <w:tab w:leader="none" w:pos="233" w:val="left"/>
        </w:tabs>
        <w:numPr>
          <w:ilvl w:val="0"/>
          <w:numId w:val="57"/>
        </w:numPr>
        <w:rPr>
          <w:rFonts w:ascii="Arial" w:cs="Arial" w:eastAsia="Arial" w:hAnsi="Arial"/>
          <w:sz w:val="16"/>
          <w:szCs w:val="16"/>
          <w:color w:val="auto"/>
        </w:rPr>
      </w:pPr>
      <w:r>
        <w:rPr>
          <w:rFonts w:ascii="Arial" w:cs="Arial" w:eastAsia="Arial" w:hAnsi="Arial"/>
          <w:sz w:val="16"/>
          <w:szCs w:val="16"/>
          <w:color w:val="auto"/>
        </w:rPr>
        <w:t>to awards granted to our non-employee directors in payment of or in exchange for other compensation that is already earned and payable,</w:t>
      </w:r>
    </w:p>
    <w:p>
      <w:pPr>
        <w:jc w:val="both"/>
        <w:ind w:right="200" w:firstLine="8"/>
        <w:spacing w:after="0" w:line="248" w:lineRule="auto"/>
        <w:tabs>
          <w:tab w:leader="none" w:pos="293" w:val="left"/>
        </w:tabs>
        <w:numPr>
          <w:ilvl w:val="0"/>
          <w:numId w:val="57"/>
        </w:numPr>
        <w:rPr>
          <w:rFonts w:ascii="Arial" w:cs="Arial" w:eastAsia="Arial" w:hAnsi="Arial"/>
          <w:sz w:val="16"/>
          <w:szCs w:val="16"/>
          <w:color w:val="auto"/>
        </w:rPr>
      </w:pPr>
      <w:r>
        <w:rPr>
          <w:rFonts w:ascii="Arial" w:cs="Arial" w:eastAsia="Arial" w:hAnsi="Arial"/>
          <w:sz w:val="16"/>
          <w:szCs w:val="16"/>
          <w:color w:val="auto"/>
        </w:rPr>
        <w:t>upon certain specified instances of a change in control, (iii) upon termination of service due to death or disability, (iv) to a substitute award that does not reduce the vesting period of the award being replaced, or (v) to awards involving an aggregate number of shares not in excess of 5% of the 2019 Plan’s share reserve. For purposes of awards made to non-employee directors, a vesting period will be deemed to be one year if it runs from the date of one annual meeting of the Company’s shareholders to the date of the next annual meeting of the Company’s shareholders.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color w:val="828282"/>
        </w:rPr>
        <w:t>Transferability of Awards</w:t>
      </w:r>
    </w:p>
    <w:p>
      <w:pPr>
        <w:spacing w:after="0" w:line="201" w:lineRule="exact"/>
        <w:rPr>
          <w:sz w:val="20"/>
          <w:szCs w:val="20"/>
          <w:color w:val="auto"/>
        </w:rPr>
      </w:pPr>
    </w:p>
    <w:p>
      <w:pPr>
        <w:jc w:val="both"/>
        <w:ind w:right="200"/>
        <w:spacing w:after="0" w:line="249" w:lineRule="auto"/>
        <w:rPr>
          <w:sz w:val="20"/>
          <w:szCs w:val="20"/>
          <w:color w:val="auto"/>
        </w:rPr>
      </w:pPr>
      <w:r>
        <w:rPr>
          <w:rFonts w:ascii="Arial" w:cs="Arial" w:eastAsia="Arial" w:hAnsi="Arial"/>
          <w:sz w:val="16"/>
          <w:szCs w:val="16"/>
          <w:color w:val="auto"/>
        </w:rPr>
        <w:t>In general, no right or interest in any award under the 2019 Plan may be sold, assigned, transferred, exchanged or encumbered by a participant, voluntarily or involuntarily, except by will or the laws of descent and distribution. However, the Committee may provide that an award (other than an incentive stock option) may be transferable by gift to a participant’s family member or pursuant</w:t>
      </w:r>
    </w:p>
    <w:p>
      <w:pPr>
        <w:spacing w:after="0" w:line="200" w:lineRule="exact"/>
        <w:rPr>
          <w:sz w:val="20"/>
          <w:szCs w:val="20"/>
          <w:color w:val="auto"/>
        </w:rPr>
      </w:pPr>
    </w:p>
    <w:p>
      <w:pPr>
        <w:spacing w:after="0" w:line="223" w:lineRule="exact"/>
        <w:rPr>
          <w:sz w:val="20"/>
          <w:szCs w:val="20"/>
          <w:color w:val="auto"/>
        </w:rPr>
      </w:pPr>
    </w:p>
    <w:p>
      <w:pPr>
        <w:jc w:val="right"/>
        <w:spacing w:after="0"/>
        <w:rPr>
          <w:sz w:val="20"/>
          <w:szCs w:val="20"/>
          <w:color w:val="auto"/>
        </w:rPr>
      </w:pPr>
      <w:r>
        <w:rPr>
          <w:rFonts w:ascii="Arial" w:cs="Arial" w:eastAsia="Arial" w:hAnsi="Arial"/>
          <w:sz w:val="16"/>
          <w:szCs w:val="16"/>
          <w:color w:val="auto"/>
        </w:rPr>
        <w:t>41</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15"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to a domestic relations order. Any award held by such permitted transferee will remain subject to the same terms and conditions that were applicable to the award before the transfer thereof.</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color w:val="828282"/>
        </w:rPr>
        <w:t>Performance-Based Compensation</w:t>
      </w:r>
    </w:p>
    <w:p>
      <w:pPr>
        <w:spacing w:after="0" w:line="201" w:lineRule="exact"/>
        <w:rPr>
          <w:sz w:val="20"/>
          <w:szCs w:val="20"/>
          <w:color w:val="auto"/>
        </w:rPr>
      </w:pPr>
    </w:p>
    <w:p>
      <w:pPr>
        <w:jc w:val="both"/>
        <w:spacing w:after="0" w:line="246" w:lineRule="auto"/>
        <w:rPr>
          <w:sz w:val="20"/>
          <w:szCs w:val="20"/>
          <w:color w:val="auto"/>
        </w:rPr>
      </w:pPr>
      <w:r>
        <w:rPr>
          <w:rFonts w:ascii="Arial" w:cs="Arial" w:eastAsia="Arial" w:hAnsi="Arial"/>
          <w:sz w:val="16"/>
          <w:szCs w:val="16"/>
          <w:color w:val="auto"/>
        </w:rPr>
        <w:t>The Committee may grant awards under the 2019 Plan as a performance-based award if the Committee establishes performance goals to be attained based on one or more performance measures, and the performance period over which the specified performance is to be attained, as a condition to the grant, vesting, exercisability, lapse of restrictions and/or settlement in cash or shares of such award. Performance measures may include one or more of the following: (i) stock price measures (including but not limited to growth measures and total shareholder return); (ii) earnings per share (actual or targeted growth); (iii) earnings before interest, taxes, depreciation, and amortization (“EBITDA”); (iv) economic value added (“EVA”); (v) net income measures (including but not limited to income after capital costs and income before or after taxes); (vi) revenue and/or sales (gross or net) and margins;</w:t>
      </w:r>
    </w:p>
    <w:p>
      <w:pPr>
        <w:spacing w:after="0" w:line="6" w:lineRule="exact"/>
        <w:rPr>
          <w:sz w:val="20"/>
          <w:szCs w:val="20"/>
          <w:color w:val="auto"/>
        </w:rPr>
      </w:pPr>
    </w:p>
    <w:p>
      <w:pPr>
        <w:jc w:val="both"/>
        <w:ind w:firstLine="8"/>
        <w:spacing w:after="0" w:line="246" w:lineRule="auto"/>
        <w:tabs>
          <w:tab w:leader="none" w:pos="348" w:val="left"/>
        </w:tabs>
        <w:numPr>
          <w:ilvl w:val="0"/>
          <w:numId w:val="58"/>
        </w:numPr>
        <w:rPr>
          <w:rFonts w:ascii="Arial" w:cs="Arial" w:eastAsia="Arial" w:hAnsi="Arial"/>
          <w:sz w:val="16"/>
          <w:szCs w:val="16"/>
          <w:color w:val="auto"/>
        </w:rPr>
      </w:pPr>
      <w:r>
        <w:rPr>
          <w:rFonts w:ascii="Arial" w:cs="Arial" w:eastAsia="Arial" w:hAnsi="Arial"/>
          <w:sz w:val="16"/>
          <w:szCs w:val="16"/>
          <w:color w:val="auto"/>
        </w:rPr>
        <w:t>operating income; (viii) cash flow and working capital measures; (ix) return measures (including but not limited to return on assets, equity and/or invested capital); (x) growth measures (including revenue or sales growth);</w:t>
      </w:r>
    </w:p>
    <w:p>
      <w:pPr>
        <w:spacing w:after="0" w:line="1" w:lineRule="exact"/>
        <w:rPr>
          <w:rFonts w:ascii="Arial" w:cs="Arial" w:eastAsia="Arial" w:hAnsi="Arial"/>
          <w:sz w:val="16"/>
          <w:szCs w:val="16"/>
          <w:color w:val="auto"/>
        </w:rPr>
      </w:pPr>
    </w:p>
    <w:p>
      <w:pPr>
        <w:ind w:left="300" w:hanging="292"/>
        <w:spacing w:after="0"/>
        <w:tabs>
          <w:tab w:leader="none" w:pos="300" w:val="left"/>
        </w:tabs>
        <w:numPr>
          <w:ilvl w:val="0"/>
          <w:numId w:val="59"/>
        </w:numPr>
        <w:rPr>
          <w:rFonts w:ascii="Arial" w:cs="Arial" w:eastAsia="Arial" w:hAnsi="Arial"/>
          <w:sz w:val="16"/>
          <w:szCs w:val="16"/>
          <w:color w:val="auto"/>
        </w:rPr>
      </w:pPr>
      <w:r>
        <w:rPr>
          <w:rFonts w:ascii="Arial" w:cs="Arial" w:eastAsia="Arial" w:hAnsi="Arial"/>
          <w:sz w:val="16"/>
          <w:szCs w:val="16"/>
          <w:color w:val="auto"/>
        </w:rPr>
        <w:t>market share; (xii) product quality and customer satisfaction measures;</w:t>
      </w:r>
    </w:p>
    <w:p>
      <w:pPr>
        <w:spacing w:after="0" w:line="5" w:lineRule="exact"/>
        <w:rPr>
          <w:rFonts w:ascii="Arial" w:cs="Arial" w:eastAsia="Arial" w:hAnsi="Arial"/>
          <w:sz w:val="16"/>
          <w:szCs w:val="16"/>
          <w:color w:val="auto"/>
        </w:rPr>
      </w:pPr>
    </w:p>
    <w:p>
      <w:pPr>
        <w:jc w:val="both"/>
        <w:ind w:firstLine="8"/>
        <w:spacing w:after="0" w:line="248" w:lineRule="auto"/>
        <w:tabs>
          <w:tab w:leader="none" w:pos="376" w:val="left"/>
        </w:tabs>
        <w:numPr>
          <w:ilvl w:val="0"/>
          <w:numId w:val="60"/>
        </w:numPr>
        <w:rPr>
          <w:rFonts w:ascii="Arial" w:cs="Arial" w:eastAsia="Arial" w:hAnsi="Arial"/>
          <w:sz w:val="16"/>
          <w:szCs w:val="16"/>
          <w:color w:val="auto"/>
        </w:rPr>
      </w:pPr>
      <w:r>
        <w:rPr>
          <w:rFonts w:ascii="Arial" w:cs="Arial" w:eastAsia="Arial" w:hAnsi="Arial"/>
          <w:sz w:val="16"/>
          <w:szCs w:val="16"/>
          <w:color w:val="auto"/>
        </w:rPr>
        <w:t>corporate values and strategic measures (including but not limited to ethics compliance, environmental, safety, strategic and succession planning); and (xiv) any other financial, operational or strategic measure approved by the Committee. Any performance goal based on one or more of the foregoing performance measures may be expressed in absolute amounts, on a per share basis (basic or diluted), relative to one or more other performance measures, as a growth rate or change from preceding periods, or as a comparison to the performance of specified companies, indices or other external measures, and may relate to one or any combination of the Company, its affiliates, divisions, business segments, business units or individual performance.</w:t>
      </w:r>
    </w:p>
    <w:p>
      <w:pPr>
        <w:spacing w:after="0" w:line="368" w:lineRule="exact"/>
        <w:rPr>
          <w:sz w:val="20"/>
          <w:szCs w:val="20"/>
          <w:color w:val="auto"/>
        </w:rPr>
      </w:pPr>
    </w:p>
    <w:p>
      <w:pPr>
        <w:jc w:val="both"/>
        <w:spacing w:after="0" w:line="247" w:lineRule="auto"/>
        <w:rPr>
          <w:sz w:val="20"/>
          <w:szCs w:val="20"/>
          <w:color w:val="auto"/>
        </w:rPr>
      </w:pPr>
      <w:r>
        <w:rPr>
          <w:rFonts w:ascii="Arial" w:cs="Arial" w:eastAsia="Arial" w:hAnsi="Arial"/>
          <w:sz w:val="16"/>
          <w:szCs w:val="16"/>
          <w:color w:val="auto"/>
        </w:rPr>
        <w:t>For each performance-based award, the Committee will select the applicable performance measure(s), specify the performance goal(s) based on those performance measures for any performance period, specify in terms of a formula or standard the method for calculating the amount payable to a participant if the performance goal(s) are satisfied, and determine the degree to which applicable performance goals have been satisfied and any amount that vests and is payable in connection with such award. When specifying performance goals in an award, the Committee may provide that one or more adjustments shall be made to the performance measures on which the performance goals are based, which may include adjustments that would cause such measures to be considered “non-GAAP” financial measures. The Committee also may provide, in an agreement or otherwise, for the modification of a performance period and/or adjustments to or waivers of the achievement of performance goals under specified circumstances such as the occurrence of events that are unusual in nature or infrequently occurring, such as a change in control, certain equity restructurings, acquisitions, divestitures, restructuring activities, recapitalizations, or asset write-downs, changes in applicable tax laws or accounting principles, or a participant’s death or disability. The Committee may, in its discretion and based on such considerations as it deems appropriate, adjust any amount otherwise determined by the</w:t>
      </w:r>
    </w:p>
    <w:p>
      <w:pPr>
        <w:sectPr>
          <w:pgSz w:w="11900" w:h="16838" w:orient="portrait"/>
          <w:cols w:equalWidth="0" w:num="2">
            <w:col w:w="5800" w:space="20"/>
            <w:col w:w="5600"/>
          </w:cols>
          <w:pgMar w:left="240" w:top="303" w:right="239" w:bottom="1440" w:gutter="0" w:footer="0" w:header="0"/>
          <w:type w:val="continuous"/>
        </w:sectPr>
      </w:pPr>
    </w:p>
    <w:bookmarkStart w:id="45" w:name="page46"/>
    <w:bookmarkEnd w:id="45"/>
    <w:p>
      <w:pPr>
        <w:ind w:left="40"/>
        <w:spacing w:after="0"/>
        <w:rPr>
          <w:rFonts w:ascii="Arial" w:cs="Arial" w:eastAsia="Arial" w:hAnsi="Arial"/>
          <w:sz w:val="15"/>
          <w:szCs w:val="15"/>
          <w:u w:val="single" w:color="auto"/>
          <w:color w:val="0000EE"/>
        </w:rPr>
      </w:pPr>
      <w:r>
        <w:rPr>
          <w:rFonts w:ascii="Arial" w:cs="Arial" w:eastAsia="Arial" w:hAnsi="Arial"/>
          <w:sz w:val="15"/>
          <w:szCs w:val="15"/>
          <w:u w:val="single" w:color="auto"/>
          <w:color w:val="0000EE"/>
        </w:rPr>
        <w:drawing>
          <wp:anchor simplePos="0" relativeHeight="251657728" behindDoc="1" locked="0" layoutInCell="0" allowOverlap="1">
            <wp:simplePos x="0" y="0"/>
            <wp:positionH relativeFrom="page">
              <wp:posOffset>5946140</wp:posOffset>
            </wp:positionH>
            <wp:positionV relativeFrom="page">
              <wp:posOffset>191770</wp:posOffset>
            </wp:positionV>
            <wp:extent cx="1440815" cy="20574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clrChange>
                        <a:clrFrom>
                          <a:srgbClr val="FFFFFF"/>
                        </a:clrFrom>
                        <a:clrTo>
                          <a:srgbClr val="FFFFFF">
                            <a:alpha val="0"/>
                          </a:srgbClr>
                        </a:clrTo>
                      </a:clrChange>
                      <a:extLst>
                        <a:ext uri="{28A0092B-C50C-407E-A947-70E740481C1C}"/>
                      </a:extLst>
                    </a:blip>
                    <a:srcRect/>
                    <a:stretch>
                      <a:fillRect/>
                    </a:stretch>
                  </pic:blipFill>
                  <pic:spPr bwMode="auto">
                    <a:xfrm>
                      <a:off x="0" y="0"/>
                      <a:ext cx="1440815" cy="205740"/>
                    </a:xfrm>
                    <a:prstGeom prst="rect">
                      <a:avLst/>
                    </a:prstGeom>
                    <a:noFill/>
                  </pic:spPr>
                </pic:pic>
              </a:graphicData>
            </a:graphic>
          </wp:anchor>
        </w:drawing>
      </w:r>
      <w:hyperlink w:anchor="page4">
        <w:r>
          <w:rPr>
            <w:rFonts w:ascii="Arial" w:cs="Arial" w:eastAsia="Arial" w:hAnsi="Arial"/>
            <w:sz w:val="15"/>
            <w:szCs w:val="15"/>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112395</wp:posOffset>
            </wp:positionV>
            <wp:extent cx="7246620" cy="889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303" w:right="239" w:bottom="1440" w:gutter="0" w:footer="0" w:header="0"/>
        </w:sectPr>
      </w:pPr>
    </w:p>
    <w:p>
      <w:pPr>
        <w:spacing w:after="0" w:line="200" w:lineRule="exact"/>
        <w:rPr>
          <w:sz w:val="20"/>
          <w:szCs w:val="20"/>
          <w:color w:val="auto"/>
        </w:rPr>
      </w:pPr>
    </w:p>
    <w:p>
      <w:pPr>
        <w:spacing w:after="0" w:line="235"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auto"/>
        </w:rPr>
        <w:t>application of the performance goals to be otherwise payable in connection with an award.</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color w:val="828282"/>
        </w:rPr>
        <w:t>Change in Control</w:t>
      </w:r>
    </w:p>
    <w:p>
      <w:pPr>
        <w:spacing w:after="0" w:line="201" w:lineRule="exact"/>
        <w:rPr>
          <w:sz w:val="20"/>
          <w:szCs w:val="20"/>
          <w:color w:val="auto"/>
        </w:rPr>
      </w:pPr>
    </w:p>
    <w:p>
      <w:pPr>
        <w:jc w:val="both"/>
        <w:spacing w:after="0" w:line="247" w:lineRule="auto"/>
        <w:rPr>
          <w:sz w:val="20"/>
          <w:szCs w:val="20"/>
          <w:color w:val="auto"/>
        </w:rPr>
      </w:pPr>
      <w:r>
        <w:rPr>
          <w:rFonts w:ascii="Arial" w:cs="Arial" w:eastAsia="Arial" w:hAnsi="Arial"/>
          <w:sz w:val="16"/>
          <w:szCs w:val="16"/>
          <w:color w:val="auto"/>
        </w:rPr>
        <w:t>If a change in control of the Company that involves a corporate transaction occurs, then the consequences will be as described below unless the Committee provides otherwise in an applicable award or other agreement with a participant. If outstanding awards are continued, assumed or replaced by the surviving or successor entity in connection with a corporate transaction, and if within twenty-four months after the corporate transaction a participant’s employment or other service is involuntarily terminated without cause, or, if so provided in the discretion of the Committee in an award agreement, the participant terminates his or her employment or other service for good reason, (i) each of the participant’s outstanding options and SARs will become fully vested and exercisable and will remain exercisable for one year, and (ii) each of the participant’s unvested full value awards will fully vest. To the extent vesting of any award continued, assumed or replaced is subject to satisfaction of specified performance goals, those goals shall be deemed to be achieved as of the date of the corporate transaction at the target level of performance, or, in the discretion of the Committee, at the actual level of performance (if determinable), and such Awards shall continue to be subject to any continuing service requirements.</w:t>
      </w:r>
    </w:p>
    <w:p>
      <w:pPr>
        <w:spacing w:after="0" w:line="184" w:lineRule="exact"/>
        <w:rPr>
          <w:sz w:val="20"/>
          <w:szCs w:val="20"/>
          <w:color w:val="auto"/>
        </w:rPr>
      </w:pPr>
    </w:p>
    <w:p>
      <w:pPr>
        <w:jc w:val="both"/>
        <w:spacing w:after="0" w:line="247" w:lineRule="auto"/>
        <w:rPr>
          <w:sz w:val="20"/>
          <w:szCs w:val="20"/>
          <w:color w:val="auto"/>
        </w:rPr>
      </w:pPr>
      <w:r>
        <w:rPr>
          <w:rFonts w:ascii="Arial" w:cs="Arial" w:eastAsia="Arial" w:hAnsi="Arial"/>
          <w:sz w:val="16"/>
          <w:szCs w:val="16"/>
          <w:color w:val="auto"/>
        </w:rPr>
        <w:t>If any outstanding award is not continued, assumed or replaced in connection with a change in control involving a corporate transaction, then (i) all outstanding options and SARs will become fully vested and exercisable for a period of time prior to the effective time of the corporate transaction and will then terminate at the effective time of the corporate transaction, and (ii) all full value awards will fully vest immediately prior to the effective time of the corporate transaction. For these purposes, a performance-based award will be considered fully vested at the greater of target level of performance or actual level of performance (if determinable) and the vested portion of the Award at that level of performance is proportionate to the portion of the performance period that has elapsed prior to the corporate transaction. Alternatively, if outstanding awards are not continued, assumed or replaced, the Committee may elect to cancel such awards at or immediately prior to the effective time of the corporate transaction in exchange for a payment with respect to each award in an amount equal to the excess, if any, between the fair market value of the consideration that would otherwise be received in the corporate transaction for the same number of shares over the aggregate exercise price (if any) for the shares subject to such award (or, if there is no excess, such award may be terminated without payment).</w:t>
      </w:r>
    </w:p>
    <w:p>
      <w:pPr>
        <w:spacing w:after="0" w:line="184"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auto"/>
        </w:rPr>
        <w:t>In the event of a change in control of the Company that does not involve a corporate transaction, if within twenty-four months after the change in control a participant’s employment or other service is involuntarily terminated without cause, or, if so provided in the discretion of the Committee in an award agreement, the participant terminates his or her employment or other service for good reason, (i) each of the participant’s outstanding options and SARs will become fully vested and exercisable and remain exercisable for one year, and (ii) each of the participant’s unvested full value awards will fully vest. For these purposes, a performance-based award will be considered fully vested at the greater of target level of performance or actual level of</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15" w:lineRule="exact"/>
        <w:rPr>
          <w:sz w:val="20"/>
          <w:szCs w:val="20"/>
          <w:color w:val="auto"/>
        </w:rPr>
      </w:pPr>
    </w:p>
    <w:p>
      <w:pPr>
        <w:jc w:val="both"/>
        <w:ind w:left="200"/>
        <w:spacing w:after="0" w:line="251" w:lineRule="auto"/>
        <w:rPr>
          <w:sz w:val="20"/>
          <w:szCs w:val="20"/>
          <w:color w:val="auto"/>
        </w:rPr>
      </w:pPr>
      <w:r>
        <w:rPr>
          <w:rFonts w:ascii="Arial" w:cs="Arial" w:eastAsia="Arial" w:hAnsi="Arial"/>
          <w:sz w:val="16"/>
          <w:szCs w:val="16"/>
          <w:color w:val="auto"/>
        </w:rPr>
        <w:t>performance (if determinable) and the vested portion of the Award at that level of performance is proportionate to the portion of the performance period that has elapsed prior to the participant’s termination of employment or other service.</w:t>
      </w:r>
    </w:p>
    <w:p>
      <w:pPr>
        <w:spacing w:after="0" w:line="176" w:lineRule="exact"/>
        <w:rPr>
          <w:sz w:val="20"/>
          <w:szCs w:val="20"/>
          <w:color w:val="auto"/>
        </w:rPr>
      </w:pPr>
    </w:p>
    <w:p>
      <w:pPr>
        <w:jc w:val="both"/>
        <w:ind w:left="200"/>
        <w:spacing w:after="0" w:line="248" w:lineRule="auto"/>
        <w:rPr>
          <w:sz w:val="20"/>
          <w:szCs w:val="20"/>
          <w:color w:val="auto"/>
        </w:rPr>
      </w:pPr>
      <w:r>
        <w:rPr>
          <w:rFonts w:ascii="Arial" w:cs="Arial" w:eastAsia="Arial" w:hAnsi="Arial"/>
          <w:sz w:val="16"/>
          <w:szCs w:val="16"/>
          <w:color w:val="auto"/>
        </w:rPr>
        <w:t>The 2019 Plan also provides that if any payments or benefits provided to a participant under the 2019 Plan or any other Company compensation programs or arrangements in connection with a change in control would constitute “parachute payments” within the meaning of Code Section 280G, and would otherwise result in the imposition of an excise tax under Code Section 4999, then the amount of such payments and benefits will either (i) be reduced to the extent necessary to avoid characterization as parachute payments and the imposition of the excise tax, or (ii) be paid in full and remain subject to the imposition of the excise tax, whichever results in the participant’s receipt on an after-tax basis of the greatest amount of payments and benefits.</w:t>
      </w:r>
    </w:p>
    <w:p>
      <w:pPr>
        <w:spacing w:after="0" w:line="368" w:lineRule="exact"/>
        <w:rPr>
          <w:sz w:val="20"/>
          <w:szCs w:val="20"/>
          <w:color w:val="auto"/>
        </w:rPr>
      </w:pPr>
    </w:p>
    <w:p>
      <w:pPr>
        <w:ind w:left="200" w:right="560"/>
        <w:spacing w:after="0" w:line="260" w:lineRule="auto"/>
        <w:rPr>
          <w:sz w:val="20"/>
          <w:szCs w:val="20"/>
          <w:color w:val="auto"/>
        </w:rPr>
      </w:pPr>
      <w:r>
        <w:rPr>
          <w:rFonts w:ascii="Arial" w:cs="Arial" w:eastAsia="Arial" w:hAnsi="Arial"/>
          <w:sz w:val="16"/>
          <w:szCs w:val="16"/>
          <w:color w:val="auto"/>
        </w:rPr>
        <w:t>For purposes of the 2019 Plan, the following terms have the meanings indicated:</w:t>
      </w:r>
    </w:p>
    <w:p>
      <w:pPr>
        <w:spacing w:after="0" w:line="169" w:lineRule="exact"/>
        <w:rPr>
          <w:sz w:val="20"/>
          <w:szCs w:val="20"/>
          <w:color w:val="auto"/>
        </w:rPr>
      </w:pPr>
    </w:p>
    <w:p>
      <w:pPr>
        <w:jc w:val="both"/>
        <w:ind w:left="860" w:hanging="328"/>
        <w:spacing w:after="0" w:line="248" w:lineRule="auto"/>
        <w:tabs>
          <w:tab w:leader="none" w:pos="860" w:val="left"/>
        </w:tabs>
        <w:numPr>
          <w:ilvl w:val="0"/>
          <w:numId w:val="61"/>
        </w:numPr>
        <w:rPr>
          <w:rFonts w:ascii="Arial" w:cs="Arial" w:eastAsia="Arial" w:hAnsi="Arial"/>
          <w:sz w:val="16"/>
          <w:szCs w:val="16"/>
          <w:color w:val="auto"/>
        </w:rPr>
      </w:pPr>
      <w:r>
        <w:rPr>
          <w:rFonts w:ascii="Arial" w:cs="Arial" w:eastAsia="Arial" w:hAnsi="Arial"/>
          <w:sz w:val="16"/>
          <w:szCs w:val="16"/>
          <w:color w:val="auto"/>
        </w:rPr>
        <w:t>A “change in control” generally refers to the acquisition by a person or group of beneficial ownership of 30% or more of the combined voting power of our voting securities, our continuing directors ceasing to constitute a majority of our Board, or the consummation of a corporate transaction as defined below (unless immediately following such corporate transaction all or substantially all of our previous holders of voting securities beneficially own 50% or more of the combined voting power of the resulting entity in substantially the same proportions).</w:t>
      </w:r>
    </w:p>
    <w:p>
      <w:pPr>
        <w:spacing w:after="0" w:line="179" w:lineRule="exact"/>
        <w:rPr>
          <w:rFonts w:ascii="Arial" w:cs="Arial" w:eastAsia="Arial" w:hAnsi="Arial"/>
          <w:sz w:val="16"/>
          <w:szCs w:val="16"/>
          <w:color w:val="auto"/>
        </w:rPr>
      </w:pPr>
    </w:p>
    <w:p>
      <w:pPr>
        <w:jc w:val="both"/>
        <w:ind w:left="860" w:hanging="328"/>
        <w:spacing w:after="0" w:line="246" w:lineRule="auto"/>
        <w:tabs>
          <w:tab w:leader="none" w:pos="860" w:val="left"/>
        </w:tabs>
        <w:numPr>
          <w:ilvl w:val="0"/>
          <w:numId w:val="61"/>
        </w:numPr>
        <w:rPr>
          <w:rFonts w:ascii="Arial" w:cs="Arial" w:eastAsia="Arial" w:hAnsi="Arial"/>
          <w:sz w:val="16"/>
          <w:szCs w:val="16"/>
          <w:color w:val="auto"/>
        </w:rPr>
      </w:pPr>
      <w:r>
        <w:rPr>
          <w:rFonts w:ascii="Arial" w:cs="Arial" w:eastAsia="Arial" w:hAnsi="Arial"/>
          <w:sz w:val="16"/>
          <w:szCs w:val="16"/>
          <w:color w:val="auto"/>
        </w:rPr>
        <w:t>A “corporate transaction” generally means (i) a sale or other disposition of all or substantially all of the assets of the Company, or</w:t>
      </w:r>
    </w:p>
    <w:p>
      <w:pPr>
        <w:ind w:left="860" w:hanging="4"/>
        <w:spacing w:after="0" w:line="260" w:lineRule="auto"/>
        <w:tabs>
          <w:tab w:leader="none" w:pos="1117" w:val="left"/>
        </w:tabs>
        <w:numPr>
          <w:ilvl w:val="1"/>
          <w:numId w:val="61"/>
        </w:numPr>
        <w:rPr>
          <w:rFonts w:ascii="Arial" w:cs="Arial" w:eastAsia="Arial" w:hAnsi="Arial"/>
          <w:sz w:val="16"/>
          <w:szCs w:val="16"/>
          <w:color w:val="auto"/>
        </w:rPr>
      </w:pPr>
      <w:r>
        <w:rPr>
          <w:rFonts w:ascii="Arial" w:cs="Arial" w:eastAsia="Arial" w:hAnsi="Arial"/>
          <w:sz w:val="16"/>
          <w:szCs w:val="16"/>
          <w:color w:val="auto"/>
        </w:rPr>
        <w:t>a merger, consolidation, share exchange or similar transaction involving the Company.</w:t>
      </w:r>
    </w:p>
    <w:p>
      <w:pPr>
        <w:spacing w:after="0" w:line="166" w:lineRule="exact"/>
        <w:rPr>
          <w:sz w:val="20"/>
          <w:szCs w:val="20"/>
          <w:color w:val="auto"/>
        </w:rPr>
      </w:pPr>
    </w:p>
    <w:p>
      <w:pPr>
        <w:ind w:left="200"/>
        <w:spacing w:after="0"/>
        <w:rPr>
          <w:sz w:val="20"/>
          <w:szCs w:val="20"/>
          <w:color w:val="auto"/>
        </w:rPr>
      </w:pPr>
      <w:r>
        <w:rPr>
          <w:rFonts w:ascii="Arial" w:cs="Arial" w:eastAsia="Arial" w:hAnsi="Arial"/>
          <w:sz w:val="18"/>
          <w:szCs w:val="18"/>
          <w:color w:val="828282"/>
        </w:rPr>
        <w:t>Effect of Termination of Employment or Other Service</w:t>
      </w:r>
    </w:p>
    <w:p>
      <w:pPr>
        <w:spacing w:after="0" w:line="201" w:lineRule="exact"/>
        <w:rPr>
          <w:sz w:val="20"/>
          <w:szCs w:val="20"/>
          <w:color w:val="auto"/>
        </w:rPr>
      </w:pPr>
    </w:p>
    <w:p>
      <w:pPr>
        <w:jc w:val="both"/>
        <w:ind w:left="200"/>
        <w:spacing w:after="0" w:line="247" w:lineRule="auto"/>
        <w:rPr>
          <w:sz w:val="20"/>
          <w:szCs w:val="20"/>
          <w:color w:val="auto"/>
        </w:rPr>
      </w:pPr>
      <w:r>
        <w:rPr>
          <w:rFonts w:ascii="Arial" w:cs="Arial" w:eastAsia="Arial" w:hAnsi="Arial"/>
          <w:sz w:val="16"/>
          <w:szCs w:val="16"/>
          <w:color w:val="auto"/>
        </w:rPr>
        <w:t>Unless otherwise set forth in an applicable award agreement, if a participant ceases to be employed by or provide other services to us and our affiliates, awards under the 2019 Plan will be treated as set forth in the 2019 Plan. Upon termination for cause or upon conduct that would constitute cause during any post-termination exercise period, all unexercised option and SAR awards and all unvested portions of any other outstanding awards will be immediately forfeited without consideration. If a participant's service is terminated due to his or her death or disability, all unvested portions of any outstanding awards shall vest in full immediately and the currently vested and exercisable portions of option and SAR awards may be exercised for a period of one year after the date of such termination. Upon termination for any reason other than death, disability or cause, all unvested and unexercisable portions of any outstanding awards will be immediately forfeited without consideration and the currently vested and exercisable portions of option and SAR awards may be exercised for a period of three months after the date of such termination. However, if a participant thereafter dies during such three-month period, the vested and exercisable portions of the option and SAR awards may be exercised for a period of one year after the date of such termination.</w:t>
      </w: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16"/>
          <w:szCs w:val="16"/>
          <w:color w:val="auto"/>
        </w:rPr>
        <w:t>42</w:t>
      </w:r>
    </w:p>
    <w:p>
      <w:pPr>
        <w:sectPr>
          <w:pgSz w:w="11900" w:h="16838" w:orient="portrait"/>
          <w:cols w:equalWidth="0" w:num="2">
            <w:col w:w="5600" w:space="20"/>
            <w:col w:w="5800"/>
          </w:cols>
          <w:pgMar w:left="240" w:top="303" w:right="239" w:bottom="1440" w:gutter="0" w:footer="0" w:header="0"/>
          <w:type w:val="continuous"/>
        </w:sectPr>
      </w:pPr>
    </w:p>
    <w:bookmarkStart w:id="46" w:name="page47"/>
    <w:bookmarkEnd w:id="46"/>
    <w:p>
      <w:pPr>
        <w:ind w:left="40"/>
        <w:spacing w:after="0"/>
        <w:rPr>
          <w:rFonts w:ascii="Arial" w:cs="Arial" w:eastAsia="Arial" w:hAnsi="Arial"/>
          <w:sz w:val="15"/>
          <w:szCs w:val="15"/>
          <w:u w:val="single" w:color="auto"/>
          <w:color w:val="0000EE"/>
        </w:rPr>
      </w:pPr>
      <w:r>
        <w:rPr>
          <w:rFonts w:ascii="Arial" w:cs="Arial" w:eastAsia="Arial" w:hAnsi="Arial"/>
          <w:sz w:val="15"/>
          <w:szCs w:val="15"/>
          <w:u w:val="single" w:color="auto"/>
          <w:color w:val="0000EE"/>
        </w:rPr>
        <w:drawing>
          <wp:anchor simplePos="0" relativeHeight="251657728" behindDoc="1" locked="0" layoutInCell="0" allowOverlap="1">
            <wp:simplePos x="0" y="0"/>
            <wp:positionH relativeFrom="page">
              <wp:posOffset>5946140</wp:posOffset>
            </wp:positionH>
            <wp:positionV relativeFrom="page">
              <wp:posOffset>191770</wp:posOffset>
            </wp:positionV>
            <wp:extent cx="1440815" cy="20574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clrChange>
                        <a:clrFrom>
                          <a:srgbClr val="FFFFFF"/>
                        </a:clrFrom>
                        <a:clrTo>
                          <a:srgbClr val="FFFFFF">
                            <a:alpha val="0"/>
                          </a:srgbClr>
                        </a:clrTo>
                      </a:clrChange>
                      <a:extLst>
                        <a:ext uri="{28A0092B-C50C-407E-A947-70E740481C1C}"/>
                      </a:extLst>
                    </a:blip>
                    <a:srcRect/>
                    <a:stretch>
                      <a:fillRect/>
                    </a:stretch>
                  </pic:blipFill>
                  <pic:spPr bwMode="auto">
                    <a:xfrm>
                      <a:off x="0" y="0"/>
                      <a:ext cx="1440815" cy="205740"/>
                    </a:xfrm>
                    <a:prstGeom prst="rect">
                      <a:avLst/>
                    </a:prstGeom>
                    <a:noFill/>
                  </pic:spPr>
                </pic:pic>
              </a:graphicData>
            </a:graphic>
          </wp:anchor>
        </w:drawing>
      </w:r>
      <w:hyperlink w:anchor="page4">
        <w:r>
          <w:rPr>
            <w:rFonts w:ascii="Arial" w:cs="Arial" w:eastAsia="Arial" w:hAnsi="Arial"/>
            <w:sz w:val="15"/>
            <w:szCs w:val="15"/>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112395</wp:posOffset>
            </wp:positionV>
            <wp:extent cx="7246620" cy="889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304" w:right="239" w:bottom="1440" w:gutter="0" w:footer="0" w:header="0"/>
        </w:sectPr>
      </w:pPr>
    </w:p>
    <w:p>
      <w:pPr>
        <w:spacing w:after="0" w:line="200" w:lineRule="exact"/>
        <w:rPr>
          <w:sz w:val="20"/>
          <w:szCs w:val="20"/>
          <w:color w:val="auto"/>
        </w:rPr>
      </w:pPr>
    </w:p>
    <w:p>
      <w:pPr>
        <w:spacing w:after="0" w:line="235" w:lineRule="exact"/>
        <w:rPr>
          <w:sz w:val="20"/>
          <w:szCs w:val="20"/>
          <w:color w:val="auto"/>
        </w:rPr>
      </w:pPr>
    </w:p>
    <w:p>
      <w:pPr>
        <w:jc w:val="both"/>
        <w:spacing w:after="0" w:line="246" w:lineRule="auto"/>
        <w:rPr>
          <w:sz w:val="20"/>
          <w:szCs w:val="20"/>
          <w:color w:val="auto"/>
        </w:rPr>
      </w:pPr>
      <w:r>
        <w:rPr>
          <w:rFonts w:ascii="Arial" w:cs="Arial" w:eastAsia="Arial" w:hAnsi="Arial"/>
          <w:sz w:val="16"/>
          <w:szCs w:val="16"/>
          <w:color w:val="auto"/>
        </w:rPr>
        <w:t>Under the 2019 Plan, “cause” is generally defined as (i) material failure to perform satisfactorily the duties reasonably required of such person; (ii) material violation of any law, rule, regulation, court order or regulatory directive (other than traffic violations, misdemeanors or other minor offenses), including but not limited to, a violation of any federal or state securities laws, rules or regulations or of any rule or other requirement of any securities exchanges on which our Common Stock may, at the time, be listed;</w:t>
      </w:r>
    </w:p>
    <w:p>
      <w:pPr>
        <w:spacing w:after="0" w:line="3" w:lineRule="exact"/>
        <w:rPr>
          <w:sz w:val="20"/>
          <w:szCs w:val="20"/>
          <w:color w:val="auto"/>
        </w:rPr>
      </w:pPr>
    </w:p>
    <w:p>
      <w:pPr>
        <w:jc w:val="both"/>
        <w:ind w:firstLine="8"/>
        <w:spacing w:after="0" w:line="246" w:lineRule="auto"/>
        <w:tabs>
          <w:tab w:leader="none" w:pos="266" w:val="left"/>
        </w:tabs>
        <w:numPr>
          <w:ilvl w:val="0"/>
          <w:numId w:val="62"/>
        </w:numPr>
        <w:rPr>
          <w:rFonts w:ascii="Arial" w:cs="Arial" w:eastAsia="Arial" w:hAnsi="Arial"/>
          <w:sz w:val="16"/>
          <w:szCs w:val="16"/>
          <w:color w:val="auto"/>
        </w:rPr>
      </w:pPr>
      <w:r>
        <w:rPr>
          <w:rFonts w:ascii="Arial" w:cs="Arial" w:eastAsia="Arial" w:hAnsi="Arial"/>
          <w:sz w:val="16"/>
          <w:szCs w:val="16"/>
          <w:color w:val="auto"/>
        </w:rPr>
        <w:t>material breach of our business conduct or ethics code or of any fiduciary duty or nondisclosure, non-solicitation, non-competition or similar obligation owed to the Company or any of its affiliates; (iv) engaging in any act or practice that involves personal dishonesty or demonstrates a willful and continuing disregard for the best interests of the Company and its affiliates; or</w:t>
      </w:r>
    </w:p>
    <w:p>
      <w:pPr>
        <w:spacing w:after="0" w:line="2" w:lineRule="exact"/>
        <w:rPr>
          <w:rFonts w:ascii="Arial" w:cs="Arial" w:eastAsia="Arial" w:hAnsi="Arial"/>
          <w:sz w:val="16"/>
          <w:szCs w:val="16"/>
          <w:color w:val="auto"/>
        </w:rPr>
      </w:pPr>
    </w:p>
    <w:p>
      <w:pPr>
        <w:jc w:val="both"/>
        <w:ind w:firstLine="8"/>
        <w:spacing w:after="0" w:line="249" w:lineRule="auto"/>
        <w:tabs>
          <w:tab w:leader="none" w:pos="257" w:val="left"/>
        </w:tabs>
        <w:numPr>
          <w:ilvl w:val="0"/>
          <w:numId w:val="63"/>
        </w:numPr>
        <w:rPr>
          <w:rFonts w:ascii="Arial" w:cs="Arial" w:eastAsia="Arial" w:hAnsi="Arial"/>
          <w:sz w:val="16"/>
          <w:szCs w:val="16"/>
          <w:color w:val="auto"/>
        </w:rPr>
      </w:pPr>
      <w:r>
        <w:rPr>
          <w:rFonts w:ascii="Arial" w:cs="Arial" w:eastAsia="Arial" w:hAnsi="Arial"/>
          <w:sz w:val="16"/>
          <w:szCs w:val="16"/>
          <w:color w:val="auto"/>
        </w:rPr>
        <w:t>engaging in dishonorable or disruptive behavior, practices or acts which would be reasonably expected to harm or bring disrepute to the Company or any of its affiliates, their business or any of their customers, employees or vendors, provided that if a participant has another then-effective written agreement with the Company that defines “cause”, that definition shall control.</w:t>
      </w:r>
    </w:p>
    <w:p>
      <w:pPr>
        <w:spacing w:after="0" w:line="366" w:lineRule="exact"/>
        <w:rPr>
          <w:sz w:val="20"/>
          <w:szCs w:val="20"/>
          <w:color w:val="auto"/>
        </w:rPr>
      </w:pPr>
    </w:p>
    <w:p>
      <w:pPr>
        <w:spacing w:after="0"/>
        <w:rPr>
          <w:sz w:val="20"/>
          <w:szCs w:val="20"/>
          <w:color w:val="auto"/>
        </w:rPr>
      </w:pPr>
      <w:r>
        <w:rPr>
          <w:rFonts w:ascii="Arial" w:cs="Arial" w:eastAsia="Arial" w:hAnsi="Arial"/>
          <w:sz w:val="18"/>
          <w:szCs w:val="18"/>
          <w:color w:val="828282"/>
        </w:rPr>
        <w:t>Effective Date and Term of the 2019 Plan</w:t>
      </w:r>
    </w:p>
    <w:p>
      <w:pPr>
        <w:spacing w:after="0" w:line="201"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auto"/>
        </w:rPr>
        <w:t>The 2019 Plan will become effective on the date it is approved by the Company’s shareholders. No awards will be made under the 2019 Plan prior to its effective date. Unless terminated earlier, the 2019 Plan will terminate on the tenth anniversary of the effective date. Awards outstanding under the 2019 Plan at the time it is terminated will continue in accordance with their terms and the terms of the 2019 Plan unless otherwise provided in the applicable agreements.</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color w:val="828282"/>
        </w:rPr>
        <w:t>Amendment of the Plan</w:t>
      </w:r>
    </w:p>
    <w:p>
      <w:pPr>
        <w:spacing w:after="0" w:line="201"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auto"/>
        </w:rPr>
        <w:t>Our Board of Directors may amend the 2019 Plan from time to time, but no amendments to the 2019 Plan will be effective without shareholder approval if such approval is required under applicable laws, regulations or stock exchange rules. Our Board of Directors also may suspend or terminate the 2019 Plan at any time. No termination, suspension or amendment of the 2019 Plan may materially impair the rights of any participant under a previously granted award without the consent of the affected participant, unless such action is necessary to comply with applicable laws or stock exchange rules.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color w:val="828282"/>
        </w:rPr>
        <w:t>Amendment of Awards</w:t>
      </w:r>
    </w:p>
    <w:p>
      <w:pPr>
        <w:spacing w:after="0" w:line="201" w:lineRule="exact"/>
        <w:rPr>
          <w:sz w:val="20"/>
          <w:szCs w:val="20"/>
          <w:color w:val="auto"/>
        </w:rPr>
      </w:pPr>
    </w:p>
    <w:p>
      <w:pPr>
        <w:jc w:val="both"/>
        <w:spacing w:after="0" w:line="249" w:lineRule="auto"/>
        <w:rPr>
          <w:sz w:val="20"/>
          <w:szCs w:val="20"/>
          <w:color w:val="auto"/>
        </w:rPr>
      </w:pPr>
      <w:r>
        <w:rPr>
          <w:rFonts w:ascii="Arial" w:cs="Arial" w:eastAsia="Arial" w:hAnsi="Arial"/>
          <w:sz w:val="16"/>
          <w:szCs w:val="16"/>
          <w:color w:val="auto"/>
        </w:rPr>
        <w:t>The Committee may amend the terms of any award subject to certain limitations, however, no such amendment may materially impair the rights of any participant under a previously granted award without the consent of the affected participant, except for amendments necessary to comply with applicable laws, stock exchange rules or any compensation recovery policy as provided in the 2019 Plan.</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828282"/>
        </w:rPr>
        <w:t>Forfeiture and Clawback</w:t>
      </w:r>
    </w:p>
    <w:p>
      <w:pPr>
        <w:spacing w:after="0" w:line="201" w:lineRule="exact"/>
        <w:rPr>
          <w:sz w:val="20"/>
          <w:szCs w:val="20"/>
          <w:color w:val="auto"/>
        </w:rPr>
      </w:pPr>
    </w:p>
    <w:p>
      <w:pPr>
        <w:jc w:val="both"/>
        <w:spacing w:after="0" w:line="249" w:lineRule="auto"/>
        <w:rPr>
          <w:sz w:val="20"/>
          <w:szCs w:val="20"/>
          <w:color w:val="auto"/>
        </w:rPr>
      </w:pPr>
      <w:r>
        <w:rPr>
          <w:rFonts w:ascii="Arial" w:cs="Arial" w:eastAsia="Arial" w:hAnsi="Arial"/>
          <w:sz w:val="16"/>
          <w:szCs w:val="16"/>
          <w:color w:val="auto"/>
        </w:rPr>
        <w:t>The Committee may specify in an award agreement that a participant’s rights, payments, and benefits under the award will be subject to reduction, cancellation, forfeiture or recovery by the Company upon the occurrence of certain other specified events, which may include termination of service for cause; violation of any material Company policy; breach of noncompetition, non-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15" w:lineRule="exact"/>
        <w:rPr>
          <w:sz w:val="20"/>
          <w:szCs w:val="20"/>
          <w:color w:val="auto"/>
        </w:rPr>
      </w:pPr>
    </w:p>
    <w:p>
      <w:pPr>
        <w:jc w:val="both"/>
        <w:ind w:left="200"/>
        <w:spacing w:after="0" w:line="247" w:lineRule="auto"/>
        <w:rPr>
          <w:sz w:val="20"/>
          <w:szCs w:val="20"/>
          <w:color w:val="auto"/>
        </w:rPr>
      </w:pPr>
      <w:r>
        <w:rPr>
          <w:rFonts w:ascii="Arial" w:cs="Arial" w:eastAsia="Arial" w:hAnsi="Arial"/>
          <w:sz w:val="16"/>
          <w:szCs w:val="16"/>
          <w:color w:val="auto"/>
        </w:rPr>
        <w:t>solicitation or confidentiality provisions that apply to the participant; a determination that the payment of the award was based on an incorrect determination that financial or other criteria were met or other conduct by the participant that is detrimental to the business or reputation of the Company or its affiliates, including, but not limited to, a violation of any federal or state securities laws, rules or regulations or of any rule or other requirement of any securities exchanges on which the Company’s Common Stock may, at the time, be listed. Awards also may be made subject to forfeiture or recovery by the Company pursuant to any compensation recovery policy adopted by the Board of Directors or the Committee at any time, including in response to the requirements of Section 10D of the Exchange Act or as otherwise required by law.</w:t>
      </w:r>
    </w:p>
    <w:p>
      <w:pPr>
        <w:spacing w:after="0" w:line="191" w:lineRule="exact"/>
        <w:rPr>
          <w:sz w:val="20"/>
          <w:szCs w:val="20"/>
          <w:color w:val="auto"/>
        </w:rPr>
      </w:pPr>
    </w:p>
    <w:p>
      <w:pPr>
        <w:ind w:left="200"/>
        <w:spacing w:after="0"/>
        <w:rPr>
          <w:sz w:val="20"/>
          <w:szCs w:val="20"/>
          <w:color w:val="auto"/>
        </w:rPr>
      </w:pPr>
      <w:r>
        <w:rPr>
          <w:rFonts w:ascii="Arial" w:cs="Arial" w:eastAsia="Arial" w:hAnsi="Arial"/>
          <w:sz w:val="22"/>
          <w:szCs w:val="22"/>
          <w:color w:val="828282"/>
        </w:rPr>
        <w:t>United States Federal Income Tax Consequences</w:t>
      </w:r>
    </w:p>
    <w:p>
      <w:pPr>
        <w:spacing w:after="0" w:line="188" w:lineRule="exact"/>
        <w:rPr>
          <w:sz w:val="20"/>
          <w:szCs w:val="20"/>
          <w:color w:val="auto"/>
        </w:rPr>
      </w:pPr>
    </w:p>
    <w:p>
      <w:pPr>
        <w:jc w:val="both"/>
        <w:ind w:left="200"/>
        <w:spacing w:after="0" w:line="250" w:lineRule="auto"/>
        <w:rPr>
          <w:sz w:val="20"/>
          <w:szCs w:val="20"/>
          <w:color w:val="auto"/>
        </w:rPr>
      </w:pPr>
      <w:r>
        <w:rPr>
          <w:rFonts w:ascii="Arial" w:cs="Arial" w:eastAsia="Arial" w:hAnsi="Arial"/>
          <w:sz w:val="16"/>
          <w:szCs w:val="16"/>
          <w:color w:val="auto"/>
        </w:rPr>
        <w:t>The following is a summary of the principal United States federal income tax consequences to the Company and to participants subject to United States taxation with respect to awards granted under the 2019 Plan, based on statutes, regulations and interpretations in effect as of the date of this Proxy Statement.</w:t>
      </w:r>
    </w:p>
    <w:p>
      <w:pPr>
        <w:spacing w:after="0" w:line="173" w:lineRule="exact"/>
        <w:rPr>
          <w:sz w:val="20"/>
          <w:szCs w:val="20"/>
          <w:color w:val="auto"/>
        </w:rPr>
      </w:pPr>
    </w:p>
    <w:p>
      <w:pPr>
        <w:ind w:left="200"/>
        <w:spacing w:after="0"/>
        <w:rPr>
          <w:sz w:val="20"/>
          <w:szCs w:val="20"/>
          <w:color w:val="auto"/>
        </w:rPr>
      </w:pPr>
      <w:r>
        <w:rPr>
          <w:rFonts w:ascii="Arial" w:cs="Arial" w:eastAsia="Arial" w:hAnsi="Arial"/>
          <w:sz w:val="18"/>
          <w:szCs w:val="18"/>
          <w:color w:val="828282"/>
        </w:rPr>
        <w:t>Non-qualified Stock Options</w:t>
      </w:r>
    </w:p>
    <w:p>
      <w:pPr>
        <w:spacing w:after="0" w:line="201" w:lineRule="exact"/>
        <w:rPr>
          <w:sz w:val="20"/>
          <w:szCs w:val="20"/>
          <w:color w:val="auto"/>
        </w:rPr>
      </w:pPr>
    </w:p>
    <w:p>
      <w:pPr>
        <w:jc w:val="both"/>
        <w:ind w:left="200"/>
        <w:spacing w:after="0" w:line="247" w:lineRule="auto"/>
        <w:rPr>
          <w:sz w:val="20"/>
          <w:szCs w:val="20"/>
          <w:color w:val="auto"/>
        </w:rPr>
      </w:pPr>
      <w:r>
        <w:rPr>
          <w:rFonts w:ascii="Arial" w:cs="Arial" w:eastAsia="Arial" w:hAnsi="Arial"/>
          <w:sz w:val="16"/>
          <w:szCs w:val="16"/>
          <w:color w:val="auto"/>
        </w:rPr>
        <w:t>If a participant is granted a non-qualified stock option under the 2019 Plan, the participant will not recognize taxable income upon the grant of the option. Generally, the participant will recognize ordinary income at the time of exercise in an amount equal to the difference between the fair market value of the shares acquired at the time of exercise and the exercise price paid. The participant’s basis in the Common Stock for purposes of determining gain or loss on a subsequent sale or disposition of such shares generally will be the fair market value of our Common Stock on the date the option was exercised. Any subsequent gain or loss will be taxable as a capital gain or loss. The Company will generally be entitled to a federal income tax deduction at the time and for the same amount as the participant recognizes as ordinary income.</w:t>
      </w:r>
    </w:p>
    <w:p>
      <w:pPr>
        <w:spacing w:after="0" w:line="183" w:lineRule="exact"/>
        <w:rPr>
          <w:sz w:val="20"/>
          <w:szCs w:val="20"/>
          <w:color w:val="auto"/>
        </w:rPr>
      </w:pPr>
    </w:p>
    <w:p>
      <w:pPr>
        <w:ind w:left="200"/>
        <w:spacing w:after="0"/>
        <w:rPr>
          <w:sz w:val="20"/>
          <w:szCs w:val="20"/>
          <w:color w:val="auto"/>
        </w:rPr>
      </w:pPr>
      <w:r>
        <w:rPr>
          <w:rFonts w:ascii="Arial" w:cs="Arial" w:eastAsia="Arial" w:hAnsi="Arial"/>
          <w:sz w:val="18"/>
          <w:szCs w:val="18"/>
          <w:color w:val="828282"/>
        </w:rPr>
        <w:t>Incentive Stock Options</w:t>
      </w:r>
    </w:p>
    <w:p>
      <w:pPr>
        <w:spacing w:after="0" w:line="201" w:lineRule="exact"/>
        <w:rPr>
          <w:sz w:val="20"/>
          <w:szCs w:val="20"/>
          <w:color w:val="auto"/>
        </w:rPr>
      </w:pPr>
    </w:p>
    <w:p>
      <w:pPr>
        <w:jc w:val="both"/>
        <w:ind w:left="200"/>
        <w:spacing w:after="0" w:line="247" w:lineRule="auto"/>
        <w:rPr>
          <w:sz w:val="20"/>
          <w:szCs w:val="20"/>
          <w:color w:val="auto"/>
        </w:rPr>
      </w:pPr>
      <w:r>
        <w:rPr>
          <w:rFonts w:ascii="Arial" w:cs="Arial" w:eastAsia="Arial" w:hAnsi="Arial"/>
          <w:sz w:val="16"/>
          <w:szCs w:val="16"/>
          <w:color w:val="auto"/>
        </w:rPr>
        <w:t>If a participant is granted an incentive stock option under the 2019 Plan, the participant will not recognize taxable income upon grant of the option. Generally, the participant will not recognize taxable income at the time of exercise. However, the excess of the fair market value of the shares acquired at the time of exercise over the aggregate exercise price is an item of tax preference income potentially subject to the alternative minimum tax. If shares acquired upon exercise of an incentive stock option satisfy applicable holding period requirements (a minimum of two years from the date of grant and one year from the date of exercise), the gain or loss (in an amount equal to the difference between the fair market value on the date of sale and the exercise price) upon disposition of the shares will be treated as a long-term capital gain or loss, and the Company will not be entitled to any deduction. Except in the event of death, if the holding period requirements are not met, the incentive stock option will be treated as one that does not meet the requirements of the Code for incentive stock options and the tax consequences described for nonqualified stock options will generally apply.</w:t>
      </w: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Arial" w:cs="Arial" w:eastAsia="Arial" w:hAnsi="Arial"/>
          <w:sz w:val="16"/>
          <w:szCs w:val="16"/>
          <w:color w:val="auto"/>
        </w:rPr>
        <w:t>43</w:t>
      </w:r>
    </w:p>
    <w:p>
      <w:pPr>
        <w:sectPr>
          <w:pgSz w:w="11900" w:h="16838" w:orient="portrait"/>
          <w:cols w:equalWidth="0" w:num="2">
            <w:col w:w="5600" w:space="20"/>
            <w:col w:w="5800"/>
          </w:cols>
          <w:pgMar w:left="240" w:top="304" w:right="239" w:bottom="1440" w:gutter="0" w:footer="0" w:header="0"/>
          <w:type w:val="continuous"/>
        </w:sectPr>
      </w:pPr>
    </w:p>
    <w:bookmarkStart w:id="47" w:name="page48"/>
    <w:bookmarkEnd w:id="47"/>
    <w:p>
      <w:pPr>
        <w:ind w:left="40"/>
        <w:spacing w:after="0"/>
        <w:rPr>
          <w:rFonts w:ascii="Arial" w:cs="Arial" w:eastAsia="Arial" w:hAnsi="Arial"/>
          <w:sz w:val="15"/>
          <w:szCs w:val="15"/>
          <w:u w:val="single" w:color="auto"/>
          <w:color w:val="0000EE"/>
        </w:rPr>
      </w:pPr>
      <w:r>
        <w:rPr>
          <w:rFonts w:ascii="Arial" w:cs="Arial" w:eastAsia="Arial" w:hAnsi="Arial"/>
          <w:sz w:val="15"/>
          <w:szCs w:val="15"/>
          <w:u w:val="single" w:color="auto"/>
          <w:color w:val="0000EE"/>
        </w:rPr>
        <w:drawing>
          <wp:anchor simplePos="0" relativeHeight="251657728" behindDoc="1" locked="0" layoutInCell="0" allowOverlap="1">
            <wp:simplePos x="0" y="0"/>
            <wp:positionH relativeFrom="page">
              <wp:posOffset>5946140</wp:posOffset>
            </wp:positionH>
            <wp:positionV relativeFrom="page">
              <wp:posOffset>191770</wp:posOffset>
            </wp:positionV>
            <wp:extent cx="1440815" cy="20574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clrChange>
                        <a:clrFrom>
                          <a:srgbClr val="FFFFFF"/>
                        </a:clrFrom>
                        <a:clrTo>
                          <a:srgbClr val="FFFFFF">
                            <a:alpha val="0"/>
                          </a:srgbClr>
                        </a:clrTo>
                      </a:clrChange>
                      <a:extLst>
                        <a:ext uri="{28A0092B-C50C-407E-A947-70E740481C1C}"/>
                      </a:extLst>
                    </a:blip>
                    <a:srcRect/>
                    <a:stretch>
                      <a:fillRect/>
                    </a:stretch>
                  </pic:blipFill>
                  <pic:spPr bwMode="auto">
                    <a:xfrm>
                      <a:off x="0" y="0"/>
                      <a:ext cx="1440815" cy="205740"/>
                    </a:xfrm>
                    <a:prstGeom prst="rect">
                      <a:avLst/>
                    </a:prstGeom>
                    <a:noFill/>
                  </pic:spPr>
                </pic:pic>
              </a:graphicData>
            </a:graphic>
          </wp:anchor>
        </w:drawing>
      </w:r>
      <w:hyperlink w:anchor="page4">
        <w:r>
          <w:rPr>
            <w:rFonts w:ascii="Arial" w:cs="Arial" w:eastAsia="Arial" w:hAnsi="Arial"/>
            <w:sz w:val="15"/>
            <w:szCs w:val="15"/>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112395</wp:posOffset>
            </wp:positionV>
            <wp:extent cx="7246620" cy="889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304" w:right="239" w:bottom="1440" w:gutter="0" w:footer="0" w:header="0"/>
        </w:sectPr>
      </w:pPr>
    </w:p>
    <w:p>
      <w:pPr>
        <w:spacing w:after="0" w:line="200" w:lineRule="exact"/>
        <w:rPr>
          <w:sz w:val="20"/>
          <w:szCs w:val="20"/>
          <w:color w:val="auto"/>
        </w:rPr>
      </w:pPr>
    </w:p>
    <w:p>
      <w:pPr>
        <w:spacing w:after="0" w:line="233" w:lineRule="exact"/>
        <w:rPr>
          <w:sz w:val="20"/>
          <w:szCs w:val="20"/>
          <w:color w:val="auto"/>
        </w:rPr>
      </w:pPr>
    </w:p>
    <w:p>
      <w:pPr>
        <w:spacing w:after="0"/>
        <w:rPr>
          <w:sz w:val="20"/>
          <w:szCs w:val="20"/>
          <w:color w:val="auto"/>
        </w:rPr>
      </w:pPr>
      <w:r>
        <w:rPr>
          <w:rFonts w:ascii="Arial" w:cs="Arial" w:eastAsia="Arial" w:hAnsi="Arial"/>
          <w:sz w:val="18"/>
          <w:szCs w:val="18"/>
          <w:color w:val="828282"/>
        </w:rPr>
        <w:t>Other Awards</w:t>
      </w:r>
    </w:p>
    <w:p>
      <w:pPr>
        <w:spacing w:after="0" w:line="201" w:lineRule="exact"/>
        <w:rPr>
          <w:sz w:val="20"/>
          <w:szCs w:val="20"/>
          <w:color w:val="auto"/>
        </w:rPr>
      </w:pPr>
    </w:p>
    <w:p>
      <w:pPr>
        <w:jc w:val="both"/>
        <w:spacing w:after="0" w:line="247" w:lineRule="auto"/>
        <w:rPr>
          <w:sz w:val="20"/>
          <w:szCs w:val="20"/>
          <w:color w:val="auto"/>
        </w:rPr>
      </w:pPr>
      <w:r>
        <w:rPr>
          <w:rFonts w:ascii="Arial" w:cs="Arial" w:eastAsia="Arial" w:hAnsi="Arial"/>
          <w:sz w:val="16"/>
          <w:szCs w:val="16"/>
          <w:color w:val="auto"/>
        </w:rPr>
        <w:t>The current federal income tax consequences of other awards authorized under the 2019 Plan generally follow certain basic patterns. An award of restricted stock results in income recognition by a participant in an amount equal to the fair market value of the shares received at the time the restrictions lapse and the shares vest, unless the participant elects under Code Section 83(b) to accelerate income recognition and the taxability of the award to the date of grant. Stock unit awards generally result in income recognition by a participant at the time payment of such an award is made in an amount equal to the amount paid in cash or the then-current fair market value of the shares received, as applicable. SAR awards result in income recognition by a participant at the time such an award is exercised in an amount equal to the amount of cash or the then-current fair market value of the shares received by the participant, as applicable. In each of the foregoing cases, the Company will generally have a corresponding deduction at the time the participant recognizes ordinary income, subject to Code Section 162(m) with respect to covered employees.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15" w:lineRule="exact"/>
        <w:rPr>
          <w:sz w:val="20"/>
          <w:szCs w:val="20"/>
          <w:color w:val="auto"/>
        </w:rPr>
      </w:pPr>
    </w:p>
    <w:p>
      <w:pPr>
        <w:jc w:val="both"/>
        <w:spacing w:after="0" w:line="251" w:lineRule="auto"/>
        <w:rPr>
          <w:sz w:val="20"/>
          <w:szCs w:val="20"/>
          <w:color w:val="auto"/>
        </w:rPr>
      </w:pPr>
      <w:r>
        <w:rPr>
          <w:rFonts w:ascii="Arial" w:cs="Arial" w:eastAsia="Arial" w:hAnsi="Arial"/>
          <w:sz w:val="16"/>
          <w:szCs w:val="16"/>
          <w:color w:val="auto"/>
        </w:rPr>
        <w:t>person who was considered a covered employee in a previous taxable year (but not earlier than 2017). Any awards the Company grants pursuant to the 2019 Plan to covered employees, whether performance-based or otherwise, will be subject to the $1 million annual deduction limitation.</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color w:val="828282"/>
        </w:rPr>
        <w:t>Section 409A of the Code</w:t>
      </w:r>
    </w:p>
    <w:p>
      <w:pPr>
        <w:spacing w:after="0" w:line="201"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auto"/>
        </w:rPr>
        <w:t>The foregoing discussion of tax consequences of awards under the 2019 Plan assumes that the award discussed is either not considered a “deferred compensation arrangement” subject to Section 409A of the Code, or has been structured to comply with its requirements. If an award is considered a deferred compensation arrangement subject to Section 409A but fails to comply, in operation or form, with the requirements of Section 409A, the affected participant would generally be required to include in income when the award vests the amount deemed “deferred,” would be required to pay an additional 20 percent income tax on such amount, and would be required to pay interest on the tax that would have been paid but for the deferral.</w:t>
      </w:r>
    </w:p>
    <w:p>
      <w:pPr>
        <w:spacing w:after="0" w:line="184" w:lineRule="exact"/>
        <w:rPr>
          <w:sz w:val="20"/>
          <w:szCs w:val="20"/>
          <w:color w:val="auto"/>
        </w:rPr>
      </w:pPr>
    </w:p>
    <w:p>
      <w:pPr>
        <w:sectPr>
          <w:pgSz w:w="11900" w:h="16838" w:orient="portrait"/>
          <w:cols w:equalWidth="0" w:num="2">
            <w:col w:w="5600" w:space="220"/>
            <w:col w:w="5600"/>
          </w:cols>
          <w:pgMar w:left="240" w:top="304" w:right="239" w:bottom="1440" w:gutter="0" w:footer="0" w:header="0"/>
          <w:type w:val="continuous"/>
        </w:sectPr>
      </w:pP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828282"/>
        </w:rPr>
        <w:t>Section 162(m) of the Code</w:t>
      </w:r>
    </w:p>
    <w:p>
      <w:pPr>
        <w:spacing w:after="0" w:line="201" w:lineRule="exact"/>
        <w:rPr>
          <w:sz w:val="20"/>
          <w:szCs w:val="20"/>
          <w:color w:val="auto"/>
        </w:rPr>
      </w:pPr>
    </w:p>
    <w:p>
      <w:pPr>
        <w:jc w:val="both"/>
        <w:spacing w:after="0" w:line="247" w:lineRule="auto"/>
        <w:rPr>
          <w:sz w:val="20"/>
          <w:szCs w:val="20"/>
          <w:color w:val="auto"/>
        </w:rPr>
      </w:pPr>
      <w:r>
        <w:rPr>
          <w:rFonts w:ascii="Arial" w:cs="Arial" w:eastAsia="Arial" w:hAnsi="Arial"/>
          <w:sz w:val="16"/>
          <w:szCs w:val="16"/>
          <w:color w:val="auto"/>
        </w:rPr>
        <w:t>Code Section 162(m) as in effect prior to the enactment of the Tax Cuts Act limited to $1 million the amount of annual compensation paid to each “covered employee” (as then defined, the CEO and the three other highest paid executive officers employed at the end of the year other than the CFO) that a public company would be permitted to deduct, unless the compensation qualified as performance-based for purposes of Section 162(m). The Tax Cuts Act retained the $1 million deduction limit, but repealed the performance-based compensation exemption and expanded the definition of “covered employees” effective for taxable years beginning after December 31, 2017. “Covered employees” as now defined includes any person who served as CEO or CFO of the Company at any time during a calendar year, the three other most highly compensated executive officers of the Company as of the end of that calendar year, and any other</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22"/>
          <w:szCs w:val="22"/>
          <w:color w:val="828282"/>
        </w:rPr>
        <w:t>Awards Under the 2019 Plan</w:t>
      </w:r>
    </w:p>
    <w:p>
      <w:pPr>
        <w:spacing w:after="0" w:line="188" w:lineRule="exact"/>
        <w:rPr>
          <w:sz w:val="20"/>
          <w:szCs w:val="20"/>
          <w:color w:val="auto"/>
        </w:rPr>
      </w:pPr>
    </w:p>
    <w:p>
      <w:pPr>
        <w:jc w:val="both"/>
        <w:ind w:firstLine="648"/>
        <w:spacing w:after="0" w:line="248" w:lineRule="auto"/>
        <w:rPr>
          <w:sz w:val="20"/>
          <w:szCs w:val="20"/>
          <w:color w:val="auto"/>
        </w:rPr>
      </w:pPr>
      <w:r>
        <w:rPr>
          <w:rFonts w:ascii="Arial" w:cs="Arial" w:eastAsia="Arial" w:hAnsi="Arial"/>
          <w:sz w:val="16"/>
          <w:szCs w:val="16"/>
          <w:color w:val="auto"/>
        </w:rPr>
        <w:t>Because the 2019 Plan will not become effective until it is approved by our shareholders, the Committee has not yet approved any awards under, or subject to, the 2019 Plan. Since all awards under the 2019 Plan are made in the discretion of the Committee, neither the number nor types of future 2019 Plan awards to be received by or allocated to particular participants or groups of participants is presently determinable. Information regarding awards made under the 2014 Plan during Fiscal 2018 to our NEOs is provided under the caption “Grants of Plan-Based Awards Table” on page 29 of this Proxy Statement and to our nonemployee directors under the caption “Director Compensation” on page 9 of this Proxy Statement.</w:t>
      </w:r>
    </w:p>
    <w:p>
      <w:pPr>
        <w:spacing w:after="0" w:line="908" w:lineRule="exact"/>
        <w:rPr>
          <w:sz w:val="20"/>
          <w:szCs w:val="20"/>
          <w:color w:val="auto"/>
        </w:rPr>
      </w:pPr>
    </w:p>
    <w:p>
      <w:pPr>
        <w:sectPr>
          <w:pgSz w:w="11900" w:h="16838" w:orient="portrait"/>
          <w:cols w:equalWidth="0" w:num="2">
            <w:col w:w="5600" w:space="220"/>
            <w:col w:w="5600"/>
          </w:cols>
          <w:pgMar w:left="240" w:top="304" w:right="239" w:bottom="1440" w:gutter="0" w:footer="0" w:header="0"/>
          <w:type w:val="continuous"/>
        </w:sectPr>
      </w:pPr>
    </w:p>
    <w:p>
      <w:pPr>
        <w:spacing w:after="0" w:line="10" w:lineRule="exact"/>
        <w:rPr>
          <w:sz w:val="20"/>
          <w:szCs w:val="20"/>
          <w:color w:val="auto"/>
        </w:rPr>
      </w:pPr>
    </w:p>
    <w:p>
      <w:pPr>
        <w:spacing w:after="0"/>
        <w:rPr>
          <w:sz w:val="20"/>
          <w:szCs w:val="20"/>
          <w:color w:val="auto"/>
        </w:rPr>
      </w:pPr>
      <w:r>
        <w:rPr>
          <w:rFonts w:ascii="Arial" w:cs="Arial" w:eastAsia="Arial" w:hAnsi="Arial"/>
          <w:sz w:val="18"/>
          <w:szCs w:val="18"/>
          <w:color w:val="828282"/>
        </w:rPr>
        <w:t>Equity Compensation Plan Information</w:t>
      </w:r>
    </w:p>
    <w:p>
      <w:pPr>
        <w:spacing w:after="0" w:line="268" w:lineRule="exact"/>
        <w:rPr>
          <w:sz w:val="20"/>
          <w:szCs w:val="20"/>
          <w:color w:val="auto"/>
        </w:rPr>
      </w:pPr>
    </w:p>
    <w:p>
      <w:pPr>
        <w:spacing w:after="0" w:line="260" w:lineRule="auto"/>
        <w:rPr>
          <w:sz w:val="20"/>
          <w:szCs w:val="20"/>
          <w:color w:val="auto"/>
        </w:rPr>
      </w:pPr>
      <w:r>
        <w:rPr>
          <w:rFonts w:ascii="Arial" w:cs="Arial" w:eastAsia="Arial" w:hAnsi="Arial"/>
          <w:sz w:val="16"/>
          <w:szCs w:val="16"/>
          <w:color w:val="auto"/>
        </w:rPr>
        <w:t>The table below provides information as of August 25, 2018 with respect to shares of our Common Stock that may be issued under our existing equity compensation plans.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2037715</wp:posOffset>
            </wp:positionH>
            <wp:positionV relativeFrom="paragraph">
              <wp:posOffset>71755</wp:posOffset>
            </wp:positionV>
            <wp:extent cx="5213985" cy="18034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5213985" cy="180340"/>
                    </a:xfrm>
                    <a:prstGeom prst="rect">
                      <a:avLst/>
                    </a:prstGeom>
                    <a:noFill/>
                  </pic:spPr>
                </pic:pic>
              </a:graphicData>
            </a:graphic>
          </wp:anchor>
        </w:drawing>
      </w:r>
    </w:p>
    <w:p>
      <w:pPr>
        <w:spacing w:after="0" w:line="93" w:lineRule="exact"/>
        <w:rPr>
          <w:sz w:val="20"/>
          <w:szCs w:val="20"/>
          <w:color w:val="auto"/>
        </w:rPr>
      </w:pPr>
    </w:p>
    <w:tbl>
      <w:tblPr>
        <w:tblLayout w:type="fixed"/>
        <w:tblInd w:w="0" w:type="dxa"/>
        <w:tblCellMar>
          <w:top w:w="0" w:type="dxa"/>
          <w:left w:w="0" w:type="dxa"/>
          <w:bottom w:w="0" w:type="dxa"/>
          <w:right w:w="0" w:type="dxa"/>
        </w:tblCellMar>
      </w:tblPr>
      <w:tr>
        <w:trPr>
          <w:trHeight w:val="251"/>
        </w:trPr>
        <w:tc>
          <w:tcPr>
            <w:tcW w:w="3200" w:type="dxa"/>
            <w:vAlign w:val="bottom"/>
            <w:shd w:val="clear" w:color="auto" w:fill="BF2115"/>
          </w:tcPr>
          <w:p>
            <w:pPr>
              <w:spacing w:after="0"/>
              <w:rPr>
                <w:sz w:val="21"/>
                <w:szCs w:val="21"/>
                <w:color w:val="auto"/>
              </w:rPr>
            </w:pPr>
          </w:p>
        </w:tc>
        <w:tc>
          <w:tcPr>
            <w:tcW w:w="2720" w:type="dxa"/>
            <w:vAlign w:val="bottom"/>
            <w:shd w:val="clear" w:color="auto" w:fill="BF2115"/>
          </w:tcPr>
          <w:p>
            <w:pPr>
              <w:jc w:val="center"/>
              <w:spacing w:after="0"/>
              <w:rPr>
                <w:sz w:val="20"/>
                <w:szCs w:val="20"/>
                <w:color w:val="auto"/>
              </w:rPr>
            </w:pPr>
            <w:r>
              <w:rPr>
                <w:rFonts w:ascii="Arial" w:cs="Arial" w:eastAsia="Arial" w:hAnsi="Arial"/>
                <w:sz w:val="16"/>
                <w:szCs w:val="16"/>
                <w:color w:val="FFFFFF"/>
              </w:rPr>
              <w:t>(a)</w:t>
            </w:r>
          </w:p>
        </w:tc>
        <w:tc>
          <w:tcPr>
            <w:tcW w:w="2780" w:type="dxa"/>
            <w:vAlign w:val="bottom"/>
            <w:shd w:val="clear" w:color="auto" w:fill="BF2115"/>
          </w:tcPr>
          <w:p>
            <w:pPr>
              <w:jc w:val="center"/>
              <w:spacing w:after="0"/>
              <w:rPr>
                <w:sz w:val="20"/>
                <w:szCs w:val="20"/>
                <w:color w:val="auto"/>
              </w:rPr>
            </w:pPr>
            <w:r>
              <w:rPr>
                <w:rFonts w:ascii="Arial" w:cs="Arial" w:eastAsia="Arial" w:hAnsi="Arial"/>
                <w:sz w:val="16"/>
                <w:szCs w:val="16"/>
                <w:color w:val="FFFFFF"/>
              </w:rPr>
              <w:t>(b)</w:t>
            </w:r>
          </w:p>
        </w:tc>
        <w:tc>
          <w:tcPr>
            <w:tcW w:w="2720" w:type="dxa"/>
            <w:vAlign w:val="bottom"/>
            <w:shd w:val="clear" w:color="auto" w:fill="BF2115"/>
          </w:tcPr>
          <w:p>
            <w:pPr>
              <w:jc w:val="center"/>
              <w:spacing w:after="0"/>
              <w:rPr>
                <w:sz w:val="20"/>
                <w:szCs w:val="20"/>
                <w:color w:val="auto"/>
              </w:rPr>
            </w:pPr>
            <w:r>
              <w:rPr>
                <w:rFonts w:ascii="Arial" w:cs="Arial" w:eastAsia="Arial" w:hAnsi="Arial"/>
                <w:sz w:val="16"/>
                <w:szCs w:val="16"/>
                <w:color w:val="FFFFFF"/>
              </w:rPr>
              <w:t>(c)</w:t>
            </w:r>
          </w:p>
        </w:tc>
        <w:tc>
          <w:tcPr>
            <w:tcW w:w="0" w:type="dxa"/>
            <w:vAlign w:val="bottom"/>
          </w:tcPr>
          <w:p>
            <w:pPr>
              <w:spacing w:after="0"/>
              <w:rPr>
                <w:sz w:val="1"/>
                <w:szCs w:val="1"/>
                <w:color w:val="auto"/>
              </w:rPr>
            </w:pPr>
          </w:p>
        </w:tc>
      </w:tr>
      <w:tr>
        <w:trPr>
          <w:trHeight w:val="251"/>
        </w:trPr>
        <w:tc>
          <w:tcPr>
            <w:tcW w:w="3200" w:type="dxa"/>
            <w:vAlign w:val="bottom"/>
            <w:shd w:val="clear" w:color="auto" w:fill="BF2115"/>
          </w:tcPr>
          <w:p>
            <w:pPr>
              <w:spacing w:after="0"/>
              <w:rPr>
                <w:sz w:val="21"/>
                <w:szCs w:val="21"/>
                <w:color w:val="auto"/>
              </w:rPr>
            </w:pPr>
          </w:p>
        </w:tc>
        <w:tc>
          <w:tcPr>
            <w:tcW w:w="2720" w:type="dxa"/>
            <w:vAlign w:val="bottom"/>
            <w:shd w:val="clear" w:color="auto" w:fill="BF2115"/>
          </w:tcPr>
          <w:p>
            <w:pPr>
              <w:spacing w:after="0"/>
              <w:rPr>
                <w:sz w:val="21"/>
                <w:szCs w:val="21"/>
                <w:color w:val="auto"/>
              </w:rPr>
            </w:pPr>
          </w:p>
        </w:tc>
        <w:tc>
          <w:tcPr>
            <w:tcW w:w="2780" w:type="dxa"/>
            <w:vAlign w:val="bottom"/>
            <w:vMerge w:val="restart"/>
            <w:shd w:val="clear" w:color="auto" w:fill="BF2115"/>
          </w:tcPr>
          <w:p>
            <w:pPr>
              <w:jc w:val="center"/>
              <w:spacing w:after="0"/>
              <w:rPr>
                <w:sz w:val="20"/>
                <w:szCs w:val="20"/>
                <w:color w:val="auto"/>
              </w:rPr>
            </w:pPr>
            <w:r>
              <w:rPr>
                <w:rFonts w:ascii="Arial" w:cs="Arial" w:eastAsia="Arial" w:hAnsi="Arial"/>
                <w:sz w:val="16"/>
                <w:szCs w:val="16"/>
                <w:color w:val="FFFFFF"/>
              </w:rPr>
              <w:t>Weighted Average Exercise Price of</w:t>
            </w:r>
          </w:p>
        </w:tc>
        <w:tc>
          <w:tcPr>
            <w:tcW w:w="2720" w:type="dxa"/>
            <w:vAlign w:val="bottom"/>
            <w:shd w:val="clear" w:color="auto" w:fill="BF2115"/>
          </w:tcPr>
          <w:p>
            <w:pPr>
              <w:jc w:val="center"/>
              <w:spacing w:after="0"/>
              <w:rPr>
                <w:sz w:val="20"/>
                <w:szCs w:val="20"/>
                <w:color w:val="auto"/>
              </w:rPr>
            </w:pPr>
            <w:r>
              <w:rPr>
                <w:rFonts w:ascii="Arial" w:cs="Arial" w:eastAsia="Arial" w:hAnsi="Arial"/>
                <w:sz w:val="16"/>
                <w:szCs w:val="16"/>
                <w:color w:val="FFFFFF"/>
              </w:rPr>
              <w:t>Number of Securities Remaining</w:t>
            </w:r>
          </w:p>
        </w:tc>
        <w:tc>
          <w:tcPr>
            <w:tcW w:w="0" w:type="dxa"/>
            <w:vAlign w:val="bottom"/>
          </w:tcPr>
          <w:p>
            <w:pPr>
              <w:spacing w:after="0"/>
              <w:rPr>
                <w:sz w:val="1"/>
                <w:szCs w:val="1"/>
                <w:color w:val="auto"/>
              </w:rPr>
            </w:pPr>
          </w:p>
        </w:tc>
      </w:tr>
      <w:tr>
        <w:trPr>
          <w:trHeight w:val="147"/>
        </w:trPr>
        <w:tc>
          <w:tcPr>
            <w:tcW w:w="3200" w:type="dxa"/>
            <w:vAlign w:val="bottom"/>
            <w:shd w:val="clear" w:color="auto" w:fill="BF2115"/>
          </w:tcPr>
          <w:p>
            <w:pPr>
              <w:spacing w:after="0"/>
              <w:rPr>
                <w:sz w:val="12"/>
                <w:szCs w:val="12"/>
                <w:color w:val="auto"/>
              </w:rPr>
            </w:pPr>
          </w:p>
        </w:tc>
        <w:tc>
          <w:tcPr>
            <w:tcW w:w="2720" w:type="dxa"/>
            <w:vAlign w:val="bottom"/>
            <w:shd w:val="clear" w:color="auto" w:fill="BF2115"/>
          </w:tcPr>
          <w:p>
            <w:pPr>
              <w:jc w:val="center"/>
              <w:spacing w:after="0" w:line="147" w:lineRule="exact"/>
              <w:rPr>
                <w:sz w:val="20"/>
                <w:szCs w:val="20"/>
                <w:color w:val="auto"/>
              </w:rPr>
            </w:pPr>
            <w:r>
              <w:rPr>
                <w:rFonts w:ascii="Arial" w:cs="Arial" w:eastAsia="Arial" w:hAnsi="Arial"/>
                <w:sz w:val="16"/>
                <w:szCs w:val="16"/>
                <w:color w:val="FFFFFF"/>
              </w:rPr>
              <w:t>Number of Securities to be Issued</w:t>
            </w:r>
          </w:p>
        </w:tc>
        <w:tc>
          <w:tcPr>
            <w:tcW w:w="2780" w:type="dxa"/>
            <w:vAlign w:val="bottom"/>
            <w:vMerge w:val="continue"/>
            <w:shd w:val="clear" w:color="auto" w:fill="BF2115"/>
          </w:tcPr>
          <w:p>
            <w:pPr>
              <w:spacing w:after="0"/>
              <w:rPr>
                <w:sz w:val="12"/>
                <w:szCs w:val="12"/>
                <w:color w:val="auto"/>
              </w:rPr>
            </w:pPr>
          </w:p>
        </w:tc>
        <w:tc>
          <w:tcPr>
            <w:tcW w:w="2720" w:type="dxa"/>
            <w:vAlign w:val="bottom"/>
            <w:shd w:val="clear" w:color="auto" w:fill="BF2115"/>
          </w:tcPr>
          <w:p>
            <w:pPr>
              <w:jc w:val="center"/>
              <w:spacing w:after="0" w:line="147" w:lineRule="exact"/>
              <w:rPr>
                <w:sz w:val="20"/>
                <w:szCs w:val="20"/>
                <w:color w:val="auto"/>
              </w:rPr>
            </w:pPr>
            <w:r>
              <w:rPr>
                <w:rFonts w:ascii="Arial" w:cs="Arial" w:eastAsia="Arial" w:hAnsi="Arial"/>
                <w:sz w:val="16"/>
                <w:szCs w:val="16"/>
                <w:color w:val="FFFFFF"/>
              </w:rPr>
              <w:t>Available for Future Issuance Under</w:t>
            </w:r>
          </w:p>
        </w:tc>
        <w:tc>
          <w:tcPr>
            <w:tcW w:w="0" w:type="dxa"/>
            <w:vAlign w:val="bottom"/>
          </w:tcPr>
          <w:p>
            <w:pPr>
              <w:spacing w:after="0"/>
              <w:rPr>
                <w:sz w:val="1"/>
                <w:szCs w:val="1"/>
                <w:color w:val="auto"/>
              </w:rPr>
            </w:pPr>
          </w:p>
        </w:tc>
      </w:tr>
      <w:tr>
        <w:trPr>
          <w:trHeight w:val="132"/>
        </w:trPr>
        <w:tc>
          <w:tcPr>
            <w:tcW w:w="3200" w:type="dxa"/>
            <w:vAlign w:val="bottom"/>
            <w:vMerge w:val="restart"/>
            <w:shd w:val="clear" w:color="auto" w:fill="BF2115"/>
          </w:tcPr>
          <w:p>
            <w:pPr>
              <w:ind w:left="1100"/>
              <w:spacing w:after="0"/>
              <w:rPr>
                <w:sz w:val="20"/>
                <w:szCs w:val="20"/>
                <w:color w:val="auto"/>
              </w:rPr>
            </w:pPr>
            <w:r>
              <w:rPr>
                <w:rFonts w:ascii="Arial" w:cs="Arial" w:eastAsia="Arial" w:hAnsi="Arial"/>
                <w:sz w:val="16"/>
                <w:szCs w:val="16"/>
                <w:color w:val="FFFFFF"/>
              </w:rPr>
              <w:t>Plan Category</w:t>
            </w:r>
          </w:p>
        </w:tc>
        <w:tc>
          <w:tcPr>
            <w:tcW w:w="2720" w:type="dxa"/>
            <w:vAlign w:val="bottom"/>
            <w:vMerge w:val="restart"/>
            <w:shd w:val="clear" w:color="auto" w:fill="BF2115"/>
          </w:tcPr>
          <w:p>
            <w:pPr>
              <w:jc w:val="center"/>
              <w:spacing w:after="0"/>
              <w:rPr>
                <w:sz w:val="20"/>
                <w:szCs w:val="20"/>
                <w:color w:val="auto"/>
              </w:rPr>
            </w:pPr>
            <w:r>
              <w:rPr>
                <w:rFonts w:ascii="Arial" w:cs="Arial" w:eastAsia="Arial" w:hAnsi="Arial"/>
                <w:sz w:val="16"/>
                <w:szCs w:val="16"/>
                <w:color w:val="FFFFFF"/>
              </w:rPr>
              <w:t>Upon Exercise of Outstanding</w:t>
            </w:r>
          </w:p>
        </w:tc>
        <w:tc>
          <w:tcPr>
            <w:tcW w:w="2780" w:type="dxa"/>
            <w:vAlign w:val="bottom"/>
            <w:shd w:val="clear" w:color="auto" w:fill="BF2115"/>
          </w:tcPr>
          <w:p>
            <w:pPr>
              <w:jc w:val="center"/>
              <w:spacing w:after="0" w:line="132" w:lineRule="exact"/>
              <w:rPr>
                <w:sz w:val="20"/>
                <w:szCs w:val="20"/>
                <w:color w:val="auto"/>
              </w:rPr>
            </w:pPr>
            <w:r>
              <w:rPr>
                <w:rFonts w:ascii="Arial" w:cs="Arial" w:eastAsia="Arial" w:hAnsi="Arial"/>
                <w:sz w:val="15"/>
                <w:szCs w:val="15"/>
                <w:color w:val="FFFFFF"/>
              </w:rPr>
              <w:t>Outstanding Options, Warrants and</w:t>
            </w:r>
          </w:p>
        </w:tc>
        <w:tc>
          <w:tcPr>
            <w:tcW w:w="2720" w:type="dxa"/>
            <w:vAlign w:val="bottom"/>
            <w:vMerge w:val="restart"/>
            <w:shd w:val="clear" w:color="auto" w:fill="BF2115"/>
          </w:tcPr>
          <w:p>
            <w:pPr>
              <w:jc w:val="center"/>
              <w:spacing w:after="0"/>
              <w:rPr>
                <w:sz w:val="20"/>
                <w:szCs w:val="20"/>
                <w:color w:val="auto"/>
              </w:rPr>
            </w:pPr>
            <w:r>
              <w:rPr>
                <w:rFonts w:ascii="Arial" w:cs="Arial" w:eastAsia="Arial" w:hAnsi="Arial"/>
                <w:sz w:val="16"/>
                <w:szCs w:val="16"/>
                <w:color w:val="FFFFFF"/>
              </w:rPr>
              <w:t>Equity Compensation Plans</w:t>
            </w:r>
          </w:p>
        </w:tc>
        <w:tc>
          <w:tcPr>
            <w:tcW w:w="0" w:type="dxa"/>
            <w:vAlign w:val="bottom"/>
          </w:tcPr>
          <w:p>
            <w:pPr>
              <w:spacing w:after="0"/>
              <w:rPr>
                <w:sz w:val="1"/>
                <w:szCs w:val="1"/>
                <w:color w:val="auto"/>
              </w:rPr>
            </w:pPr>
          </w:p>
        </w:tc>
      </w:tr>
      <w:tr>
        <w:trPr>
          <w:trHeight w:val="100"/>
        </w:trPr>
        <w:tc>
          <w:tcPr>
            <w:tcW w:w="3200" w:type="dxa"/>
            <w:vAlign w:val="bottom"/>
            <w:vMerge w:val="continue"/>
            <w:shd w:val="clear" w:color="auto" w:fill="BF2115"/>
          </w:tcPr>
          <w:p>
            <w:pPr>
              <w:spacing w:after="0"/>
              <w:rPr>
                <w:sz w:val="8"/>
                <w:szCs w:val="8"/>
                <w:color w:val="auto"/>
              </w:rPr>
            </w:pPr>
          </w:p>
        </w:tc>
        <w:tc>
          <w:tcPr>
            <w:tcW w:w="2720" w:type="dxa"/>
            <w:vAlign w:val="bottom"/>
            <w:vMerge w:val="continue"/>
            <w:shd w:val="clear" w:color="auto" w:fill="BF2115"/>
          </w:tcPr>
          <w:p>
            <w:pPr>
              <w:spacing w:after="0"/>
              <w:rPr>
                <w:sz w:val="8"/>
                <w:szCs w:val="8"/>
                <w:color w:val="auto"/>
              </w:rPr>
            </w:pPr>
          </w:p>
        </w:tc>
        <w:tc>
          <w:tcPr>
            <w:tcW w:w="2780" w:type="dxa"/>
            <w:vAlign w:val="bottom"/>
            <w:vMerge w:val="restart"/>
            <w:shd w:val="clear" w:color="auto" w:fill="BF2115"/>
          </w:tcPr>
          <w:p>
            <w:pPr>
              <w:jc w:val="center"/>
              <w:spacing w:after="0" w:line="195" w:lineRule="exact"/>
              <w:rPr>
                <w:sz w:val="20"/>
                <w:szCs w:val="20"/>
                <w:color w:val="auto"/>
              </w:rPr>
            </w:pPr>
            <w:r>
              <w:rPr>
                <w:rFonts w:ascii="Arial" w:cs="Arial" w:eastAsia="Arial" w:hAnsi="Arial"/>
                <w:sz w:val="16"/>
                <w:szCs w:val="16"/>
                <w:color w:val="FFFFFF"/>
                <w:w w:val="96"/>
              </w:rPr>
              <w:t>Rights</w:t>
            </w:r>
            <w:r>
              <w:rPr>
                <w:rFonts w:ascii="Arial" w:cs="Arial" w:eastAsia="Arial" w:hAnsi="Arial"/>
                <w:sz w:val="21"/>
                <w:szCs w:val="21"/>
                <w:color w:val="FFFFFF"/>
                <w:w w:val="96"/>
                <w:vertAlign w:val="superscript"/>
              </w:rPr>
              <w:t>(1</w:t>
            </w:r>
          </w:p>
        </w:tc>
        <w:tc>
          <w:tcPr>
            <w:tcW w:w="2720" w:type="dxa"/>
            <w:vAlign w:val="bottom"/>
            <w:vMerge w:val="continue"/>
            <w:shd w:val="clear" w:color="auto" w:fill="BF2115"/>
          </w:tcPr>
          <w:p>
            <w:pPr>
              <w:spacing w:after="0"/>
              <w:rPr>
                <w:sz w:val="8"/>
                <w:szCs w:val="8"/>
                <w:color w:val="auto"/>
              </w:rPr>
            </w:pPr>
          </w:p>
        </w:tc>
        <w:tc>
          <w:tcPr>
            <w:tcW w:w="0" w:type="dxa"/>
            <w:vAlign w:val="bottom"/>
          </w:tcPr>
          <w:p>
            <w:pPr>
              <w:spacing w:after="0"/>
              <w:rPr>
                <w:sz w:val="1"/>
                <w:szCs w:val="1"/>
                <w:color w:val="auto"/>
              </w:rPr>
            </w:pPr>
          </w:p>
        </w:tc>
      </w:tr>
      <w:tr>
        <w:trPr>
          <w:trHeight w:val="95"/>
        </w:trPr>
        <w:tc>
          <w:tcPr>
            <w:tcW w:w="3200" w:type="dxa"/>
            <w:vAlign w:val="bottom"/>
            <w:shd w:val="clear" w:color="auto" w:fill="BF2115"/>
          </w:tcPr>
          <w:p>
            <w:pPr>
              <w:spacing w:after="0"/>
              <w:rPr>
                <w:sz w:val="8"/>
                <w:szCs w:val="8"/>
                <w:color w:val="auto"/>
              </w:rPr>
            </w:pPr>
          </w:p>
        </w:tc>
        <w:tc>
          <w:tcPr>
            <w:tcW w:w="2720" w:type="dxa"/>
            <w:vAlign w:val="bottom"/>
            <w:vMerge w:val="restart"/>
            <w:shd w:val="clear" w:color="auto" w:fill="BF2115"/>
          </w:tcPr>
          <w:p>
            <w:pPr>
              <w:jc w:val="center"/>
              <w:spacing w:after="0"/>
              <w:rPr>
                <w:sz w:val="20"/>
                <w:szCs w:val="20"/>
                <w:color w:val="auto"/>
              </w:rPr>
            </w:pPr>
            <w:r>
              <w:rPr>
                <w:rFonts w:ascii="Arial" w:cs="Arial" w:eastAsia="Arial" w:hAnsi="Arial"/>
                <w:sz w:val="16"/>
                <w:szCs w:val="16"/>
                <w:color w:val="FFFFFF"/>
              </w:rPr>
              <w:t>Options, Warrants and Rights</w:t>
            </w:r>
          </w:p>
        </w:tc>
        <w:tc>
          <w:tcPr>
            <w:tcW w:w="2780" w:type="dxa"/>
            <w:vAlign w:val="bottom"/>
            <w:vMerge w:val="continue"/>
            <w:shd w:val="clear" w:color="auto" w:fill="BF2115"/>
          </w:tcPr>
          <w:p>
            <w:pPr>
              <w:spacing w:after="0"/>
              <w:rPr>
                <w:sz w:val="8"/>
                <w:szCs w:val="8"/>
                <w:color w:val="auto"/>
              </w:rPr>
            </w:pPr>
          </w:p>
        </w:tc>
        <w:tc>
          <w:tcPr>
            <w:tcW w:w="2720" w:type="dxa"/>
            <w:vAlign w:val="bottom"/>
            <w:vMerge w:val="restart"/>
            <w:shd w:val="clear" w:color="auto" w:fill="BF2115"/>
          </w:tcPr>
          <w:p>
            <w:pPr>
              <w:jc w:val="center"/>
              <w:spacing w:after="0"/>
              <w:rPr>
                <w:sz w:val="20"/>
                <w:szCs w:val="20"/>
                <w:color w:val="auto"/>
              </w:rPr>
            </w:pPr>
            <w:r>
              <w:rPr>
                <w:rFonts w:ascii="Arial" w:cs="Arial" w:eastAsia="Arial" w:hAnsi="Arial"/>
                <w:sz w:val="16"/>
                <w:szCs w:val="16"/>
                <w:color w:val="FFFFFF"/>
              </w:rPr>
              <w:t>(Excluding Securities Reflected in</w:t>
            </w:r>
          </w:p>
        </w:tc>
        <w:tc>
          <w:tcPr>
            <w:tcW w:w="0" w:type="dxa"/>
            <w:vAlign w:val="bottom"/>
          </w:tcPr>
          <w:p>
            <w:pPr>
              <w:spacing w:after="0"/>
              <w:rPr>
                <w:sz w:val="1"/>
                <w:szCs w:val="1"/>
                <w:color w:val="auto"/>
              </w:rPr>
            </w:pPr>
          </w:p>
        </w:tc>
      </w:tr>
      <w:tr>
        <w:trPr>
          <w:trHeight w:val="95"/>
        </w:trPr>
        <w:tc>
          <w:tcPr>
            <w:tcW w:w="3200" w:type="dxa"/>
            <w:vAlign w:val="bottom"/>
            <w:shd w:val="clear" w:color="auto" w:fill="BF2115"/>
          </w:tcPr>
          <w:p>
            <w:pPr>
              <w:spacing w:after="0"/>
              <w:rPr>
                <w:sz w:val="8"/>
                <w:szCs w:val="8"/>
                <w:color w:val="auto"/>
              </w:rPr>
            </w:pPr>
          </w:p>
        </w:tc>
        <w:tc>
          <w:tcPr>
            <w:tcW w:w="2720" w:type="dxa"/>
            <w:vAlign w:val="bottom"/>
            <w:vMerge w:val="continue"/>
            <w:shd w:val="clear" w:color="auto" w:fill="BF2115"/>
          </w:tcPr>
          <w:p>
            <w:pPr>
              <w:spacing w:after="0"/>
              <w:rPr>
                <w:sz w:val="8"/>
                <w:szCs w:val="8"/>
                <w:color w:val="auto"/>
              </w:rPr>
            </w:pPr>
          </w:p>
        </w:tc>
        <w:tc>
          <w:tcPr>
            <w:tcW w:w="2780" w:type="dxa"/>
            <w:vAlign w:val="bottom"/>
            <w:vMerge w:val="restart"/>
            <w:shd w:val="clear" w:color="auto" w:fill="BF2115"/>
          </w:tcPr>
          <w:p>
            <w:pPr>
              <w:jc w:val="center"/>
              <w:spacing w:after="0"/>
              <w:rPr>
                <w:sz w:val="20"/>
                <w:szCs w:val="20"/>
                <w:color w:val="auto"/>
              </w:rPr>
            </w:pPr>
            <w:r>
              <w:rPr>
                <w:rFonts w:ascii="Arial" w:cs="Arial" w:eastAsia="Arial" w:hAnsi="Arial"/>
                <w:sz w:val="16"/>
                <w:szCs w:val="16"/>
                <w:color w:val="FFFFFF"/>
              </w:rPr>
              <w:t>($)</w:t>
            </w:r>
          </w:p>
        </w:tc>
        <w:tc>
          <w:tcPr>
            <w:tcW w:w="2720" w:type="dxa"/>
            <w:vAlign w:val="bottom"/>
            <w:vMerge w:val="continue"/>
            <w:shd w:val="clear" w:color="auto" w:fill="BF2115"/>
          </w:tcPr>
          <w:p>
            <w:pPr>
              <w:spacing w:after="0"/>
              <w:rPr>
                <w:sz w:val="8"/>
                <w:szCs w:val="8"/>
                <w:color w:val="auto"/>
              </w:rPr>
            </w:pPr>
          </w:p>
        </w:tc>
        <w:tc>
          <w:tcPr>
            <w:tcW w:w="0" w:type="dxa"/>
            <w:vAlign w:val="bottom"/>
          </w:tcPr>
          <w:p>
            <w:pPr>
              <w:spacing w:after="0"/>
              <w:rPr>
                <w:sz w:val="1"/>
                <w:szCs w:val="1"/>
                <w:color w:val="auto"/>
              </w:rPr>
            </w:pPr>
          </w:p>
        </w:tc>
      </w:tr>
      <w:tr>
        <w:trPr>
          <w:trHeight w:val="100"/>
        </w:trPr>
        <w:tc>
          <w:tcPr>
            <w:tcW w:w="3200" w:type="dxa"/>
            <w:vAlign w:val="bottom"/>
            <w:shd w:val="clear" w:color="auto" w:fill="BF2115"/>
          </w:tcPr>
          <w:p>
            <w:pPr>
              <w:spacing w:after="0"/>
              <w:rPr>
                <w:sz w:val="8"/>
                <w:szCs w:val="8"/>
                <w:color w:val="auto"/>
              </w:rPr>
            </w:pPr>
          </w:p>
        </w:tc>
        <w:tc>
          <w:tcPr>
            <w:tcW w:w="2720" w:type="dxa"/>
            <w:vAlign w:val="bottom"/>
            <w:shd w:val="clear" w:color="auto" w:fill="BF2115"/>
          </w:tcPr>
          <w:p>
            <w:pPr>
              <w:spacing w:after="0"/>
              <w:rPr>
                <w:sz w:val="8"/>
                <w:szCs w:val="8"/>
                <w:color w:val="auto"/>
              </w:rPr>
            </w:pPr>
          </w:p>
        </w:tc>
        <w:tc>
          <w:tcPr>
            <w:tcW w:w="2780" w:type="dxa"/>
            <w:vAlign w:val="bottom"/>
            <w:vMerge w:val="continue"/>
            <w:shd w:val="clear" w:color="auto" w:fill="BF2115"/>
          </w:tcPr>
          <w:p>
            <w:pPr>
              <w:spacing w:after="0"/>
              <w:rPr>
                <w:sz w:val="8"/>
                <w:szCs w:val="8"/>
                <w:color w:val="auto"/>
              </w:rPr>
            </w:pPr>
          </w:p>
        </w:tc>
        <w:tc>
          <w:tcPr>
            <w:tcW w:w="2720" w:type="dxa"/>
            <w:vAlign w:val="bottom"/>
            <w:vMerge w:val="restart"/>
            <w:shd w:val="clear" w:color="auto" w:fill="BF2115"/>
          </w:tcPr>
          <w:p>
            <w:pPr>
              <w:jc w:val="center"/>
              <w:spacing w:after="0"/>
              <w:rPr>
                <w:sz w:val="20"/>
                <w:szCs w:val="20"/>
                <w:color w:val="auto"/>
              </w:rPr>
            </w:pPr>
            <w:r>
              <w:rPr>
                <w:rFonts w:ascii="Arial" w:cs="Arial" w:eastAsia="Arial" w:hAnsi="Arial"/>
                <w:sz w:val="16"/>
                <w:szCs w:val="16"/>
                <w:color w:val="FFFFFF"/>
                <w:w w:val="96"/>
              </w:rPr>
              <w:t>(a))</w:t>
            </w:r>
          </w:p>
        </w:tc>
        <w:tc>
          <w:tcPr>
            <w:tcW w:w="0" w:type="dxa"/>
            <w:vAlign w:val="bottom"/>
          </w:tcPr>
          <w:p>
            <w:pPr>
              <w:spacing w:after="0"/>
              <w:rPr>
                <w:sz w:val="1"/>
                <w:szCs w:val="1"/>
                <w:color w:val="auto"/>
              </w:rPr>
            </w:pPr>
          </w:p>
        </w:tc>
      </w:tr>
      <w:tr>
        <w:trPr>
          <w:trHeight w:val="114"/>
        </w:trPr>
        <w:tc>
          <w:tcPr>
            <w:tcW w:w="3200" w:type="dxa"/>
            <w:vAlign w:val="bottom"/>
            <w:shd w:val="clear" w:color="auto" w:fill="BF2115"/>
          </w:tcPr>
          <w:p>
            <w:pPr>
              <w:spacing w:after="0"/>
              <w:rPr>
                <w:sz w:val="9"/>
                <w:szCs w:val="9"/>
                <w:color w:val="auto"/>
              </w:rPr>
            </w:pPr>
          </w:p>
        </w:tc>
        <w:tc>
          <w:tcPr>
            <w:tcW w:w="2720" w:type="dxa"/>
            <w:vAlign w:val="bottom"/>
            <w:shd w:val="clear" w:color="auto" w:fill="BF2115"/>
          </w:tcPr>
          <w:p>
            <w:pPr>
              <w:spacing w:after="0"/>
              <w:rPr>
                <w:sz w:val="9"/>
                <w:szCs w:val="9"/>
                <w:color w:val="auto"/>
              </w:rPr>
            </w:pPr>
          </w:p>
        </w:tc>
        <w:tc>
          <w:tcPr>
            <w:tcW w:w="2780" w:type="dxa"/>
            <w:vAlign w:val="bottom"/>
            <w:shd w:val="clear" w:color="auto" w:fill="BF2115"/>
          </w:tcPr>
          <w:p>
            <w:pPr>
              <w:spacing w:after="0"/>
              <w:rPr>
                <w:sz w:val="9"/>
                <w:szCs w:val="9"/>
                <w:color w:val="auto"/>
              </w:rPr>
            </w:pPr>
          </w:p>
        </w:tc>
        <w:tc>
          <w:tcPr>
            <w:tcW w:w="2720" w:type="dxa"/>
            <w:vAlign w:val="bottom"/>
            <w:vMerge w:val="continue"/>
            <w:shd w:val="clear" w:color="auto" w:fill="BF2115"/>
          </w:tcPr>
          <w:p>
            <w:pPr>
              <w:spacing w:after="0"/>
              <w:rPr>
                <w:sz w:val="9"/>
                <w:szCs w:val="9"/>
                <w:color w:val="auto"/>
              </w:rPr>
            </w:pPr>
          </w:p>
        </w:tc>
        <w:tc>
          <w:tcPr>
            <w:tcW w:w="0" w:type="dxa"/>
            <w:vAlign w:val="bottom"/>
          </w:tcPr>
          <w:p>
            <w:pPr>
              <w:spacing w:after="0"/>
              <w:rPr>
                <w:sz w:val="1"/>
                <w:szCs w:val="1"/>
                <w:color w:val="auto"/>
              </w:rPr>
            </w:pPr>
          </w:p>
        </w:tc>
      </w:tr>
      <w:tr>
        <w:trPr>
          <w:trHeight w:val="218"/>
        </w:trPr>
        <w:tc>
          <w:tcPr>
            <w:tcW w:w="3200" w:type="dxa"/>
            <w:vAlign w:val="bottom"/>
          </w:tcPr>
          <w:p>
            <w:pPr>
              <w:ind w:left="40"/>
              <w:spacing w:after="0"/>
              <w:rPr>
                <w:sz w:val="20"/>
                <w:szCs w:val="20"/>
                <w:color w:val="auto"/>
              </w:rPr>
            </w:pPr>
            <w:r>
              <w:rPr>
                <w:rFonts w:ascii="Arial" w:cs="Arial" w:eastAsia="Arial" w:hAnsi="Arial"/>
                <w:sz w:val="16"/>
                <w:szCs w:val="16"/>
                <w:color w:val="auto"/>
              </w:rPr>
              <w:t>Equity compensation plans approved by</w:t>
            </w:r>
          </w:p>
        </w:tc>
        <w:tc>
          <w:tcPr>
            <w:tcW w:w="2720" w:type="dxa"/>
            <w:vAlign w:val="bottom"/>
            <w:vMerge w:val="restart"/>
          </w:tcPr>
          <w:p>
            <w:pPr>
              <w:jc w:val="center"/>
              <w:spacing w:after="0"/>
              <w:rPr>
                <w:sz w:val="20"/>
                <w:szCs w:val="20"/>
                <w:color w:val="auto"/>
              </w:rPr>
            </w:pPr>
            <w:r>
              <w:rPr>
                <w:rFonts w:ascii="Arial" w:cs="Arial" w:eastAsia="Arial" w:hAnsi="Arial"/>
                <w:sz w:val="16"/>
                <w:szCs w:val="16"/>
                <w:color w:val="auto"/>
                <w:w w:val="90"/>
              </w:rPr>
              <w:t>9,000</w:t>
            </w:r>
            <w:r>
              <w:rPr>
                <w:rFonts w:ascii="Arial" w:cs="Arial" w:eastAsia="Arial" w:hAnsi="Arial"/>
                <w:sz w:val="21"/>
                <w:szCs w:val="21"/>
                <w:color w:val="auto"/>
                <w:w w:val="90"/>
                <w:vertAlign w:val="superscript"/>
              </w:rPr>
              <w:t>(2)</w:t>
            </w:r>
          </w:p>
        </w:tc>
        <w:tc>
          <w:tcPr>
            <w:tcW w:w="2780" w:type="dxa"/>
            <w:vAlign w:val="bottom"/>
          </w:tcPr>
          <w:p>
            <w:pPr>
              <w:spacing w:after="0"/>
              <w:rPr>
                <w:sz w:val="18"/>
                <w:szCs w:val="18"/>
                <w:color w:val="auto"/>
              </w:rPr>
            </w:pPr>
          </w:p>
        </w:tc>
        <w:tc>
          <w:tcPr>
            <w:tcW w:w="2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3200" w:type="dxa"/>
            <w:vAlign w:val="bottom"/>
          </w:tcPr>
          <w:p>
            <w:pPr>
              <w:ind w:left="40"/>
              <w:spacing w:after="0"/>
              <w:rPr>
                <w:sz w:val="20"/>
                <w:szCs w:val="20"/>
                <w:color w:val="auto"/>
              </w:rPr>
            </w:pPr>
            <w:r>
              <w:rPr>
                <w:rFonts w:ascii="Arial" w:cs="Arial" w:eastAsia="Arial" w:hAnsi="Arial"/>
                <w:sz w:val="16"/>
                <w:szCs w:val="16"/>
                <w:color w:val="auto"/>
              </w:rPr>
              <w:t>shareholders - 2004 Plan</w:t>
            </w:r>
          </w:p>
        </w:tc>
        <w:tc>
          <w:tcPr>
            <w:tcW w:w="2720" w:type="dxa"/>
            <w:vAlign w:val="bottom"/>
            <w:vMerge w:val="continue"/>
          </w:tcPr>
          <w:p>
            <w:pPr>
              <w:spacing w:after="0"/>
              <w:rPr>
                <w:sz w:val="18"/>
                <w:szCs w:val="18"/>
                <w:color w:val="auto"/>
              </w:rPr>
            </w:pPr>
          </w:p>
        </w:tc>
        <w:tc>
          <w:tcPr>
            <w:tcW w:w="2780" w:type="dxa"/>
            <w:vAlign w:val="bottom"/>
          </w:tcPr>
          <w:p>
            <w:pPr>
              <w:jc w:val="center"/>
              <w:spacing w:after="0"/>
              <w:rPr>
                <w:sz w:val="20"/>
                <w:szCs w:val="20"/>
                <w:color w:val="auto"/>
              </w:rPr>
            </w:pPr>
            <w:r>
              <w:rPr>
                <w:rFonts w:ascii="Arial" w:cs="Arial" w:eastAsia="Arial" w:hAnsi="Arial"/>
                <w:sz w:val="16"/>
                <w:szCs w:val="16"/>
                <w:color w:val="auto"/>
                <w:w w:val="74"/>
              </w:rPr>
              <w:t>-</w:t>
            </w:r>
          </w:p>
        </w:tc>
        <w:tc>
          <w:tcPr>
            <w:tcW w:w="2720" w:type="dxa"/>
            <w:vAlign w:val="bottom"/>
          </w:tcPr>
          <w:p>
            <w:pPr>
              <w:jc w:val="center"/>
              <w:spacing w:after="0"/>
              <w:rPr>
                <w:sz w:val="20"/>
                <w:szCs w:val="20"/>
                <w:color w:val="auto"/>
              </w:rPr>
            </w:pPr>
            <w:r>
              <w:rPr>
                <w:rFonts w:ascii="Arial" w:cs="Arial" w:eastAsia="Arial" w:hAnsi="Arial"/>
                <w:sz w:val="16"/>
                <w:szCs w:val="16"/>
                <w:color w:val="auto"/>
                <w:w w:val="99"/>
              </w:rPr>
              <w:t>—</w:t>
            </w:r>
          </w:p>
        </w:tc>
        <w:tc>
          <w:tcPr>
            <w:tcW w:w="0" w:type="dxa"/>
            <w:vAlign w:val="bottom"/>
          </w:tcPr>
          <w:p>
            <w:pPr>
              <w:spacing w:after="0"/>
              <w:rPr>
                <w:sz w:val="1"/>
                <w:szCs w:val="1"/>
                <w:color w:val="auto"/>
              </w:rPr>
            </w:pPr>
          </w:p>
        </w:tc>
      </w:tr>
      <w:tr>
        <w:trPr>
          <w:trHeight w:val="218"/>
        </w:trPr>
        <w:tc>
          <w:tcPr>
            <w:tcW w:w="3200" w:type="dxa"/>
            <w:vAlign w:val="bottom"/>
            <w:shd w:val="clear" w:color="auto" w:fill="ACACAC"/>
          </w:tcPr>
          <w:p>
            <w:pPr>
              <w:ind w:left="40"/>
              <w:spacing w:after="0"/>
              <w:rPr>
                <w:sz w:val="20"/>
                <w:szCs w:val="20"/>
                <w:color w:val="auto"/>
              </w:rPr>
            </w:pPr>
            <w:r>
              <w:rPr>
                <w:rFonts w:ascii="Arial" w:cs="Arial" w:eastAsia="Arial" w:hAnsi="Arial"/>
                <w:sz w:val="16"/>
                <w:szCs w:val="16"/>
                <w:color w:val="auto"/>
              </w:rPr>
              <w:t>Equity compensation plans approved by</w:t>
            </w:r>
          </w:p>
        </w:tc>
        <w:tc>
          <w:tcPr>
            <w:tcW w:w="2720" w:type="dxa"/>
            <w:vAlign w:val="bottom"/>
            <w:vMerge w:val="restart"/>
            <w:shd w:val="clear" w:color="auto" w:fill="ACACAC"/>
          </w:tcPr>
          <w:p>
            <w:pPr>
              <w:jc w:val="center"/>
              <w:spacing w:after="0"/>
              <w:rPr>
                <w:sz w:val="20"/>
                <w:szCs w:val="20"/>
                <w:color w:val="auto"/>
              </w:rPr>
            </w:pPr>
            <w:r>
              <w:rPr>
                <w:rFonts w:ascii="Arial" w:cs="Arial" w:eastAsia="Arial" w:hAnsi="Arial"/>
                <w:sz w:val="16"/>
                <w:szCs w:val="16"/>
                <w:color w:val="auto"/>
                <w:w w:val="96"/>
              </w:rPr>
              <w:t>469,704</w:t>
            </w:r>
            <w:r>
              <w:rPr>
                <w:rFonts w:ascii="Arial" w:cs="Arial" w:eastAsia="Arial" w:hAnsi="Arial"/>
                <w:sz w:val="21"/>
                <w:szCs w:val="21"/>
                <w:color w:val="auto"/>
                <w:w w:val="96"/>
                <w:vertAlign w:val="superscript"/>
              </w:rPr>
              <w:t>(3)</w:t>
            </w:r>
          </w:p>
        </w:tc>
        <w:tc>
          <w:tcPr>
            <w:tcW w:w="2780" w:type="dxa"/>
            <w:vAlign w:val="bottom"/>
            <w:shd w:val="clear" w:color="auto" w:fill="ACACAC"/>
          </w:tcPr>
          <w:p>
            <w:pPr>
              <w:spacing w:after="0"/>
              <w:rPr>
                <w:sz w:val="18"/>
                <w:szCs w:val="18"/>
                <w:color w:val="auto"/>
              </w:rPr>
            </w:pPr>
          </w:p>
        </w:tc>
        <w:tc>
          <w:tcPr>
            <w:tcW w:w="2720" w:type="dxa"/>
            <w:vAlign w:val="bottom"/>
            <w:vMerge w:val="restart"/>
            <w:shd w:val="clear" w:color="auto" w:fill="ACACAC"/>
          </w:tcPr>
          <w:p>
            <w:pPr>
              <w:jc w:val="center"/>
              <w:spacing w:after="0"/>
              <w:rPr>
                <w:sz w:val="20"/>
                <w:szCs w:val="20"/>
                <w:color w:val="auto"/>
              </w:rPr>
            </w:pPr>
            <w:r>
              <w:rPr>
                <w:rFonts w:ascii="Arial" w:cs="Arial" w:eastAsia="Arial" w:hAnsi="Arial"/>
                <w:sz w:val="16"/>
                <w:szCs w:val="16"/>
                <w:color w:val="auto"/>
                <w:w w:val="97"/>
              </w:rPr>
              <w:t>1,677,481</w:t>
            </w:r>
            <w:r>
              <w:rPr>
                <w:rFonts w:ascii="Arial" w:cs="Arial" w:eastAsia="Arial" w:hAnsi="Arial"/>
                <w:sz w:val="21"/>
                <w:szCs w:val="21"/>
                <w:color w:val="auto"/>
                <w:w w:val="97"/>
                <w:vertAlign w:val="superscript"/>
              </w:rPr>
              <w:t>(4)</w:t>
            </w:r>
          </w:p>
        </w:tc>
        <w:tc>
          <w:tcPr>
            <w:tcW w:w="0" w:type="dxa"/>
            <w:vAlign w:val="bottom"/>
          </w:tcPr>
          <w:p>
            <w:pPr>
              <w:spacing w:after="0"/>
              <w:rPr>
                <w:sz w:val="1"/>
                <w:szCs w:val="1"/>
                <w:color w:val="auto"/>
              </w:rPr>
            </w:pPr>
          </w:p>
        </w:tc>
      </w:tr>
      <w:tr>
        <w:trPr>
          <w:trHeight w:val="214"/>
        </w:trPr>
        <w:tc>
          <w:tcPr>
            <w:tcW w:w="3200" w:type="dxa"/>
            <w:vAlign w:val="bottom"/>
            <w:shd w:val="clear" w:color="auto" w:fill="ACACAC"/>
          </w:tcPr>
          <w:p>
            <w:pPr>
              <w:ind w:left="40"/>
              <w:spacing w:after="0"/>
              <w:rPr>
                <w:sz w:val="20"/>
                <w:szCs w:val="20"/>
                <w:color w:val="auto"/>
              </w:rPr>
            </w:pPr>
            <w:r>
              <w:rPr>
                <w:rFonts w:ascii="Arial" w:cs="Arial" w:eastAsia="Arial" w:hAnsi="Arial"/>
                <w:sz w:val="16"/>
                <w:szCs w:val="16"/>
                <w:color w:val="auto"/>
              </w:rPr>
              <w:t>shareholders - 2014 Plan</w:t>
            </w:r>
          </w:p>
        </w:tc>
        <w:tc>
          <w:tcPr>
            <w:tcW w:w="2720" w:type="dxa"/>
            <w:vAlign w:val="bottom"/>
            <w:vMerge w:val="continue"/>
            <w:shd w:val="clear" w:color="auto" w:fill="ACACAC"/>
          </w:tcPr>
          <w:p>
            <w:pPr>
              <w:spacing w:after="0"/>
              <w:rPr>
                <w:sz w:val="18"/>
                <w:szCs w:val="18"/>
                <w:color w:val="auto"/>
              </w:rPr>
            </w:pPr>
          </w:p>
        </w:tc>
        <w:tc>
          <w:tcPr>
            <w:tcW w:w="2780" w:type="dxa"/>
            <w:vAlign w:val="bottom"/>
            <w:shd w:val="clear" w:color="auto" w:fill="ACACAC"/>
          </w:tcPr>
          <w:p>
            <w:pPr>
              <w:jc w:val="center"/>
              <w:spacing w:after="0"/>
              <w:rPr>
                <w:sz w:val="20"/>
                <w:szCs w:val="20"/>
                <w:color w:val="auto"/>
              </w:rPr>
            </w:pPr>
            <w:r>
              <w:rPr>
                <w:rFonts w:ascii="Arial" w:cs="Arial" w:eastAsia="Arial" w:hAnsi="Arial"/>
                <w:sz w:val="16"/>
                <w:szCs w:val="16"/>
                <w:color w:val="auto"/>
                <w:w w:val="99"/>
              </w:rPr>
              <w:t>36.68</w:t>
            </w:r>
          </w:p>
        </w:tc>
        <w:tc>
          <w:tcPr>
            <w:tcW w:w="2720" w:type="dxa"/>
            <w:vAlign w:val="bottom"/>
            <w:vMerge w:val="continue"/>
            <w:shd w:val="clear" w:color="auto" w:fill="ACACAC"/>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3200" w:type="dxa"/>
            <w:vAlign w:val="bottom"/>
          </w:tcPr>
          <w:p>
            <w:pPr>
              <w:ind w:left="40"/>
              <w:spacing w:after="0"/>
              <w:rPr>
                <w:sz w:val="20"/>
                <w:szCs w:val="20"/>
                <w:color w:val="auto"/>
              </w:rPr>
            </w:pPr>
            <w:r>
              <w:rPr>
                <w:rFonts w:ascii="Arial" w:cs="Arial" w:eastAsia="Arial" w:hAnsi="Arial"/>
                <w:sz w:val="16"/>
                <w:szCs w:val="16"/>
                <w:color w:val="auto"/>
              </w:rPr>
              <w:t>Equity compensation plans not approved by</w:t>
            </w:r>
          </w:p>
        </w:tc>
        <w:tc>
          <w:tcPr>
            <w:tcW w:w="2720" w:type="dxa"/>
            <w:vAlign w:val="bottom"/>
          </w:tcPr>
          <w:p>
            <w:pPr>
              <w:spacing w:after="0"/>
              <w:rPr>
                <w:sz w:val="18"/>
                <w:szCs w:val="18"/>
                <w:color w:val="auto"/>
              </w:rPr>
            </w:pPr>
          </w:p>
        </w:tc>
        <w:tc>
          <w:tcPr>
            <w:tcW w:w="2780" w:type="dxa"/>
            <w:vAlign w:val="bottom"/>
          </w:tcPr>
          <w:p>
            <w:pPr>
              <w:spacing w:after="0"/>
              <w:rPr>
                <w:sz w:val="18"/>
                <w:szCs w:val="18"/>
                <w:color w:val="auto"/>
              </w:rPr>
            </w:pPr>
          </w:p>
        </w:tc>
        <w:tc>
          <w:tcPr>
            <w:tcW w:w="2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3200" w:type="dxa"/>
            <w:vAlign w:val="bottom"/>
          </w:tcPr>
          <w:p>
            <w:pPr>
              <w:ind w:left="40"/>
              <w:spacing w:after="0" w:line="219" w:lineRule="exact"/>
              <w:rPr>
                <w:sz w:val="20"/>
                <w:szCs w:val="20"/>
                <w:color w:val="auto"/>
              </w:rPr>
            </w:pPr>
            <w:r>
              <w:rPr>
                <w:rFonts w:ascii="Arial" w:cs="Arial" w:eastAsia="Arial" w:hAnsi="Arial"/>
                <w:sz w:val="16"/>
                <w:szCs w:val="16"/>
                <w:color w:val="auto"/>
              </w:rPr>
              <w:t>shareholders</w:t>
            </w:r>
            <w:r>
              <w:rPr>
                <w:rFonts w:ascii="Arial" w:cs="Arial" w:eastAsia="Arial" w:hAnsi="Arial"/>
                <w:sz w:val="21"/>
                <w:szCs w:val="21"/>
                <w:color w:val="auto"/>
                <w:vertAlign w:val="superscript"/>
              </w:rPr>
              <w:t>(5)</w:t>
            </w:r>
          </w:p>
        </w:tc>
        <w:tc>
          <w:tcPr>
            <w:tcW w:w="2720" w:type="dxa"/>
            <w:vAlign w:val="bottom"/>
            <w:tcBorders>
              <w:bottom w:val="single" w:sz="8" w:color="auto"/>
            </w:tcBorders>
          </w:tcPr>
          <w:p>
            <w:pPr>
              <w:jc w:val="center"/>
              <w:spacing w:after="0" w:line="219" w:lineRule="exact"/>
              <w:rPr>
                <w:sz w:val="20"/>
                <w:szCs w:val="20"/>
                <w:color w:val="auto"/>
              </w:rPr>
            </w:pPr>
            <w:r>
              <w:rPr>
                <w:rFonts w:ascii="Arial" w:cs="Arial" w:eastAsia="Arial" w:hAnsi="Arial"/>
                <w:sz w:val="16"/>
                <w:szCs w:val="16"/>
                <w:color w:val="auto"/>
                <w:w w:val="96"/>
              </w:rPr>
              <w:t>47,366</w:t>
            </w:r>
            <w:r>
              <w:rPr>
                <w:rFonts w:ascii="Arial" w:cs="Arial" w:eastAsia="Arial" w:hAnsi="Arial"/>
                <w:sz w:val="21"/>
                <w:szCs w:val="21"/>
                <w:color w:val="auto"/>
                <w:w w:val="96"/>
                <w:vertAlign w:val="superscript"/>
              </w:rPr>
              <w:t>(6)</w:t>
            </w:r>
          </w:p>
        </w:tc>
        <w:tc>
          <w:tcPr>
            <w:tcW w:w="278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w w:val="74"/>
              </w:rPr>
              <w:t>-</w:t>
            </w:r>
          </w:p>
        </w:tc>
        <w:tc>
          <w:tcPr>
            <w:tcW w:w="2720" w:type="dxa"/>
            <w:vAlign w:val="bottom"/>
            <w:tcBorders>
              <w:bottom w:val="single" w:sz="8" w:color="auto"/>
            </w:tcBorders>
          </w:tcPr>
          <w:p>
            <w:pPr>
              <w:jc w:val="right"/>
              <w:ind w:right="1242"/>
              <w:spacing w:after="0"/>
              <w:rPr>
                <w:sz w:val="20"/>
                <w:szCs w:val="20"/>
                <w:color w:val="auto"/>
              </w:rPr>
            </w:pPr>
            <w:r>
              <w:rPr>
                <w:rFonts w:ascii="Arial" w:cs="Arial" w:eastAsia="Arial" w:hAnsi="Arial"/>
                <w:sz w:val="11"/>
                <w:szCs w:val="11"/>
                <w:color w:val="auto"/>
              </w:rPr>
              <w:t>(7)</w:t>
            </w:r>
          </w:p>
        </w:tc>
        <w:tc>
          <w:tcPr>
            <w:tcW w:w="0" w:type="dxa"/>
            <w:vAlign w:val="bottom"/>
          </w:tcPr>
          <w:p>
            <w:pPr>
              <w:spacing w:after="0"/>
              <w:rPr>
                <w:sz w:val="1"/>
                <w:szCs w:val="1"/>
                <w:color w:val="auto"/>
              </w:rPr>
            </w:pPr>
          </w:p>
        </w:tc>
      </w:tr>
      <w:tr>
        <w:trPr>
          <w:trHeight w:val="217"/>
        </w:trPr>
        <w:tc>
          <w:tcPr>
            <w:tcW w:w="3200" w:type="dxa"/>
            <w:vAlign w:val="bottom"/>
          </w:tcPr>
          <w:p>
            <w:pPr>
              <w:ind w:left="40"/>
              <w:spacing w:after="0"/>
              <w:rPr>
                <w:sz w:val="20"/>
                <w:szCs w:val="20"/>
                <w:color w:val="auto"/>
              </w:rPr>
            </w:pPr>
            <w:r>
              <w:rPr>
                <w:rFonts w:ascii="Arial" w:cs="Arial" w:eastAsia="Arial" w:hAnsi="Arial"/>
                <w:sz w:val="16"/>
                <w:szCs w:val="16"/>
                <w:color w:val="auto"/>
              </w:rPr>
              <w:t>Total</w:t>
            </w:r>
          </w:p>
        </w:tc>
        <w:tc>
          <w:tcPr>
            <w:tcW w:w="2720" w:type="dxa"/>
            <w:vAlign w:val="bottom"/>
          </w:tcPr>
          <w:p>
            <w:pPr>
              <w:jc w:val="center"/>
              <w:spacing w:after="0"/>
              <w:rPr>
                <w:sz w:val="20"/>
                <w:szCs w:val="20"/>
                <w:color w:val="auto"/>
              </w:rPr>
            </w:pPr>
            <w:r>
              <w:rPr>
                <w:rFonts w:ascii="Arial" w:cs="Arial" w:eastAsia="Arial" w:hAnsi="Arial"/>
                <w:sz w:val="16"/>
                <w:szCs w:val="16"/>
                <w:color w:val="auto"/>
              </w:rPr>
              <w:t>387,920</w:t>
            </w:r>
          </w:p>
        </w:tc>
        <w:tc>
          <w:tcPr>
            <w:tcW w:w="2780" w:type="dxa"/>
            <w:vAlign w:val="bottom"/>
          </w:tcPr>
          <w:p>
            <w:pPr>
              <w:jc w:val="center"/>
              <w:spacing w:after="0"/>
              <w:rPr>
                <w:sz w:val="20"/>
                <w:szCs w:val="20"/>
                <w:color w:val="auto"/>
              </w:rPr>
            </w:pPr>
            <w:r>
              <w:rPr>
                <w:rFonts w:ascii="Arial" w:cs="Arial" w:eastAsia="Arial" w:hAnsi="Arial"/>
                <w:sz w:val="16"/>
                <w:szCs w:val="16"/>
                <w:color w:val="auto"/>
                <w:w w:val="99"/>
              </w:rPr>
              <w:t>36.68</w:t>
            </w:r>
          </w:p>
        </w:tc>
        <w:tc>
          <w:tcPr>
            <w:tcW w:w="2720" w:type="dxa"/>
            <w:vAlign w:val="bottom"/>
          </w:tcPr>
          <w:p>
            <w:pPr>
              <w:jc w:val="center"/>
              <w:spacing w:after="0"/>
              <w:rPr>
                <w:sz w:val="20"/>
                <w:szCs w:val="20"/>
                <w:color w:val="auto"/>
              </w:rPr>
            </w:pPr>
            <w:r>
              <w:rPr>
                <w:rFonts w:ascii="Arial" w:cs="Arial" w:eastAsia="Arial" w:hAnsi="Arial"/>
                <w:sz w:val="16"/>
                <w:szCs w:val="16"/>
                <w:color w:val="auto"/>
              </w:rPr>
              <w:t>1,677,481</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-149860</wp:posOffset>
            </wp:positionV>
            <wp:extent cx="7246620" cy="16319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246620" cy="163195"/>
                    </a:xfrm>
                    <a:prstGeom prst="rect">
                      <a:avLst/>
                    </a:prstGeom>
                    <a:noFill/>
                  </pic:spPr>
                </pic:pic>
              </a:graphicData>
            </a:graphic>
          </wp:anchor>
        </w:drawing>
      </w:r>
    </w:p>
    <w:p>
      <w:pPr>
        <w:spacing w:after="0"/>
        <w:rPr>
          <w:sz w:val="20"/>
          <w:szCs w:val="20"/>
          <w:color w:val="auto"/>
        </w:rPr>
      </w:pPr>
      <w:r>
        <w:rPr>
          <w:rFonts w:ascii="Arial" w:cs="Arial" w:eastAsia="Arial" w:hAnsi="Arial"/>
          <w:sz w:val="13"/>
          <w:szCs w:val="13"/>
          <w:color w:val="auto"/>
        </w:rPr>
        <w:t>(1) This number represents the weighted average exercise price of outstanding stock options only. Restricted share awards do not have an exercise price so weighted average is not applicable.</w:t>
      </w:r>
    </w:p>
    <w:p>
      <w:pPr>
        <w:spacing w:after="0" w:line="25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44</w:t>
      </w:r>
    </w:p>
    <w:p>
      <w:pPr>
        <w:sectPr>
          <w:pgSz w:w="11900" w:h="16838" w:orient="portrait"/>
          <w:cols w:equalWidth="0" w:num="1">
            <w:col w:w="11420"/>
          </w:cols>
          <w:pgMar w:left="240" w:top="304" w:right="239" w:bottom="1440" w:gutter="0" w:footer="0" w:header="0"/>
          <w:type w:val="continuous"/>
        </w:sectPr>
      </w:pPr>
    </w:p>
    <w:bookmarkStart w:id="48" w:name="page49"/>
    <w:bookmarkEnd w:id="48"/>
    <w:p>
      <w:pPr>
        <w:ind w:left="40"/>
        <w:spacing w:after="0"/>
        <w:rPr>
          <w:rFonts w:ascii="Arial" w:cs="Arial" w:eastAsia="Arial" w:hAnsi="Arial"/>
          <w:sz w:val="16"/>
          <w:szCs w:val="16"/>
          <w:u w:val="single" w:color="auto"/>
          <w:color w:val="0000EE"/>
        </w:rPr>
      </w:pPr>
      <w:r>
        <w:rPr>
          <w:rFonts w:ascii="Arial" w:cs="Arial" w:eastAsia="Arial" w:hAnsi="Arial"/>
          <w:sz w:val="16"/>
          <w:szCs w:val="16"/>
          <w:u w:val="single" w:color="auto"/>
          <w:color w:val="0000EE"/>
        </w:rPr>
        <w:drawing>
          <wp:anchor simplePos="0" relativeHeight="251657728" behindDoc="1" locked="0" layoutInCell="0" allowOverlap="1">
            <wp:simplePos x="0" y="0"/>
            <wp:positionH relativeFrom="page">
              <wp:posOffset>5946140</wp:posOffset>
            </wp:positionH>
            <wp:positionV relativeFrom="page">
              <wp:posOffset>191770</wp:posOffset>
            </wp:positionV>
            <wp:extent cx="1440815" cy="20574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clrChange>
                        <a:clrFrom>
                          <a:srgbClr val="FFFFFF"/>
                        </a:clrFrom>
                        <a:clrTo>
                          <a:srgbClr val="FFFFFF">
                            <a:alpha val="0"/>
                          </a:srgbClr>
                        </a:clrTo>
                      </a:clrChange>
                      <a:extLst>
                        <a:ext uri="{28A0092B-C50C-407E-A947-70E740481C1C}"/>
                      </a:extLst>
                    </a:blip>
                    <a:srcRect/>
                    <a:stretch>
                      <a:fillRect/>
                    </a:stretch>
                  </pic:blipFill>
                  <pic:spPr bwMode="auto">
                    <a:xfrm>
                      <a:off x="0" y="0"/>
                      <a:ext cx="1440815" cy="205740"/>
                    </a:xfrm>
                    <a:prstGeom prst="rect">
                      <a:avLst/>
                    </a:prstGeom>
                    <a:noFill/>
                  </pic:spPr>
                </pic:pic>
              </a:graphicData>
            </a:graphic>
          </wp:anchor>
        </w:drawing>
      </w:r>
      <w:hyperlink w:anchor="page4">
        <w:r>
          <w:rPr>
            <w:rFonts w:ascii="Arial" w:cs="Arial" w:eastAsia="Arial" w:hAnsi="Arial"/>
            <w:sz w:val="16"/>
            <w:szCs w:val="16"/>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104775</wp:posOffset>
            </wp:positionV>
            <wp:extent cx="7246620" cy="889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95" w:lineRule="exact"/>
        <w:rPr>
          <w:sz w:val="20"/>
          <w:szCs w:val="20"/>
          <w:color w:val="auto"/>
        </w:rPr>
      </w:pPr>
    </w:p>
    <w:p>
      <w:pPr>
        <w:ind w:left="200" w:hanging="192"/>
        <w:spacing w:after="0"/>
        <w:tabs>
          <w:tab w:leader="none" w:pos="200" w:val="left"/>
        </w:tabs>
        <w:numPr>
          <w:ilvl w:val="0"/>
          <w:numId w:val="64"/>
        </w:numPr>
        <w:rPr>
          <w:rFonts w:ascii="Arial" w:cs="Arial" w:eastAsia="Arial" w:hAnsi="Arial"/>
          <w:sz w:val="13"/>
          <w:szCs w:val="13"/>
          <w:color w:val="auto"/>
        </w:rPr>
      </w:pPr>
      <w:r>
        <w:rPr>
          <w:rFonts w:ascii="Arial" w:cs="Arial" w:eastAsia="Arial" w:hAnsi="Arial"/>
          <w:sz w:val="13"/>
          <w:szCs w:val="13"/>
          <w:color w:val="auto"/>
        </w:rPr>
        <w:t>This number represents unvested share awards granted under the 2004 Plan. No new grants may be made under the 2004 Plan.</w:t>
      </w:r>
    </w:p>
    <w:p>
      <w:pPr>
        <w:ind w:left="200" w:hanging="192"/>
        <w:spacing w:after="0"/>
        <w:tabs>
          <w:tab w:leader="none" w:pos="200" w:val="left"/>
        </w:tabs>
        <w:numPr>
          <w:ilvl w:val="0"/>
          <w:numId w:val="64"/>
        </w:numPr>
        <w:rPr>
          <w:rFonts w:ascii="Arial" w:cs="Arial" w:eastAsia="Arial" w:hAnsi="Arial"/>
          <w:sz w:val="13"/>
          <w:szCs w:val="13"/>
          <w:color w:val="auto"/>
        </w:rPr>
      </w:pPr>
      <w:r>
        <w:rPr>
          <w:rFonts w:ascii="Arial" w:cs="Arial" w:eastAsia="Arial" w:hAnsi="Arial"/>
          <w:sz w:val="13"/>
          <w:szCs w:val="13"/>
          <w:color w:val="auto"/>
        </w:rPr>
        <w:t>This number represents stock options and unvested stock awards granted under the 2014 Plan. The 2014 Plan replaced the 2004 Plan effective January 1, 2014.</w:t>
      </w:r>
    </w:p>
    <w:p>
      <w:pPr>
        <w:ind w:left="200" w:hanging="192"/>
        <w:spacing w:after="0"/>
        <w:tabs>
          <w:tab w:leader="none" w:pos="200" w:val="left"/>
        </w:tabs>
        <w:numPr>
          <w:ilvl w:val="0"/>
          <w:numId w:val="64"/>
        </w:numPr>
        <w:rPr>
          <w:rFonts w:ascii="Arial" w:cs="Arial" w:eastAsia="Arial" w:hAnsi="Arial"/>
          <w:sz w:val="13"/>
          <w:szCs w:val="13"/>
          <w:color w:val="auto"/>
        </w:rPr>
      </w:pPr>
      <w:r>
        <w:rPr>
          <w:rFonts w:ascii="Arial" w:cs="Arial" w:eastAsia="Arial" w:hAnsi="Arial"/>
          <w:sz w:val="13"/>
          <w:szCs w:val="13"/>
          <w:color w:val="auto"/>
        </w:rPr>
        <w:t>This number represents stock options available for grant under the 2014 Plan as of August 25, 2018.</w:t>
      </w:r>
    </w:p>
    <w:p>
      <w:pPr>
        <w:jc w:val="both"/>
        <w:ind w:firstLine="8"/>
        <w:spacing w:after="0" w:line="238" w:lineRule="auto"/>
        <w:tabs>
          <w:tab w:leader="none" w:pos="193" w:val="left"/>
        </w:tabs>
        <w:numPr>
          <w:ilvl w:val="0"/>
          <w:numId w:val="64"/>
        </w:numPr>
        <w:rPr>
          <w:rFonts w:ascii="Arial" w:cs="Arial" w:eastAsia="Arial" w:hAnsi="Arial"/>
          <w:sz w:val="13"/>
          <w:szCs w:val="13"/>
          <w:color w:val="auto"/>
        </w:rPr>
      </w:pPr>
      <w:r>
        <w:rPr>
          <w:rFonts w:ascii="Arial" w:cs="Arial" w:eastAsia="Arial" w:hAnsi="Arial"/>
          <w:sz w:val="13"/>
          <w:szCs w:val="13"/>
          <w:color w:val="auto"/>
        </w:rPr>
        <w:t>Our sole equity compensation plan not previously submitted to our shareholders for approval is the Directors' Deferred Compensation Plan, as amended ("Directors' Plan"). The Board of Directors may terminate the Directors' Plan at any time. If not terminated earlier, the Directors' Plan will automatically terminate on June 30, 2023. For a description of the key provisions of the Directors' Plan, see the "Director Compensation" section above.</w:t>
      </w:r>
    </w:p>
    <w:p>
      <w:pPr>
        <w:ind w:left="200" w:hanging="192"/>
        <w:spacing w:after="0"/>
        <w:tabs>
          <w:tab w:leader="none" w:pos="200" w:val="left"/>
        </w:tabs>
        <w:numPr>
          <w:ilvl w:val="0"/>
          <w:numId w:val="64"/>
        </w:numPr>
        <w:rPr>
          <w:rFonts w:ascii="Arial" w:cs="Arial" w:eastAsia="Arial" w:hAnsi="Arial"/>
          <w:sz w:val="13"/>
          <w:szCs w:val="13"/>
          <w:color w:val="auto"/>
        </w:rPr>
      </w:pPr>
      <w:r>
        <w:rPr>
          <w:rFonts w:ascii="Arial" w:cs="Arial" w:eastAsia="Arial" w:hAnsi="Arial"/>
          <w:sz w:val="13"/>
          <w:szCs w:val="13"/>
          <w:color w:val="auto"/>
        </w:rPr>
        <w:t>Represents shares of Common Stock issued to a trust which underlie stock units, payable on a one-for-one basis, credited to stock unit accounts as of August 25, 2018 under the Directors' Plan.</w:t>
      </w:r>
    </w:p>
    <w:p>
      <w:pPr>
        <w:ind w:firstLine="8"/>
        <w:spacing w:after="0" w:line="282" w:lineRule="auto"/>
        <w:tabs>
          <w:tab w:leader="none" w:pos="191" w:val="left"/>
        </w:tabs>
        <w:numPr>
          <w:ilvl w:val="0"/>
          <w:numId w:val="64"/>
        </w:numPr>
        <w:rPr>
          <w:rFonts w:ascii="Arial" w:cs="Arial" w:eastAsia="Arial" w:hAnsi="Arial"/>
          <w:sz w:val="12"/>
          <w:szCs w:val="12"/>
          <w:color w:val="auto"/>
        </w:rPr>
      </w:pPr>
      <w:r>
        <w:rPr>
          <w:rFonts w:ascii="Arial" w:cs="Arial" w:eastAsia="Arial" w:hAnsi="Arial"/>
          <w:sz w:val="12"/>
          <w:szCs w:val="12"/>
          <w:color w:val="auto"/>
        </w:rPr>
        <w:t>The table does not reflect a specific number of stock units which may be distributed pursuant to the Directors' Plan. The Directors' Plan does not limit the number of stock units issuable thereunder. The number of stock units to be distributed pursuant to the Directors' Plan will be based on the amount of director's compensation deferred and the per share price of our common stock at the time of deferral.</w:t>
      </w:r>
    </w:p>
    <w:p>
      <w:pPr>
        <w:spacing w:after="0" w:line="215" w:lineRule="exact"/>
        <w:rPr>
          <w:sz w:val="20"/>
          <w:szCs w:val="20"/>
          <w:color w:val="auto"/>
        </w:rPr>
      </w:pPr>
    </w:p>
    <w:p>
      <w:pPr>
        <w:spacing w:after="0"/>
        <w:rPr>
          <w:sz w:val="20"/>
          <w:szCs w:val="20"/>
          <w:color w:val="auto"/>
        </w:rPr>
      </w:pPr>
      <w:r>
        <w:rPr>
          <w:rFonts w:ascii="Arial" w:cs="Arial" w:eastAsia="Arial" w:hAnsi="Arial"/>
          <w:sz w:val="22"/>
          <w:szCs w:val="22"/>
          <w:color w:val="828282"/>
        </w:rPr>
        <w:t>YOUR BOARD OF DIRECTORS UNANIMOUSLY</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828282"/>
        </w:rPr>
        <w:t>RECOMMENDS THAT YOU VOTE FOR THE APPROVAL</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828282"/>
        </w:rPr>
        <w:t>OF THE 2019 OMNIBUS INCENTIVE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156845</wp:posOffset>
            </wp:positionV>
            <wp:extent cx="7272020" cy="4254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303" w:right="239" w:bottom="1440" w:gutter="0" w:footer="0" w:header="0"/>
        </w:sectPr>
      </w:pPr>
    </w:p>
    <w:p>
      <w:pPr>
        <w:spacing w:after="0" w:line="200" w:lineRule="exact"/>
        <w:rPr>
          <w:sz w:val="20"/>
          <w:szCs w:val="20"/>
          <w:color w:val="auto"/>
        </w:rPr>
      </w:pPr>
    </w:p>
    <w:p>
      <w:pPr>
        <w:spacing w:after="0" w:line="243" w:lineRule="exact"/>
        <w:rPr>
          <w:sz w:val="20"/>
          <w:szCs w:val="20"/>
          <w:color w:val="auto"/>
        </w:rPr>
      </w:pPr>
    </w:p>
    <w:p>
      <w:pPr>
        <w:spacing w:after="0"/>
        <w:rPr>
          <w:sz w:val="20"/>
          <w:szCs w:val="20"/>
          <w:color w:val="auto"/>
        </w:rPr>
      </w:pPr>
      <w:r>
        <w:rPr>
          <w:rFonts w:ascii="Arial" w:cs="Arial" w:eastAsia="Arial" w:hAnsi="Arial"/>
          <w:sz w:val="29"/>
          <w:szCs w:val="29"/>
          <w:b w:val="1"/>
          <w:bCs w:val="1"/>
          <w:color w:val="BF2115"/>
        </w:rPr>
        <w:t>Report of the Audit Committee</w:t>
      </w:r>
    </w:p>
    <w:p>
      <w:pPr>
        <w:spacing w:after="0" w:line="262" w:lineRule="exact"/>
        <w:rPr>
          <w:sz w:val="20"/>
          <w:szCs w:val="20"/>
          <w:color w:val="auto"/>
        </w:rPr>
      </w:pPr>
    </w:p>
    <w:p>
      <w:pPr>
        <w:spacing w:after="0" w:line="248" w:lineRule="auto"/>
        <w:rPr>
          <w:sz w:val="20"/>
          <w:szCs w:val="20"/>
          <w:color w:val="auto"/>
        </w:rPr>
      </w:pPr>
      <w:r>
        <w:rPr>
          <w:rFonts w:ascii="Arial" w:cs="Arial" w:eastAsia="Arial" w:hAnsi="Arial"/>
          <w:sz w:val="16"/>
          <w:szCs w:val="16"/>
          <w:color w:val="auto"/>
        </w:rPr>
        <w:t>The Audit Committee serves as the representative of the Company's Board of Directors for general oversight of the Company's financial accounting and reporting, systems of internal control and audit process, and monitoring compliance with laws, regulations, and standards of business conduct. A copy of the Audit Committee Charter, as last amended as of August 15, 2018, is available on the Corporate Governance portion of the Investor Relations section of our Web Site at http://www.winnebagoind.com and is available in print free of charge to any shareholder who requests it.</w:t>
      </w:r>
    </w:p>
    <w:p>
      <w:pPr>
        <w:spacing w:after="0" w:line="181" w:lineRule="exact"/>
        <w:rPr>
          <w:sz w:val="20"/>
          <w:szCs w:val="20"/>
          <w:color w:val="auto"/>
        </w:rPr>
      </w:pPr>
    </w:p>
    <w:p>
      <w:pPr>
        <w:ind w:right="360"/>
        <w:spacing w:after="0" w:line="260" w:lineRule="auto"/>
        <w:rPr>
          <w:sz w:val="20"/>
          <w:szCs w:val="20"/>
          <w:color w:val="auto"/>
        </w:rPr>
      </w:pPr>
      <w:r>
        <w:rPr>
          <w:rFonts w:ascii="Arial" w:cs="Arial" w:eastAsia="Arial" w:hAnsi="Arial"/>
          <w:sz w:val="16"/>
          <w:szCs w:val="16"/>
          <w:color w:val="auto"/>
        </w:rPr>
        <w:t>Management is responsible for the financial statements and the reporting process, including the system of internal controls.</w:t>
      </w:r>
    </w:p>
    <w:p>
      <w:pPr>
        <w:spacing w:after="0" w:line="169" w:lineRule="exact"/>
        <w:rPr>
          <w:sz w:val="20"/>
          <w:szCs w:val="20"/>
          <w:color w:val="auto"/>
        </w:rPr>
      </w:pPr>
    </w:p>
    <w:p>
      <w:pPr>
        <w:ind w:right="60"/>
        <w:spacing w:after="0" w:line="248" w:lineRule="auto"/>
        <w:rPr>
          <w:sz w:val="20"/>
          <w:szCs w:val="20"/>
          <w:color w:val="auto"/>
        </w:rPr>
      </w:pPr>
      <w:r>
        <w:rPr>
          <w:rFonts w:ascii="Arial" w:cs="Arial" w:eastAsia="Arial" w:hAnsi="Arial"/>
          <w:sz w:val="16"/>
          <w:szCs w:val="16"/>
          <w:color w:val="auto"/>
        </w:rPr>
        <w:t>The Company retained Baker Tilly Virchow Krause, LLP ("Baker Tilly") to act as the Company's internal audit function. In this role, Baker Tilly assisted management with completing its assessment of the Company's internal controls over financial reporting by testing and reviewing the Company's internal control processes. Deloitte &amp; Touche LLP ("Deloitte"), the Company's independent registered public accountant, is responsible for expressing an opinion on the conformity of the audited financial statements with accounting principles generally accepted in the United States and an assessment of the Company's internal controls over financial reporting in accordance with the standards of the United States Public Company Accounting Oversight Board ("PCAOB").</w:t>
      </w:r>
    </w:p>
    <w:p>
      <w:pPr>
        <w:spacing w:after="0" w:line="178" w:lineRule="exact"/>
        <w:rPr>
          <w:sz w:val="20"/>
          <w:szCs w:val="20"/>
          <w:color w:val="auto"/>
        </w:rPr>
      </w:pPr>
    </w:p>
    <w:p>
      <w:pPr>
        <w:ind w:right="200"/>
        <w:spacing w:after="0" w:line="250" w:lineRule="auto"/>
        <w:rPr>
          <w:sz w:val="20"/>
          <w:szCs w:val="20"/>
          <w:color w:val="auto"/>
        </w:rPr>
      </w:pPr>
      <w:r>
        <w:rPr>
          <w:rFonts w:ascii="Arial" w:cs="Arial" w:eastAsia="Arial" w:hAnsi="Arial"/>
          <w:sz w:val="16"/>
          <w:szCs w:val="16"/>
          <w:color w:val="auto"/>
        </w:rPr>
        <w:t>The Audit Committee reviews the Company's financial reporting process on behalf of the Board of Directors. In fulfilling its responsibilities, the Audit Committee has reviewed and discussed the audited financial statements to be included in the 2018 Form 10-K with Management and the independent accountants. The Audit Committee hereby reports as follows: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46" w:lineRule="exact"/>
        <w:rPr>
          <w:sz w:val="20"/>
          <w:szCs w:val="20"/>
          <w:color w:val="auto"/>
        </w:rPr>
      </w:pPr>
    </w:p>
    <w:p>
      <w:pPr>
        <w:ind w:left="340" w:right="80" w:hanging="332"/>
        <w:spacing w:after="0" w:line="246" w:lineRule="auto"/>
        <w:tabs>
          <w:tab w:leader="none" w:pos="340" w:val="left"/>
        </w:tabs>
        <w:numPr>
          <w:ilvl w:val="0"/>
          <w:numId w:val="65"/>
        </w:numPr>
        <w:rPr>
          <w:rFonts w:ascii="Arial" w:cs="Arial" w:eastAsia="Arial" w:hAnsi="Arial"/>
          <w:sz w:val="16"/>
          <w:szCs w:val="16"/>
          <w:color w:val="auto"/>
        </w:rPr>
      </w:pPr>
      <w:r>
        <w:rPr>
          <w:rFonts w:ascii="Arial" w:cs="Arial" w:eastAsia="Arial" w:hAnsi="Arial"/>
          <w:sz w:val="16"/>
          <w:szCs w:val="16"/>
          <w:color w:val="auto"/>
        </w:rPr>
        <w:t>The Audit Committee has discussed with Deloitte the matters required to be discussed by the applicable PCAOB auditing standards.</w:t>
      </w:r>
    </w:p>
    <w:p>
      <w:pPr>
        <w:ind w:left="340" w:right="160" w:hanging="332"/>
        <w:spacing w:after="0" w:line="251" w:lineRule="auto"/>
        <w:tabs>
          <w:tab w:leader="none" w:pos="340" w:val="left"/>
        </w:tabs>
        <w:numPr>
          <w:ilvl w:val="0"/>
          <w:numId w:val="65"/>
        </w:numPr>
        <w:rPr>
          <w:rFonts w:ascii="Arial" w:cs="Arial" w:eastAsia="Arial" w:hAnsi="Arial"/>
          <w:sz w:val="16"/>
          <w:szCs w:val="16"/>
          <w:color w:val="auto"/>
        </w:rPr>
      </w:pPr>
      <w:r>
        <w:rPr>
          <w:rFonts w:ascii="Arial" w:cs="Arial" w:eastAsia="Arial" w:hAnsi="Arial"/>
          <w:sz w:val="16"/>
          <w:szCs w:val="16"/>
          <w:color w:val="auto"/>
        </w:rPr>
        <w:t>The Audit Committee has received the written disclosures from Deloitte required by applicable requirements of the PCAOB regarding Deloitte's communications with the Audit Committee concerning independence, and has discussed with Deloitte its independence.</w:t>
      </w:r>
    </w:p>
    <w:p>
      <w:pPr>
        <w:spacing w:after="0" w:line="311" w:lineRule="exact"/>
        <w:rPr>
          <w:sz w:val="20"/>
          <w:szCs w:val="20"/>
          <w:color w:val="auto"/>
        </w:rPr>
      </w:pPr>
    </w:p>
    <w:p>
      <w:pPr>
        <w:ind w:right="60"/>
        <w:spacing w:after="0" w:line="251" w:lineRule="auto"/>
        <w:rPr>
          <w:sz w:val="20"/>
          <w:szCs w:val="20"/>
          <w:color w:val="auto"/>
        </w:rPr>
      </w:pPr>
      <w:r>
        <w:rPr>
          <w:rFonts w:ascii="Arial" w:cs="Arial" w:eastAsia="Arial" w:hAnsi="Arial"/>
          <w:sz w:val="16"/>
          <w:szCs w:val="16"/>
          <w:color w:val="auto"/>
        </w:rPr>
        <w:t>Based on the review and discussion referred to in the bullet points above, the Audit Committee recommended to the Board of Directors of Winnebago Industries, Inc. that the Audited Financial Statements be included in Winnebago Industries, Inc.'s 2018 Form 10-K, for filing with the SEC.</w:t>
      </w:r>
    </w:p>
    <w:p>
      <w:pPr>
        <w:spacing w:after="0" w:line="159" w:lineRule="exact"/>
        <w:rPr>
          <w:sz w:val="20"/>
          <w:szCs w:val="20"/>
          <w:color w:val="auto"/>
        </w:rPr>
      </w:pPr>
    </w:p>
    <w:p>
      <w:pPr>
        <w:ind w:left="40"/>
        <w:spacing w:after="0"/>
        <w:rPr>
          <w:sz w:val="20"/>
          <w:szCs w:val="20"/>
          <w:color w:val="auto"/>
        </w:rPr>
      </w:pPr>
      <w:r>
        <w:rPr>
          <w:rFonts w:ascii="Arial" w:cs="Arial" w:eastAsia="Arial" w:hAnsi="Arial"/>
          <w:sz w:val="18"/>
          <w:szCs w:val="18"/>
          <w:color w:val="828282"/>
        </w:rPr>
        <w:t>The Audit Committee</w:t>
      </w:r>
    </w:p>
    <w:p>
      <w:pPr>
        <w:spacing w:after="0" w:line="79" w:lineRule="exact"/>
        <w:rPr>
          <w:sz w:val="20"/>
          <w:szCs w:val="20"/>
          <w:color w:val="auto"/>
        </w:rPr>
      </w:pPr>
    </w:p>
    <w:p>
      <w:pPr>
        <w:ind w:left="40"/>
        <w:spacing w:after="0"/>
        <w:rPr>
          <w:sz w:val="20"/>
          <w:szCs w:val="20"/>
          <w:color w:val="auto"/>
        </w:rPr>
      </w:pPr>
      <w:r>
        <w:rPr>
          <w:rFonts w:ascii="Arial" w:cs="Arial" w:eastAsia="Arial" w:hAnsi="Arial"/>
          <w:sz w:val="16"/>
          <w:szCs w:val="16"/>
          <w:color w:val="auto"/>
        </w:rPr>
        <w:t>Richard D. Moss, Chair</w:t>
      </w:r>
    </w:p>
    <w:p>
      <w:pPr>
        <w:spacing w:after="0" w:line="86" w:lineRule="exact"/>
        <w:rPr>
          <w:sz w:val="20"/>
          <w:szCs w:val="20"/>
          <w:color w:val="auto"/>
        </w:rPr>
      </w:pPr>
    </w:p>
    <w:p>
      <w:pPr>
        <w:ind w:left="40"/>
        <w:spacing w:after="0"/>
        <w:rPr>
          <w:sz w:val="20"/>
          <w:szCs w:val="20"/>
          <w:color w:val="auto"/>
        </w:rPr>
      </w:pPr>
      <w:r>
        <w:rPr>
          <w:rFonts w:ascii="Arial" w:cs="Arial" w:eastAsia="Arial" w:hAnsi="Arial"/>
          <w:sz w:val="16"/>
          <w:szCs w:val="16"/>
          <w:color w:val="auto"/>
        </w:rPr>
        <w:t>Maria F. Blase</w:t>
      </w:r>
    </w:p>
    <w:p>
      <w:pPr>
        <w:spacing w:after="0" w:line="86" w:lineRule="exact"/>
        <w:rPr>
          <w:sz w:val="20"/>
          <w:szCs w:val="20"/>
          <w:color w:val="auto"/>
        </w:rPr>
      </w:pPr>
    </w:p>
    <w:p>
      <w:pPr>
        <w:ind w:left="40"/>
        <w:spacing w:after="0"/>
        <w:rPr>
          <w:sz w:val="20"/>
          <w:szCs w:val="20"/>
          <w:color w:val="auto"/>
        </w:rPr>
      </w:pPr>
      <w:r>
        <w:rPr>
          <w:rFonts w:ascii="Arial" w:cs="Arial" w:eastAsia="Arial" w:hAnsi="Arial"/>
          <w:sz w:val="16"/>
          <w:szCs w:val="16"/>
          <w:color w:val="auto"/>
        </w:rPr>
        <w:t>William C. Fisher</w:t>
      </w:r>
    </w:p>
    <w:p>
      <w:pPr>
        <w:spacing w:after="0" w:line="86" w:lineRule="exact"/>
        <w:rPr>
          <w:sz w:val="20"/>
          <w:szCs w:val="20"/>
          <w:color w:val="auto"/>
        </w:rPr>
      </w:pPr>
    </w:p>
    <w:p>
      <w:pPr>
        <w:ind w:left="40"/>
        <w:spacing w:after="0"/>
        <w:rPr>
          <w:sz w:val="20"/>
          <w:szCs w:val="20"/>
          <w:color w:val="auto"/>
        </w:rPr>
      </w:pPr>
      <w:r>
        <w:rPr>
          <w:rFonts w:ascii="Arial" w:cs="Arial" w:eastAsia="Arial" w:hAnsi="Arial"/>
          <w:sz w:val="16"/>
          <w:szCs w:val="16"/>
          <w:color w:val="auto"/>
        </w:rPr>
        <w:t>David W. Miles</w:t>
      </w:r>
    </w:p>
    <w:p>
      <w:pPr>
        <w:spacing w:after="0" w:line="86" w:lineRule="exact"/>
        <w:rPr>
          <w:sz w:val="20"/>
          <w:szCs w:val="20"/>
          <w:color w:val="auto"/>
        </w:rPr>
      </w:pPr>
    </w:p>
    <w:p>
      <w:pPr>
        <w:ind w:left="40"/>
        <w:spacing w:after="0"/>
        <w:rPr>
          <w:sz w:val="20"/>
          <w:szCs w:val="20"/>
          <w:color w:val="auto"/>
        </w:rPr>
      </w:pPr>
      <w:r>
        <w:rPr>
          <w:rFonts w:ascii="Arial" w:cs="Arial" w:eastAsia="Arial" w:hAnsi="Arial"/>
          <w:sz w:val="16"/>
          <w:szCs w:val="16"/>
          <w:color w:val="auto"/>
        </w:rPr>
        <w:t>Martha Tomson Rodamaker</w:t>
      </w:r>
    </w:p>
    <w:p>
      <w:pPr>
        <w:spacing w:after="0" w:line="205" w:lineRule="exact"/>
        <w:rPr>
          <w:sz w:val="20"/>
          <w:szCs w:val="20"/>
          <w:color w:val="auto"/>
        </w:rPr>
      </w:pPr>
    </w:p>
    <w:p>
      <w:pPr>
        <w:ind w:right="80"/>
        <w:spacing w:after="0" w:line="255" w:lineRule="auto"/>
        <w:rPr>
          <w:sz w:val="20"/>
          <w:szCs w:val="20"/>
          <w:color w:val="auto"/>
        </w:rPr>
      </w:pPr>
      <w:r>
        <w:rPr>
          <w:rFonts w:ascii="Arial" w:cs="Arial" w:eastAsia="Arial" w:hAnsi="Arial"/>
          <w:sz w:val="16"/>
          <w:szCs w:val="16"/>
          <w:i w:val="1"/>
          <w:iCs w:val="1"/>
          <w:color w:val="auto"/>
        </w:rPr>
        <w:t>The foregoing report of our Audit Committee shall not be deemed to be incorporated by reference in any previous or future documents filed by our Company with the SEC under the Securities Act or the Exchange Act, except to the extent that we incorporate the report by reference in any such document.</w:t>
      </w:r>
    </w:p>
    <w:p>
      <w:pPr>
        <w:spacing w:after="0" w:line="942" w:lineRule="exact"/>
        <w:rPr>
          <w:sz w:val="20"/>
          <w:szCs w:val="20"/>
          <w:color w:val="auto"/>
        </w:rPr>
      </w:pPr>
    </w:p>
    <w:p>
      <w:pPr>
        <w:sectPr>
          <w:pgSz w:w="11900" w:h="16838" w:orient="portrait"/>
          <w:cols w:equalWidth="0" w:num="2">
            <w:col w:w="5600" w:space="220"/>
            <w:col w:w="5600"/>
          </w:cols>
          <w:pgMar w:left="240" w:top="303" w:right="239" w:bottom="1440" w:gutter="0" w:footer="0" w:header="0"/>
          <w:type w:val="continuous"/>
        </w:sectPr>
      </w:pPr>
    </w:p>
    <w:p>
      <w:pPr>
        <w:ind w:left="340" w:right="6000" w:hanging="332"/>
        <w:spacing w:after="0" w:line="251" w:lineRule="auto"/>
        <w:tabs>
          <w:tab w:leader="none" w:pos="340" w:val="left"/>
        </w:tabs>
        <w:numPr>
          <w:ilvl w:val="0"/>
          <w:numId w:val="66"/>
        </w:numPr>
        <w:rPr>
          <w:rFonts w:ascii="Arial" w:cs="Arial" w:eastAsia="Arial" w:hAnsi="Arial"/>
          <w:sz w:val="16"/>
          <w:szCs w:val="16"/>
          <w:color w:val="auto"/>
        </w:rPr>
      </w:pPr>
      <w:r>
        <w:rPr>
          <w:rFonts w:ascii="Arial" w:cs="Arial" w:eastAsia="Arial" w:hAnsi="Arial"/>
          <w:sz w:val="16"/>
          <w:szCs w:val="16"/>
          <w:color w:val="auto"/>
        </w:rPr>
        <w:t>The Audit Committee has reviewed and discussed the audited financial statements for the fiscal year ended August 25, 2018 of Winnebago Industries, Inc. (the “Audited Financial Statements”) with Winnebago Industries, Inc.'s Management.</w:t>
      </w: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45</w:t>
      </w:r>
    </w:p>
    <w:p>
      <w:pPr>
        <w:sectPr>
          <w:pgSz w:w="11900" w:h="16838" w:orient="portrait"/>
          <w:cols w:equalWidth="0" w:num="1">
            <w:col w:w="11420"/>
          </w:cols>
          <w:pgMar w:left="240" w:top="303" w:right="239" w:bottom="1440" w:gutter="0" w:footer="0" w:header="0"/>
          <w:type w:val="continuous"/>
        </w:sectPr>
      </w:pPr>
    </w:p>
    <w:bookmarkStart w:id="49" w:name="page50"/>
    <w:bookmarkEnd w:id="49"/>
    <w:p>
      <w:pPr>
        <w:ind w:left="40"/>
        <w:spacing w:after="0"/>
        <w:rPr>
          <w:rFonts w:ascii="Arial" w:cs="Arial" w:eastAsia="Arial" w:hAnsi="Arial"/>
          <w:sz w:val="15"/>
          <w:szCs w:val="15"/>
          <w:u w:val="single" w:color="auto"/>
          <w:color w:val="0000EE"/>
        </w:rPr>
      </w:pPr>
      <w:r>
        <w:rPr>
          <w:rFonts w:ascii="Arial" w:cs="Arial" w:eastAsia="Arial" w:hAnsi="Arial"/>
          <w:sz w:val="15"/>
          <w:szCs w:val="15"/>
          <w:u w:val="single" w:color="auto"/>
          <w:color w:val="0000EE"/>
        </w:rPr>
        <w:drawing>
          <wp:anchor simplePos="0" relativeHeight="251657728" behindDoc="1" locked="0" layoutInCell="0" allowOverlap="1">
            <wp:simplePos x="0" y="0"/>
            <wp:positionH relativeFrom="page">
              <wp:posOffset>5946140</wp:posOffset>
            </wp:positionH>
            <wp:positionV relativeFrom="page">
              <wp:posOffset>191770</wp:posOffset>
            </wp:positionV>
            <wp:extent cx="1440815" cy="20574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clrChange>
                        <a:clrFrom>
                          <a:srgbClr val="FFFFFF"/>
                        </a:clrFrom>
                        <a:clrTo>
                          <a:srgbClr val="FFFFFF">
                            <a:alpha val="0"/>
                          </a:srgbClr>
                        </a:clrTo>
                      </a:clrChange>
                      <a:extLst>
                        <a:ext uri="{28A0092B-C50C-407E-A947-70E740481C1C}"/>
                      </a:extLst>
                    </a:blip>
                    <a:srcRect/>
                    <a:stretch>
                      <a:fillRect/>
                    </a:stretch>
                  </pic:blipFill>
                  <pic:spPr bwMode="auto">
                    <a:xfrm>
                      <a:off x="0" y="0"/>
                      <a:ext cx="1440815" cy="205740"/>
                    </a:xfrm>
                    <a:prstGeom prst="rect">
                      <a:avLst/>
                    </a:prstGeom>
                    <a:noFill/>
                  </pic:spPr>
                </pic:pic>
              </a:graphicData>
            </a:graphic>
          </wp:anchor>
        </w:drawing>
      </w:r>
      <w:hyperlink w:anchor="page4">
        <w:r>
          <w:rPr>
            <w:rFonts w:ascii="Arial" w:cs="Arial" w:eastAsia="Arial" w:hAnsi="Arial"/>
            <w:sz w:val="15"/>
            <w:szCs w:val="15"/>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112395</wp:posOffset>
            </wp:positionV>
            <wp:extent cx="7246620" cy="889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330835</wp:posOffset>
            </wp:positionV>
            <wp:extent cx="7272020" cy="4254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360"/>
          </w:cols>
          <w:pgMar w:left="240" w:top="303" w:right="2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ind w:right="1180"/>
        <w:spacing w:after="0" w:line="296" w:lineRule="auto"/>
        <w:rPr>
          <w:sz w:val="20"/>
          <w:szCs w:val="20"/>
          <w:color w:val="auto"/>
        </w:rPr>
      </w:pPr>
      <w:r>
        <w:rPr>
          <w:rFonts w:ascii="Arial" w:cs="Arial" w:eastAsia="Arial" w:hAnsi="Arial"/>
          <w:sz w:val="28"/>
          <w:szCs w:val="28"/>
          <w:b w:val="1"/>
          <w:bCs w:val="1"/>
          <w:color w:val="BF2115"/>
        </w:rPr>
        <w:t>Independent Registered Public Accountant's Fees and Services</w:t>
      </w:r>
    </w:p>
    <w:p>
      <w:pPr>
        <w:spacing w:after="0" w:line="112" w:lineRule="exact"/>
        <w:rPr>
          <w:sz w:val="20"/>
          <w:szCs w:val="20"/>
          <w:color w:val="auto"/>
        </w:rPr>
      </w:pPr>
    </w:p>
    <w:p>
      <w:pPr>
        <w:ind w:right="80"/>
        <w:spacing w:after="0" w:line="251" w:lineRule="auto"/>
        <w:rPr>
          <w:sz w:val="20"/>
          <w:szCs w:val="20"/>
          <w:color w:val="auto"/>
        </w:rPr>
      </w:pPr>
      <w:r>
        <w:rPr>
          <w:rFonts w:ascii="Arial" w:cs="Arial" w:eastAsia="Arial" w:hAnsi="Arial"/>
          <w:sz w:val="16"/>
          <w:szCs w:val="16"/>
          <w:color w:val="auto"/>
        </w:rPr>
        <w:t>The following table presents fees for professional audit services rendered by Deloitte for the audit of our annual financial statements for fiscal years ended August 25, 2018 and August 26, 2017, and fees billed for other services rendered by Deloitte during those periods.</w:t>
      </w:r>
    </w:p>
    <w:p>
      <w:pPr>
        <w:spacing w:after="0" w:line="120"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2380" w:type="dxa"/>
            <w:vAlign w:val="bottom"/>
            <w:tcBorders>
              <w:bottom w:val="single" w:sz="8" w:color="BF2115"/>
            </w:tcBorders>
            <w:shd w:val="clear" w:color="auto" w:fill="BF2115"/>
          </w:tcPr>
          <w:p>
            <w:pPr>
              <w:spacing w:after="0"/>
              <w:rPr>
                <w:sz w:val="19"/>
                <w:szCs w:val="19"/>
                <w:color w:val="auto"/>
              </w:rPr>
            </w:pPr>
          </w:p>
        </w:tc>
        <w:tc>
          <w:tcPr>
            <w:tcW w:w="340" w:type="dxa"/>
            <w:vAlign w:val="bottom"/>
            <w:tcBorders>
              <w:bottom w:val="single" w:sz="8" w:color="BF2115"/>
            </w:tcBorders>
            <w:shd w:val="clear" w:color="auto" w:fill="BF2115"/>
          </w:tcPr>
          <w:p>
            <w:pPr>
              <w:spacing w:after="0"/>
              <w:rPr>
                <w:sz w:val="19"/>
                <w:szCs w:val="19"/>
                <w:color w:val="auto"/>
              </w:rPr>
            </w:pPr>
          </w:p>
        </w:tc>
        <w:tc>
          <w:tcPr>
            <w:tcW w:w="880" w:type="dxa"/>
            <w:vAlign w:val="bottom"/>
            <w:tcBorders>
              <w:bottom w:val="single" w:sz="8" w:color="BF2115"/>
            </w:tcBorders>
            <w:shd w:val="clear" w:color="auto" w:fill="BF2115"/>
          </w:tcPr>
          <w:p>
            <w:pPr>
              <w:spacing w:after="0"/>
              <w:rPr>
                <w:sz w:val="20"/>
                <w:szCs w:val="20"/>
                <w:color w:val="auto"/>
              </w:rPr>
            </w:pPr>
            <w:r>
              <w:rPr>
                <w:rFonts w:ascii="Arial" w:cs="Arial" w:eastAsia="Arial" w:hAnsi="Arial"/>
                <w:sz w:val="16"/>
                <w:szCs w:val="16"/>
                <w:b w:val="1"/>
                <w:bCs w:val="1"/>
                <w:color w:val="FFFFFF"/>
                <w:shd w:val="clear" w:color="auto" w:fill="BF2115"/>
              </w:rPr>
              <w:t>Fiscal 2018</w:t>
            </w:r>
          </w:p>
        </w:tc>
        <w:tc>
          <w:tcPr>
            <w:tcW w:w="440" w:type="dxa"/>
            <w:vAlign w:val="bottom"/>
            <w:tcBorders>
              <w:bottom w:val="single" w:sz="8" w:color="BF2115"/>
            </w:tcBorders>
            <w:gridSpan w:val="2"/>
            <w:shd w:val="clear" w:color="auto" w:fill="BF2115"/>
          </w:tcPr>
          <w:p>
            <w:pPr>
              <w:spacing w:after="0"/>
              <w:rPr>
                <w:sz w:val="19"/>
                <w:szCs w:val="19"/>
                <w:color w:val="auto"/>
              </w:rPr>
            </w:pPr>
          </w:p>
        </w:tc>
        <w:tc>
          <w:tcPr>
            <w:tcW w:w="340" w:type="dxa"/>
            <w:vAlign w:val="bottom"/>
            <w:tcBorders>
              <w:bottom w:val="single" w:sz="8" w:color="BF2115"/>
            </w:tcBorders>
            <w:shd w:val="clear" w:color="auto" w:fill="BF2115"/>
          </w:tcPr>
          <w:p>
            <w:pPr>
              <w:spacing w:after="0"/>
              <w:rPr>
                <w:sz w:val="19"/>
                <w:szCs w:val="19"/>
                <w:color w:val="auto"/>
              </w:rPr>
            </w:pPr>
          </w:p>
        </w:tc>
        <w:tc>
          <w:tcPr>
            <w:tcW w:w="880" w:type="dxa"/>
            <w:vAlign w:val="bottom"/>
            <w:tcBorders>
              <w:bottom w:val="single" w:sz="8" w:color="BF2115"/>
            </w:tcBorders>
            <w:shd w:val="clear" w:color="auto" w:fill="BF2115"/>
          </w:tcPr>
          <w:p>
            <w:pPr>
              <w:ind w:left="20"/>
              <w:spacing w:after="0"/>
              <w:rPr>
                <w:sz w:val="20"/>
                <w:szCs w:val="20"/>
                <w:color w:val="auto"/>
              </w:rPr>
            </w:pPr>
            <w:r>
              <w:rPr>
                <w:rFonts w:ascii="Arial" w:cs="Arial" w:eastAsia="Arial" w:hAnsi="Arial"/>
                <w:sz w:val="16"/>
                <w:szCs w:val="16"/>
                <w:b w:val="1"/>
                <w:bCs w:val="1"/>
                <w:color w:val="FFFFFF"/>
                <w:w w:val="98"/>
                <w:shd w:val="clear" w:color="auto" w:fill="BF2115"/>
              </w:rPr>
              <w:t>Fiscal 2017</w:t>
            </w:r>
          </w:p>
        </w:tc>
        <w:tc>
          <w:tcPr>
            <w:tcW w:w="340" w:type="dxa"/>
            <w:vAlign w:val="bottom"/>
            <w:tcBorders>
              <w:bottom w:val="single" w:sz="8" w:color="BF2115"/>
            </w:tcBorders>
            <w:shd w:val="clear" w:color="auto" w:fill="BF2115"/>
          </w:tcPr>
          <w:p>
            <w:pPr>
              <w:spacing w:after="0"/>
              <w:rPr>
                <w:sz w:val="19"/>
                <w:szCs w:val="19"/>
                <w:color w:val="auto"/>
              </w:rPr>
            </w:pPr>
          </w:p>
        </w:tc>
      </w:tr>
      <w:tr>
        <w:trPr>
          <w:trHeight w:val="270"/>
        </w:trPr>
        <w:tc>
          <w:tcPr>
            <w:tcW w:w="2380" w:type="dxa"/>
            <w:vAlign w:val="bottom"/>
          </w:tcPr>
          <w:p>
            <w:pPr>
              <w:ind w:left="40"/>
              <w:spacing w:after="0"/>
              <w:rPr>
                <w:sz w:val="20"/>
                <w:szCs w:val="20"/>
                <w:color w:val="auto"/>
              </w:rPr>
            </w:pPr>
            <w:r>
              <w:rPr>
                <w:rFonts w:ascii="Arial" w:cs="Arial" w:eastAsia="Arial" w:hAnsi="Arial"/>
                <w:sz w:val="16"/>
                <w:szCs w:val="16"/>
                <w:color w:val="auto"/>
              </w:rPr>
              <w:t xml:space="preserve">Audit Fees </w:t>
            </w:r>
            <w:r>
              <w:rPr>
                <w:rFonts w:ascii="Arial" w:cs="Arial" w:eastAsia="Arial" w:hAnsi="Arial"/>
                <w:sz w:val="21"/>
                <w:szCs w:val="21"/>
                <w:color w:val="auto"/>
                <w:vertAlign w:val="superscript"/>
              </w:rPr>
              <w:t>(1)</w:t>
            </w:r>
          </w:p>
        </w:tc>
        <w:tc>
          <w:tcPr>
            <w:tcW w:w="34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1220" w:type="dxa"/>
            <w:vAlign w:val="bottom"/>
            <w:gridSpan w:val="2"/>
          </w:tcPr>
          <w:p>
            <w:pPr>
              <w:jc w:val="right"/>
              <w:spacing w:after="0"/>
              <w:rPr>
                <w:sz w:val="20"/>
                <w:szCs w:val="20"/>
                <w:color w:val="auto"/>
              </w:rPr>
            </w:pPr>
            <w:r>
              <w:rPr>
                <w:rFonts w:ascii="Arial" w:cs="Arial" w:eastAsia="Arial" w:hAnsi="Arial"/>
                <w:sz w:val="16"/>
                <w:szCs w:val="16"/>
                <w:color w:val="auto"/>
              </w:rPr>
              <w:t>1,051,000</w:t>
            </w:r>
          </w:p>
        </w:tc>
        <w:tc>
          <w:tcPr>
            <w:tcW w:w="100" w:type="dxa"/>
            <w:vAlign w:val="bottom"/>
          </w:tcPr>
          <w:p>
            <w:pPr>
              <w:spacing w:after="0"/>
              <w:rPr>
                <w:sz w:val="23"/>
                <w:szCs w:val="23"/>
                <w:color w:val="auto"/>
              </w:rPr>
            </w:pPr>
          </w:p>
        </w:tc>
        <w:tc>
          <w:tcPr>
            <w:tcW w:w="34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1220" w:type="dxa"/>
            <w:vAlign w:val="bottom"/>
            <w:gridSpan w:val="2"/>
          </w:tcPr>
          <w:p>
            <w:pPr>
              <w:jc w:val="right"/>
              <w:spacing w:after="0"/>
              <w:rPr>
                <w:sz w:val="20"/>
                <w:szCs w:val="20"/>
                <w:color w:val="auto"/>
              </w:rPr>
            </w:pPr>
            <w:r>
              <w:rPr>
                <w:rFonts w:ascii="Arial" w:cs="Arial" w:eastAsia="Arial" w:hAnsi="Arial"/>
                <w:sz w:val="16"/>
                <w:szCs w:val="16"/>
                <w:color w:val="auto"/>
              </w:rPr>
              <w:t>1,162,000</w:t>
            </w:r>
          </w:p>
        </w:tc>
      </w:tr>
      <w:tr>
        <w:trPr>
          <w:trHeight w:val="243"/>
        </w:trPr>
        <w:tc>
          <w:tcPr>
            <w:tcW w:w="2380" w:type="dxa"/>
            <w:vAlign w:val="bottom"/>
            <w:shd w:val="clear" w:color="auto" w:fill="ACACAC"/>
          </w:tcPr>
          <w:p>
            <w:pPr>
              <w:ind w:left="40"/>
              <w:spacing w:after="0"/>
              <w:rPr>
                <w:sz w:val="20"/>
                <w:szCs w:val="20"/>
                <w:color w:val="auto"/>
              </w:rPr>
            </w:pPr>
            <w:r>
              <w:rPr>
                <w:rFonts w:ascii="Arial" w:cs="Arial" w:eastAsia="Arial" w:hAnsi="Arial"/>
                <w:sz w:val="16"/>
                <w:szCs w:val="16"/>
                <w:color w:val="auto"/>
              </w:rPr>
              <w:t xml:space="preserve">Audit-Related Fees </w:t>
            </w:r>
            <w:r>
              <w:rPr>
                <w:rFonts w:ascii="Arial" w:cs="Arial" w:eastAsia="Arial" w:hAnsi="Arial"/>
                <w:sz w:val="21"/>
                <w:szCs w:val="21"/>
                <w:color w:val="auto"/>
                <w:vertAlign w:val="superscript"/>
              </w:rPr>
              <w:t>(2)</w:t>
            </w:r>
          </w:p>
        </w:tc>
        <w:tc>
          <w:tcPr>
            <w:tcW w:w="340" w:type="dxa"/>
            <w:vAlign w:val="bottom"/>
            <w:shd w:val="clear" w:color="auto" w:fill="ACACAC"/>
          </w:tcPr>
          <w:p>
            <w:pPr>
              <w:spacing w:after="0"/>
              <w:rPr>
                <w:sz w:val="21"/>
                <w:szCs w:val="21"/>
                <w:color w:val="auto"/>
              </w:rPr>
            </w:pPr>
          </w:p>
        </w:tc>
        <w:tc>
          <w:tcPr>
            <w:tcW w:w="1220" w:type="dxa"/>
            <w:vAlign w:val="bottom"/>
            <w:gridSpan w:val="2"/>
            <w:shd w:val="clear" w:color="auto" w:fill="ACACAC"/>
          </w:tcPr>
          <w:p>
            <w:pPr>
              <w:jc w:val="right"/>
              <w:spacing w:after="0"/>
              <w:rPr>
                <w:sz w:val="20"/>
                <w:szCs w:val="20"/>
                <w:color w:val="auto"/>
              </w:rPr>
            </w:pPr>
            <w:r>
              <w:rPr>
                <w:rFonts w:ascii="Arial" w:cs="Arial" w:eastAsia="Arial" w:hAnsi="Arial"/>
                <w:sz w:val="16"/>
                <w:szCs w:val="16"/>
                <w:color w:val="auto"/>
              </w:rPr>
              <w:t>26,000</w:t>
            </w:r>
          </w:p>
        </w:tc>
        <w:tc>
          <w:tcPr>
            <w:tcW w:w="100" w:type="dxa"/>
            <w:vAlign w:val="bottom"/>
            <w:shd w:val="clear" w:color="auto" w:fill="ACACAC"/>
          </w:tcPr>
          <w:p>
            <w:pPr>
              <w:spacing w:after="0"/>
              <w:rPr>
                <w:sz w:val="21"/>
                <w:szCs w:val="21"/>
                <w:color w:val="auto"/>
              </w:rPr>
            </w:pPr>
          </w:p>
        </w:tc>
        <w:tc>
          <w:tcPr>
            <w:tcW w:w="340" w:type="dxa"/>
            <w:vAlign w:val="bottom"/>
            <w:shd w:val="clear" w:color="auto" w:fill="ACACAC"/>
          </w:tcPr>
          <w:p>
            <w:pPr>
              <w:spacing w:after="0"/>
              <w:rPr>
                <w:sz w:val="21"/>
                <w:szCs w:val="21"/>
                <w:color w:val="auto"/>
              </w:rPr>
            </w:pPr>
          </w:p>
        </w:tc>
        <w:tc>
          <w:tcPr>
            <w:tcW w:w="1220" w:type="dxa"/>
            <w:vAlign w:val="bottom"/>
            <w:gridSpan w:val="2"/>
            <w:shd w:val="clear" w:color="auto" w:fill="ACACAC"/>
          </w:tcPr>
          <w:p>
            <w:pPr>
              <w:jc w:val="right"/>
              <w:spacing w:after="0"/>
              <w:rPr>
                <w:sz w:val="20"/>
                <w:szCs w:val="20"/>
                <w:color w:val="auto"/>
              </w:rPr>
            </w:pPr>
            <w:r>
              <w:rPr>
                <w:rFonts w:ascii="Arial" w:cs="Arial" w:eastAsia="Arial" w:hAnsi="Arial"/>
                <w:sz w:val="16"/>
                <w:szCs w:val="16"/>
                <w:color w:val="auto"/>
              </w:rPr>
              <w:t>303,000</w:t>
            </w:r>
          </w:p>
        </w:tc>
      </w:tr>
      <w:tr>
        <w:trPr>
          <w:trHeight w:val="243"/>
        </w:trPr>
        <w:tc>
          <w:tcPr>
            <w:tcW w:w="2380" w:type="dxa"/>
            <w:vAlign w:val="bottom"/>
          </w:tcPr>
          <w:p>
            <w:pPr>
              <w:ind w:left="40"/>
              <w:spacing w:after="0"/>
              <w:rPr>
                <w:sz w:val="20"/>
                <w:szCs w:val="20"/>
                <w:color w:val="auto"/>
              </w:rPr>
            </w:pPr>
            <w:r>
              <w:rPr>
                <w:rFonts w:ascii="Arial" w:cs="Arial" w:eastAsia="Arial" w:hAnsi="Arial"/>
                <w:sz w:val="16"/>
                <w:szCs w:val="16"/>
                <w:color w:val="auto"/>
              </w:rPr>
              <w:t xml:space="preserve">Tax Fees </w:t>
            </w:r>
            <w:r>
              <w:rPr>
                <w:rFonts w:ascii="Arial" w:cs="Arial" w:eastAsia="Arial" w:hAnsi="Arial"/>
                <w:sz w:val="21"/>
                <w:szCs w:val="21"/>
                <w:color w:val="auto"/>
                <w:vertAlign w:val="superscript"/>
              </w:rPr>
              <w:t>(3)</w:t>
            </w:r>
          </w:p>
        </w:tc>
        <w:tc>
          <w:tcPr>
            <w:tcW w:w="34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4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34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43"/>
        </w:trPr>
        <w:tc>
          <w:tcPr>
            <w:tcW w:w="2380" w:type="dxa"/>
            <w:vAlign w:val="bottom"/>
            <w:shd w:val="clear" w:color="auto" w:fill="ACACAC"/>
          </w:tcPr>
          <w:p>
            <w:pPr>
              <w:ind w:left="40"/>
              <w:spacing w:after="0"/>
              <w:rPr>
                <w:sz w:val="20"/>
                <w:szCs w:val="20"/>
                <w:color w:val="auto"/>
              </w:rPr>
            </w:pPr>
            <w:r>
              <w:rPr>
                <w:rFonts w:ascii="Arial" w:cs="Arial" w:eastAsia="Arial" w:hAnsi="Arial"/>
                <w:sz w:val="16"/>
                <w:szCs w:val="16"/>
                <w:color w:val="auto"/>
              </w:rPr>
              <w:t xml:space="preserve">All Other Fees </w:t>
            </w:r>
            <w:r>
              <w:rPr>
                <w:rFonts w:ascii="Arial" w:cs="Arial" w:eastAsia="Arial" w:hAnsi="Arial"/>
                <w:sz w:val="21"/>
                <w:szCs w:val="21"/>
                <w:color w:val="auto"/>
                <w:vertAlign w:val="superscript"/>
              </w:rPr>
              <w:t>(4)</w:t>
            </w:r>
          </w:p>
        </w:tc>
        <w:tc>
          <w:tcPr>
            <w:tcW w:w="340" w:type="dxa"/>
            <w:vAlign w:val="bottom"/>
            <w:shd w:val="clear" w:color="auto" w:fill="ACACAC"/>
          </w:tcPr>
          <w:p>
            <w:pPr>
              <w:spacing w:after="0"/>
              <w:rPr>
                <w:sz w:val="21"/>
                <w:szCs w:val="21"/>
                <w:color w:val="auto"/>
              </w:rPr>
            </w:pPr>
          </w:p>
        </w:tc>
        <w:tc>
          <w:tcPr>
            <w:tcW w:w="880" w:type="dxa"/>
            <w:vAlign w:val="bottom"/>
            <w:shd w:val="clear" w:color="auto" w:fill="ACACAC"/>
          </w:tcPr>
          <w:p>
            <w:pPr>
              <w:spacing w:after="0"/>
              <w:rPr>
                <w:sz w:val="21"/>
                <w:szCs w:val="21"/>
                <w:color w:val="auto"/>
              </w:rPr>
            </w:pPr>
          </w:p>
        </w:tc>
        <w:tc>
          <w:tcPr>
            <w:tcW w:w="440" w:type="dxa"/>
            <w:vAlign w:val="bottom"/>
            <w:gridSpan w:val="2"/>
            <w:shd w:val="clear" w:color="auto" w:fill="ACACAC"/>
          </w:tcPr>
          <w:p>
            <w:pPr>
              <w:jc w:val="right"/>
              <w:ind w:right="160"/>
              <w:spacing w:after="0"/>
              <w:rPr>
                <w:sz w:val="20"/>
                <w:szCs w:val="20"/>
                <w:color w:val="auto"/>
              </w:rPr>
            </w:pPr>
            <w:r>
              <w:rPr>
                <w:rFonts w:ascii="Arial" w:cs="Arial" w:eastAsia="Arial" w:hAnsi="Arial"/>
                <w:sz w:val="16"/>
                <w:szCs w:val="16"/>
                <w:color w:val="auto"/>
              </w:rPr>
              <w:t>—</w:t>
            </w:r>
          </w:p>
        </w:tc>
        <w:tc>
          <w:tcPr>
            <w:tcW w:w="340" w:type="dxa"/>
            <w:vAlign w:val="bottom"/>
            <w:shd w:val="clear" w:color="auto" w:fill="ACACAC"/>
          </w:tcPr>
          <w:p>
            <w:pPr>
              <w:spacing w:after="0"/>
              <w:rPr>
                <w:sz w:val="21"/>
                <w:szCs w:val="21"/>
                <w:color w:val="auto"/>
              </w:rPr>
            </w:pPr>
          </w:p>
        </w:tc>
        <w:tc>
          <w:tcPr>
            <w:tcW w:w="880" w:type="dxa"/>
            <w:vAlign w:val="bottom"/>
            <w:shd w:val="clear" w:color="auto" w:fill="ACACAC"/>
          </w:tcPr>
          <w:p>
            <w:pPr>
              <w:spacing w:after="0"/>
              <w:rPr>
                <w:sz w:val="21"/>
                <w:szCs w:val="21"/>
                <w:color w:val="auto"/>
              </w:rPr>
            </w:pPr>
          </w:p>
        </w:tc>
        <w:tc>
          <w:tcPr>
            <w:tcW w:w="340" w:type="dxa"/>
            <w:vAlign w:val="bottom"/>
            <w:shd w:val="clear" w:color="auto" w:fill="ACACAC"/>
          </w:tcPr>
          <w:p>
            <w:pPr>
              <w:jc w:val="right"/>
              <w:spacing w:after="0"/>
              <w:rPr>
                <w:sz w:val="20"/>
                <w:szCs w:val="20"/>
                <w:color w:val="auto"/>
              </w:rPr>
            </w:pPr>
            <w:r>
              <w:rPr>
                <w:rFonts w:ascii="Arial" w:cs="Arial" w:eastAsia="Arial" w:hAnsi="Arial"/>
                <w:sz w:val="16"/>
                <w:szCs w:val="16"/>
                <w:color w:val="auto"/>
              </w:rPr>
              <w:t>—</w:t>
            </w:r>
          </w:p>
        </w:tc>
      </w:tr>
      <w:tr>
        <w:trPr>
          <w:trHeight w:val="234"/>
        </w:trPr>
        <w:tc>
          <w:tcPr>
            <w:tcW w:w="2380" w:type="dxa"/>
            <w:vAlign w:val="bottom"/>
          </w:tcPr>
          <w:p>
            <w:pPr>
              <w:ind w:left="40"/>
              <w:spacing w:after="0"/>
              <w:rPr>
                <w:sz w:val="20"/>
                <w:szCs w:val="20"/>
                <w:color w:val="auto"/>
              </w:rPr>
            </w:pPr>
            <w:r>
              <w:rPr>
                <w:rFonts w:ascii="Arial" w:cs="Arial" w:eastAsia="Arial" w:hAnsi="Arial"/>
                <w:sz w:val="16"/>
                <w:szCs w:val="16"/>
                <w:color w:val="auto"/>
              </w:rPr>
              <w:t>Total</w:t>
            </w:r>
          </w:p>
        </w:tc>
        <w:tc>
          <w:tcPr>
            <w:tcW w:w="340" w:type="dxa"/>
            <w:vAlign w:val="bottom"/>
            <w:tcBorders>
              <w:top w:val="single" w:sz="8" w:color="auto"/>
              <w:bottom w:val="single" w:sz="8" w:color="auto"/>
            </w:tcBorders>
          </w:tcPr>
          <w:p>
            <w:pPr>
              <w:jc w:val="right"/>
              <w:ind w:right="139"/>
              <w:spacing w:after="0"/>
              <w:rPr>
                <w:sz w:val="20"/>
                <w:szCs w:val="20"/>
                <w:color w:val="auto"/>
              </w:rPr>
            </w:pPr>
            <w:r>
              <w:rPr>
                <w:rFonts w:ascii="Arial" w:cs="Arial" w:eastAsia="Arial" w:hAnsi="Arial"/>
                <w:sz w:val="16"/>
                <w:szCs w:val="16"/>
                <w:color w:val="auto"/>
              </w:rPr>
              <w:t>$</w:t>
            </w:r>
          </w:p>
        </w:tc>
        <w:tc>
          <w:tcPr>
            <w:tcW w:w="122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6"/>
                <w:szCs w:val="16"/>
                <w:color w:val="auto"/>
              </w:rPr>
              <w:t>1,077,000</w:t>
            </w:r>
          </w:p>
        </w:tc>
        <w:tc>
          <w:tcPr>
            <w:tcW w:w="100" w:type="dxa"/>
            <w:vAlign w:val="bottom"/>
          </w:tcPr>
          <w:p>
            <w:pPr>
              <w:spacing w:after="0"/>
              <w:rPr>
                <w:sz w:val="20"/>
                <w:szCs w:val="20"/>
                <w:color w:val="auto"/>
              </w:rPr>
            </w:pPr>
          </w:p>
        </w:tc>
        <w:tc>
          <w:tcPr>
            <w:tcW w:w="340" w:type="dxa"/>
            <w:vAlign w:val="bottom"/>
            <w:tcBorders>
              <w:top w:val="single" w:sz="8" w:color="auto"/>
              <w:bottom w:val="single" w:sz="8" w:color="auto"/>
            </w:tcBorders>
          </w:tcPr>
          <w:p>
            <w:pPr>
              <w:jc w:val="right"/>
              <w:ind w:right="139"/>
              <w:spacing w:after="0"/>
              <w:rPr>
                <w:sz w:val="20"/>
                <w:szCs w:val="20"/>
                <w:color w:val="auto"/>
              </w:rPr>
            </w:pPr>
            <w:r>
              <w:rPr>
                <w:rFonts w:ascii="Arial" w:cs="Arial" w:eastAsia="Arial" w:hAnsi="Arial"/>
                <w:sz w:val="16"/>
                <w:szCs w:val="16"/>
                <w:color w:val="auto"/>
              </w:rPr>
              <w:t>$</w:t>
            </w:r>
          </w:p>
        </w:tc>
        <w:tc>
          <w:tcPr>
            <w:tcW w:w="122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6"/>
                <w:szCs w:val="16"/>
                <w:color w:val="auto"/>
              </w:rPr>
              <w:t>1,465,000</w:t>
            </w:r>
          </w:p>
        </w:tc>
      </w:tr>
      <w:tr>
        <w:trPr>
          <w:trHeight w:val="20"/>
        </w:trPr>
        <w:tc>
          <w:tcPr>
            <w:tcW w:w="23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r>
    </w:tbl>
    <w:p>
      <w:pPr>
        <w:spacing w:after="0" w:line="113" w:lineRule="exact"/>
        <w:rPr>
          <w:sz w:val="20"/>
          <w:szCs w:val="20"/>
          <w:color w:val="auto"/>
        </w:rPr>
      </w:pPr>
    </w:p>
    <w:p>
      <w:pPr>
        <w:ind w:left="340" w:right="360" w:hanging="332"/>
        <w:spacing w:after="0" w:line="250" w:lineRule="auto"/>
        <w:tabs>
          <w:tab w:leader="none" w:pos="340" w:val="left"/>
        </w:tabs>
        <w:numPr>
          <w:ilvl w:val="0"/>
          <w:numId w:val="67"/>
        </w:numPr>
        <w:rPr>
          <w:rFonts w:ascii="Arial" w:cs="Arial" w:eastAsia="Arial" w:hAnsi="Arial"/>
          <w:sz w:val="13"/>
          <w:szCs w:val="13"/>
          <w:color w:val="auto"/>
        </w:rPr>
      </w:pPr>
      <w:r>
        <w:rPr>
          <w:rFonts w:ascii="Arial" w:cs="Arial" w:eastAsia="Arial" w:hAnsi="Arial"/>
          <w:sz w:val="14"/>
          <w:szCs w:val="14"/>
          <w:color w:val="auto"/>
        </w:rPr>
        <w:t>Represents fees for professional services provided for the audit of our annual financial statements, the audit of our internal control over financial reporting, review of our interim financial information and review of other SEC filings.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right="240"/>
        <w:spacing w:after="0" w:line="254" w:lineRule="auto"/>
        <w:rPr>
          <w:sz w:val="20"/>
          <w:szCs w:val="20"/>
          <w:color w:val="auto"/>
        </w:rPr>
      </w:pPr>
      <w:r>
        <w:rPr>
          <w:rFonts w:ascii="Arial" w:cs="Arial" w:eastAsia="Arial" w:hAnsi="Arial"/>
          <w:sz w:val="29"/>
          <w:szCs w:val="29"/>
          <w:b w:val="1"/>
          <w:bCs w:val="1"/>
          <w:color w:val="BF2115"/>
        </w:rPr>
        <w:t>Item 4: Ratification of the Appointment of Independent Registered Public Accountant for the Fiscal Year Ending August 31, 2019</w:t>
      </w:r>
    </w:p>
    <w:p>
      <w:pPr>
        <w:spacing w:after="0" w:line="170" w:lineRule="exact"/>
        <w:rPr>
          <w:sz w:val="20"/>
          <w:szCs w:val="20"/>
          <w:color w:val="auto"/>
        </w:rPr>
      </w:pPr>
    </w:p>
    <w:p>
      <w:pPr>
        <w:spacing w:after="0" w:line="247" w:lineRule="auto"/>
        <w:rPr>
          <w:sz w:val="20"/>
          <w:szCs w:val="20"/>
          <w:color w:val="auto"/>
        </w:rPr>
      </w:pPr>
      <w:r>
        <w:rPr>
          <w:rFonts w:ascii="Arial" w:cs="Arial" w:eastAsia="Arial" w:hAnsi="Arial"/>
          <w:sz w:val="16"/>
          <w:szCs w:val="16"/>
          <w:color w:val="auto"/>
        </w:rPr>
        <w:t>Deloitte &amp; Touche LLP was appointed by the Audit Committee as our independent registered public accountant for the fiscal year ending August 31, 2019. We are asking our shareholders to ratify the appointment of Deloitte, who has served as our independent registered public accountant for over 25 years. Representatives of the firm will be present at the Annual Meeting and will be given the opportunity to make a statement if they so desire and will be available to respond to any shareholder questions that may be asked. For a description of the fees for services rendered by Deloitte in Fiscal 2017 and Fiscal 2018, and a description of our policy regarding the approval of independent registered public accountant provision of audit and non-audit services, see “Independent Registered Public Accountant's Fees and Services” above.</w:t>
      </w:r>
    </w:p>
    <w:p>
      <w:pPr>
        <w:spacing w:after="0" w:line="121" w:lineRule="exact"/>
        <w:rPr>
          <w:sz w:val="20"/>
          <w:szCs w:val="20"/>
          <w:color w:val="auto"/>
        </w:rPr>
      </w:pPr>
    </w:p>
    <w:p>
      <w:pPr>
        <w:sectPr>
          <w:pgSz w:w="11900" w:h="16838" w:orient="portrait"/>
          <w:cols w:equalWidth="0" w:num="2">
            <w:col w:w="5600" w:space="220"/>
            <w:col w:w="5540"/>
          </w:cols>
          <w:pgMar w:left="240" w:top="303" w:right="299" w:bottom="1440" w:gutter="0" w:footer="0" w:header="0"/>
          <w:type w:val="continuous"/>
        </w:sectPr>
      </w:pPr>
    </w:p>
    <w:p>
      <w:pPr>
        <w:ind w:left="340" w:hanging="332"/>
        <w:spacing w:after="0" w:line="229" w:lineRule="auto"/>
        <w:tabs>
          <w:tab w:leader="none" w:pos="340" w:val="left"/>
        </w:tabs>
        <w:numPr>
          <w:ilvl w:val="0"/>
          <w:numId w:val="68"/>
        </w:numPr>
        <w:rPr>
          <w:rFonts w:ascii="Arial" w:cs="Arial" w:eastAsia="Arial" w:hAnsi="Arial"/>
          <w:sz w:val="13"/>
          <w:szCs w:val="13"/>
          <w:color w:val="auto"/>
        </w:rPr>
      </w:pPr>
      <w:r>
        <w:rPr>
          <w:rFonts w:ascii="Arial" w:cs="Arial" w:eastAsia="Arial" w:hAnsi="Arial"/>
          <w:sz w:val="14"/>
          <w:szCs w:val="14"/>
          <w:color w:val="auto"/>
        </w:rPr>
        <w:t>Represents fees for professional services provided for the audit of our benefit plan and due diligence services.</w:t>
      </w:r>
    </w:p>
    <w:p>
      <w:pPr>
        <w:spacing w:after="0" w:line="16" w:lineRule="exact"/>
        <w:rPr>
          <w:rFonts w:ascii="Arial" w:cs="Arial" w:eastAsia="Arial" w:hAnsi="Arial"/>
          <w:sz w:val="13"/>
          <w:szCs w:val="13"/>
          <w:color w:val="auto"/>
        </w:rPr>
      </w:pPr>
    </w:p>
    <w:p>
      <w:pPr>
        <w:ind w:left="340" w:right="440" w:hanging="332"/>
        <w:spacing w:after="0" w:line="229" w:lineRule="auto"/>
        <w:tabs>
          <w:tab w:leader="none" w:pos="340" w:val="left"/>
        </w:tabs>
        <w:numPr>
          <w:ilvl w:val="0"/>
          <w:numId w:val="68"/>
        </w:numPr>
        <w:rPr>
          <w:rFonts w:ascii="Arial" w:cs="Arial" w:eastAsia="Arial" w:hAnsi="Arial"/>
          <w:sz w:val="13"/>
          <w:szCs w:val="13"/>
          <w:color w:val="auto"/>
        </w:rPr>
      </w:pPr>
      <w:r>
        <w:rPr>
          <w:rFonts w:ascii="Arial" w:cs="Arial" w:eastAsia="Arial" w:hAnsi="Arial"/>
          <w:sz w:val="14"/>
          <w:szCs w:val="14"/>
          <w:color w:val="auto"/>
        </w:rPr>
        <w:t>Represents fees for professional services related to tax compliance and tax planning.</w:t>
      </w:r>
    </w:p>
    <w:p>
      <w:pPr>
        <w:spacing w:after="0" w:line="16" w:lineRule="exact"/>
        <w:rPr>
          <w:rFonts w:ascii="Arial" w:cs="Arial" w:eastAsia="Arial" w:hAnsi="Arial"/>
          <w:sz w:val="13"/>
          <w:szCs w:val="13"/>
          <w:color w:val="auto"/>
        </w:rPr>
      </w:pPr>
    </w:p>
    <w:p>
      <w:pPr>
        <w:ind w:left="340" w:right="20" w:hanging="332"/>
        <w:spacing w:after="0" w:line="229" w:lineRule="auto"/>
        <w:tabs>
          <w:tab w:leader="none" w:pos="340" w:val="left"/>
        </w:tabs>
        <w:numPr>
          <w:ilvl w:val="0"/>
          <w:numId w:val="68"/>
        </w:numPr>
        <w:rPr>
          <w:rFonts w:ascii="Arial" w:cs="Arial" w:eastAsia="Arial" w:hAnsi="Arial"/>
          <w:sz w:val="13"/>
          <w:szCs w:val="13"/>
          <w:color w:val="auto"/>
        </w:rPr>
      </w:pPr>
      <w:r>
        <w:rPr>
          <w:rFonts w:ascii="Arial" w:cs="Arial" w:eastAsia="Arial" w:hAnsi="Arial"/>
          <w:sz w:val="14"/>
          <w:szCs w:val="14"/>
          <w:color w:val="auto"/>
        </w:rPr>
        <w:t>Represents fees for professional services provided to us not otherwise included in the categories above.</w:t>
      </w:r>
    </w:p>
    <w:p>
      <w:pPr>
        <w:spacing w:after="0" w:line="136" w:lineRule="exact"/>
        <w:rPr>
          <w:sz w:val="20"/>
          <w:szCs w:val="20"/>
          <w:color w:val="auto"/>
        </w:rPr>
      </w:pPr>
    </w:p>
    <w:p>
      <w:pPr>
        <w:ind w:right="100"/>
        <w:spacing w:after="0" w:line="251" w:lineRule="auto"/>
        <w:rPr>
          <w:sz w:val="20"/>
          <w:szCs w:val="20"/>
          <w:color w:val="auto"/>
        </w:rPr>
      </w:pPr>
      <w:r>
        <w:rPr>
          <w:rFonts w:ascii="Arial" w:cs="Arial" w:eastAsia="Arial" w:hAnsi="Arial"/>
          <w:sz w:val="16"/>
          <w:szCs w:val="16"/>
          <w:color w:val="auto"/>
        </w:rPr>
        <w:t>The Audit Committee considered whether the provision of tax, benefit plan audit and all other accounting consulting services by Deloitte are compatible with maintaining its independence and concluded that the independence of Deloitte is not compromised by the provision of such services.</w:t>
      </w:r>
    </w:p>
    <w:p>
      <w:pPr>
        <w:spacing w:after="0" w:line="181" w:lineRule="exact"/>
        <w:rPr>
          <w:sz w:val="20"/>
          <w:szCs w:val="20"/>
          <w:color w:val="auto"/>
        </w:rPr>
      </w:pPr>
    </w:p>
    <w:p>
      <w:pPr>
        <w:ind w:right="40"/>
        <w:spacing w:after="0" w:line="246" w:lineRule="auto"/>
        <w:rPr>
          <w:sz w:val="20"/>
          <w:szCs w:val="20"/>
          <w:color w:val="auto"/>
        </w:rPr>
      </w:pPr>
      <w:r>
        <w:rPr>
          <w:rFonts w:ascii="Arial" w:cs="Arial" w:eastAsia="Arial" w:hAnsi="Arial"/>
          <w:sz w:val="22"/>
          <w:szCs w:val="22"/>
          <w:color w:val="828282"/>
        </w:rPr>
        <w:t>Policy Regarding the Approval of Independent Registered Public Accountant Provision of Audit and Nonaudit Services</w:t>
      </w:r>
    </w:p>
    <w:p>
      <w:pPr>
        <w:spacing w:after="0" w:line="176" w:lineRule="exact"/>
        <w:rPr>
          <w:sz w:val="20"/>
          <w:szCs w:val="20"/>
          <w:color w:val="auto"/>
        </w:rPr>
      </w:pPr>
    </w:p>
    <w:p>
      <w:pPr>
        <w:ind w:right="120"/>
        <w:spacing w:after="0" w:line="248" w:lineRule="auto"/>
        <w:rPr>
          <w:sz w:val="20"/>
          <w:szCs w:val="20"/>
          <w:color w:val="auto"/>
        </w:rPr>
      </w:pPr>
      <w:r>
        <w:rPr>
          <w:rFonts w:ascii="Arial" w:cs="Arial" w:eastAsia="Arial" w:hAnsi="Arial"/>
          <w:sz w:val="16"/>
          <w:szCs w:val="16"/>
          <w:color w:val="auto"/>
        </w:rPr>
        <w:t>The Audit Committee Charter requires the Audit Committee to pre-approve the audit and non-audit fees and services that may be provided by Deloitte, our independent registered public accountant, to us. The Audit Committee shall consult with Management but shall not delegate these responsibilities, except that pre-approvals of nonaudit services may be delegated to a single member of the Audit Committee, who shall then inform the entire Audit Committee of the engagement of such services. The Audit Committee pre-approved under that policy all of the audit and non-audit fees and services provided by Deloitte for Fiscal 2018 and Fiscal 2017.</w:t>
      </w:r>
    </w:p>
    <w:p>
      <w:pPr>
        <w:spacing w:after="0" w:line="20" w:lineRule="exact"/>
        <w:rPr>
          <w:sz w:val="20"/>
          <w:szCs w:val="20"/>
          <w:color w:val="auto"/>
        </w:rPr>
      </w:pPr>
      <w:r>
        <w:rPr>
          <w:sz w:val="20"/>
          <w:szCs w:val="20"/>
          <w:color w:val="auto"/>
        </w:rPr>
        <w:br w:type="column"/>
      </w:r>
    </w:p>
    <w:p>
      <w:pPr>
        <w:spacing w:after="0" w:line="17" w:lineRule="exact"/>
        <w:rPr>
          <w:sz w:val="20"/>
          <w:szCs w:val="20"/>
          <w:color w:val="auto"/>
        </w:rPr>
      </w:pPr>
    </w:p>
    <w:p>
      <w:pPr>
        <w:ind w:left="200"/>
        <w:spacing w:after="0" w:line="248" w:lineRule="auto"/>
        <w:rPr>
          <w:sz w:val="20"/>
          <w:szCs w:val="20"/>
          <w:color w:val="auto"/>
        </w:rPr>
      </w:pPr>
      <w:r>
        <w:rPr>
          <w:rFonts w:ascii="Arial" w:cs="Arial" w:eastAsia="Arial" w:hAnsi="Arial"/>
          <w:sz w:val="16"/>
          <w:szCs w:val="16"/>
          <w:color w:val="auto"/>
        </w:rPr>
        <w:t>Although ratification by the shareholders is not required by law, the Board of Directors has determined that it is desirable to request approval of this selection by the shareholders. In the event the shareholders fail to ratify the appointment, the Audit Committee will consider this factor when making any determination regarding Deloitte. Even if the selection is ratified, the Audit Committee in its discretion may direct the appointment of a different independent registered public accounting firm at any time during the year if it determines that such a change would be in the Company's best interests and those of its shareholders.</w:t>
      </w:r>
    </w:p>
    <w:p>
      <w:pPr>
        <w:spacing w:after="0" w:line="153" w:lineRule="exact"/>
        <w:rPr>
          <w:sz w:val="20"/>
          <w:szCs w:val="20"/>
          <w:color w:val="auto"/>
        </w:rPr>
      </w:pPr>
    </w:p>
    <w:p>
      <w:pPr>
        <w:ind w:left="200"/>
        <w:spacing w:after="0" w:line="253" w:lineRule="auto"/>
        <w:rPr>
          <w:sz w:val="20"/>
          <w:szCs w:val="20"/>
          <w:color w:val="auto"/>
        </w:rPr>
      </w:pPr>
      <w:r>
        <w:rPr>
          <w:rFonts w:ascii="Arial" w:cs="Arial" w:eastAsia="Arial" w:hAnsi="Arial"/>
          <w:sz w:val="16"/>
          <w:szCs w:val="16"/>
          <w:color w:val="auto"/>
        </w:rPr>
        <w:t>Passage of the proposal requires the affirmative vote of a majority of the shares entitled to vote on the proposal and represented in person or by proxy at the Meeting at which a quorum is present.</w:t>
      </w:r>
    </w:p>
    <w:p>
      <w:pPr>
        <w:spacing w:after="0" w:line="153" w:lineRule="exact"/>
        <w:rPr>
          <w:sz w:val="20"/>
          <w:szCs w:val="20"/>
          <w:color w:val="auto"/>
        </w:rPr>
      </w:pPr>
    </w:p>
    <w:p>
      <w:pPr>
        <w:ind w:left="200" w:right="120"/>
        <w:spacing w:after="0" w:line="255" w:lineRule="auto"/>
        <w:rPr>
          <w:sz w:val="20"/>
          <w:szCs w:val="20"/>
          <w:color w:val="auto"/>
        </w:rPr>
      </w:pPr>
      <w:r>
        <w:rPr>
          <w:rFonts w:ascii="Arial" w:cs="Arial" w:eastAsia="Arial" w:hAnsi="Arial"/>
          <w:sz w:val="21"/>
          <w:szCs w:val="21"/>
          <w:color w:val="828282"/>
        </w:rPr>
        <w:t>YOUR BOARD OF DIRECTORS UNANIMOUSLY RECOMMENDS THAT YOU VOTE FOR THE RATIFICATION OF THE APPOINTMENT OF DELOITTE</w:t>
      </w:r>
    </w:p>
    <w:p>
      <w:pPr>
        <w:ind w:left="200" w:right="20" w:firstLine="8"/>
        <w:spacing w:after="0" w:line="246" w:lineRule="auto"/>
        <w:tabs>
          <w:tab w:leader="none" w:pos="404" w:val="left"/>
        </w:tabs>
        <w:numPr>
          <w:ilvl w:val="0"/>
          <w:numId w:val="69"/>
        </w:numPr>
        <w:rPr>
          <w:rFonts w:ascii="Arial" w:cs="Arial" w:eastAsia="Arial" w:hAnsi="Arial"/>
          <w:sz w:val="22"/>
          <w:szCs w:val="22"/>
          <w:color w:val="828282"/>
        </w:rPr>
      </w:pPr>
      <w:r>
        <w:rPr>
          <w:rFonts w:ascii="Arial" w:cs="Arial" w:eastAsia="Arial" w:hAnsi="Arial"/>
          <w:sz w:val="22"/>
          <w:szCs w:val="22"/>
          <w:color w:val="828282"/>
        </w:rPr>
        <w:t>TOUCHE LLP AS OUR INDEPENDENT REGISTERED PUBLIC ACCOUNTANT FOR THE FISCAL YEAR ENDING AUGUST 31, 2019.</w:t>
      </w: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spacing w:after="0"/>
        <w:rPr>
          <w:sz w:val="20"/>
          <w:szCs w:val="20"/>
          <w:color w:val="auto"/>
        </w:rPr>
      </w:pPr>
      <w:r>
        <w:rPr>
          <w:rFonts w:ascii="Arial" w:cs="Arial" w:eastAsia="Arial" w:hAnsi="Arial"/>
          <w:sz w:val="16"/>
          <w:szCs w:val="16"/>
          <w:color w:val="auto"/>
        </w:rPr>
        <w:t>46</w:t>
      </w:r>
    </w:p>
    <w:p>
      <w:pPr>
        <w:sectPr>
          <w:pgSz w:w="11900" w:h="16838" w:orient="portrait"/>
          <w:cols w:equalWidth="0" w:num="2">
            <w:col w:w="5560" w:space="60"/>
            <w:col w:w="5740"/>
          </w:cols>
          <w:pgMar w:left="240" w:top="303" w:right="299" w:bottom="1440" w:gutter="0" w:footer="0" w:header="0"/>
          <w:type w:val="continuous"/>
        </w:sectPr>
      </w:pPr>
    </w:p>
    <w:bookmarkStart w:id="50" w:name="page51"/>
    <w:bookmarkEnd w:id="50"/>
    <w:p>
      <w:pPr>
        <w:ind w:left="40"/>
        <w:spacing w:after="0"/>
        <w:rPr>
          <w:rFonts w:ascii="Arial" w:cs="Arial" w:eastAsia="Arial" w:hAnsi="Arial"/>
          <w:sz w:val="15"/>
          <w:szCs w:val="15"/>
          <w:u w:val="single" w:color="auto"/>
          <w:color w:val="0000EE"/>
        </w:rPr>
      </w:pPr>
      <w:r>
        <w:rPr>
          <w:rFonts w:ascii="Arial" w:cs="Arial" w:eastAsia="Arial" w:hAnsi="Arial"/>
          <w:sz w:val="15"/>
          <w:szCs w:val="15"/>
          <w:u w:val="single" w:color="auto"/>
          <w:color w:val="0000EE"/>
        </w:rPr>
        <w:drawing>
          <wp:anchor simplePos="0" relativeHeight="251657728" behindDoc="1" locked="0" layoutInCell="0" allowOverlap="1">
            <wp:simplePos x="0" y="0"/>
            <wp:positionH relativeFrom="page">
              <wp:posOffset>5946140</wp:posOffset>
            </wp:positionH>
            <wp:positionV relativeFrom="page">
              <wp:posOffset>191770</wp:posOffset>
            </wp:positionV>
            <wp:extent cx="1440815" cy="20574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clrChange>
                        <a:clrFrom>
                          <a:srgbClr val="FFFFFF"/>
                        </a:clrFrom>
                        <a:clrTo>
                          <a:srgbClr val="FFFFFF">
                            <a:alpha val="0"/>
                          </a:srgbClr>
                        </a:clrTo>
                      </a:clrChange>
                      <a:extLst>
                        <a:ext uri="{28A0092B-C50C-407E-A947-70E740481C1C}"/>
                      </a:extLst>
                    </a:blip>
                    <a:srcRect/>
                    <a:stretch>
                      <a:fillRect/>
                    </a:stretch>
                  </pic:blipFill>
                  <pic:spPr bwMode="auto">
                    <a:xfrm>
                      <a:off x="0" y="0"/>
                      <a:ext cx="1440815" cy="205740"/>
                    </a:xfrm>
                    <a:prstGeom prst="rect">
                      <a:avLst/>
                    </a:prstGeom>
                    <a:noFill/>
                  </pic:spPr>
                </pic:pic>
              </a:graphicData>
            </a:graphic>
          </wp:anchor>
        </w:drawing>
      </w:r>
      <w:hyperlink w:anchor="page4">
        <w:r>
          <w:rPr>
            <w:rFonts w:ascii="Arial" w:cs="Arial" w:eastAsia="Arial" w:hAnsi="Arial"/>
            <w:sz w:val="15"/>
            <w:szCs w:val="15"/>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112395</wp:posOffset>
            </wp:positionV>
            <wp:extent cx="7246620" cy="889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330835</wp:posOffset>
            </wp:positionV>
            <wp:extent cx="3575685" cy="4254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3575685" cy="42545"/>
                    </a:xfrm>
                    <a:prstGeom prst="rect">
                      <a:avLst/>
                    </a:prstGeom>
                    <a:noFill/>
                  </pic:spPr>
                </pic:pic>
              </a:graphicData>
            </a:graphic>
          </wp:anchor>
        </w:drawing>
      </w:r>
    </w:p>
    <w:p>
      <w:pPr>
        <w:sectPr>
          <w:pgSz w:w="11900" w:h="16838" w:orient="portrait"/>
          <w:cols w:equalWidth="0" w:num="1">
            <w:col w:w="11420"/>
          </w:cols>
          <w:pgMar w:left="240" w:top="304"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spacing w:after="0"/>
        <w:rPr>
          <w:sz w:val="20"/>
          <w:szCs w:val="20"/>
          <w:color w:val="auto"/>
        </w:rPr>
      </w:pPr>
      <w:r>
        <w:rPr>
          <w:rFonts w:ascii="Arial" w:cs="Arial" w:eastAsia="Arial" w:hAnsi="Arial"/>
          <w:sz w:val="29"/>
          <w:szCs w:val="29"/>
          <w:b w:val="1"/>
          <w:bCs w:val="1"/>
          <w:color w:val="BF2115"/>
        </w:rPr>
        <w:t>Other Matters</w:t>
      </w:r>
    </w:p>
    <w:p>
      <w:pPr>
        <w:spacing w:after="0" w:line="330" w:lineRule="exact"/>
        <w:rPr>
          <w:sz w:val="20"/>
          <w:szCs w:val="20"/>
          <w:color w:val="auto"/>
        </w:rPr>
      </w:pPr>
    </w:p>
    <w:p>
      <w:pPr>
        <w:ind w:right="20"/>
        <w:spacing w:after="0" w:line="248" w:lineRule="auto"/>
        <w:rPr>
          <w:sz w:val="20"/>
          <w:szCs w:val="20"/>
          <w:color w:val="auto"/>
        </w:rPr>
      </w:pPr>
      <w:r>
        <w:rPr>
          <w:rFonts w:ascii="Arial" w:cs="Arial" w:eastAsia="Arial" w:hAnsi="Arial"/>
          <w:sz w:val="16"/>
          <w:szCs w:val="16"/>
          <w:color w:val="auto"/>
        </w:rPr>
        <w:t>The Board of Directors does not know of any matter, other than the election of directors, the advisory approval of executive compensation, the approval of the 2019 Plan, and the ratification of the appointment of independent registered public accountants, which may be presented at the Meeting. However, if any other matters should properly come before the Meeting, it is the intention of the persons named in the proxy to vote thereon in accordance with their best judgment.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170180</wp:posOffset>
            </wp:positionV>
            <wp:extent cx="3575685" cy="4254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3575685" cy="42545"/>
                    </a:xfrm>
                    <a:prstGeom prst="rect">
                      <a:avLst/>
                    </a:prstGeom>
                    <a:noFill/>
                  </pic:spPr>
                </pic:pic>
              </a:graphicData>
            </a:graphic>
          </wp:anchor>
        </w:drawing>
      </w: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Arial" w:cs="Arial" w:eastAsia="Arial" w:hAnsi="Arial"/>
          <w:sz w:val="29"/>
          <w:szCs w:val="29"/>
          <w:b w:val="1"/>
          <w:bCs w:val="1"/>
          <w:color w:val="BF2115"/>
        </w:rPr>
        <w:t>Fiscal Year 2019 Shareholder Proposals</w:t>
      </w:r>
    </w:p>
    <w:p>
      <w:pPr>
        <w:spacing w:after="0" w:line="262" w:lineRule="exact"/>
        <w:rPr>
          <w:sz w:val="20"/>
          <w:szCs w:val="20"/>
          <w:color w:val="auto"/>
        </w:rPr>
      </w:pPr>
    </w:p>
    <w:p>
      <w:pPr>
        <w:ind w:right="20"/>
        <w:spacing w:after="0" w:line="250" w:lineRule="auto"/>
        <w:rPr>
          <w:sz w:val="20"/>
          <w:szCs w:val="20"/>
          <w:color w:val="auto"/>
        </w:rPr>
      </w:pPr>
      <w:r>
        <w:rPr>
          <w:rFonts w:ascii="Arial" w:cs="Arial" w:eastAsia="Arial" w:hAnsi="Arial"/>
          <w:sz w:val="16"/>
          <w:szCs w:val="16"/>
          <w:color w:val="auto"/>
        </w:rPr>
        <w:t>If a shareholder intends to present a proposal at our Annual Meeting following Fiscal 2019 and desires that the proposal be included in our 2019 proxy statement and form of proxy for that meeting, the proposal must be in compliance with Rule 14a-8 under the Exchange Act and received at our principal executive offices no later than July 3, 2019.</w:t>
      </w:r>
    </w:p>
    <w:p>
      <w:pPr>
        <w:spacing w:after="0" w:line="203" w:lineRule="exact"/>
        <w:rPr>
          <w:sz w:val="20"/>
          <w:szCs w:val="20"/>
          <w:color w:val="auto"/>
        </w:rPr>
      </w:pPr>
    </w:p>
    <w:p>
      <w:pPr>
        <w:spacing w:after="0" w:line="249" w:lineRule="auto"/>
        <w:rPr>
          <w:sz w:val="20"/>
          <w:szCs w:val="20"/>
          <w:color w:val="auto"/>
        </w:rPr>
      </w:pPr>
      <w:r>
        <w:rPr>
          <w:rFonts w:ascii="Arial" w:cs="Arial" w:eastAsia="Arial" w:hAnsi="Arial"/>
          <w:sz w:val="16"/>
          <w:szCs w:val="16"/>
          <w:color w:val="auto"/>
        </w:rPr>
        <w:t>Our By-Laws require that in order to nominate persons to our Board of Directors, a shareholder must provide advance written notice in the form set forth therein to the Secretary, which notice must be delivered to or mailed and received at our principal executive offices not less than 90 days nor more than 120 days before the anniversary of the preceding year's annual meeting and must otherwise comply with our By-Laws.</w:t>
      </w:r>
    </w:p>
    <w:p>
      <w:pPr>
        <w:spacing w:after="0" w:line="205" w:lineRule="exact"/>
        <w:rPr>
          <w:sz w:val="20"/>
          <w:szCs w:val="20"/>
          <w:color w:val="auto"/>
        </w:rPr>
      </w:pPr>
    </w:p>
    <w:p>
      <w:pPr>
        <w:spacing w:after="0" w:line="249" w:lineRule="auto"/>
        <w:rPr>
          <w:sz w:val="20"/>
          <w:szCs w:val="20"/>
          <w:color w:val="auto"/>
        </w:rPr>
      </w:pPr>
      <w:r>
        <w:rPr>
          <w:rFonts w:ascii="Arial" w:cs="Arial" w:eastAsia="Arial" w:hAnsi="Arial"/>
          <w:sz w:val="16"/>
          <w:szCs w:val="16"/>
          <w:color w:val="auto"/>
        </w:rPr>
        <w:t>The By-Laws also require that in order to present a proposal for action by shareholders at an annual meeting, a shareholder must provide advance written notice to the Secretary, which notice must contain detailed information specified in our By-Laws. This notice must be delivered to or mailed and received at our principal executive offices not less than 90 days nor more than 120 days before the anniversary of the preceding year's annual meeting.</w:t>
      </w:r>
    </w:p>
    <w:p>
      <w:pPr>
        <w:spacing w:after="0" w:line="205" w:lineRule="exact"/>
        <w:rPr>
          <w:sz w:val="20"/>
          <w:szCs w:val="20"/>
          <w:color w:val="auto"/>
        </w:rPr>
      </w:pPr>
    </w:p>
    <w:p>
      <w:pPr>
        <w:ind w:right="140"/>
        <w:spacing w:after="0" w:line="253" w:lineRule="auto"/>
        <w:rPr>
          <w:sz w:val="20"/>
          <w:szCs w:val="20"/>
          <w:color w:val="auto"/>
        </w:rPr>
      </w:pPr>
      <w:r>
        <w:rPr>
          <w:rFonts w:ascii="Arial" w:cs="Arial" w:eastAsia="Arial" w:hAnsi="Arial"/>
          <w:sz w:val="16"/>
          <w:szCs w:val="16"/>
          <w:color w:val="auto"/>
        </w:rPr>
        <w:t>A copy of our By-Laws may be obtained by written request to: Winnebago Industries, Inc., Attn: Vice President, General Counsel and Secretary, 13200 Pioneer Trail, Suite 150, Eden Prairie, Minnesota 55347.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45720</wp:posOffset>
            </wp:positionV>
            <wp:extent cx="3575685" cy="4254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3575685" cy="425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23" w:lineRule="exact"/>
        <w:rPr>
          <w:sz w:val="20"/>
          <w:szCs w:val="20"/>
          <w:color w:val="auto"/>
        </w:rPr>
      </w:pPr>
    </w:p>
    <w:p>
      <w:pPr>
        <w:ind w:right="140"/>
        <w:spacing w:after="0" w:line="250" w:lineRule="auto"/>
        <w:rPr>
          <w:sz w:val="20"/>
          <w:szCs w:val="20"/>
          <w:color w:val="auto"/>
        </w:rPr>
      </w:pPr>
      <w:r>
        <w:rPr>
          <w:rFonts w:ascii="Arial" w:cs="Arial" w:eastAsia="Arial" w:hAnsi="Arial"/>
          <w:sz w:val="16"/>
          <w:szCs w:val="16"/>
          <w:color w:val="auto"/>
        </w:rPr>
        <w:t>is available on the Internet as set forth in the Notice of Internet Availability of Proxy Materials. The financial statements contained therein are not deemed material to the exercise of prudent judgment in regard to any matter to be acted upon at the Annual Meeting and, therefore, such financial statements are not incorporated in this Proxy Statement by reference.</w:t>
      </w:r>
    </w:p>
    <w:p>
      <w:pPr>
        <w:spacing w:after="0" w:line="100" w:lineRule="exact"/>
        <w:rPr>
          <w:sz w:val="20"/>
          <w:szCs w:val="20"/>
          <w:color w:val="auto"/>
        </w:rPr>
      </w:pPr>
    </w:p>
    <w:p>
      <w:pPr>
        <w:ind w:right="160"/>
        <w:spacing w:after="0" w:line="244" w:lineRule="auto"/>
        <w:rPr>
          <w:sz w:val="20"/>
          <w:szCs w:val="20"/>
          <w:color w:val="auto"/>
        </w:rPr>
      </w:pPr>
      <w:r>
        <w:rPr>
          <w:rFonts w:ascii="Arial" w:cs="Arial" w:eastAsia="Arial" w:hAnsi="Arial"/>
          <w:sz w:val="22"/>
          <w:szCs w:val="22"/>
          <w:color w:val="828282"/>
        </w:rPr>
        <w:t>A COPY OF THIS PROXY STATEMENT AND OUR MOST RECENT ANNUAL REPORT TO THE SEC ON FORM 10-K (WITHOUT EXHIBITS) WILL BE FURNISHED, WITHOUT CHARGE, TO OUR SHAREHOLDERS UPON WRITTEN REQUEST PURSUANT TO THE INSTRUCTIONS SET FORTH IN THE NOTICE OF INTERNET AVAILABILITY OF PROXY MATERIALS.</w:t>
      </w:r>
    </w:p>
    <w:p>
      <w:pPr>
        <w:spacing w:after="0" w:line="103" w:lineRule="exact"/>
        <w:rPr>
          <w:sz w:val="20"/>
          <w:szCs w:val="20"/>
          <w:color w:val="auto"/>
        </w:rPr>
      </w:pPr>
    </w:p>
    <w:p>
      <w:pPr>
        <w:ind w:right="100"/>
        <w:spacing w:after="0" w:line="257" w:lineRule="auto"/>
        <w:rPr>
          <w:sz w:val="20"/>
          <w:szCs w:val="20"/>
          <w:color w:val="auto"/>
        </w:rPr>
      </w:pPr>
      <w:r>
        <w:rPr>
          <w:rFonts w:ascii="Arial" w:cs="Arial" w:eastAsia="Arial" w:hAnsi="Arial"/>
          <w:sz w:val="21"/>
          <w:szCs w:val="21"/>
          <w:color w:val="828282"/>
        </w:rPr>
        <w:t>FOR INFORMATION ABOUT US, INCLUDING OUR ANNUAL, QUARTERLY AND CURRENT REPORTS ON SEC FORMS 10-K, 10-Q AND 8-K, RESPECTIVELY, PLEASE VISIT OUR HOME PAGE ON THE INTERNET - HTTP://WWW.WINNEBAGOIND.COM. INFORMATION CONTAINED ON OUR WEB SITE IS NOT INCORPORATED INTO THIS PROXY STATEMENT OR OTHER SECURITIES FILINGS.</w:t>
      </w:r>
    </w:p>
    <w:p>
      <w:pPr>
        <w:spacing w:after="0" w:line="168" w:lineRule="exact"/>
        <w:rPr>
          <w:sz w:val="20"/>
          <w:szCs w:val="20"/>
          <w:color w:val="auto"/>
        </w:rPr>
      </w:pPr>
    </w:p>
    <w:tbl>
      <w:tblPr>
        <w:tblLayout w:type="fixed"/>
        <w:tblInd w:w="40" w:type="dxa"/>
        <w:tblCellMar>
          <w:top w:w="0" w:type="dxa"/>
          <w:left w:w="0" w:type="dxa"/>
          <w:bottom w:w="0" w:type="dxa"/>
          <w:right w:w="0" w:type="dxa"/>
        </w:tblCellMar>
      </w:tblPr>
      <w:tr>
        <w:trPr>
          <w:trHeight w:val="195"/>
        </w:trPr>
        <w:tc>
          <w:tcPr>
            <w:tcW w:w="2040" w:type="dxa"/>
            <w:vAlign w:val="bottom"/>
          </w:tcPr>
          <w:p>
            <w:pPr>
              <w:spacing w:after="0"/>
              <w:rPr>
                <w:sz w:val="16"/>
                <w:szCs w:val="16"/>
                <w:color w:val="auto"/>
              </w:rPr>
            </w:pPr>
          </w:p>
        </w:tc>
        <w:tc>
          <w:tcPr>
            <w:tcW w:w="3520" w:type="dxa"/>
            <w:vAlign w:val="bottom"/>
          </w:tcPr>
          <w:p>
            <w:pPr>
              <w:ind w:left="40"/>
              <w:spacing w:after="0"/>
              <w:rPr>
                <w:sz w:val="20"/>
                <w:szCs w:val="20"/>
                <w:color w:val="auto"/>
              </w:rPr>
            </w:pPr>
            <w:r>
              <w:rPr>
                <w:rFonts w:ascii="Arial" w:cs="Arial" w:eastAsia="Arial" w:hAnsi="Arial"/>
                <w:sz w:val="16"/>
                <w:szCs w:val="16"/>
                <w:color w:val="auto"/>
              </w:rPr>
              <w:t>By Order of the Board of Directors</w:t>
            </w:r>
          </w:p>
        </w:tc>
      </w:tr>
      <w:tr>
        <w:trPr>
          <w:trHeight w:val="526"/>
        </w:trPr>
        <w:tc>
          <w:tcPr>
            <w:tcW w:w="2040" w:type="dxa"/>
            <w:vAlign w:val="bottom"/>
          </w:tcPr>
          <w:p>
            <w:pPr>
              <w:spacing w:after="0"/>
              <w:rPr>
                <w:sz w:val="20"/>
                <w:szCs w:val="20"/>
                <w:color w:val="auto"/>
              </w:rPr>
            </w:pPr>
            <w:r>
              <w:rPr>
                <w:rFonts w:ascii="Arial" w:cs="Arial" w:eastAsia="Arial" w:hAnsi="Arial"/>
                <w:sz w:val="16"/>
                <w:szCs w:val="16"/>
                <w:color w:val="auto"/>
              </w:rPr>
              <w:t>October 31, 2018</w:t>
            </w:r>
          </w:p>
        </w:tc>
        <w:tc>
          <w:tcPr>
            <w:tcW w:w="3520" w:type="dxa"/>
            <w:vAlign w:val="bottom"/>
            <w:tcBorders>
              <w:bottom w:val="single" w:sz="8" w:color="auto"/>
            </w:tcBorders>
          </w:tcPr>
          <w:p>
            <w:pPr>
              <w:ind w:left="40"/>
              <w:spacing w:after="0"/>
              <w:rPr>
                <w:sz w:val="20"/>
                <w:szCs w:val="20"/>
                <w:color w:val="auto"/>
              </w:rPr>
            </w:pPr>
            <w:r>
              <w:rPr>
                <w:rFonts w:ascii="Arial" w:cs="Arial" w:eastAsia="Arial" w:hAnsi="Arial"/>
                <w:sz w:val="16"/>
                <w:szCs w:val="16"/>
                <w:i w:val="1"/>
                <w:iCs w:val="1"/>
                <w:color w:val="auto"/>
              </w:rPr>
              <w:t>/s/ Stacy L. Bogart</w:t>
            </w:r>
          </w:p>
        </w:tc>
      </w:tr>
      <w:tr>
        <w:trPr>
          <w:trHeight w:val="237"/>
        </w:trPr>
        <w:tc>
          <w:tcPr>
            <w:tcW w:w="2040" w:type="dxa"/>
            <w:vAlign w:val="bottom"/>
          </w:tcPr>
          <w:p>
            <w:pPr>
              <w:spacing w:after="0"/>
              <w:rPr>
                <w:sz w:val="20"/>
                <w:szCs w:val="20"/>
                <w:color w:val="auto"/>
              </w:rPr>
            </w:pPr>
          </w:p>
        </w:tc>
        <w:tc>
          <w:tcPr>
            <w:tcW w:w="3520" w:type="dxa"/>
            <w:vAlign w:val="bottom"/>
          </w:tcPr>
          <w:p>
            <w:pPr>
              <w:ind w:left="40"/>
              <w:spacing w:after="0"/>
              <w:rPr>
                <w:sz w:val="20"/>
                <w:szCs w:val="20"/>
                <w:color w:val="auto"/>
              </w:rPr>
            </w:pPr>
            <w:r>
              <w:rPr>
                <w:rFonts w:ascii="Arial" w:cs="Arial" w:eastAsia="Arial" w:hAnsi="Arial"/>
                <w:sz w:val="16"/>
                <w:szCs w:val="16"/>
                <w:color w:val="auto"/>
              </w:rPr>
              <w:t>Stacy L. Bogart</w:t>
            </w:r>
          </w:p>
        </w:tc>
      </w:tr>
      <w:tr>
        <w:trPr>
          <w:trHeight w:val="270"/>
        </w:trPr>
        <w:tc>
          <w:tcPr>
            <w:tcW w:w="2040" w:type="dxa"/>
            <w:vAlign w:val="bottom"/>
          </w:tcPr>
          <w:p>
            <w:pPr>
              <w:spacing w:after="0"/>
              <w:rPr>
                <w:sz w:val="23"/>
                <w:szCs w:val="23"/>
                <w:color w:val="auto"/>
              </w:rPr>
            </w:pPr>
          </w:p>
        </w:tc>
        <w:tc>
          <w:tcPr>
            <w:tcW w:w="3520" w:type="dxa"/>
            <w:vAlign w:val="bottom"/>
          </w:tcPr>
          <w:p>
            <w:pPr>
              <w:ind w:left="40"/>
              <w:spacing w:after="0"/>
              <w:rPr>
                <w:sz w:val="20"/>
                <w:szCs w:val="20"/>
                <w:color w:val="auto"/>
              </w:rPr>
            </w:pPr>
            <w:r>
              <w:rPr>
                <w:rFonts w:ascii="Arial" w:cs="Arial" w:eastAsia="Arial" w:hAnsi="Arial"/>
                <w:sz w:val="16"/>
                <w:szCs w:val="16"/>
                <w:color w:val="auto"/>
              </w:rPr>
              <w:t>Vice President - General Counsel</w:t>
            </w:r>
          </w:p>
        </w:tc>
      </w:tr>
      <w:tr>
        <w:trPr>
          <w:trHeight w:val="243"/>
        </w:trPr>
        <w:tc>
          <w:tcPr>
            <w:tcW w:w="2040" w:type="dxa"/>
            <w:vAlign w:val="bottom"/>
          </w:tcPr>
          <w:p>
            <w:pPr>
              <w:spacing w:after="0"/>
              <w:rPr>
                <w:sz w:val="21"/>
                <w:szCs w:val="21"/>
                <w:color w:val="auto"/>
              </w:rPr>
            </w:pPr>
          </w:p>
        </w:tc>
        <w:tc>
          <w:tcPr>
            <w:tcW w:w="3520" w:type="dxa"/>
            <w:vAlign w:val="bottom"/>
          </w:tcPr>
          <w:p>
            <w:pPr>
              <w:ind w:left="40"/>
              <w:spacing w:after="0"/>
              <w:rPr>
                <w:sz w:val="20"/>
                <w:szCs w:val="20"/>
                <w:color w:val="auto"/>
              </w:rPr>
            </w:pPr>
            <w:r>
              <w:rPr>
                <w:rFonts w:ascii="Arial" w:cs="Arial" w:eastAsia="Arial" w:hAnsi="Arial"/>
                <w:sz w:val="16"/>
                <w:szCs w:val="16"/>
                <w:color w:val="auto"/>
              </w:rPr>
              <w:t>and Secretary</w:t>
            </w:r>
          </w:p>
        </w:tc>
      </w:tr>
    </w:tbl>
    <w:p>
      <w:pPr>
        <w:spacing w:after="0" w:line="978" w:lineRule="exact"/>
        <w:rPr>
          <w:sz w:val="20"/>
          <w:szCs w:val="20"/>
          <w:color w:val="auto"/>
        </w:rPr>
      </w:pPr>
    </w:p>
    <w:p>
      <w:pPr>
        <w:sectPr>
          <w:pgSz w:w="11900" w:h="16838" w:orient="portrait"/>
          <w:cols w:equalWidth="0" w:num="2">
            <w:col w:w="5600" w:space="220"/>
            <w:col w:w="5600"/>
          </w:cols>
          <w:pgMar w:left="240" w:top="304" w:right="239" w:bottom="1440" w:gutter="0" w:footer="0" w:header="0"/>
          <w:type w:val="continuous"/>
        </w:sectPr>
      </w:pPr>
    </w:p>
    <w:p>
      <w:pPr>
        <w:spacing w:after="0" w:line="95" w:lineRule="exact"/>
        <w:rPr>
          <w:sz w:val="20"/>
          <w:szCs w:val="20"/>
          <w:color w:val="auto"/>
        </w:rPr>
      </w:pPr>
    </w:p>
    <w:p>
      <w:pPr>
        <w:spacing w:after="0"/>
        <w:rPr>
          <w:sz w:val="20"/>
          <w:szCs w:val="20"/>
          <w:color w:val="auto"/>
        </w:rPr>
      </w:pPr>
      <w:r>
        <w:rPr>
          <w:rFonts w:ascii="Arial" w:cs="Arial" w:eastAsia="Arial" w:hAnsi="Arial"/>
          <w:sz w:val="29"/>
          <w:szCs w:val="29"/>
          <w:b w:val="1"/>
          <w:bCs w:val="1"/>
          <w:color w:val="BF2115"/>
        </w:rPr>
        <w:t>General</w:t>
      </w:r>
    </w:p>
    <w:p>
      <w:pPr>
        <w:spacing w:after="0" w:line="154" w:lineRule="exact"/>
        <w:rPr>
          <w:sz w:val="20"/>
          <w:szCs w:val="20"/>
          <w:color w:val="auto"/>
        </w:rPr>
      </w:pPr>
    </w:p>
    <w:p>
      <w:pPr>
        <w:spacing w:after="0"/>
        <w:rPr>
          <w:sz w:val="20"/>
          <w:szCs w:val="20"/>
          <w:color w:val="auto"/>
        </w:rPr>
      </w:pPr>
      <w:r>
        <w:rPr>
          <w:rFonts w:ascii="Arial" w:cs="Arial" w:eastAsia="Arial" w:hAnsi="Arial"/>
          <w:sz w:val="16"/>
          <w:szCs w:val="16"/>
          <w:color w:val="auto"/>
        </w:rPr>
        <w:t>The cost of this proxy solicitation will be borne by us. Solicitation will be made</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primarily through the Internet and the use of the mail, but our officers,</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directors or regular employees may solicit proxies personally or by telephone</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or telegraph without additional remuneration for such activity. In addition, we</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will reimburse brokerage houses and other custodians, nominees or</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fiduciaries for their reasonable expenses in forwarding proxies and proxy</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material to the beneficial owners of such shares.</w:t>
      </w:r>
    </w:p>
    <w:p>
      <w:pPr>
        <w:spacing w:after="0" w:line="113" w:lineRule="exact"/>
        <w:rPr>
          <w:sz w:val="20"/>
          <w:szCs w:val="20"/>
          <w:color w:val="auto"/>
        </w:rPr>
      </w:pPr>
    </w:p>
    <w:p>
      <w:pPr>
        <w:spacing w:after="0"/>
        <w:rPr>
          <w:sz w:val="20"/>
          <w:szCs w:val="20"/>
          <w:color w:val="auto"/>
        </w:rPr>
      </w:pPr>
      <w:r>
        <w:rPr>
          <w:rFonts w:ascii="Arial" w:cs="Arial" w:eastAsia="Arial" w:hAnsi="Arial"/>
          <w:sz w:val="16"/>
          <w:szCs w:val="16"/>
          <w:color w:val="auto"/>
        </w:rPr>
        <w:t>A copy of our Annual Report for the fiscal year ended August 25, 2018, which</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includes audited financial statements,</w:t>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47</w:t>
      </w:r>
    </w:p>
    <w:p>
      <w:pPr>
        <w:sectPr>
          <w:pgSz w:w="11900" w:h="16838" w:orient="portrait"/>
          <w:cols w:equalWidth="0" w:num="1">
            <w:col w:w="11420"/>
          </w:cols>
          <w:pgMar w:left="240" w:top="304" w:right="239" w:bottom="1440" w:gutter="0" w:footer="0" w:header="0"/>
          <w:type w:val="continuous"/>
        </w:sectPr>
      </w:pPr>
    </w:p>
    <w:bookmarkStart w:id="51" w:name="page52"/>
    <w:bookmarkEnd w:id="51"/>
    <w:p>
      <w:pPr>
        <w:ind w:left="10320"/>
        <w:spacing w:after="0"/>
        <w:rPr>
          <w:sz w:val="20"/>
          <w:szCs w:val="20"/>
          <w:color w:val="auto"/>
        </w:rPr>
      </w:pPr>
      <w:r>
        <w:rPr>
          <w:rFonts w:ascii="Arial" w:cs="Arial" w:eastAsia="Arial" w:hAnsi="Arial"/>
          <w:sz w:val="21"/>
          <w:szCs w:val="21"/>
          <w:color w:val="828282"/>
        </w:rPr>
        <w:t>Appendix A</w:t>
      </w:r>
    </w:p>
    <w:p>
      <w:pPr>
        <w:spacing w:after="0" w:line="287" w:lineRule="exact"/>
        <w:rPr>
          <w:sz w:val="20"/>
          <w:szCs w:val="20"/>
          <w:color w:val="auto"/>
        </w:rPr>
      </w:pPr>
    </w:p>
    <w:p>
      <w:pPr>
        <w:ind w:left="4480"/>
        <w:spacing w:after="0"/>
        <w:rPr>
          <w:sz w:val="20"/>
          <w:szCs w:val="20"/>
          <w:color w:val="auto"/>
        </w:rPr>
      </w:pPr>
      <w:r>
        <w:rPr>
          <w:rFonts w:ascii="Arial" w:cs="Arial" w:eastAsia="Arial" w:hAnsi="Arial"/>
          <w:sz w:val="16"/>
          <w:szCs w:val="16"/>
          <w:b w:val="1"/>
          <w:bCs w:val="1"/>
          <w:color w:val="auto"/>
        </w:rPr>
        <w:t>WINNEBAGO INDUSTRIES, INC.</w:t>
      </w:r>
    </w:p>
    <w:p>
      <w:pPr>
        <w:spacing w:after="0" w:line="25" w:lineRule="exact"/>
        <w:rPr>
          <w:sz w:val="20"/>
          <w:szCs w:val="20"/>
          <w:color w:val="auto"/>
        </w:rPr>
      </w:pPr>
    </w:p>
    <w:p>
      <w:pPr>
        <w:ind w:left="4440"/>
        <w:spacing w:after="0"/>
        <w:rPr>
          <w:sz w:val="20"/>
          <w:szCs w:val="20"/>
          <w:color w:val="auto"/>
        </w:rPr>
      </w:pPr>
      <w:r>
        <w:rPr>
          <w:rFonts w:ascii="Arial" w:cs="Arial" w:eastAsia="Arial" w:hAnsi="Arial"/>
          <w:sz w:val="16"/>
          <w:szCs w:val="16"/>
          <w:b w:val="1"/>
          <w:bCs w:val="1"/>
          <w:color w:val="auto"/>
        </w:rPr>
        <w:t>2019 OMNIBUS INCENTIVE PLAN</w:t>
      </w:r>
    </w:p>
    <w:p>
      <w:pPr>
        <w:spacing w:after="0" w:line="363" w:lineRule="exact"/>
        <w:rPr>
          <w:sz w:val="20"/>
          <w:szCs w:val="20"/>
          <w:color w:val="auto"/>
        </w:rPr>
      </w:pPr>
    </w:p>
    <w:p>
      <w:pPr>
        <w:jc w:val="both"/>
        <w:ind w:firstLine="8"/>
        <w:spacing w:after="0" w:line="266" w:lineRule="auto"/>
        <w:tabs>
          <w:tab w:leader="none" w:pos="329" w:val="left"/>
        </w:tabs>
        <w:numPr>
          <w:ilvl w:val="0"/>
          <w:numId w:val="70"/>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Purpose</w:t>
      </w:r>
      <w:r>
        <w:rPr>
          <w:rFonts w:ascii="Arial" w:cs="Arial" w:eastAsia="Arial" w:hAnsi="Arial"/>
          <w:sz w:val="16"/>
          <w:szCs w:val="16"/>
          <w:b w:val="1"/>
          <w:bCs w:val="1"/>
          <w:color w:val="auto"/>
        </w:rPr>
        <w:t xml:space="preserve">. </w:t>
      </w:r>
      <w:r>
        <w:rPr>
          <w:rFonts w:ascii="Arial" w:cs="Arial" w:eastAsia="Arial" w:hAnsi="Arial"/>
          <w:sz w:val="16"/>
          <w:szCs w:val="16"/>
          <w:color w:val="auto"/>
        </w:rPr>
        <w:t>The purpose of the Winnebago Industries, Inc. 2019 Omnibus Incentive Plan (the “Plan”) is to attract and retain the best available personnel for</w:t>
      </w:r>
      <w:r>
        <w:rPr>
          <w:rFonts w:ascii="Arial" w:cs="Arial" w:eastAsia="Arial" w:hAnsi="Arial"/>
          <w:sz w:val="16"/>
          <w:szCs w:val="16"/>
          <w:b w:val="1"/>
          <w:bCs w:val="1"/>
          <w:color w:val="auto"/>
        </w:rPr>
        <w:t xml:space="preserve"> </w:t>
      </w:r>
      <w:r>
        <w:rPr>
          <w:rFonts w:ascii="Arial" w:cs="Arial" w:eastAsia="Arial" w:hAnsi="Arial"/>
          <w:sz w:val="16"/>
          <w:szCs w:val="16"/>
          <w:color w:val="auto"/>
        </w:rPr>
        <w:t>positions of responsibility with the Company, to provide additional incentives to them and align their interests with those of the Company’s stockholders, and to thereby promote the Company’s long-term business success.</w:t>
      </w:r>
    </w:p>
    <w:p>
      <w:pPr>
        <w:spacing w:after="0" w:line="171" w:lineRule="exact"/>
        <w:rPr>
          <w:rFonts w:ascii="Arial" w:cs="Arial" w:eastAsia="Arial" w:hAnsi="Arial"/>
          <w:sz w:val="16"/>
          <w:szCs w:val="16"/>
          <w:b w:val="1"/>
          <w:bCs w:val="1"/>
          <w:color w:val="auto"/>
        </w:rPr>
      </w:pPr>
    </w:p>
    <w:p>
      <w:pPr>
        <w:ind w:left="320" w:hanging="312"/>
        <w:spacing w:after="0"/>
        <w:tabs>
          <w:tab w:leader="none" w:pos="320" w:val="left"/>
        </w:tabs>
        <w:numPr>
          <w:ilvl w:val="0"/>
          <w:numId w:val="70"/>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Definitions</w:t>
      </w:r>
      <w:r>
        <w:rPr>
          <w:rFonts w:ascii="Arial" w:cs="Arial" w:eastAsia="Arial" w:hAnsi="Arial"/>
          <w:sz w:val="16"/>
          <w:szCs w:val="16"/>
          <w:b w:val="1"/>
          <w:bCs w:val="1"/>
          <w:color w:val="auto"/>
        </w:rPr>
        <w:t xml:space="preserve">. </w:t>
      </w:r>
      <w:r>
        <w:rPr>
          <w:rFonts w:ascii="Arial" w:cs="Arial" w:eastAsia="Arial" w:hAnsi="Arial"/>
          <w:sz w:val="16"/>
          <w:szCs w:val="16"/>
          <w:color w:val="auto"/>
        </w:rPr>
        <w:t>In this Plan, the following definitions will apply.</w:t>
      </w:r>
    </w:p>
    <w:p>
      <w:pPr>
        <w:spacing w:after="0" w:line="241" w:lineRule="exact"/>
        <w:rPr>
          <w:rFonts w:ascii="Arial" w:cs="Arial" w:eastAsia="Arial" w:hAnsi="Arial"/>
          <w:sz w:val="16"/>
          <w:szCs w:val="16"/>
          <w:b w:val="1"/>
          <w:bCs w:val="1"/>
          <w:color w:val="auto"/>
        </w:rPr>
      </w:pPr>
    </w:p>
    <w:p>
      <w:pPr>
        <w:ind w:left="1040" w:hanging="384"/>
        <w:spacing w:after="0"/>
        <w:tabs>
          <w:tab w:leader="none" w:pos="1040" w:val="left"/>
        </w:tabs>
        <w:numPr>
          <w:ilvl w:val="1"/>
          <w:numId w:val="70"/>
        </w:numPr>
        <w:rPr>
          <w:rFonts w:ascii="Arial" w:cs="Arial" w:eastAsia="Arial" w:hAnsi="Arial"/>
          <w:sz w:val="16"/>
          <w:szCs w:val="16"/>
          <w:color w:val="auto"/>
        </w:rPr>
      </w:pPr>
      <w:r>
        <w:rPr>
          <w:rFonts w:ascii="Arial" w:cs="Arial" w:eastAsia="Arial" w:hAnsi="Arial"/>
          <w:sz w:val="16"/>
          <w:szCs w:val="16"/>
          <w:color w:val="auto"/>
        </w:rPr>
        <w:t>“Affiliate” means any entity that is a Subsidiary of the Company.</w:t>
      </w:r>
    </w:p>
    <w:p>
      <w:pPr>
        <w:spacing w:after="0" w:line="194" w:lineRule="exact"/>
        <w:rPr>
          <w:rFonts w:ascii="Arial" w:cs="Arial" w:eastAsia="Arial" w:hAnsi="Arial"/>
          <w:sz w:val="16"/>
          <w:szCs w:val="16"/>
          <w:color w:val="auto"/>
        </w:rPr>
      </w:pPr>
    </w:p>
    <w:p>
      <w:pPr>
        <w:ind w:firstLine="656"/>
        <w:spacing w:after="0" w:line="260" w:lineRule="auto"/>
        <w:tabs>
          <w:tab w:leader="none" w:pos="1041" w:val="left"/>
        </w:tabs>
        <w:numPr>
          <w:ilvl w:val="1"/>
          <w:numId w:val="70"/>
        </w:numPr>
        <w:rPr>
          <w:rFonts w:ascii="Arial" w:cs="Arial" w:eastAsia="Arial" w:hAnsi="Arial"/>
          <w:sz w:val="16"/>
          <w:szCs w:val="16"/>
          <w:color w:val="auto"/>
        </w:rPr>
      </w:pPr>
      <w:r>
        <w:rPr>
          <w:rFonts w:ascii="Arial" w:cs="Arial" w:eastAsia="Arial" w:hAnsi="Arial"/>
          <w:sz w:val="16"/>
          <w:szCs w:val="16"/>
          <w:color w:val="auto"/>
        </w:rPr>
        <w:t>“Agreement” means the written or electronic agreement, notice or other document containing the terms and conditions applicable to each Award granted under the Plan, including all amendments thereto. An Agreement is subject to the terms and conditions of the Plan.</w:t>
      </w:r>
    </w:p>
    <w:p>
      <w:pPr>
        <w:spacing w:after="0" w:line="195" w:lineRule="exact"/>
        <w:rPr>
          <w:rFonts w:ascii="Arial" w:cs="Arial" w:eastAsia="Arial" w:hAnsi="Arial"/>
          <w:sz w:val="16"/>
          <w:szCs w:val="16"/>
          <w:color w:val="auto"/>
        </w:rPr>
      </w:pPr>
    </w:p>
    <w:p>
      <w:pPr>
        <w:ind w:left="1040" w:hanging="384"/>
        <w:spacing w:after="0"/>
        <w:tabs>
          <w:tab w:leader="none" w:pos="1040" w:val="left"/>
        </w:tabs>
        <w:numPr>
          <w:ilvl w:val="1"/>
          <w:numId w:val="70"/>
        </w:numPr>
        <w:rPr>
          <w:rFonts w:ascii="Arial" w:cs="Arial" w:eastAsia="Arial" w:hAnsi="Arial"/>
          <w:sz w:val="16"/>
          <w:szCs w:val="16"/>
          <w:color w:val="auto"/>
        </w:rPr>
      </w:pPr>
      <w:r>
        <w:rPr>
          <w:rFonts w:ascii="Arial" w:cs="Arial" w:eastAsia="Arial" w:hAnsi="Arial"/>
          <w:sz w:val="16"/>
          <w:szCs w:val="16"/>
          <w:color w:val="auto"/>
        </w:rPr>
        <w:t>“Award” means a grant made under the Plan in the form of Options, Stock Appreciation Rights, Restricted Stock, Stock Units or an Other Stock-</w:t>
      </w:r>
    </w:p>
    <w:p>
      <w:pPr>
        <w:spacing w:after="0" w:line="5"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6"/>
          <w:szCs w:val="16"/>
          <w:color w:val="auto"/>
        </w:rPr>
        <w:t>Based Award.</w:t>
      </w:r>
    </w:p>
    <w:p>
      <w:pPr>
        <w:spacing w:after="0" w:line="221" w:lineRule="exact"/>
        <w:rPr>
          <w:rFonts w:ascii="Arial" w:cs="Arial" w:eastAsia="Arial" w:hAnsi="Arial"/>
          <w:sz w:val="16"/>
          <w:szCs w:val="16"/>
          <w:color w:val="auto"/>
        </w:rPr>
      </w:pPr>
    </w:p>
    <w:p>
      <w:pPr>
        <w:ind w:left="1040" w:hanging="384"/>
        <w:spacing w:after="0"/>
        <w:tabs>
          <w:tab w:leader="none" w:pos="1040" w:val="left"/>
        </w:tabs>
        <w:numPr>
          <w:ilvl w:val="1"/>
          <w:numId w:val="70"/>
        </w:numPr>
        <w:rPr>
          <w:rFonts w:ascii="Arial" w:cs="Arial" w:eastAsia="Arial" w:hAnsi="Arial"/>
          <w:sz w:val="16"/>
          <w:szCs w:val="16"/>
          <w:color w:val="auto"/>
        </w:rPr>
      </w:pPr>
      <w:r>
        <w:rPr>
          <w:rFonts w:ascii="Arial" w:cs="Arial" w:eastAsia="Arial" w:hAnsi="Arial"/>
          <w:sz w:val="16"/>
          <w:szCs w:val="16"/>
          <w:color w:val="auto"/>
        </w:rPr>
        <w:t>“Board” means the Board of Directors of the Company.</w:t>
      </w:r>
    </w:p>
    <w:p>
      <w:pPr>
        <w:spacing w:after="0" w:line="221" w:lineRule="exact"/>
        <w:rPr>
          <w:rFonts w:ascii="Arial" w:cs="Arial" w:eastAsia="Arial" w:hAnsi="Arial"/>
          <w:sz w:val="16"/>
          <w:szCs w:val="16"/>
          <w:color w:val="auto"/>
        </w:rPr>
      </w:pPr>
    </w:p>
    <w:p>
      <w:pPr>
        <w:jc w:val="both"/>
        <w:ind w:firstLine="656"/>
        <w:spacing w:after="0" w:line="248" w:lineRule="auto"/>
        <w:tabs>
          <w:tab w:leader="none" w:pos="1158" w:val="left"/>
        </w:tabs>
        <w:numPr>
          <w:ilvl w:val="1"/>
          <w:numId w:val="70"/>
        </w:numPr>
        <w:rPr>
          <w:rFonts w:ascii="Arial" w:cs="Arial" w:eastAsia="Arial" w:hAnsi="Arial"/>
          <w:sz w:val="16"/>
          <w:szCs w:val="16"/>
          <w:color w:val="auto"/>
        </w:rPr>
      </w:pPr>
      <w:r>
        <w:rPr>
          <w:rFonts w:ascii="Arial" w:cs="Arial" w:eastAsia="Arial" w:hAnsi="Arial"/>
          <w:sz w:val="16"/>
          <w:szCs w:val="16"/>
          <w:color w:val="auto"/>
        </w:rPr>
        <w:t>“Cause” means, unless otherwise defined in a then-effective written agreement (including an Agreement) between a Participant and the Company or any Affiliate, a Participant’s (i) material failure to perform satisfactorily the duties reasonably required of the Participant by the Company (other than by reason of Disability); (ii) material violation of any law, rule, regulation, court order or regulatory directive (other than traffic violations, misdemeanors or other minor offenses); (iii) material breach of the Company's business conduct or ethics code or of any fiduciary duty or nondisclosure, non-solicitation, non-competition or similar obligation owed to the Company or any Affiliate; (iv) engaging in any act or practice that involves personal dishonesty on the part of the Participant or demonstrates a willful and continuing disregard for the best interests of the Company and its Affiliates; or (v) engaging in dishonorable or disruptive behavior, practices or acts which would be reasonably expected to harm or bring disrepute to the Company or any of its Affiliates, their business or any of their customers, employees or vendors.</w:t>
      </w:r>
    </w:p>
    <w:p>
      <w:pPr>
        <w:spacing w:after="0" w:line="207" w:lineRule="exact"/>
        <w:rPr>
          <w:rFonts w:ascii="Arial" w:cs="Arial" w:eastAsia="Arial" w:hAnsi="Arial"/>
          <w:sz w:val="16"/>
          <w:szCs w:val="16"/>
          <w:color w:val="auto"/>
        </w:rPr>
      </w:pPr>
    </w:p>
    <w:p>
      <w:pPr>
        <w:ind w:right="20" w:firstLine="656"/>
        <w:spacing w:after="0" w:line="260" w:lineRule="auto"/>
        <w:tabs>
          <w:tab w:leader="none" w:pos="1011" w:val="left"/>
        </w:tabs>
        <w:numPr>
          <w:ilvl w:val="1"/>
          <w:numId w:val="70"/>
        </w:numPr>
        <w:rPr>
          <w:rFonts w:ascii="Arial" w:cs="Arial" w:eastAsia="Arial" w:hAnsi="Arial"/>
          <w:sz w:val="16"/>
          <w:szCs w:val="16"/>
          <w:color w:val="auto"/>
        </w:rPr>
      </w:pPr>
      <w:r>
        <w:rPr>
          <w:rFonts w:ascii="Arial" w:cs="Arial" w:eastAsia="Arial" w:hAnsi="Arial"/>
          <w:sz w:val="16"/>
          <w:szCs w:val="16"/>
          <w:color w:val="auto"/>
        </w:rPr>
        <w:t>“Change in Control” means, unless otherwise defined in a then-effective written agreement (including an Agreement) between a Participant and the Company or any Affiliate, one of the following:</w:t>
      </w:r>
    </w:p>
    <w:p>
      <w:pPr>
        <w:spacing w:after="0" w:line="195" w:lineRule="exact"/>
        <w:rPr>
          <w:rFonts w:ascii="Arial" w:cs="Arial" w:eastAsia="Arial" w:hAnsi="Arial"/>
          <w:sz w:val="16"/>
          <w:szCs w:val="16"/>
          <w:color w:val="auto"/>
        </w:rPr>
      </w:pPr>
    </w:p>
    <w:p>
      <w:pPr>
        <w:jc w:val="both"/>
        <w:ind w:firstLine="1305"/>
        <w:spacing w:after="0" w:line="253" w:lineRule="auto"/>
        <w:tabs>
          <w:tab w:leader="none" w:pos="1681" w:val="left"/>
        </w:tabs>
        <w:numPr>
          <w:ilvl w:val="2"/>
          <w:numId w:val="70"/>
        </w:numPr>
        <w:rPr>
          <w:rFonts w:ascii="Arial" w:cs="Arial" w:eastAsia="Arial" w:hAnsi="Arial"/>
          <w:sz w:val="16"/>
          <w:szCs w:val="16"/>
          <w:color w:val="auto"/>
        </w:rPr>
      </w:pPr>
      <w:r>
        <w:rPr>
          <w:rFonts w:ascii="Arial" w:cs="Arial" w:eastAsia="Arial" w:hAnsi="Arial"/>
          <w:sz w:val="16"/>
          <w:szCs w:val="16"/>
          <w:color w:val="auto"/>
        </w:rPr>
        <w:t>An Exchange Act Person becomes the beneficial owner (within the meaning of Rule 13d-3 under the Exchange Act) of securities of the Company representing 30% or more of the combined voting power of the Company’s then outstanding Voting Securities, except that the following will not constitute a Change in Control:</w:t>
      </w:r>
    </w:p>
    <w:p>
      <w:pPr>
        <w:spacing w:after="0" w:line="174" w:lineRule="exact"/>
        <w:rPr>
          <w:rFonts w:ascii="Arial" w:cs="Arial" w:eastAsia="Arial" w:hAnsi="Arial"/>
          <w:sz w:val="16"/>
          <w:szCs w:val="16"/>
          <w:color w:val="auto"/>
        </w:rPr>
      </w:pPr>
    </w:p>
    <w:p>
      <w:pPr>
        <w:ind w:left="2420" w:hanging="467"/>
        <w:spacing w:after="0"/>
        <w:tabs>
          <w:tab w:leader="none" w:pos="2420" w:val="left"/>
        </w:tabs>
        <w:numPr>
          <w:ilvl w:val="3"/>
          <w:numId w:val="70"/>
        </w:numPr>
        <w:rPr>
          <w:rFonts w:ascii="Arial" w:cs="Arial" w:eastAsia="Arial" w:hAnsi="Arial"/>
          <w:sz w:val="16"/>
          <w:szCs w:val="16"/>
          <w:color w:val="auto"/>
        </w:rPr>
      </w:pPr>
      <w:r>
        <w:rPr>
          <w:rFonts w:ascii="Arial" w:cs="Arial" w:eastAsia="Arial" w:hAnsi="Arial"/>
          <w:sz w:val="16"/>
          <w:szCs w:val="16"/>
          <w:color w:val="auto"/>
        </w:rPr>
        <w:t>any acquisition of securities of the Company by an Exchange Act Person from the Company for the purpose of providing</w:t>
      </w:r>
    </w:p>
    <w:p>
      <w:pPr>
        <w:spacing w:after="0" w:line="5"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6"/>
          <w:szCs w:val="16"/>
          <w:color w:val="auto"/>
        </w:rPr>
        <w:t>financing to the Company;</w:t>
      </w:r>
    </w:p>
    <w:p>
      <w:pPr>
        <w:spacing w:after="0" w:line="194" w:lineRule="exact"/>
        <w:rPr>
          <w:rFonts w:ascii="Arial" w:cs="Arial" w:eastAsia="Arial" w:hAnsi="Arial"/>
          <w:sz w:val="16"/>
          <w:szCs w:val="16"/>
          <w:color w:val="auto"/>
        </w:rPr>
      </w:pPr>
    </w:p>
    <w:p>
      <w:pPr>
        <w:ind w:left="2380" w:hanging="427"/>
        <w:spacing w:after="0"/>
        <w:tabs>
          <w:tab w:leader="none" w:pos="2380" w:val="left"/>
        </w:tabs>
        <w:numPr>
          <w:ilvl w:val="3"/>
          <w:numId w:val="70"/>
        </w:numPr>
        <w:rPr>
          <w:rFonts w:ascii="Arial" w:cs="Arial" w:eastAsia="Arial" w:hAnsi="Arial"/>
          <w:sz w:val="16"/>
          <w:szCs w:val="16"/>
          <w:color w:val="auto"/>
        </w:rPr>
      </w:pPr>
      <w:r>
        <w:rPr>
          <w:rFonts w:ascii="Arial" w:cs="Arial" w:eastAsia="Arial" w:hAnsi="Arial"/>
          <w:sz w:val="16"/>
          <w:szCs w:val="16"/>
          <w:color w:val="auto"/>
        </w:rPr>
        <w:t>any formation of a Group consisting solely of beneficial owners of the Company's Voting Securities as of the effective date of</w:t>
      </w:r>
    </w:p>
    <w:p>
      <w:pPr>
        <w:spacing w:after="0" w:line="5"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6"/>
          <w:szCs w:val="16"/>
          <w:color w:val="auto"/>
        </w:rPr>
        <w:t>this Plan; or</w:t>
      </w:r>
    </w:p>
    <w:p>
      <w:pPr>
        <w:spacing w:after="0" w:line="194" w:lineRule="exact"/>
        <w:rPr>
          <w:rFonts w:ascii="Arial" w:cs="Arial" w:eastAsia="Arial" w:hAnsi="Arial"/>
          <w:sz w:val="16"/>
          <w:szCs w:val="16"/>
          <w:color w:val="auto"/>
        </w:rPr>
      </w:pPr>
    </w:p>
    <w:p>
      <w:pPr>
        <w:ind w:right="20" w:firstLine="1953"/>
        <w:spacing w:after="0" w:line="260" w:lineRule="auto"/>
        <w:tabs>
          <w:tab w:leader="none" w:pos="2362" w:val="left"/>
        </w:tabs>
        <w:numPr>
          <w:ilvl w:val="3"/>
          <w:numId w:val="70"/>
        </w:numPr>
        <w:rPr>
          <w:rFonts w:ascii="Arial" w:cs="Arial" w:eastAsia="Arial" w:hAnsi="Arial"/>
          <w:sz w:val="16"/>
          <w:szCs w:val="16"/>
          <w:color w:val="auto"/>
        </w:rPr>
      </w:pPr>
      <w:r>
        <w:rPr>
          <w:rFonts w:ascii="Arial" w:cs="Arial" w:eastAsia="Arial" w:hAnsi="Arial"/>
          <w:sz w:val="16"/>
          <w:szCs w:val="16"/>
          <w:color w:val="auto"/>
        </w:rPr>
        <w:t>any repurchase or other acquisition by the Company of its Voting Securities that causes any Exchange Act Person to become the beneficial owner of 30% or more of the Company’s Voting Securities.</w:t>
      </w:r>
    </w:p>
    <w:p>
      <w:pPr>
        <w:spacing w:after="0" w:line="169"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If, however, an Exchange Act Person or Group referenced in clause (A), (B) or (C) above acquires beneficial ownership of additional Company Voting Securities after initially becoming the beneficial owner of 30% or more of the combined voting power of the Company’s Voting Securities by one of the means described in those clauses, then a Change in Control will be deemed to have occurred.</w:t>
      </w:r>
    </w:p>
    <w:p>
      <w:pPr>
        <w:spacing w:after="0" w:line="174" w:lineRule="exact"/>
        <w:rPr>
          <w:sz w:val="20"/>
          <w:szCs w:val="20"/>
          <w:color w:val="auto"/>
        </w:rPr>
      </w:pPr>
    </w:p>
    <w:p>
      <w:pPr>
        <w:ind w:left="1680" w:hanging="375"/>
        <w:spacing w:after="0"/>
        <w:tabs>
          <w:tab w:leader="none" w:pos="1680" w:val="left"/>
        </w:tabs>
        <w:numPr>
          <w:ilvl w:val="0"/>
          <w:numId w:val="71"/>
        </w:numPr>
        <w:rPr>
          <w:rFonts w:ascii="Arial" w:cs="Arial" w:eastAsia="Arial" w:hAnsi="Arial"/>
          <w:sz w:val="16"/>
          <w:szCs w:val="16"/>
          <w:color w:val="auto"/>
        </w:rPr>
      </w:pPr>
      <w:r>
        <w:rPr>
          <w:rFonts w:ascii="Arial" w:cs="Arial" w:eastAsia="Arial" w:hAnsi="Arial"/>
          <w:sz w:val="16"/>
          <w:szCs w:val="16"/>
          <w:color w:val="auto"/>
        </w:rPr>
        <w:t>Individuals who are Continuing Directors cease for any reason to constitute a majority of the members of the Board.</w:t>
      </w:r>
    </w:p>
    <w:p>
      <w:pPr>
        <w:spacing w:after="0" w:line="194" w:lineRule="exact"/>
        <w:rPr>
          <w:rFonts w:ascii="Arial" w:cs="Arial" w:eastAsia="Arial" w:hAnsi="Arial"/>
          <w:sz w:val="16"/>
          <w:szCs w:val="16"/>
          <w:color w:val="auto"/>
        </w:rPr>
      </w:pPr>
    </w:p>
    <w:p>
      <w:pPr>
        <w:jc w:val="both"/>
        <w:ind w:firstLine="1305"/>
        <w:spacing w:after="0" w:line="250" w:lineRule="auto"/>
        <w:tabs>
          <w:tab w:leader="none" w:pos="1763" w:val="left"/>
        </w:tabs>
        <w:numPr>
          <w:ilvl w:val="0"/>
          <w:numId w:val="71"/>
        </w:numPr>
        <w:rPr>
          <w:rFonts w:ascii="Arial" w:cs="Arial" w:eastAsia="Arial" w:hAnsi="Arial"/>
          <w:sz w:val="16"/>
          <w:szCs w:val="16"/>
          <w:color w:val="auto"/>
        </w:rPr>
      </w:pPr>
      <w:r>
        <w:rPr>
          <w:rFonts w:ascii="Arial" w:cs="Arial" w:eastAsia="Arial" w:hAnsi="Arial"/>
          <w:sz w:val="16"/>
          <w:szCs w:val="16"/>
          <w:color w:val="auto"/>
        </w:rPr>
        <w:t>A Corporate Transaction is consummated, unless, immediately following such Corporate Transaction, all or substantially all of the individuals and entities who were the beneficial owners of the Company's Voting Securities immediately prior to such Corporate Transaction beneficially own, directly or indirectly, more than 50% of the combined voting power of the then outstanding Voting Securities of the surviving or acquiring entity resulting from such Corporate Transaction (including beneficial ownership through any Parent of such entity) in substantially the same proportions as their ownership, immediately prior to such Corporate Transaction, of the Company's Voting Securities.</w:t>
      </w: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A-1</w:t>
      </w:r>
    </w:p>
    <w:p>
      <w:pPr>
        <w:sectPr>
          <w:pgSz w:w="11900" w:h="16838" w:orient="portrait"/>
          <w:cols w:equalWidth="0" w:num="1">
            <w:col w:w="11420"/>
          </w:cols>
          <w:pgMar w:left="240" w:top="795" w:right="239" w:bottom="1440" w:gutter="0" w:footer="0" w:header="0"/>
        </w:sectPr>
      </w:pPr>
    </w:p>
    <w:bookmarkStart w:id="52" w:name="page53"/>
    <w:bookmarkEnd w:id="52"/>
    <w:p>
      <w:pPr>
        <w:jc w:val="both"/>
        <w:spacing w:after="0" w:line="251" w:lineRule="auto"/>
        <w:rPr>
          <w:sz w:val="20"/>
          <w:szCs w:val="20"/>
          <w:color w:val="auto"/>
        </w:rPr>
      </w:pPr>
      <w:r>
        <w:rPr>
          <w:rFonts w:ascii="Arial" w:cs="Arial" w:eastAsia="Arial" w:hAnsi="Arial"/>
          <w:sz w:val="16"/>
          <w:szCs w:val="16"/>
          <w:color w:val="auto"/>
        </w:rPr>
        <w:t>Notwithstanding the foregoing, to the extent that any Award constitutes a deferral of compensation subject to Code Section 409A, and if that Award provides for a change in the time or form of payment upon a Change in Control, then no Change in Control shall be deemed to have occurred upon an event described in this Section 2(f) unless the event would also constitute a change in ownership or effective control of, or a change in the ownership of a substantial portion of the assets of, the Company under Code Section 409A.</w:t>
      </w:r>
    </w:p>
    <w:p>
      <w:pPr>
        <w:spacing w:after="0" w:line="203" w:lineRule="exact"/>
        <w:rPr>
          <w:sz w:val="20"/>
          <w:szCs w:val="20"/>
          <w:color w:val="auto"/>
        </w:rPr>
      </w:pPr>
    </w:p>
    <w:p>
      <w:pPr>
        <w:ind w:right="20" w:firstLine="656"/>
        <w:spacing w:after="0" w:line="260" w:lineRule="auto"/>
        <w:tabs>
          <w:tab w:leader="none" w:pos="1039" w:val="left"/>
        </w:tabs>
        <w:numPr>
          <w:ilvl w:val="1"/>
          <w:numId w:val="72"/>
        </w:numPr>
        <w:rPr>
          <w:rFonts w:ascii="Arial" w:cs="Arial" w:eastAsia="Arial" w:hAnsi="Arial"/>
          <w:sz w:val="16"/>
          <w:szCs w:val="16"/>
          <w:color w:val="auto"/>
        </w:rPr>
      </w:pPr>
      <w:r>
        <w:rPr>
          <w:rFonts w:ascii="Arial" w:cs="Arial" w:eastAsia="Arial" w:hAnsi="Arial"/>
          <w:sz w:val="16"/>
          <w:szCs w:val="16"/>
          <w:color w:val="auto"/>
        </w:rPr>
        <w:t>“Code” means the Internal Revenue Code of 1986, as amended and in effect from time to time. For purposes of the Plan, references to sections of the Code shall be deemed to include any applicable regulations thereunder and any successor or similar statutory provisions.</w:t>
      </w:r>
    </w:p>
    <w:p>
      <w:pPr>
        <w:spacing w:after="0" w:line="195" w:lineRule="exact"/>
        <w:rPr>
          <w:rFonts w:ascii="Arial" w:cs="Arial" w:eastAsia="Arial" w:hAnsi="Arial"/>
          <w:sz w:val="16"/>
          <w:szCs w:val="16"/>
          <w:color w:val="auto"/>
        </w:rPr>
      </w:pPr>
    </w:p>
    <w:p>
      <w:pPr>
        <w:jc w:val="both"/>
        <w:ind w:firstLine="656"/>
        <w:spacing w:after="0" w:line="191" w:lineRule="exact"/>
        <w:tabs>
          <w:tab w:leader="none" w:pos="1092" w:val="left"/>
        </w:tabs>
        <w:numPr>
          <w:ilvl w:val="1"/>
          <w:numId w:val="72"/>
        </w:numPr>
        <w:rPr>
          <w:rFonts w:ascii="Arial" w:cs="Arial" w:eastAsia="Arial" w:hAnsi="Arial"/>
          <w:sz w:val="16"/>
          <w:szCs w:val="16"/>
          <w:color w:val="auto"/>
        </w:rPr>
      </w:pPr>
      <w:r>
        <w:rPr>
          <w:rFonts w:ascii="Arial" w:cs="Arial" w:eastAsia="Arial" w:hAnsi="Arial"/>
          <w:sz w:val="16"/>
          <w:szCs w:val="16"/>
          <w:color w:val="auto"/>
        </w:rPr>
        <w:t>“Committee” means two or more Non</w:t>
      </w:r>
      <w:r>
        <w:rPr>
          <w:rFonts w:ascii="MS PGothic" w:cs="MS PGothic" w:eastAsia="MS PGothic" w:hAnsi="MS PGothic"/>
          <w:sz w:val="16"/>
          <w:szCs w:val="16"/>
          <w:color w:val="auto"/>
        </w:rPr>
        <w:t>‑</w:t>
      </w:r>
      <w:r>
        <w:rPr>
          <w:rFonts w:ascii="Arial" w:cs="Arial" w:eastAsia="Arial" w:hAnsi="Arial"/>
          <w:sz w:val="16"/>
          <w:szCs w:val="16"/>
          <w:color w:val="auto"/>
        </w:rPr>
        <w:t>Employee Directors designated by the Board to administer the Plan under Section 3, each member of which shall be (i) an independent director within the meaning of applicable stock exchange rules and regulations and (ii) a non-employee director within the meaning of Exchange Act Rule 16b-3.</w:t>
      </w:r>
    </w:p>
    <w:p>
      <w:pPr>
        <w:spacing w:after="0" w:line="210" w:lineRule="exact"/>
        <w:rPr>
          <w:rFonts w:ascii="Arial" w:cs="Arial" w:eastAsia="Arial" w:hAnsi="Arial"/>
          <w:sz w:val="16"/>
          <w:szCs w:val="16"/>
          <w:color w:val="auto"/>
        </w:rPr>
      </w:pPr>
    </w:p>
    <w:p>
      <w:pPr>
        <w:ind w:left="980" w:hanging="324"/>
        <w:spacing w:after="0"/>
        <w:tabs>
          <w:tab w:leader="none" w:pos="980" w:val="left"/>
        </w:tabs>
        <w:numPr>
          <w:ilvl w:val="1"/>
          <w:numId w:val="72"/>
        </w:numPr>
        <w:rPr>
          <w:rFonts w:ascii="Arial" w:cs="Arial" w:eastAsia="Arial" w:hAnsi="Arial"/>
          <w:sz w:val="16"/>
          <w:szCs w:val="16"/>
          <w:color w:val="auto"/>
        </w:rPr>
      </w:pPr>
      <w:r>
        <w:rPr>
          <w:rFonts w:ascii="Arial" w:cs="Arial" w:eastAsia="Arial" w:hAnsi="Arial"/>
          <w:sz w:val="16"/>
          <w:szCs w:val="16"/>
          <w:color w:val="auto"/>
        </w:rPr>
        <w:t>“Company” means Winnebago Industries, Inc., an Iowa corporation, and any successor thereto.</w:t>
      </w:r>
    </w:p>
    <w:p>
      <w:pPr>
        <w:spacing w:after="0" w:line="194" w:lineRule="exact"/>
        <w:rPr>
          <w:rFonts w:ascii="Arial" w:cs="Arial" w:eastAsia="Arial" w:hAnsi="Arial"/>
          <w:sz w:val="16"/>
          <w:szCs w:val="16"/>
          <w:color w:val="auto"/>
        </w:rPr>
      </w:pPr>
    </w:p>
    <w:p>
      <w:pPr>
        <w:jc w:val="both"/>
        <w:ind w:firstLine="656"/>
        <w:spacing w:after="0" w:line="250" w:lineRule="auto"/>
        <w:tabs>
          <w:tab w:leader="none" w:pos="981" w:val="left"/>
        </w:tabs>
        <w:numPr>
          <w:ilvl w:val="1"/>
          <w:numId w:val="72"/>
        </w:numPr>
        <w:rPr>
          <w:rFonts w:ascii="Arial" w:cs="Arial" w:eastAsia="Arial" w:hAnsi="Arial"/>
          <w:sz w:val="16"/>
          <w:szCs w:val="16"/>
          <w:color w:val="auto"/>
        </w:rPr>
      </w:pPr>
      <w:r>
        <w:rPr>
          <w:rFonts w:ascii="Arial" w:cs="Arial" w:eastAsia="Arial" w:hAnsi="Arial"/>
          <w:sz w:val="16"/>
          <w:szCs w:val="16"/>
          <w:color w:val="auto"/>
        </w:rPr>
        <w:t>“Continuing Director” means an individual (i) who is, as of the effective date of the Plan, a director of the Company, or (ii) who becomes a director of the Company after the effective date hereof and whose initial election, or nomination for election by the Company’s stockholders, was approved by at least a majority of the then Continuing Directors, but excluding, for purposes of this clause (ii), an individual whose initial assumption of office occurs as the result of an actual or threatened proxy contest involving the solicitation of proxies or consents by a person or Group other than the Board, or by reason of an agreement intended to avoid or settle an actual or threatened proxy contest.</w:t>
      </w:r>
    </w:p>
    <w:p>
      <w:pPr>
        <w:spacing w:after="0" w:line="176" w:lineRule="exact"/>
        <w:rPr>
          <w:rFonts w:ascii="Arial" w:cs="Arial" w:eastAsia="Arial" w:hAnsi="Arial"/>
          <w:sz w:val="16"/>
          <w:szCs w:val="16"/>
          <w:color w:val="auto"/>
        </w:rPr>
      </w:pPr>
    </w:p>
    <w:p>
      <w:pPr>
        <w:ind w:firstLine="656"/>
        <w:spacing w:after="0" w:line="260" w:lineRule="auto"/>
        <w:tabs>
          <w:tab w:leader="none" w:pos="1167" w:val="left"/>
        </w:tabs>
        <w:numPr>
          <w:ilvl w:val="1"/>
          <w:numId w:val="72"/>
        </w:numPr>
        <w:rPr>
          <w:rFonts w:ascii="Arial" w:cs="Arial" w:eastAsia="Arial" w:hAnsi="Arial"/>
          <w:sz w:val="16"/>
          <w:szCs w:val="16"/>
          <w:color w:val="auto"/>
        </w:rPr>
      </w:pPr>
      <w:r>
        <w:rPr>
          <w:rFonts w:ascii="Arial" w:cs="Arial" w:eastAsia="Arial" w:hAnsi="Arial"/>
          <w:sz w:val="16"/>
          <w:szCs w:val="16"/>
          <w:color w:val="auto"/>
        </w:rPr>
        <w:t>“Corporate Transaction” means (i) a sale or other disposition of all or substantially all of the assets of the Company, or (ii) a merger, consolidation, share exchange or similar transaction involving the Company, regardless of whether the Company is the surviving entity.</w:t>
      </w:r>
    </w:p>
    <w:p>
      <w:pPr>
        <w:spacing w:after="0" w:line="168" w:lineRule="exact"/>
        <w:rPr>
          <w:rFonts w:ascii="Arial" w:cs="Arial" w:eastAsia="Arial" w:hAnsi="Arial"/>
          <w:sz w:val="16"/>
          <w:szCs w:val="16"/>
          <w:color w:val="auto"/>
        </w:rPr>
      </w:pPr>
    </w:p>
    <w:p>
      <w:pPr>
        <w:ind w:firstLine="656"/>
        <w:spacing w:after="0" w:line="260" w:lineRule="auto"/>
        <w:tabs>
          <w:tab w:leader="none" w:pos="1001" w:val="left"/>
        </w:tabs>
        <w:numPr>
          <w:ilvl w:val="1"/>
          <w:numId w:val="72"/>
        </w:numPr>
        <w:rPr>
          <w:rFonts w:ascii="Arial" w:cs="Arial" w:eastAsia="Arial" w:hAnsi="Arial"/>
          <w:sz w:val="16"/>
          <w:szCs w:val="16"/>
          <w:color w:val="auto"/>
        </w:rPr>
      </w:pPr>
      <w:r>
        <w:rPr>
          <w:rFonts w:ascii="Arial" w:cs="Arial" w:eastAsia="Arial" w:hAnsi="Arial"/>
          <w:sz w:val="16"/>
          <w:szCs w:val="16"/>
          <w:color w:val="auto"/>
        </w:rPr>
        <w:t>“Disability” means (A) any permanent and total disability under any long-term disability plan or policy of the Company or its Affiliates that covers the Participant, or (B) if there is no such long-term disability plan or policy, “total and permanent disability” within the meaning of Code Section 22(e)(3).</w:t>
      </w:r>
    </w:p>
    <w:p>
      <w:pPr>
        <w:spacing w:after="0" w:line="195" w:lineRule="exact"/>
        <w:rPr>
          <w:rFonts w:ascii="Arial" w:cs="Arial" w:eastAsia="Arial" w:hAnsi="Arial"/>
          <w:sz w:val="16"/>
          <w:szCs w:val="16"/>
          <w:color w:val="auto"/>
        </w:rPr>
      </w:pPr>
    </w:p>
    <w:p>
      <w:pPr>
        <w:ind w:left="1080" w:hanging="424"/>
        <w:spacing w:after="0"/>
        <w:tabs>
          <w:tab w:leader="none" w:pos="1080" w:val="left"/>
        </w:tabs>
        <w:numPr>
          <w:ilvl w:val="1"/>
          <w:numId w:val="72"/>
        </w:numPr>
        <w:rPr>
          <w:rFonts w:ascii="Arial" w:cs="Arial" w:eastAsia="Arial" w:hAnsi="Arial"/>
          <w:sz w:val="16"/>
          <w:szCs w:val="16"/>
          <w:color w:val="auto"/>
        </w:rPr>
      </w:pPr>
      <w:r>
        <w:rPr>
          <w:rFonts w:ascii="Arial" w:cs="Arial" w:eastAsia="Arial" w:hAnsi="Arial"/>
          <w:sz w:val="16"/>
          <w:szCs w:val="16"/>
          <w:color w:val="auto"/>
        </w:rPr>
        <w:t>“Employee” means an employee of the Company or an Affiliate.</w:t>
      </w:r>
    </w:p>
    <w:p>
      <w:pPr>
        <w:spacing w:after="0" w:line="221" w:lineRule="exact"/>
        <w:rPr>
          <w:rFonts w:ascii="Arial" w:cs="Arial" w:eastAsia="Arial" w:hAnsi="Arial"/>
          <w:sz w:val="16"/>
          <w:szCs w:val="16"/>
          <w:color w:val="auto"/>
        </w:rPr>
      </w:pPr>
    </w:p>
    <w:p>
      <w:pPr>
        <w:ind w:left="1040" w:hanging="384"/>
        <w:spacing w:after="0"/>
        <w:tabs>
          <w:tab w:leader="none" w:pos="1040" w:val="left"/>
        </w:tabs>
        <w:numPr>
          <w:ilvl w:val="1"/>
          <w:numId w:val="72"/>
        </w:numPr>
        <w:rPr>
          <w:rFonts w:ascii="Arial" w:cs="Arial" w:eastAsia="Arial" w:hAnsi="Arial"/>
          <w:sz w:val="16"/>
          <w:szCs w:val="16"/>
          <w:color w:val="auto"/>
        </w:rPr>
      </w:pPr>
      <w:r>
        <w:rPr>
          <w:rFonts w:ascii="Arial" w:cs="Arial" w:eastAsia="Arial" w:hAnsi="Arial"/>
          <w:sz w:val="16"/>
          <w:szCs w:val="16"/>
          <w:color w:val="auto"/>
        </w:rPr>
        <w:t>“Exchange Act” means the Securities Exchange Act of 1934, as amended and in effect from time to time.</w:t>
      </w:r>
    </w:p>
    <w:p>
      <w:pPr>
        <w:spacing w:after="0" w:line="221" w:lineRule="exact"/>
        <w:rPr>
          <w:rFonts w:ascii="Arial" w:cs="Arial" w:eastAsia="Arial" w:hAnsi="Arial"/>
          <w:sz w:val="16"/>
          <w:szCs w:val="16"/>
          <w:color w:val="auto"/>
        </w:rPr>
      </w:pPr>
    </w:p>
    <w:p>
      <w:pPr>
        <w:jc w:val="both"/>
        <w:ind w:firstLine="656"/>
        <w:spacing w:after="0" w:line="251" w:lineRule="auto"/>
        <w:tabs>
          <w:tab w:leader="none" w:pos="1046" w:val="left"/>
        </w:tabs>
        <w:numPr>
          <w:ilvl w:val="1"/>
          <w:numId w:val="72"/>
        </w:numPr>
        <w:rPr>
          <w:rFonts w:ascii="Arial" w:cs="Arial" w:eastAsia="Arial" w:hAnsi="Arial"/>
          <w:sz w:val="16"/>
          <w:szCs w:val="16"/>
          <w:color w:val="auto"/>
        </w:rPr>
      </w:pPr>
      <w:r>
        <w:rPr>
          <w:rFonts w:ascii="Arial" w:cs="Arial" w:eastAsia="Arial" w:hAnsi="Arial"/>
          <w:sz w:val="16"/>
          <w:szCs w:val="16"/>
          <w:color w:val="auto"/>
        </w:rPr>
        <w:t>“Exchange Act Person” means any natural person, entity or Group other than (i) the Company or any Affiliate; (ii) any employee benefit plan (or related trust) sponsored or maintained by the Company or any Affiliate; (iii) an underwriter temporarily holding securities in connection with a registered public offering of such securities; or (iv) an entity whose Voting Securities are beneficially owned by the beneficial owners of the Company’s Voting Securities in substantially the same proportions as their beneficial ownership of the Company’s Voting Securities.</w:t>
      </w:r>
    </w:p>
    <w:p>
      <w:pPr>
        <w:spacing w:after="0" w:line="202" w:lineRule="exact"/>
        <w:rPr>
          <w:rFonts w:ascii="Arial" w:cs="Arial" w:eastAsia="Arial" w:hAnsi="Arial"/>
          <w:sz w:val="16"/>
          <w:szCs w:val="16"/>
          <w:color w:val="auto"/>
        </w:rPr>
      </w:pPr>
    </w:p>
    <w:p>
      <w:pPr>
        <w:ind w:left="1040" w:hanging="384"/>
        <w:spacing w:after="0"/>
        <w:tabs>
          <w:tab w:leader="none" w:pos="1040" w:val="left"/>
        </w:tabs>
        <w:numPr>
          <w:ilvl w:val="1"/>
          <w:numId w:val="72"/>
        </w:numPr>
        <w:rPr>
          <w:rFonts w:ascii="Arial" w:cs="Arial" w:eastAsia="Arial" w:hAnsi="Arial"/>
          <w:sz w:val="16"/>
          <w:szCs w:val="16"/>
          <w:color w:val="auto"/>
        </w:rPr>
      </w:pPr>
      <w:r>
        <w:rPr>
          <w:rFonts w:ascii="Arial" w:cs="Arial" w:eastAsia="Arial" w:hAnsi="Arial"/>
          <w:sz w:val="16"/>
          <w:szCs w:val="16"/>
          <w:color w:val="auto"/>
        </w:rPr>
        <w:t>“Fair Market Value” means the fair market value of a Share determined as follows:</w:t>
      </w:r>
    </w:p>
    <w:p>
      <w:pPr>
        <w:spacing w:after="0" w:line="194" w:lineRule="exact"/>
        <w:rPr>
          <w:rFonts w:ascii="Arial" w:cs="Arial" w:eastAsia="Arial" w:hAnsi="Arial"/>
          <w:sz w:val="16"/>
          <w:szCs w:val="16"/>
          <w:color w:val="auto"/>
        </w:rPr>
      </w:pPr>
    </w:p>
    <w:p>
      <w:pPr>
        <w:jc w:val="both"/>
        <w:ind w:firstLine="1278"/>
        <w:spacing w:after="0" w:line="251" w:lineRule="auto"/>
        <w:tabs>
          <w:tab w:leader="none" w:pos="1652" w:val="left"/>
        </w:tabs>
        <w:numPr>
          <w:ilvl w:val="2"/>
          <w:numId w:val="72"/>
        </w:numPr>
        <w:rPr>
          <w:rFonts w:ascii="Arial" w:cs="Arial" w:eastAsia="Arial" w:hAnsi="Arial"/>
          <w:sz w:val="16"/>
          <w:szCs w:val="16"/>
          <w:color w:val="auto"/>
        </w:rPr>
      </w:pPr>
      <w:r>
        <w:rPr>
          <w:rFonts w:ascii="Arial" w:cs="Arial" w:eastAsia="Arial" w:hAnsi="Arial"/>
          <w:sz w:val="16"/>
          <w:szCs w:val="16"/>
          <w:color w:val="auto"/>
        </w:rPr>
        <w:t xml:space="preserve">If the Shares are readily tradable on an established securities market (as determined under Code Section 409A), then Fair Market Value will be the closing sales price for a Share on the principal securities market on which it trades on the date for which it is being determined, or if no sale of Shares occurred on that date, on the next preceding date on which a sale of Shares occurred, as reported in </w:t>
      </w:r>
      <w:r>
        <w:rPr>
          <w:rFonts w:ascii="Arial" w:cs="Arial" w:eastAsia="Arial" w:hAnsi="Arial"/>
          <w:sz w:val="16"/>
          <w:szCs w:val="16"/>
          <w:i w:val="1"/>
          <w:iCs w:val="1"/>
          <w:color w:val="auto"/>
        </w:rPr>
        <w:t>The Wall Street Journal</w:t>
      </w:r>
      <w:r>
        <w:rPr>
          <w:rFonts w:ascii="Arial" w:cs="Arial" w:eastAsia="Arial" w:hAnsi="Arial"/>
          <w:sz w:val="16"/>
          <w:szCs w:val="16"/>
          <w:color w:val="auto"/>
        </w:rPr>
        <w:t xml:space="preserve"> or such other source as the Committee deems reliable; or</w:t>
      </w:r>
    </w:p>
    <w:p>
      <w:pPr>
        <w:spacing w:after="0" w:line="175" w:lineRule="exact"/>
        <w:rPr>
          <w:rFonts w:ascii="Arial" w:cs="Arial" w:eastAsia="Arial" w:hAnsi="Arial"/>
          <w:sz w:val="16"/>
          <w:szCs w:val="16"/>
          <w:color w:val="auto"/>
        </w:rPr>
      </w:pPr>
    </w:p>
    <w:p>
      <w:pPr>
        <w:jc w:val="both"/>
        <w:ind w:firstLine="1305"/>
        <w:spacing w:after="0" w:line="253" w:lineRule="auto"/>
        <w:tabs>
          <w:tab w:leader="none" w:pos="1733" w:val="left"/>
        </w:tabs>
        <w:numPr>
          <w:ilvl w:val="3"/>
          <w:numId w:val="72"/>
        </w:numPr>
        <w:rPr>
          <w:rFonts w:ascii="Arial" w:cs="Arial" w:eastAsia="Arial" w:hAnsi="Arial"/>
          <w:sz w:val="16"/>
          <w:szCs w:val="16"/>
          <w:color w:val="auto"/>
        </w:rPr>
      </w:pPr>
      <w:r>
        <w:rPr>
          <w:rFonts w:ascii="Arial" w:cs="Arial" w:eastAsia="Arial" w:hAnsi="Arial"/>
          <w:sz w:val="16"/>
          <w:szCs w:val="16"/>
          <w:color w:val="auto"/>
        </w:rPr>
        <w:t>If the Shares are not then readily tradable on an established securities market (as determined under Code Section 409A), then Fair Market Value will be determined by the Committee as the result of a reasonable application of a reasonable valuation method that satisfies the requirements of Code Section 409A.</w:t>
      </w:r>
    </w:p>
    <w:p>
      <w:pPr>
        <w:spacing w:after="0" w:line="282" w:lineRule="exact"/>
        <w:rPr>
          <w:rFonts w:ascii="Arial" w:cs="Arial" w:eastAsia="Arial" w:hAnsi="Arial"/>
          <w:sz w:val="16"/>
          <w:szCs w:val="16"/>
          <w:color w:val="auto"/>
        </w:rPr>
      </w:pPr>
    </w:p>
    <w:p>
      <w:pPr>
        <w:ind w:left="980" w:hanging="378"/>
        <w:spacing w:after="0"/>
        <w:tabs>
          <w:tab w:leader="none" w:pos="980" w:val="left"/>
        </w:tabs>
        <w:numPr>
          <w:ilvl w:val="0"/>
          <w:numId w:val="73"/>
        </w:numPr>
        <w:rPr>
          <w:rFonts w:ascii="Arial" w:cs="Arial" w:eastAsia="Arial" w:hAnsi="Arial"/>
          <w:sz w:val="16"/>
          <w:szCs w:val="16"/>
          <w:color w:val="auto"/>
        </w:rPr>
      </w:pPr>
      <w:r>
        <w:rPr>
          <w:rFonts w:ascii="Arial" w:cs="Arial" w:eastAsia="Arial" w:hAnsi="Arial"/>
          <w:sz w:val="16"/>
          <w:szCs w:val="16"/>
          <w:color w:val="auto"/>
        </w:rPr>
        <w:t>“Full Value Award” means an Award other than an Option Award or Stock Appreciation Right Award.</w:t>
      </w:r>
    </w:p>
    <w:p>
      <w:pPr>
        <w:spacing w:after="0" w:line="194" w:lineRule="exact"/>
        <w:rPr>
          <w:rFonts w:ascii="Arial" w:cs="Arial" w:eastAsia="Arial" w:hAnsi="Arial"/>
          <w:sz w:val="16"/>
          <w:szCs w:val="16"/>
          <w:color w:val="auto"/>
        </w:rPr>
      </w:pPr>
    </w:p>
    <w:p>
      <w:pPr>
        <w:ind w:firstLine="602"/>
        <w:spacing w:after="0" w:line="260" w:lineRule="auto"/>
        <w:tabs>
          <w:tab w:leader="none" w:pos="961" w:val="left"/>
        </w:tabs>
        <w:numPr>
          <w:ilvl w:val="0"/>
          <w:numId w:val="73"/>
        </w:numPr>
        <w:rPr>
          <w:rFonts w:ascii="Arial" w:cs="Arial" w:eastAsia="Arial" w:hAnsi="Arial"/>
          <w:sz w:val="16"/>
          <w:szCs w:val="16"/>
          <w:color w:val="auto"/>
        </w:rPr>
      </w:pPr>
      <w:r>
        <w:rPr>
          <w:rFonts w:ascii="Arial" w:cs="Arial" w:eastAsia="Arial" w:hAnsi="Arial"/>
          <w:sz w:val="16"/>
          <w:szCs w:val="16"/>
          <w:color w:val="auto"/>
        </w:rPr>
        <w:t>“Grant Date” means the date on which the Committee approves the grant of an Award under the Plan, or such later date as may be specified by the Committee on the date the Committee approves the Award.</w:t>
      </w:r>
    </w:p>
    <w:p>
      <w:pPr>
        <w:spacing w:after="0" w:line="168" w:lineRule="exact"/>
        <w:rPr>
          <w:rFonts w:ascii="Arial" w:cs="Arial" w:eastAsia="Arial" w:hAnsi="Arial"/>
          <w:sz w:val="16"/>
          <w:szCs w:val="16"/>
          <w:color w:val="auto"/>
        </w:rPr>
      </w:pPr>
    </w:p>
    <w:p>
      <w:pPr>
        <w:ind w:right="20" w:firstLine="602"/>
        <w:spacing w:after="0" w:line="260" w:lineRule="auto"/>
        <w:tabs>
          <w:tab w:leader="none" w:pos="1029" w:val="left"/>
        </w:tabs>
        <w:numPr>
          <w:ilvl w:val="0"/>
          <w:numId w:val="73"/>
        </w:numPr>
        <w:rPr>
          <w:rFonts w:ascii="Arial" w:cs="Arial" w:eastAsia="Arial" w:hAnsi="Arial"/>
          <w:sz w:val="16"/>
          <w:szCs w:val="16"/>
          <w:color w:val="auto"/>
        </w:rPr>
      </w:pPr>
      <w:r>
        <w:rPr>
          <w:rFonts w:ascii="Arial" w:cs="Arial" w:eastAsia="Arial" w:hAnsi="Arial"/>
          <w:sz w:val="16"/>
          <w:szCs w:val="16"/>
          <w:color w:val="auto"/>
        </w:rPr>
        <w:t>“Group” means two or more persons who act, or agree to act together, as a partnership, limited partnership, syndicate or other group for the purpose of acquiring, holding, voting or disposing of securities of the Company.</w:t>
      </w:r>
    </w:p>
    <w:p>
      <w:pPr>
        <w:spacing w:after="0" w:line="195" w:lineRule="exact"/>
        <w:rPr>
          <w:rFonts w:ascii="Arial" w:cs="Arial" w:eastAsia="Arial" w:hAnsi="Arial"/>
          <w:sz w:val="16"/>
          <w:szCs w:val="16"/>
          <w:color w:val="auto"/>
        </w:rPr>
      </w:pPr>
    </w:p>
    <w:p>
      <w:pPr>
        <w:ind w:left="940" w:hanging="338"/>
        <w:spacing w:after="0"/>
        <w:tabs>
          <w:tab w:leader="none" w:pos="940" w:val="left"/>
        </w:tabs>
        <w:numPr>
          <w:ilvl w:val="0"/>
          <w:numId w:val="73"/>
        </w:numPr>
        <w:rPr>
          <w:rFonts w:ascii="Arial" w:cs="Arial" w:eastAsia="Arial" w:hAnsi="Arial"/>
          <w:sz w:val="16"/>
          <w:szCs w:val="16"/>
          <w:color w:val="auto"/>
        </w:rPr>
      </w:pPr>
      <w:r>
        <w:rPr>
          <w:rFonts w:ascii="Arial" w:cs="Arial" w:eastAsia="Arial" w:hAnsi="Arial"/>
          <w:sz w:val="16"/>
          <w:szCs w:val="16"/>
          <w:color w:val="auto"/>
        </w:rPr>
        <w:t>“Non-Employee Director” means a member of the Board who is not an Employee.</w:t>
      </w: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A-2</w:t>
      </w:r>
    </w:p>
    <w:p>
      <w:pPr>
        <w:sectPr>
          <w:pgSz w:w="11900" w:h="16838" w:orient="portrait"/>
          <w:cols w:equalWidth="0" w:num="1">
            <w:col w:w="11420"/>
          </w:cols>
          <w:pgMar w:left="240" w:top="790" w:right="239" w:bottom="1440" w:gutter="0" w:footer="0" w:header="0"/>
        </w:sectPr>
      </w:pPr>
    </w:p>
    <w:bookmarkStart w:id="53" w:name="page54"/>
    <w:bookmarkEnd w:id="53"/>
    <w:p>
      <w:pPr>
        <w:jc w:val="both"/>
        <w:ind w:firstLine="656"/>
        <w:spacing w:after="0" w:line="191" w:lineRule="exact"/>
        <w:tabs>
          <w:tab w:leader="none" w:pos="1083" w:val="left"/>
        </w:tabs>
        <w:numPr>
          <w:ilvl w:val="0"/>
          <w:numId w:val="74"/>
        </w:numPr>
        <w:rPr>
          <w:rFonts w:ascii="Arial" w:cs="Arial" w:eastAsia="Arial" w:hAnsi="Arial"/>
          <w:sz w:val="16"/>
          <w:szCs w:val="16"/>
          <w:color w:val="auto"/>
        </w:rPr>
      </w:pPr>
      <w:r>
        <w:rPr>
          <w:rFonts w:ascii="Arial" w:cs="Arial" w:eastAsia="Arial" w:hAnsi="Arial"/>
          <w:sz w:val="16"/>
          <w:szCs w:val="16"/>
          <w:color w:val="auto"/>
        </w:rPr>
        <w:t>“Option” means a right granted under the Plan to purchase a specified number of Shares at a specified price. An “Incentive Stock Option” or “ISO” means any Option designated as such and granted in accordance with the requirements of Code Section 422. A “Non</w:t>
      </w:r>
      <w:r>
        <w:rPr>
          <w:rFonts w:ascii="MS PGothic" w:cs="MS PGothic" w:eastAsia="MS PGothic" w:hAnsi="MS PGothic"/>
          <w:sz w:val="16"/>
          <w:szCs w:val="16"/>
          <w:color w:val="auto"/>
        </w:rPr>
        <w:t>‑</w:t>
      </w:r>
      <w:r>
        <w:rPr>
          <w:rFonts w:ascii="Arial" w:cs="Arial" w:eastAsia="Arial" w:hAnsi="Arial"/>
          <w:sz w:val="16"/>
          <w:szCs w:val="16"/>
          <w:color w:val="auto"/>
        </w:rPr>
        <w:t>Qualified Stock Option” or “NQSO” means an Option other than an Incentive Stock Option.</w:t>
      </w:r>
    </w:p>
    <w:p>
      <w:pPr>
        <w:spacing w:after="0" w:line="183" w:lineRule="exact"/>
        <w:rPr>
          <w:rFonts w:ascii="Arial" w:cs="Arial" w:eastAsia="Arial" w:hAnsi="Arial"/>
          <w:sz w:val="16"/>
          <w:szCs w:val="16"/>
          <w:color w:val="auto"/>
        </w:rPr>
      </w:pPr>
    </w:p>
    <w:p>
      <w:pPr>
        <w:ind w:left="1020" w:hanging="364"/>
        <w:spacing w:after="0"/>
        <w:tabs>
          <w:tab w:leader="none" w:pos="1020" w:val="left"/>
        </w:tabs>
        <w:numPr>
          <w:ilvl w:val="0"/>
          <w:numId w:val="74"/>
        </w:numPr>
        <w:rPr>
          <w:rFonts w:ascii="Arial" w:cs="Arial" w:eastAsia="Arial" w:hAnsi="Arial"/>
          <w:sz w:val="16"/>
          <w:szCs w:val="16"/>
          <w:color w:val="auto"/>
        </w:rPr>
      </w:pPr>
      <w:r>
        <w:rPr>
          <w:rFonts w:ascii="Arial" w:cs="Arial" w:eastAsia="Arial" w:hAnsi="Arial"/>
          <w:sz w:val="16"/>
          <w:szCs w:val="16"/>
          <w:color w:val="auto"/>
        </w:rPr>
        <w:t>“Other Stock-Based Award” means an Award described in Section 11 of this Plan.</w:t>
      </w:r>
    </w:p>
    <w:p>
      <w:pPr>
        <w:spacing w:after="0" w:line="194" w:lineRule="exact"/>
        <w:rPr>
          <w:rFonts w:ascii="Arial" w:cs="Arial" w:eastAsia="Arial" w:hAnsi="Arial"/>
          <w:sz w:val="16"/>
          <w:szCs w:val="16"/>
          <w:color w:val="auto"/>
        </w:rPr>
      </w:pPr>
    </w:p>
    <w:p>
      <w:pPr>
        <w:ind w:left="1060" w:hanging="404"/>
        <w:spacing w:after="0"/>
        <w:tabs>
          <w:tab w:leader="none" w:pos="1060" w:val="left"/>
        </w:tabs>
        <w:numPr>
          <w:ilvl w:val="0"/>
          <w:numId w:val="74"/>
        </w:numPr>
        <w:rPr>
          <w:rFonts w:ascii="Arial" w:cs="Arial" w:eastAsia="Arial" w:hAnsi="Arial"/>
          <w:sz w:val="16"/>
          <w:szCs w:val="16"/>
          <w:color w:val="auto"/>
        </w:rPr>
      </w:pPr>
      <w:r>
        <w:rPr>
          <w:rFonts w:ascii="Arial" w:cs="Arial" w:eastAsia="Arial" w:hAnsi="Arial"/>
          <w:sz w:val="16"/>
          <w:szCs w:val="16"/>
          <w:color w:val="auto"/>
        </w:rPr>
        <w:t>“Parent” means a “parent corporation,” as defined in Code Section 424(e).</w:t>
      </w:r>
    </w:p>
    <w:p>
      <w:pPr>
        <w:spacing w:after="0" w:line="194" w:lineRule="exact"/>
        <w:rPr>
          <w:rFonts w:ascii="Arial" w:cs="Arial" w:eastAsia="Arial" w:hAnsi="Arial"/>
          <w:sz w:val="16"/>
          <w:szCs w:val="16"/>
          <w:color w:val="auto"/>
        </w:rPr>
      </w:pPr>
    </w:p>
    <w:p>
      <w:pPr>
        <w:ind w:left="1020" w:hanging="364"/>
        <w:spacing w:after="0"/>
        <w:tabs>
          <w:tab w:leader="none" w:pos="1020" w:val="left"/>
        </w:tabs>
        <w:numPr>
          <w:ilvl w:val="0"/>
          <w:numId w:val="74"/>
        </w:numPr>
        <w:rPr>
          <w:rFonts w:ascii="Arial" w:cs="Arial" w:eastAsia="Arial" w:hAnsi="Arial"/>
          <w:sz w:val="16"/>
          <w:szCs w:val="16"/>
          <w:color w:val="auto"/>
        </w:rPr>
      </w:pPr>
      <w:r>
        <w:rPr>
          <w:rFonts w:ascii="Arial" w:cs="Arial" w:eastAsia="Arial" w:hAnsi="Arial"/>
          <w:sz w:val="16"/>
          <w:szCs w:val="16"/>
          <w:color w:val="auto"/>
        </w:rPr>
        <w:t>“Participant” means a Service Provider to whom a then-outstanding Award has been granted under the Plan.</w:t>
      </w:r>
    </w:p>
    <w:p>
      <w:pPr>
        <w:spacing w:after="0" w:line="221" w:lineRule="exact"/>
        <w:rPr>
          <w:rFonts w:ascii="Arial" w:cs="Arial" w:eastAsia="Arial" w:hAnsi="Arial"/>
          <w:sz w:val="16"/>
          <w:szCs w:val="16"/>
          <w:color w:val="auto"/>
        </w:rPr>
      </w:pPr>
    </w:p>
    <w:p>
      <w:pPr>
        <w:jc w:val="both"/>
        <w:ind w:firstLine="656"/>
        <w:spacing w:after="0" w:line="248" w:lineRule="auto"/>
        <w:tabs>
          <w:tab w:leader="none" w:pos="1071" w:val="left"/>
        </w:tabs>
        <w:numPr>
          <w:ilvl w:val="0"/>
          <w:numId w:val="74"/>
        </w:numPr>
        <w:rPr>
          <w:rFonts w:ascii="Arial" w:cs="Arial" w:eastAsia="Arial" w:hAnsi="Arial"/>
          <w:sz w:val="16"/>
          <w:szCs w:val="16"/>
          <w:color w:val="auto"/>
        </w:rPr>
      </w:pPr>
      <w:r>
        <w:rPr>
          <w:rFonts w:ascii="Arial" w:cs="Arial" w:eastAsia="Arial" w:hAnsi="Arial"/>
          <w:sz w:val="16"/>
          <w:szCs w:val="16"/>
          <w:color w:val="auto"/>
        </w:rPr>
        <w:t>“Performance Measure” may include one or more of the following: (i) stock price measures (including but not limited to growth measures and total shareholder return); (ii) earnings per share (actual or targeted growth); (iii) earnings before interest, taxes, depreciation, and amortization (“EBITDA”); (iv) economic value added (“EVA”); (v) net income measures (including but not limited to income after capital costs and income before or after taxes); (vi) revenue and/or sales (gross or net) and margins; (vii) operating income; (viii) cash flow and working capital measures; (ix) return measures (including but not limited to return on assets, equity and/or invested capital); (x) growth measures (including revenue or sales growth); (xi) market share; (xii) product quality and customer satisfaction measures; (xiii) corporate values and strategic measures (including but not limited to ethics compliance, environmental, safety, strategic and succession planning); and (xiv) any other financial, operational or strategic measure approved by the Committee. Any performance goal based on one or more of the foregoing performance measures may be expressed in absolute amounts, on a per share basis (basic or diluted), relative to one or more other performance measures, as a growth rate or change from preceding periods, or as a comparison to the performance of specified companies, indices or other external measures, and may relate to one or any combination of Company, Affiliate, division, business segments, business units or individual performance.</w:t>
      </w:r>
    </w:p>
    <w:p>
      <w:pPr>
        <w:spacing w:after="0" w:line="205" w:lineRule="exact"/>
        <w:rPr>
          <w:rFonts w:ascii="Arial" w:cs="Arial" w:eastAsia="Arial" w:hAnsi="Arial"/>
          <w:sz w:val="16"/>
          <w:szCs w:val="16"/>
          <w:color w:val="auto"/>
        </w:rPr>
      </w:pPr>
    </w:p>
    <w:p>
      <w:pPr>
        <w:ind w:left="1020" w:hanging="364"/>
        <w:spacing w:after="0"/>
        <w:tabs>
          <w:tab w:leader="none" w:pos="1020" w:val="left"/>
        </w:tabs>
        <w:numPr>
          <w:ilvl w:val="0"/>
          <w:numId w:val="74"/>
        </w:numPr>
        <w:rPr>
          <w:rFonts w:ascii="Arial" w:cs="Arial" w:eastAsia="Arial" w:hAnsi="Arial"/>
          <w:sz w:val="16"/>
          <w:szCs w:val="16"/>
          <w:color w:val="auto"/>
        </w:rPr>
      </w:pPr>
      <w:r>
        <w:rPr>
          <w:rFonts w:ascii="Arial" w:cs="Arial" w:eastAsia="Arial" w:hAnsi="Arial"/>
          <w:sz w:val="16"/>
          <w:szCs w:val="16"/>
          <w:color w:val="auto"/>
        </w:rPr>
        <w:t>“Plan” means this Winnebago Industries, Inc. 2019 Omnibus Incentive Plan, as amended and in effect from time to time.</w:t>
      </w:r>
    </w:p>
    <w:p>
      <w:pPr>
        <w:spacing w:after="0" w:line="221" w:lineRule="exact"/>
        <w:rPr>
          <w:sz w:val="20"/>
          <w:szCs w:val="20"/>
          <w:color w:val="auto"/>
        </w:rPr>
      </w:pPr>
    </w:p>
    <w:p>
      <w:pPr>
        <w:ind w:firstLine="656"/>
        <w:spacing w:after="0" w:line="260" w:lineRule="auto"/>
        <w:tabs>
          <w:tab w:leader="none" w:pos="1161" w:val="left"/>
        </w:tabs>
        <w:numPr>
          <w:ilvl w:val="1"/>
          <w:numId w:val="75"/>
        </w:numPr>
        <w:rPr>
          <w:rFonts w:ascii="Arial" w:cs="Arial" w:eastAsia="Arial" w:hAnsi="Arial"/>
          <w:sz w:val="16"/>
          <w:szCs w:val="16"/>
          <w:color w:val="auto"/>
        </w:rPr>
      </w:pPr>
      <w:r>
        <w:rPr>
          <w:rFonts w:ascii="Arial" w:cs="Arial" w:eastAsia="Arial" w:hAnsi="Arial"/>
          <w:sz w:val="16"/>
          <w:szCs w:val="16"/>
          <w:color w:val="auto"/>
        </w:rPr>
        <w:t>“Prior Plan” means each of the Winnebago Industries, Inc. 2014 Omnibus Equity, Performance Award and Incentive Compensation Plan and the Winnebago Industries, Inc. 2004 Incentive Compensation Plan.</w:t>
      </w:r>
    </w:p>
    <w:p>
      <w:pPr>
        <w:spacing w:after="0" w:line="168" w:lineRule="exact"/>
        <w:rPr>
          <w:rFonts w:ascii="Arial" w:cs="Arial" w:eastAsia="Arial" w:hAnsi="Arial"/>
          <w:sz w:val="16"/>
          <w:szCs w:val="16"/>
          <w:color w:val="auto"/>
        </w:rPr>
      </w:pPr>
    </w:p>
    <w:p>
      <w:pPr>
        <w:ind w:right="20" w:firstLine="656"/>
        <w:spacing w:after="0" w:line="260" w:lineRule="auto"/>
        <w:tabs>
          <w:tab w:leader="none" w:pos="1255" w:val="left"/>
        </w:tabs>
        <w:numPr>
          <w:ilvl w:val="1"/>
          <w:numId w:val="75"/>
        </w:numPr>
        <w:rPr>
          <w:rFonts w:ascii="Arial" w:cs="Arial" w:eastAsia="Arial" w:hAnsi="Arial"/>
          <w:sz w:val="16"/>
          <w:szCs w:val="16"/>
          <w:color w:val="auto"/>
        </w:rPr>
      </w:pPr>
      <w:r>
        <w:rPr>
          <w:rFonts w:ascii="Arial" w:cs="Arial" w:eastAsia="Arial" w:hAnsi="Arial"/>
          <w:sz w:val="16"/>
          <w:szCs w:val="16"/>
          <w:color w:val="auto"/>
        </w:rPr>
        <w:t>“Restricted Stock” means Shares issued to a Participant that are subject to such restrictions on transfer, vesting conditions and other restrictions or limitations as may be set forth in this Plan and the applicable Agreement.</w:t>
      </w:r>
    </w:p>
    <w:p>
      <w:pPr>
        <w:spacing w:after="0" w:line="195" w:lineRule="exact"/>
        <w:rPr>
          <w:rFonts w:ascii="Arial" w:cs="Arial" w:eastAsia="Arial" w:hAnsi="Arial"/>
          <w:sz w:val="16"/>
          <w:szCs w:val="16"/>
          <w:color w:val="auto"/>
        </w:rPr>
      </w:pPr>
    </w:p>
    <w:p>
      <w:pPr>
        <w:jc w:val="both"/>
        <w:ind w:firstLine="656"/>
        <w:spacing w:after="0" w:line="250" w:lineRule="auto"/>
        <w:tabs>
          <w:tab w:leader="none" w:pos="1103" w:val="left"/>
        </w:tabs>
        <w:numPr>
          <w:ilvl w:val="1"/>
          <w:numId w:val="75"/>
        </w:numPr>
        <w:rPr>
          <w:rFonts w:ascii="Arial" w:cs="Arial" w:eastAsia="Arial" w:hAnsi="Arial"/>
          <w:sz w:val="16"/>
          <w:szCs w:val="16"/>
          <w:color w:val="auto"/>
        </w:rPr>
      </w:pPr>
      <w:r>
        <w:rPr>
          <w:rFonts w:ascii="Arial" w:cs="Arial" w:eastAsia="Arial" w:hAnsi="Arial"/>
          <w:sz w:val="16"/>
          <w:szCs w:val="16"/>
          <w:color w:val="auto"/>
        </w:rPr>
        <w:t>“Service” means the provision of services by a Participant to the Company or any Affiliate in any Service Provider capacity. A Service Provider’s Service shall be deemed to have terminated either upon an actual cessation of providing services to the Company or any Affiliate or upon the entity to which the Service Provider provides services ceasing to be an Affiliate. Except as otherwise provided in this Plan or any Agreement, Service shall not be deemed terminated in the case of (i) any approved leave of absence; (ii) transfers among the Company and any Affiliates in any Service Provider capacity; or (iii) any change in status so long as the individual remains in the service of the Company or any Affiliate in any Service Provider capacity.</w:t>
      </w:r>
    </w:p>
    <w:p>
      <w:pPr>
        <w:spacing w:after="0" w:line="203" w:lineRule="exact"/>
        <w:rPr>
          <w:rFonts w:ascii="Arial" w:cs="Arial" w:eastAsia="Arial" w:hAnsi="Arial"/>
          <w:sz w:val="16"/>
          <w:szCs w:val="16"/>
          <w:color w:val="auto"/>
        </w:rPr>
      </w:pPr>
    </w:p>
    <w:p>
      <w:pPr>
        <w:jc w:val="both"/>
        <w:ind w:firstLine="656"/>
        <w:spacing w:after="0" w:line="246" w:lineRule="auto"/>
        <w:tabs>
          <w:tab w:leader="none" w:pos="1160" w:val="left"/>
        </w:tabs>
        <w:numPr>
          <w:ilvl w:val="1"/>
          <w:numId w:val="75"/>
        </w:numPr>
        <w:rPr>
          <w:rFonts w:ascii="Arial" w:cs="Arial" w:eastAsia="Arial" w:hAnsi="Arial"/>
          <w:sz w:val="16"/>
          <w:szCs w:val="16"/>
          <w:color w:val="auto"/>
        </w:rPr>
      </w:pPr>
      <w:r>
        <w:rPr>
          <w:rFonts w:ascii="Arial" w:cs="Arial" w:eastAsia="Arial" w:hAnsi="Arial"/>
          <w:sz w:val="16"/>
          <w:szCs w:val="16"/>
          <w:color w:val="auto"/>
        </w:rPr>
        <w:t>“Service Provider” means an Employee, a Non-Employee Director, or any natural person who is a consultant or advisor, or is employed by a consultant or advisor retained by the Company or any Affiliate, and who provides services (other than in connection with (i) a capital-raising transaction or</w:t>
      </w:r>
    </w:p>
    <w:p>
      <w:pPr>
        <w:ind w:left="240" w:hanging="232"/>
        <w:spacing w:after="0"/>
        <w:tabs>
          <w:tab w:leader="none" w:pos="240" w:val="left"/>
        </w:tabs>
        <w:numPr>
          <w:ilvl w:val="0"/>
          <w:numId w:val="76"/>
        </w:numPr>
        <w:rPr>
          <w:rFonts w:ascii="Arial" w:cs="Arial" w:eastAsia="Arial" w:hAnsi="Arial"/>
          <w:sz w:val="16"/>
          <w:szCs w:val="16"/>
          <w:color w:val="auto"/>
        </w:rPr>
      </w:pPr>
      <w:r>
        <w:rPr>
          <w:rFonts w:ascii="Arial" w:cs="Arial" w:eastAsia="Arial" w:hAnsi="Arial"/>
          <w:sz w:val="16"/>
          <w:szCs w:val="16"/>
          <w:color w:val="auto"/>
        </w:rPr>
        <w:t>promoting or maintaining a market in Company securities) to the Company or any Affiliate.</w:t>
      </w:r>
    </w:p>
    <w:p>
      <w:pPr>
        <w:spacing w:after="0" w:line="221" w:lineRule="exact"/>
        <w:rPr>
          <w:rFonts w:ascii="Arial" w:cs="Arial" w:eastAsia="Arial" w:hAnsi="Arial"/>
          <w:sz w:val="16"/>
          <w:szCs w:val="16"/>
          <w:color w:val="auto"/>
        </w:rPr>
      </w:pPr>
    </w:p>
    <w:p>
      <w:pPr>
        <w:ind w:left="1120" w:hanging="464"/>
        <w:spacing w:after="0"/>
        <w:tabs>
          <w:tab w:leader="none" w:pos="1120" w:val="left"/>
        </w:tabs>
        <w:numPr>
          <w:ilvl w:val="1"/>
          <w:numId w:val="76"/>
        </w:numPr>
        <w:rPr>
          <w:rFonts w:ascii="Arial" w:cs="Arial" w:eastAsia="Arial" w:hAnsi="Arial"/>
          <w:sz w:val="16"/>
          <w:szCs w:val="16"/>
          <w:color w:val="auto"/>
        </w:rPr>
      </w:pPr>
      <w:r>
        <w:rPr>
          <w:rFonts w:ascii="Arial" w:cs="Arial" w:eastAsia="Arial" w:hAnsi="Arial"/>
          <w:sz w:val="16"/>
          <w:szCs w:val="16"/>
          <w:color w:val="auto"/>
        </w:rPr>
        <w:t>“Share” means a share of Stock.</w:t>
      </w:r>
    </w:p>
    <w:p>
      <w:pPr>
        <w:spacing w:after="0" w:line="221" w:lineRule="exact"/>
        <w:rPr>
          <w:rFonts w:ascii="Arial" w:cs="Arial" w:eastAsia="Arial" w:hAnsi="Arial"/>
          <w:sz w:val="16"/>
          <w:szCs w:val="16"/>
          <w:color w:val="auto"/>
        </w:rPr>
      </w:pPr>
    </w:p>
    <w:p>
      <w:pPr>
        <w:ind w:left="1040" w:hanging="384"/>
        <w:spacing w:after="0"/>
        <w:tabs>
          <w:tab w:leader="none" w:pos="1040" w:val="left"/>
        </w:tabs>
        <w:numPr>
          <w:ilvl w:val="1"/>
          <w:numId w:val="76"/>
        </w:numPr>
        <w:rPr>
          <w:rFonts w:ascii="Arial" w:cs="Arial" w:eastAsia="Arial" w:hAnsi="Arial"/>
          <w:sz w:val="16"/>
          <w:szCs w:val="16"/>
          <w:color w:val="auto"/>
        </w:rPr>
      </w:pPr>
      <w:r>
        <w:rPr>
          <w:rFonts w:ascii="Arial" w:cs="Arial" w:eastAsia="Arial" w:hAnsi="Arial"/>
          <w:sz w:val="16"/>
          <w:szCs w:val="16"/>
          <w:color w:val="auto"/>
        </w:rPr>
        <w:t>“Stock” means the common stock, $0.50 par value per Share, of the Company.</w:t>
      </w:r>
    </w:p>
    <w:p>
      <w:pPr>
        <w:spacing w:after="0" w:line="221" w:lineRule="exact"/>
        <w:rPr>
          <w:rFonts w:ascii="Arial" w:cs="Arial" w:eastAsia="Arial" w:hAnsi="Arial"/>
          <w:sz w:val="16"/>
          <w:szCs w:val="16"/>
          <w:color w:val="auto"/>
        </w:rPr>
      </w:pPr>
    </w:p>
    <w:p>
      <w:pPr>
        <w:ind w:right="20" w:firstLine="656"/>
        <w:spacing w:after="0" w:line="260" w:lineRule="auto"/>
        <w:tabs>
          <w:tab w:leader="none" w:pos="1119" w:val="left"/>
        </w:tabs>
        <w:numPr>
          <w:ilvl w:val="1"/>
          <w:numId w:val="76"/>
        </w:numPr>
        <w:rPr>
          <w:rFonts w:ascii="Arial" w:cs="Arial" w:eastAsia="Arial" w:hAnsi="Arial"/>
          <w:sz w:val="16"/>
          <w:szCs w:val="16"/>
          <w:color w:val="auto"/>
        </w:rPr>
      </w:pPr>
      <w:r>
        <w:rPr>
          <w:rFonts w:ascii="Arial" w:cs="Arial" w:eastAsia="Arial" w:hAnsi="Arial"/>
          <w:sz w:val="16"/>
          <w:szCs w:val="16"/>
          <w:color w:val="auto"/>
        </w:rPr>
        <w:t>“Stock Appreciation Right” or “SAR” means the right to receive, in cash and/or Shares as determined by the Committee, an amount equal to the appreciation in value of a specified number of Shares between the Grant Date of the SAR and its exercise date.</w:t>
      </w:r>
    </w:p>
    <w:p>
      <w:pPr>
        <w:spacing w:after="0" w:line="195" w:lineRule="exact"/>
        <w:rPr>
          <w:rFonts w:ascii="Arial" w:cs="Arial" w:eastAsia="Arial" w:hAnsi="Arial"/>
          <w:sz w:val="16"/>
          <w:szCs w:val="16"/>
          <w:color w:val="auto"/>
        </w:rPr>
      </w:pPr>
    </w:p>
    <w:p>
      <w:pPr>
        <w:ind w:firstLine="656"/>
        <w:spacing w:after="0" w:line="260" w:lineRule="auto"/>
        <w:tabs>
          <w:tab w:leader="none" w:pos="1120" w:val="left"/>
        </w:tabs>
        <w:numPr>
          <w:ilvl w:val="1"/>
          <w:numId w:val="76"/>
        </w:numPr>
        <w:rPr>
          <w:rFonts w:ascii="Arial" w:cs="Arial" w:eastAsia="Arial" w:hAnsi="Arial"/>
          <w:sz w:val="16"/>
          <w:szCs w:val="16"/>
          <w:color w:val="auto"/>
        </w:rPr>
      </w:pPr>
      <w:r>
        <w:rPr>
          <w:rFonts w:ascii="Arial" w:cs="Arial" w:eastAsia="Arial" w:hAnsi="Arial"/>
          <w:sz w:val="16"/>
          <w:szCs w:val="16"/>
          <w:color w:val="auto"/>
        </w:rPr>
        <w:t>“Stock Unit” means a right to receive, in cash and/or Shares as determined by the Committee, the Fair Market Value of a Share, subject to such restrictions on transfer, vesting conditions and other restrictions or limitations as may be set forth in this Plan and the applicable Agreement.</w:t>
      </w:r>
    </w:p>
    <w:p>
      <w:pPr>
        <w:spacing w:after="0" w:line="168" w:lineRule="exact"/>
        <w:rPr>
          <w:rFonts w:ascii="Arial" w:cs="Arial" w:eastAsia="Arial" w:hAnsi="Arial"/>
          <w:sz w:val="16"/>
          <w:szCs w:val="16"/>
          <w:color w:val="auto"/>
        </w:rPr>
      </w:pPr>
    </w:p>
    <w:p>
      <w:pPr>
        <w:ind w:left="1020" w:hanging="364"/>
        <w:spacing w:after="0"/>
        <w:tabs>
          <w:tab w:leader="none" w:pos="1020" w:val="left"/>
        </w:tabs>
        <w:numPr>
          <w:ilvl w:val="1"/>
          <w:numId w:val="76"/>
        </w:numPr>
        <w:rPr>
          <w:rFonts w:ascii="Arial" w:cs="Arial" w:eastAsia="Arial" w:hAnsi="Arial"/>
          <w:sz w:val="16"/>
          <w:szCs w:val="16"/>
          <w:color w:val="auto"/>
        </w:rPr>
      </w:pPr>
      <w:r>
        <w:rPr>
          <w:rFonts w:ascii="Arial" w:cs="Arial" w:eastAsia="Arial" w:hAnsi="Arial"/>
          <w:sz w:val="16"/>
          <w:szCs w:val="16"/>
          <w:color w:val="auto"/>
        </w:rPr>
        <w:t>“Subsidiary” means a “subsidiary corporation,” as defined in Code Section 424(f), of the Company.</w:t>
      </w:r>
    </w:p>
    <w:p>
      <w:pPr>
        <w:spacing w:after="0" w:line="194" w:lineRule="exact"/>
        <w:rPr>
          <w:rFonts w:ascii="Arial" w:cs="Arial" w:eastAsia="Arial" w:hAnsi="Arial"/>
          <w:sz w:val="16"/>
          <w:szCs w:val="16"/>
          <w:color w:val="auto"/>
        </w:rPr>
      </w:pPr>
    </w:p>
    <w:p>
      <w:pPr>
        <w:jc w:val="both"/>
        <w:ind w:firstLine="656"/>
        <w:spacing w:after="0" w:line="251" w:lineRule="auto"/>
        <w:tabs>
          <w:tab w:leader="none" w:pos="1110" w:val="left"/>
        </w:tabs>
        <w:numPr>
          <w:ilvl w:val="1"/>
          <w:numId w:val="76"/>
        </w:numPr>
        <w:rPr>
          <w:rFonts w:ascii="Arial" w:cs="Arial" w:eastAsia="Arial" w:hAnsi="Arial"/>
          <w:sz w:val="16"/>
          <w:szCs w:val="16"/>
          <w:color w:val="auto"/>
        </w:rPr>
      </w:pPr>
      <w:r>
        <w:rPr>
          <w:rFonts w:ascii="Arial" w:cs="Arial" w:eastAsia="Arial" w:hAnsi="Arial"/>
          <w:sz w:val="16"/>
          <w:szCs w:val="16"/>
          <w:color w:val="auto"/>
        </w:rPr>
        <w:t>“Substitute Award” means an Award granted upon the assumption of, or in substitution or exchange for, outstanding awards granted by a company or other entity acquired by the Company or any Affiliate or with which the Company or any Affiliate combines. The terms and conditions of a Substitute Award may vary from the terms and conditions set forth in the Plan to the extent that the Committee at the time of the grant may deem appropriate to conform, in whole or in part, to the provisions of the award in substitution for which it has been granted.</w:t>
      </w: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A-3</w:t>
      </w:r>
    </w:p>
    <w:p>
      <w:pPr>
        <w:sectPr>
          <w:pgSz w:w="11900" w:h="16838" w:orient="portrait"/>
          <w:cols w:equalWidth="0" w:num="1">
            <w:col w:w="11420"/>
          </w:cols>
          <w:pgMar w:left="240" w:top="790" w:right="239" w:bottom="1440" w:gutter="0" w:footer="0" w:header="0"/>
        </w:sectPr>
      </w:pPr>
    </w:p>
    <w:bookmarkStart w:id="54" w:name="page55"/>
    <w:bookmarkEnd w:id="54"/>
    <w:p>
      <w:pPr>
        <w:ind w:firstLine="656"/>
        <w:spacing w:after="0" w:line="260" w:lineRule="auto"/>
        <w:tabs>
          <w:tab w:leader="none" w:pos="1114" w:val="left"/>
        </w:tabs>
        <w:numPr>
          <w:ilvl w:val="1"/>
          <w:numId w:val="77"/>
        </w:numPr>
        <w:rPr>
          <w:rFonts w:ascii="Arial" w:cs="Arial" w:eastAsia="Arial" w:hAnsi="Arial"/>
          <w:sz w:val="16"/>
          <w:szCs w:val="16"/>
          <w:color w:val="auto"/>
        </w:rPr>
      </w:pPr>
      <w:r>
        <w:rPr>
          <w:rFonts w:ascii="Arial" w:cs="Arial" w:eastAsia="Arial" w:hAnsi="Arial"/>
          <w:sz w:val="16"/>
          <w:szCs w:val="16"/>
          <w:color w:val="auto"/>
        </w:rPr>
        <w:t>“Voting Securities” of an entity means the outstanding equity securities (or comparable equity interests) entitled to vote generally in the election of directors of such entity.</w:t>
      </w:r>
    </w:p>
    <w:p>
      <w:pPr>
        <w:spacing w:after="0" w:line="148" w:lineRule="exact"/>
        <w:rPr>
          <w:rFonts w:ascii="Arial" w:cs="Arial" w:eastAsia="Arial" w:hAnsi="Arial"/>
          <w:sz w:val="16"/>
          <w:szCs w:val="16"/>
          <w:color w:val="auto"/>
        </w:rPr>
      </w:pPr>
    </w:p>
    <w:p>
      <w:pPr>
        <w:ind w:left="320" w:hanging="312"/>
        <w:spacing w:after="0"/>
        <w:tabs>
          <w:tab w:leader="none" w:pos="320" w:val="left"/>
        </w:tabs>
        <w:numPr>
          <w:ilvl w:val="0"/>
          <w:numId w:val="78"/>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Administration of the Plan</w:t>
      </w:r>
      <w:r>
        <w:rPr>
          <w:rFonts w:ascii="Arial" w:cs="Arial" w:eastAsia="Arial" w:hAnsi="Arial"/>
          <w:sz w:val="16"/>
          <w:szCs w:val="16"/>
          <w:b w:val="1"/>
          <w:bCs w:val="1"/>
          <w:color w:val="auto"/>
        </w:rPr>
        <w:t>.</w:t>
      </w:r>
    </w:p>
    <w:p>
      <w:pPr>
        <w:spacing w:after="0" w:line="241" w:lineRule="exact"/>
        <w:rPr>
          <w:rFonts w:ascii="Arial" w:cs="Arial" w:eastAsia="Arial" w:hAnsi="Arial"/>
          <w:sz w:val="16"/>
          <w:szCs w:val="16"/>
          <w:b w:val="1"/>
          <w:bCs w:val="1"/>
          <w:color w:val="auto"/>
        </w:rPr>
      </w:pPr>
    </w:p>
    <w:p>
      <w:pPr>
        <w:ind w:right="20" w:firstLine="656"/>
        <w:spacing w:after="0" w:line="260" w:lineRule="auto"/>
        <w:tabs>
          <w:tab w:leader="none" w:pos="1161" w:val="left"/>
        </w:tabs>
        <w:numPr>
          <w:ilvl w:val="1"/>
          <w:numId w:val="78"/>
        </w:numPr>
        <w:rPr>
          <w:rFonts w:ascii="Arial" w:cs="Arial" w:eastAsia="Arial" w:hAnsi="Arial"/>
          <w:sz w:val="16"/>
          <w:szCs w:val="16"/>
          <w:color w:val="auto"/>
        </w:rPr>
      </w:pPr>
      <w:r>
        <w:rPr>
          <w:rFonts w:ascii="Arial" w:cs="Arial" w:eastAsia="Arial" w:hAnsi="Arial"/>
          <w:sz w:val="16"/>
          <w:szCs w:val="16"/>
          <w:u w:val="single" w:color="auto"/>
          <w:color w:val="auto"/>
        </w:rPr>
        <w:t>Administration</w:t>
      </w:r>
      <w:r>
        <w:rPr>
          <w:rFonts w:ascii="Arial" w:cs="Arial" w:eastAsia="Arial" w:hAnsi="Arial"/>
          <w:sz w:val="16"/>
          <w:szCs w:val="16"/>
          <w:color w:val="auto"/>
        </w:rPr>
        <w:t>. The authority to control and manage the operations and administration of the Plan shall be vested in the Committee in accordance with this Section 3.</w:t>
      </w:r>
    </w:p>
    <w:p>
      <w:pPr>
        <w:spacing w:after="0" w:line="195" w:lineRule="exact"/>
        <w:rPr>
          <w:rFonts w:ascii="Arial" w:cs="Arial" w:eastAsia="Arial" w:hAnsi="Arial"/>
          <w:sz w:val="16"/>
          <w:szCs w:val="16"/>
          <w:color w:val="auto"/>
        </w:rPr>
      </w:pPr>
    </w:p>
    <w:p>
      <w:pPr>
        <w:ind w:right="20" w:firstLine="656"/>
        <w:spacing w:after="0" w:line="260" w:lineRule="auto"/>
        <w:tabs>
          <w:tab w:leader="none" w:pos="1067" w:val="left"/>
        </w:tabs>
        <w:numPr>
          <w:ilvl w:val="1"/>
          <w:numId w:val="78"/>
        </w:numPr>
        <w:rPr>
          <w:rFonts w:ascii="Arial" w:cs="Arial" w:eastAsia="Arial" w:hAnsi="Arial"/>
          <w:sz w:val="16"/>
          <w:szCs w:val="16"/>
          <w:color w:val="auto"/>
        </w:rPr>
      </w:pPr>
      <w:r>
        <w:rPr>
          <w:rFonts w:ascii="Arial" w:cs="Arial" w:eastAsia="Arial" w:hAnsi="Arial"/>
          <w:sz w:val="16"/>
          <w:szCs w:val="16"/>
          <w:u w:val="single" w:color="auto"/>
          <w:color w:val="auto"/>
        </w:rPr>
        <w:t>Scope of Authority</w:t>
      </w:r>
      <w:r>
        <w:rPr>
          <w:rFonts w:ascii="Arial" w:cs="Arial" w:eastAsia="Arial" w:hAnsi="Arial"/>
          <w:sz w:val="16"/>
          <w:szCs w:val="16"/>
          <w:color w:val="auto"/>
        </w:rPr>
        <w:t>. Subject to the terms of the Plan, the Committee shall have the authority, in its discretion, to take such actions as it deems necessary or advisable to administer the Plan, including:</w:t>
      </w:r>
    </w:p>
    <w:p>
      <w:pPr>
        <w:spacing w:after="0" w:line="168" w:lineRule="exact"/>
        <w:rPr>
          <w:rFonts w:ascii="Arial" w:cs="Arial" w:eastAsia="Arial" w:hAnsi="Arial"/>
          <w:sz w:val="16"/>
          <w:szCs w:val="16"/>
          <w:color w:val="auto"/>
        </w:rPr>
      </w:pPr>
    </w:p>
    <w:p>
      <w:pPr>
        <w:jc w:val="both"/>
        <w:ind w:firstLine="1305"/>
        <w:spacing w:after="0" w:line="253" w:lineRule="auto"/>
        <w:tabs>
          <w:tab w:leader="none" w:pos="1752" w:val="left"/>
        </w:tabs>
        <w:numPr>
          <w:ilvl w:val="2"/>
          <w:numId w:val="78"/>
        </w:numPr>
        <w:rPr>
          <w:rFonts w:ascii="Arial" w:cs="Arial" w:eastAsia="Arial" w:hAnsi="Arial"/>
          <w:sz w:val="16"/>
          <w:szCs w:val="16"/>
          <w:color w:val="auto"/>
        </w:rPr>
      </w:pPr>
      <w:r>
        <w:rPr>
          <w:rFonts w:ascii="Arial" w:cs="Arial" w:eastAsia="Arial" w:hAnsi="Arial"/>
          <w:sz w:val="16"/>
          <w:szCs w:val="16"/>
          <w:color w:val="auto"/>
        </w:rPr>
        <w:t>determining the Service Providers to whom Awards will be granted, the timing of each such Award, the type of and the number of Shares covered by each Award, the terms, conditions, performance criteria, restrictions and other provisions of Awards, and the manner in which Awards are paid or settled;</w:t>
      </w:r>
    </w:p>
    <w:p>
      <w:pPr>
        <w:spacing w:after="0" w:line="174" w:lineRule="exact"/>
        <w:rPr>
          <w:rFonts w:ascii="Arial" w:cs="Arial" w:eastAsia="Arial" w:hAnsi="Arial"/>
          <w:sz w:val="16"/>
          <w:szCs w:val="16"/>
          <w:color w:val="auto"/>
        </w:rPr>
      </w:pPr>
    </w:p>
    <w:p>
      <w:pPr>
        <w:ind w:firstLine="1305"/>
        <w:spacing w:after="0" w:line="260" w:lineRule="auto"/>
        <w:tabs>
          <w:tab w:leader="none" w:pos="1705" w:val="left"/>
        </w:tabs>
        <w:numPr>
          <w:ilvl w:val="2"/>
          <w:numId w:val="78"/>
        </w:numPr>
        <w:rPr>
          <w:rFonts w:ascii="Arial" w:cs="Arial" w:eastAsia="Arial" w:hAnsi="Arial"/>
          <w:sz w:val="16"/>
          <w:szCs w:val="16"/>
          <w:color w:val="auto"/>
        </w:rPr>
      </w:pPr>
      <w:r>
        <w:rPr>
          <w:rFonts w:ascii="Arial" w:cs="Arial" w:eastAsia="Arial" w:hAnsi="Arial"/>
          <w:sz w:val="16"/>
          <w:szCs w:val="16"/>
          <w:color w:val="auto"/>
        </w:rPr>
        <w:t>cancelling or suspending an Award, accelerating the vesting or extending the exercise period of an Award, or otherwise amending the terms and conditions of any outstanding Award, subject to the requirements of Sections 6(b), 15(d) and 15(e);</w:t>
      </w:r>
    </w:p>
    <w:p>
      <w:pPr>
        <w:spacing w:after="0" w:line="168" w:lineRule="exact"/>
        <w:rPr>
          <w:rFonts w:ascii="Arial" w:cs="Arial" w:eastAsia="Arial" w:hAnsi="Arial"/>
          <w:sz w:val="16"/>
          <w:szCs w:val="16"/>
          <w:color w:val="auto"/>
        </w:rPr>
      </w:pPr>
    </w:p>
    <w:p>
      <w:pPr>
        <w:jc w:val="both"/>
        <w:ind w:firstLine="1305"/>
        <w:spacing w:after="0" w:line="253" w:lineRule="auto"/>
        <w:tabs>
          <w:tab w:leader="none" w:pos="1783" w:val="left"/>
        </w:tabs>
        <w:numPr>
          <w:ilvl w:val="2"/>
          <w:numId w:val="78"/>
        </w:numPr>
        <w:rPr>
          <w:rFonts w:ascii="Arial" w:cs="Arial" w:eastAsia="Arial" w:hAnsi="Arial"/>
          <w:sz w:val="16"/>
          <w:szCs w:val="16"/>
          <w:color w:val="auto"/>
        </w:rPr>
      </w:pPr>
      <w:r>
        <w:rPr>
          <w:rFonts w:ascii="Arial" w:cs="Arial" w:eastAsia="Arial" w:hAnsi="Arial"/>
          <w:sz w:val="16"/>
          <w:szCs w:val="16"/>
          <w:color w:val="auto"/>
        </w:rPr>
        <w:t>adopting sub-plans or special provisions applicable to Awards, establishing, amending or rescinding rules to administer the Plan, interpreting the Plan and any Award or Agreement, reconciling any inconsistency, correcting any defect or supplying an omission in the Plan or any Agreement, and making all other determinations necessary or desirable for the administration of the Plan;</w:t>
      </w:r>
    </w:p>
    <w:p>
      <w:pPr>
        <w:spacing w:after="0" w:line="174" w:lineRule="exact"/>
        <w:rPr>
          <w:rFonts w:ascii="Arial" w:cs="Arial" w:eastAsia="Arial" w:hAnsi="Arial"/>
          <w:sz w:val="16"/>
          <w:szCs w:val="16"/>
          <w:color w:val="auto"/>
        </w:rPr>
      </w:pPr>
    </w:p>
    <w:p>
      <w:pPr>
        <w:ind w:left="1680" w:hanging="375"/>
        <w:spacing w:after="0"/>
        <w:tabs>
          <w:tab w:leader="none" w:pos="1680" w:val="left"/>
        </w:tabs>
        <w:numPr>
          <w:ilvl w:val="2"/>
          <w:numId w:val="78"/>
        </w:numPr>
        <w:rPr>
          <w:rFonts w:ascii="Arial" w:cs="Arial" w:eastAsia="Arial" w:hAnsi="Arial"/>
          <w:sz w:val="16"/>
          <w:szCs w:val="16"/>
          <w:color w:val="auto"/>
        </w:rPr>
      </w:pPr>
      <w:r>
        <w:rPr>
          <w:rFonts w:ascii="Arial" w:cs="Arial" w:eastAsia="Arial" w:hAnsi="Arial"/>
          <w:sz w:val="16"/>
          <w:szCs w:val="16"/>
          <w:color w:val="auto"/>
        </w:rPr>
        <w:t>granting Substitute Awards under the Plan</w:t>
      </w:r>
    </w:p>
    <w:p>
      <w:pPr>
        <w:spacing w:after="0" w:line="194" w:lineRule="exact"/>
        <w:rPr>
          <w:rFonts w:ascii="Arial" w:cs="Arial" w:eastAsia="Arial" w:hAnsi="Arial"/>
          <w:sz w:val="16"/>
          <w:szCs w:val="16"/>
          <w:color w:val="auto"/>
        </w:rPr>
      </w:pPr>
    </w:p>
    <w:p>
      <w:pPr>
        <w:ind w:left="1680" w:hanging="375"/>
        <w:spacing w:after="0"/>
        <w:tabs>
          <w:tab w:leader="none" w:pos="1680" w:val="left"/>
        </w:tabs>
        <w:numPr>
          <w:ilvl w:val="2"/>
          <w:numId w:val="78"/>
        </w:numPr>
        <w:rPr>
          <w:rFonts w:ascii="Arial" w:cs="Arial" w:eastAsia="Arial" w:hAnsi="Arial"/>
          <w:sz w:val="16"/>
          <w:szCs w:val="16"/>
          <w:color w:val="auto"/>
        </w:rPr>
      </w:pPr>
      <w:r>
        <w:rPr>
          <w:rFonts w:ascii="Arial" w:cs="Arial" w:eastAsia="Arial" w:hAnsi="Arial"/>
          <w:sz w:val="16"/>
          <w:szCs w:val="16"/>
          <w:color w:val="auto"/>
        </w:rPr>
        <w:t>taking such actions as are provided in Section 3(c) with respect to Awards to foreign Service Providers; and</w:t>
      </w:r>
    </w:p>
    <w:p>
      <w:pPr>
        <w:spacing w:after="0" w:line="221" w:lineRule="exact"/>
        <w:rPr>
          <w:rFonts w:ascii="Arial" w:cs="Arial" w:eastAsia="Arial" w:hAnsi="Arial"/>
          <w:sz w:val="16"/>
          <w:szCs w:val="16"/>
          <w:color w:val="auto"/>
        </w:rPr>
      </w:pPr>
    </w:p>
    <w:p>
      <w:pPr>
        <w:ind w:left="1680" w:hanging="375"/>
        <w:spacing w:after="0"/>
        <w:tabs>
          <w:tab w:leader="none" w:pos="1680" w:val="left"/>
        </w:tabs>
        <w:numPr>
          <w:ilvl w:val="2"/>
          <w:numId w:val="78"/>
        </w:numPr>
        <w:rPr>
          <w:rFonts w:ascii="Arial" w:cs="Arial" w:eastAsia="Arial" w:hAnsi="Arial"/>
          <w:sz w:val="16"/>
          <w:szCs w:val="16"/>
          <w:color w:val="auto"/>
        </w:rPr>
      </w:pPr>
      <w:r>
        <w:rPr>
          <w:rFonts w:ascii="Arial" w:cs="Arial" w:eastAsia="Arial" w:hAnsi="Arial"/>
          <w:sz w:val="16"/>
          <w:szCs w:val="16"/>
          <w:color w:val="auto"/>
        </w:rPr>
        <w:t>requiring or permitting the deferral of the settlement of an Award, and establishing the terms and conditions of any such deferral.</w:t>
      </w:r>
    </w:p>
    <w:p>
      <w:pPr>
        <w:spacing w:after="0" w:line="113" w:lineRule="exact"/>
        <w:rPr>
          <w:sz w:val="20"/>
          <w:szCs w:val="20"/>
          <w:color w:val="auto"/>
        </w:rPr>
      </w:pPr>
    </w:p>
    <w:p>
      <w:pPr>
        <w:spacing w:after="0" w:line="260" w:lineRule="auto"/>
        <w:rPr>
          <w:sz w:val="20"/>
          <w:szCs w:val="20"/>
          <w:color w:val="auto"/>
        </w:rPr>
      </w:pPr>
      <w:r>
        <w:rPr>
          <w:rFonts w:ascii="Arial" w:cs="Arial" w:eastAsia="Arial" w:hAnsi="Arial"/>
          <w:sz w:val="16"/>
          <w:szCs w:val="16"/>
          <w:color w:val="auto"/>
        </w:rPr>
        <w:t>Notwithstanding the foregoing, the Board shall perform the duties and have the responsibilities of the Committee with respect to Awards made to Non-Employee Directors.</w:t>
      </w:r>
    </w:p>
    <w:p>
      <w:pPr>
        <w:spacing w:after="0" w:line="169" w:lineRule="exact"/>
        <w:rPr>
          <w:sz w:val="20"/>
          <w:szCs w:val="20"/>
          <w:color w:val="auto"/>
        </w:rPr>
      </w:pPr>
    </w:p>
    <w:p>
      <w:pPr>
        <w:jc w:val="both"/>
        <w:ind w:firstLine="656"/>
        <w:spacing w:after="0" w:line="248" w:lineRule="auto"/>
        <w:tabs>
          <w:tab w:leader="none" w:pos="1017" w:val="left"/>
        </w:tabs>
        <w:numPr>
          <w:ilvl w:val="0"/>
          <w:numId w:val="79"/>
        </w:numPr>
        <w:rPr>
          <w:rFonts w:ascii="Arial" w:cs="Arial" w:eastAsia="Arial" w:hAnsi="Arial"/>
          <w:sz w:val="16"/>
          <w:szCs w:val="16"/>
          <w:color w:val="auto"/>
        </w:rPr>
      </w:pPr>
      <w:r>
        <w:rPr>
          <w:rFonts w:ascii="Arial" w:cs="Arial" w:eastAsia="Arial" w:hAnsi="Arial"/>
          <w:sz w:val="16"/>
          <w:szCs w:val="16"/>
          <w:u w:val="single" w:color="auto"/>
          <w:color w:val="auto"/>
        </w:rPr>
        <w:t>Awards to Foreign Service Providers</w:t>
      </w:r>
      <w:r>
        <w:rPr>
          <w:rFonts w:ascii="Arial" w:cs="Arial" w:eastAsia="Arial" w:hAnsi="Arial"/>
          <w:sz w:val="16"/>
          <w:szCs w:val="16"/>
          <w:color w:val="auto"/>
        </w:rPr>
        <w:t>. The Committee may grant Awards to Service Providers who are foreign nationals, who are located outside of the United States or who are not compensated from a payroll maintained in the United States, or who are otherwise subject to (or could cause the Company to be subject to) legal or regulatory requirements of countries outside of the United States, on such terms and conditions different from those specified in the Plan as may, in the judgment of the Committee, be necessary or desirable to comply with applicable foreign laws and regulatory requirements and to promote achievement of the purposes of the Plan. In connection therewith, the Committee may establish such subplans and modify exercise procedures and other Plan rules and procedures to the extent such actions are deemed necessary or desirable and may take any other action that it deems advisable to obtain local regulatory approvals or to comply with any necessary local governmental regulatory exemptions.</w:t>
      </w:r>
    </w:p>
    <w:p>
      <w:pPr>
        <w:spacing w:after="0" w:line="181" w:lineRule="exact"/>
        <w:rPr>
          <w:rFonts w:ascii="Arial" w:cs="Arial" w:eastAsia="Arial" w:hAnsi="Arial"/>
          <w:sz w:val="16"/>
          <w:szCs w:val="16"/>
          <w:color w:val="auto"/>
        </w:rPr>
      </w:pPr>
    </w:p>
    <w:p>
      <w:pPr>
        <w:jc w:val="both"/>
        <w:ind w:firstLine="656"/>
        <w:spacing w:after="0" w:line="248" w:lineRule="auto"/>
        <w:tabs>
          <w:tab w:leader="none" w:pos="1026" w:val="left"/>
        </w:tabs>
        <w:numPr>
          <w:ilvl w:val="0"/>
          <w:numId w:val="79"/>
        </w:numPr>
        <w:rPr>
          <w:rFonts w:ascii="Arial" w:cs="Arial" w:eastAsia="Arial" w:hAnsi="Arial"/>
          <w:sz w:val="16"/>
          <w:szCs w:val="16"/>
          <w:color w:val="auto"/>
        </w:rPr>
      </w:pPr>
      <w:r>
        <w:rPr>
          <w:rFonts w:ascii="Arial" w:cs="Arial" w:eastAsia="Arial" w:hAnsi="Arial"/>
          <w:sz w:val="16"/>
          <w:szCs w:val="16"/>
          <w:u w:val="single" w:color="auto"/>
          <w:color w:val="auto"/>
        </w:rPr>
        <w:t>Acts of the Committee; Delegation</w:t>
      </w:r>
      <w:r>
        <w:rPr>
          <w:rFonts w:ascii="Arial" w:cs="Arial" w:eastAsia="Arial" w:hAnsi="Arial"/>
          <w:sz w:val="16"/>
          <w:szCs w:val="16"/>
          <w:color w:val="auto"/>
        </w:rPr>
        <w:t>. A majority of the members of the Committee shall constitute a quorum for any meeting of the Committee, and any act of a majority of the members present at any meeting at which a quorum is present or any act unanimously approved in writing by all members of the Committee shall be the act of the Committee. Any such action of the Committee shall be valid and effective even if one or more members of the Committee at the time of such action are later determined not to have satisfied all of the criteria for membership in clauses (i) and (ii) of Section 2(h). To the extent not inconsistent with applicable law or stock exchange rules, the Committee may delegate all or any portion of its authority under the Plan to any one or more of its members or, as to Awards to Participants who are not subject to Section 16 of the Exchange Act, to one or more directors or executive officers of the Company or to a committee of the Board comprised of one or more directors of the Company. The Committee may also delegate non-discretionary administrative responsibilities in connection with the Plan to such other persons as it deems advisable.</w:t>
      </w:r>
    </w:p>
    <w:p>
      <w:pPr>
        <w:spacing w:after="0" w:line="180" w:lineRule="exact"/>
        <w:rPr>
          <w:rFonts w:ascii="Arial" w:cs="Arial" w:eastAsia="Arial" w:hAnsi="Arial"/>
          <w:sz w:val="16"/>
          <w:szCs w:val="16"/>
          <w:color w:val="auto"/>
        </w:rPr>
      </w:pPr>
    </w:p>
    <w:p>
      <w:pPr>
        <w:ind w:firstLine="656"/>
        <w:spacing w:after="0" w:line="260" w:lineRule="auto"/>
        <w:tabs>
          <w:tab w:leader="none" w:pos="1040" w:val="left"/>
        </w:tabs>
        <w:numPr>
          <w:ilvl w:val="0"/>
          <w:numId w:val="79"/>
        </w:numPr>
        <w:rPr>
          <w:rFonts w:ascii="Arial" w:cs="Arial" w:eastAsia="Arial" w:hAnsi="Arial"/>
          <w:sz w:val="16"/>
          <w:szCs w:val="16"/>
          <w:color w:val="auto"/>
        </w:rPr>
      </w:pPr>
      <w:r>
        <w:rPr>
          <w:rFonts w:ascii="Arial" w:cs="Arial" w:eastAsia="Arial" w:hAnsi="Arial"/>
          <w:sz w:val="16"/>
          <w:szCs w:val="16"/>
          <w:u w:val="single" w:color="auto"/>
          <w:color w:val="auto"/>
        </w:rPr>
        <w:t>Finality of Decisions</w:t>
      </w:r>
      <w:r>
        <w:rPr>
          <w:rFonts w:ascii="Arial" w:cs="Arial" w:eastAsia="Arial" w:hAnsi="Arial"/>
          <w:sz w:val="16"/>
          <w:szCs w:val="16"/>
          <w:color w:val="auto"/>
        </w:rPr>
        <w:t>. The Committee’s interpretation of the Plan and of any Award or Agreement made under the Plan and all related decisions or resolutions of the Board or Committee shall be final and binding on all parties with an interest therein.</w:t>
      </w:r>
    </w:p>
    <w:p>
      <w:pPr>
        <w:spacing w:after="0" w:line="168" w:lineRule="exact"/>
        <w:rPr>
          <w:rFonts w:ascii="Arial" w:cs="Arial" w:eastAsia="Arial" w:hAnsi="Arial"/>
          <w:sz w:val="16"/>
          <w:szCs w:val="16"/>
          <w:color w:val="auto"/>
        </w:rPr>
      </w:pPr>
    </w:p>
    <w:p>
      <w:pPr>
        <w:jc w:val="both"/>
        <w:ind w:firstLine="656"/>
        <w:spacing w:after="0" w:line="249" w:lineRule="auto"/>
        <w:tabs>
          <w:tab w:leader="none" w:pos="1035" w:val="left"/>
        </w:tabs>
        <w:numPr>
          <w:ilvl w:val="0"/>
          <w:numId w:val="79"/>
        </w:numPr>
        <w:rPr>
          <w:rFonts w:ascii="Arial" w:cs="Arial" w:eastAsia="Arial" w:hAnsi="Arial"/>
          <w:sz w:val="16"/>
          <w:szCs w:val="16"/>
          <w:color w:val="auto"/>
        </w:rPr>
      </w:pPr>
      <w:r>
        <w:rPr>
          <w:rFonts w:ascii="Arial" w:cs="Arial" w:eastAsia="Arial" w:hAnsi="Arial"/>
          <w:sz w:val="16"/>
          <w:szCs w:val="16"/>
          <w:u w:val="single" w:color="auto"/>
          <w:color w:val="auto"/>
        </w:rPr>
        <w:t>Indemnification</w:t>
      </w:r>
      <w:r>
        <w:rPr>
          <w:rFonts w:ascii="Arial" w:cs="Arial" w:eastAsia="Arial" w:hAnsi="Arial"/>
          <w:sz w:val="16"/>
          <w:szCs w:val="16"/>
          <w:color w:val="auto"/>
        </w:rPr>
        <w:t>. Each person who is or has been a member of the Committee or of the Board, and any other person to whom the Committee delegates authority under the Plan, shall be indemnified by the Company, to the maximum extent permitted by law, against liabilities and expenses imposed upon or reasonably incurred by such person in connection with or resulting from any claims against such person by reason of the performance of the individual's duties under the Plan. This right to indemnification is conditioned upon such person providing the Company an opportunity, at the Company’s expense, to handle and defend the claims before such person undertakes to handle and defend them on such person’s own behalf. The Company will not be required to indemnify any person for any amount paid in settlement of a claim unless the Company has first consented in writing to the settlement.</w:t>
      </w:r>
    </w:p>
    <w:p>
      <w:pPr>
        <w:spacing w:after="0" w:line="23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A-4</w:t>
      </w:r>
    </w:p>
    <w:p>
      <w:pPr>
        <w:sectPr>
          <w:pgSz w:w="11900" w:h="16838" w:orient="portrait"/>
          <w:cols w:equalWidth="0" w:num="1">
            <w:col w:w="11420"/>
          </w:cols>
          <w:pgMar w:left="240" w:top="790" w:right="239" w:bottom="1440" w:gutter="0" w:footer="0" w:header="0"/>
        </w:sectPr>
      </w:pPr>
    </w:p>
    <w:bookmarkStart w:id="55" w:name="page56"/>
    <w:bookmarkEnd w:id="55"/>
    <w:p>
      <w:pPr>
        <w:spacing w:after="0" w:line="260" w:lineRule="auto"/>
        <w:rPr>
          <w:sz w:val="20"/>
          <w:szCs w:val="20"/>
          <w:color w:val="auto"/>
        </w:rPr>
      </w:pPr>
      <w:r>
        <w:rPr>
          <w:rFonts w:ascii="Arial" w:cs="Arial" w:eastAsia="Arial" w:hAnsi="Arial"/>
          <w:sz w:val="16"/>
          <w:szCs w:val="16"/>
          <w:color w:val="auto"/>
        </w:rPr>
        <w:t>The foregoing right of indemnification shall not be exclusive of any other rights of indemnification to which such person or persons may be entitled under the Company’s Articles of Incorporation or Bylaws, as a matter of law, or otherwise.</w:t>
      </w:r>
    </w:p>
    <w:p>
      <w:pPr>
        <w:spacing w:after="0" w:line="149" w:lineRule="exact"/>
        <w:rPr>
          <w:sz w:val="20"/>
          <w:szCs w:val="20"/>
          <w:color w:val="auto"/>
        </w:rPr>
      </w:pPr>
    </w:p>
    <w:p>
      <w:pPr>
        <w:ind w:left="320" w:hanging="312"/>
        <w:spacing w:after="0"/>
        <w:tabs>
          <w:tab w:leader="none" w:pos="320" w:val="left"/>
        </w:tabs>
        <w:numPr>
          <w:ilvl w:val="0"/>
          <w:numId w:val="80"/>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Shares Available Under the Plan</w:t>
      </w:r>
      <w:r>
        <w:rPr>
          <w:rFonts w:ascii="Arial" w:cs="Arial" w:eastAsia="Arial" w:hAnsi="Arial"/>
          <w:sz w:val="16"/>
          <w:szCs w:val="16"/>
          <w:b w:val="1"/>
          <w:bCs w:val="1"/>
          <w:color w:val="auto"/>
        </w:rPr>
        <w:t>.</w:t>
      </w:r>
    </w:p>
    <w:p>
      <w:pPr>
        <w:spacing w:after="0" w:line="214" w:lineRule="exact"/>
        <w:rPr>
          <w:rFonts w:ascii="Arial" w:cs="Arial" w:eastAsia="Arial" w:hAnsi="Arial"/>
          <w:sz w:val="16"/>
          <w:szCs w:val="16"/>
          <w:b w:val="1"/>
          <w:bCs w:val="1"/>
          <w:color w:val="auto"/>
        </w:rPr>
      </w:pPr>
    </w:p>
    <w:p>
      <w:pPr>
        <w:jc w:val="both"/>
        <w:ind w:firstLine="656"/>
        <w:spacing w:after="0" w:line="251" w:lineRule="auto"/>
        <w:tabs>
          <w:tab w:leader="none" w:pos="1094" w:val="left"/>
        </w:tabs>
        <w:numPr>
          <w:ilvl w:val="1"/>
          <w:numId w:val="80"/>
        </w:numPr>
        <w:rPr>
          <w:rFonts w:ascii="Arial" w:cs="Arial" w:eastAsia="Arial" w:hAnsi="Arial"/>
          <w:sz w:val="16"/>
          <w:szCs w:val="16"/>
          <w:color w:val="auto"/>
        </w:rPr>
      </w:pPr>
      <w:r>
        <w:rPr>
          <w:rFonts w:ascii="Arial" w:cs="Arial" w:eastAsia="Arial" w:hAnsi="Arial"/>
          <w:sz w:val="16"/>
          <w:szCs w:val="16"/>
          <w:u w:val="single" w:color="auto"/>
          <w:color w:val="auto"/>
        </w:rPr>
        <w:t>Maximum Shares Available</w:t>
      </w:r>
      <w:r>
        <w:rPr>
          <w:rFonts w:ascii="Arial" w:cs="Arial" w:eastAsia="Arial" w:hAnsi="Arial"/>
          <w:sz w:val="16"/>
          <w:szCs w:val="16"/>
          <w:color w:val="auto"/>
        </w:rPr>
        <w:t>. Subject to Section 4(b) and to adjustment as provided in Section 12(a), the number of Shares that may be the subject of Awards and issued under the Plan shall be 4,100,000. No further awards may be made under the Prior Plan after the effective date of this Plan. Shares issued under the Plan may come from authorized and unissued shares or treasury shares. In determining the number of Shares to be counted against this share reserve in connection with any Award, the following rules shall apply:</w:t>
      </w:r>
    </w:p>
    <w:p>
      <w:pPr>
        <w:spacing w:after="0" w:line="202" w:lineRule="exact"/>
        <w:rPr>
          <w:rFonts w:ascii="Arial" w:cs="Arial" w:eastAsia="Arial" w:hAnsi="Arial"/>
          <w:sz w:val="16"/>
          <w:szCs w:val="16"/>
          <w:color w:val="auto"/>
        </w:rPr>
      </w:pPr>
    </w:p>
    <w:p>
      <w:pPr>
        <w:ind w:right="20" w:firstLine="1305"/>
        <w:spacing w:after="0" w:line="260" w:lineRule="auto"/>
        <w:tabs>
          <w:tab w:leader="none" w:pos="1687" w:val="left"/>
        </w:tabs>
        <w:numPr>
          <w:ilvl w:val="2"/>
          <w:numId w:val="80"/>
        </w:numPr>
        <w:rPr>
          <w:rFonts w:ascii="Arial" w:cs="Arial" w:eastAsia="Arial" w:hAnsi="Arial"/>
          <w:sz w:val="16"/>
          <w:szCs w:val="16"/>
          <w:color w:val="auto"/>
        </w:rPr>
      </w:pPr>
      <w:r>
        <w:rPr>
          <w:rFonts w:ascii="Arial" w:cs="Arial" w:eastAsia="Arial" w:hAnsi="Arial"/>
          <w:sz w:val="16"/>
          <w:szCs w:val="16"/>
          <w:color w:val="auto"/>
        </w:rPr>
        <w:t>Shares that are subject to Awards of Options or Stock Appreciation Rights shall be counted against the share reserve as one Share for every one Share granted.</w:t>
      </w:r>
    </w:p>
    <w:p>
      <w:pPr>
        <w:spacing w:after="0" w:line="195" w:lineRule="exact"/>
        <w:rPr>
          <w:rFonts w:ascii="Arial" w:cs="Arial" w:eastAsia="Arial" w:hAnsi="Arial"/>
          <w:sz w:val="16"/>
          <w:szCs w:val="16"/>
          <w:color w:val="auto"/>
        </w:rPr>
      </w:pPr>
    </w:p>
    <w:p>
      <w:pPr>
        <w:ind w:left="1680" w:hanging="375"/>
        <w:spacing w:after="0"/>
        <w:tabs>
          <w:tab w:leader="none" w:pos="1680" w:val="left"/>
        </w:tabs>
        <w:numPr>
          <w:ilvl w:val="2"/>
          <w:numId w:val="80"/>
        </w:numPr>
        <w:rPr>
          <w:rFonts w:ascii="Arial" w:cs="Arial" w:eastAsia="Arial" w:hAnsi="Arial"/>
          <w:sz w:val="16"/>
          <w:szCs w:val="16"/>
          <w:color w:val="auto"/>
        </w:rPr>
      </w:pPr>
      <w:r>
        <w:rPr>
          <w:rFonts w:ascii="Arial" w:cs="Arial" w:eastAsia="Arial" w:hAnsi="Arial"/>
          <w:sz w:val="16"/>
          <w:szCs w:val="16"/>
          <w:color w:val="auto"/>
        </w:rPr>
        <w:t>Shares that are subject to Full Value Awards shall be counted against the share reserve as 2.0 Shares for every one Share granted.</w:t>
      </w:r>
    </w:p>
    <w:p>
      <w:pPr>
        <w:spacing w:after="0" w:line="221" w:lineRule="exact"/>
        <w:rPr>
          <w:rFonts w:ascii="Arial" w:cs="Arial" w:eastAsia="Arial" w:hAnsi="Arial"/>
          <w:sz w:val="16"/>
          <w:szCs w:val="16"/>
          <w:color w:val="auto"/>
        </w:rPr>
      </w:pPr>
    </w:p>
    <w:p>
      <w:pPr>
        <w:jc w:val="both"/>
        <w:ind w:right="20" w:firstLine="1305"/>
        <w:spacing w:after="0" w:line="253" w:lineRule="auto"/>
        <w:tabs>
          <w:tab w:leader="none" w:pos="1690" w:val="left"/>
        </w:tabs>
        <w:numPr>
          <w:ilvl w:val="2"/>
          <w:numId w:val="80"/>
        </w:numPr>
        <w:rPr>
          <w:rFonts w:ascii="Arial" w:cs="Arial" w:eastAsia="Arial" w:hAnsi="Arial"/>
          <w:sz w:val="16"/>
          <w:szCs w:val="16"/>
          <w:color w:val="auto"/>
        </w:rPr>
      </w:pPr>
      <w:r>
        <w:rPr>
          <w:rFonts w:ascii="Arial" w:cs="Arial" w:eastAsia="Arial" w:hAnsi="Arial"/>
          <w:sz w:val="16"/>
          <w:szCs w:val="16"/>
          <w:color w:val="auto"/>
        </w:rPr>
        <w:t>Where the number of Shares subject to an Award is variable on the Grant Date, the number of Shares to be counted against the share reserve shall be the maximum number of Shares that could be received under that particular Award, until such time as it can be determined that only a lesser number of shares could be received.</w:t>
      </w:r>
    </w:p>
    <w:p>
      <w:pPr>
        <w:spacing w:after="0" w:line="201" w:lineRule="exact"/>
        <w:rPr>
          <w:rFonts w:ascii="Arial" w:cs="Arial" w:eastAsia="Arial" w:hAnsi="Arial"/>
          <w:sz w:val="16"/>
          <w:szCs w:val="16"/>
          <w:color w:val="auto"/>
        </w:rPr>
      </w:pPr>
    </w:p>
    <w:p>
      <w:pPr>
        <w:jc w:val="both"/>
        <w:ind w:firstLine="1305"/>
        <w:spacing w:after="0" w:line="253" w:lineRule="auto"/>
        <w:tabs>
          <w:tab w:leader="none" w:pos="1684" w:val="left"/>
        </w:tabs>
        <w:numPr>
          <w:ilvl w:val="2"/>
          <w:numId w:val="80"/>
        </w:numPr>
        <w:rPr>
          <w:rFonts w:ascii="Arial" w:cs="Arial" w:eastAsia="Arial" w:hAnsi="Arial"/>
          <w:sz w:val="16"/>
          <w:szCs w:val="16"/>
          <w:color w:val="auto"/>
        </w:rPr>
      </w:pPr>
      <w:r>
        <w:rPr>
          <w:rFonts w:ascii="Arial" w:cs="Arial" w:eastAsia="Arial" w:hAnsi="Arial"/>
          <w:sz w:val="16"/>
          <w:szCs w:val="16"/>
          <w:color w:val="auto"/>
        </w:rPr>
        <w:t>Where two or more types of Awards are granted to a Participant in tandem with each other, such that the exercise of one type of Award with respect to a number of Shares cancels at least an equal number of Shares of the other, the number of Shares to be counted against the share reserve shall be the largest number of Shares that would be counted against the share reserve under either of the Awards.</w:t>
      </w:r>
    </w:p>
    <w:p>
      <w:pPr>
        <w:spacing w:after="0" w:line="174" w:lineRule="exact"/>
        <w:rPr>
          <w:rFonts w:ascii="Arial" w:cs="Arial" w:eastAsia="Arial" w:hAnsi="Arial"/>
          <w:sz w:val="16"/>
          <w:szCs w:val="16"/>
          <w:color w:val="auto"/>
        </w:rPr>
      </w:pPr>
    </w:p>
    <w:p>
      <w:pPr>
        <w:ind w:right="20" w:firstLine="1305"/>
        <w:spacing w:after="0" w:line="260" w:lineRule="auto"/>
        <w:tabs>
          <w:tab w:leader="none" w:pos="1724" w:val="left"/>
        </w:tabs>
        <w:numPr>
          <w:ilvl w:val="2"/>
          <w:numId w:val="80"/>
        </w:numPr>
        <w:rPr>
          <w:rFonts w:ascii="Arial" w:cs="Arial" w:eastAsia="Arial" w:hAnsi="Arial"/>
          <w:sz w:val="16"/>
          <w:szCs w:val="16"/>
          <w:color w:val="auto"/>
        </w:rPr>
      </w:pPr>
      <w:r>
        <w:rPr>
          <w:rFonts w:ascii="Arial" w:cs="Arial" w:eastAsia="Arial" w:hAnsi="Arial"/>
          <w:sz w:val="16"/>
          <w:szCs w:val="16"/>
          <w:color w:val="auto"/>
        </w:rPr>
        <w:t>Shares subject to Substitute Awards shall not be counted against the share reserve, nor shall they reduce the Shares authorized for grant to a Participant in any calendar year.</w:t>
      </w:r>
    </w:p>
    <w:p>
      <w:pPr>
        <w:spacing w:after="0" w:line="168" w:lineRule="exact"/>
        <w:rPr>
          <w:rFonts w:ascii="Arial" w:cs="Arial" w:eastAsia="Arial" w:hAnsi="Arial"/>
          <w:sz w:val="16"/>
          <w:szCs w:val="16"/>
          <w:color w:val="auto"/>
        </w:rPr>
      </w:pPr>
    </w:p>
    <w:p>
      <w:pPr>
        <w:ind w:firstLine="1305"/>
        <w:spacing w:after="0" w:line="260" w:lineRule="auto"/>
        <w:tabs>
          <w:tab w:leader="none" w:pos="1693" w:val="left"/>
        </w:tabs>
        <w:numPr>
          <w:ilvl w:val="2"/>
          <w:numId w:val="80"/>
        </w:numPr>
        <w:rPr>
          <w:rFonts w:ascii="Arial" w:cs="Arial" w:eastAsia="Arial" w:hAnsi="Arial"/>
          <w:sz w:val="16"/>
          <w:szCs w:val="16"/>
          <w:color w:val="auto"/>
        </w:rPr>
      </w:pPr>
      <w:r>
        <w:rPr>
          <w:rFonts w:ascii="Arial" w:cs="Arial" w:eastAsia="Arial" w:hAnsi="Arial"/>
          <w:sz w:val="16"/>
          <w:szCs w:val="16"/>
          <w:color w:val="auto"/>
        </w:rPr>
        <w:t>Awards that may be settled solely in cash shall not be counted against the share reserve, nor shall they reduce the Shares authorized for grant to a Participant in any calendar year.</w:t>
      </w:r>
    </w:p>
    <w:p>
      <w:pPr>
        <w:spacing w:after="0" w:line="168" w:lineRule="exact"/>
        <w:rPr>
          <w:rFonts w:ascii="Arial" w:cs="Arial" w:eastAsia="Arial" w:hAnsi="Arial"/>
          <w:sz w:val="16"/>
          <w:szCs w:val="16"/>
          <w:color w:val="auto"/>
        </w:rPr>
      </w:pPr>
    </w:p>
    <w:p>
      <w:pPr>
        <w:jc w:val="both"/>
        <w:ind w:firstLine="656"/>
        <w:spacing w:after="0" w:line="248" w:lineRule="auto"/>
        <w:tabs>
          <w:tab w:leader="none" w:pos="1067" w:val="left"/>
        </w:tabs>
        <w:numPr>
          <w:ilvl w:val="1"/>
          <w:numId w:val="80"/>
        </w:numPr>
        <w:rPr>
          <w:rFonts w:ascii="Arial" w:cs="Arial" w:eastAsia="Arial" w:hAnsi="Arial"/>
          <w:sz w:val="16"/>
          <w:szCs w:val="16"/>
          <w:color w:val="auto"/>
        </w:rPr>
      </w:pPr>
      <w:r>
        <w:rPr>
          <w:rFonts w:ascii="Arial" w:cs="Arial" w:eastAsia="Arial" w:hAnsi="Arial"/>
          <w:sz w:val="16"/>
          <w:szCs w:val="16"/>
          <w:u w:val="single" w:color="auto"/>
          <w:color w:val="auto"/>
        </w:rPr>
        <w:t>Effect of Forfeitures and Other Actions</w:t>
      </w:r>
      <w:r>
        <w:rPr>
          <w:rFonts w:ascii="Arial" w:cs="Arial" w:eastAsia="Arial" w:hAnsi="Arial"/>
          <w:sz w:val="16"/>
          <w:szCs w:val="16"/>
          <w:color w:val="auto"/>
        </w:rPr>
        <w:t>. Any Shares subject to an Award, or to an award granted under a Prior Plan that is outstanding on the effective date of this Plan (a “Prior Plan Award”), that expires, is cancelled or forfeited or is settled for cash shall, to the extent of such cancellation, forfeiture, expiration or cash settlement, again become available for Awards under this Plan, and the share reserve under Section 4(a) shall be correspondingly replenished as provided in Section 4(c) below. The following Shares shall not, however, again become available for Awards or replenish the share reserve under Section 4(a): (i) Shares tendered (either actually or by attestation) by the Participant or withheld by the Company in payment of the exercise price of a stock option issued under this Plan or a Prior Plan, (ii) Shares tendered (either actually or by attestation) by the Participant or withheld by the Company to satisfy any tax withholding obligation with respect to an award under this Plan or a Prior Plan, (iii) Shares repurchased by the Company with proceeds received from the exercise of a stock option issued under this Plan or a Prior Plan, and (iv) Shares subject to a stock appreciation right award issued under this Plan or a Prior Plan that are not issued in connection with the stock settlement of that award upon its exercise.</w:t>
      </w:r>
    </w:p>
    <w:p>
      <w:pPr>
        <w:spacing w:after="0" w:line="179" w:lineRule="exact"/>
        <w:rPr>
          <w:rFonts w:ascii="Arial" w:cs="Arial" w:eastAsia="Arial" w:hAnsi="Arial"/>
          <w:sz w:val="16"/>
          <w:szCs w:val="16"/>
          <w:color w:val="auto"/>
        </w:rPr>
      </w:pPr>
    </w:p>
    <w:p>
      <w:pPr>
        <w:jc w:val="both"/>
        <w:ind w:firstLine="656"/>
        <w:spacing w:after="0" w:line="253" w:lineRule="auto"/>
        <w:tabs>
          <w:tab w:leader="none" w:pos="1112" w:val="left"/>
        </w:tabs>
        <w:numPr>
          <w:ilvl w:val="1"/>
          <w:numId w:val="80"/>
        </w:numPr>
        <w:rPr>
          <w:rFonts w:ascii="Arial" w:cs="Arial" w:eastAsia="Arial" w:hAnsi="Arial"/>
          <w:sz w:val="16"/>
          <w:szCs w:val="16"/>
          <w:color w:val="auto"/>
        </w:rPr>
      </w:pPr>
      <w:r>
        <w:rPr>
          <w:rFonts w:ascii="Arial" w:cs="Arial" w:eastAsia="Arial" w:hAnsi="Arial"/>
          <w:sz w:val="16"/>
          <w:szCs w:val="16"/>
          <w:u w:val="single" w:color="auto"/>
          <w:color w:val="auto"/>
        </w:rPr>
        <w:t>Counting Shares Again Available</w:t>
      </w:r>
      <w:r>
        <w:rPr>
          <w:rFonts w:ascii="Arial" w:cs="Arial" w:eastAsia="Arial" w:hAnsi="Arial"/>
          <w:sz w:val="16"/>
          <w:szCs w:val="16"/>
          <w:color w:val="auto"/>
        </w:rPr>
        <w:t>. Each Share that again becomes available for Awards as provided in Section 4(b) shall correspondingly increase the share reserve under Section 4(a) by (i) one Share if such Share was subject to an Option or Stock Appreciation Right Award under the Plan, and (ii) 2.0 Shares if such Share was subject to a Full Value Award under the Plan.</w:t>
      </w:r>
    </w:p>
    <w:p>
      <w:pPr>
        <w:spacing w:after="0" w:line="201" w:lineRule="exact"/>
        <w:rPr>
          <w:rFonts w:ascii="Arial" w:cs="Arial" w:eastAsia="Arial" w:hAnsi="Arial"/>
          <w:sz w:val="16"/>
          <w:szCs w:val="16"/>
          <w:color w:val="auto"/>
        </w:rPr>
      </w:pPr>
    </w:p>
    <w:p>
      <w:pPr>
        <w:jc w:val="both"/>
        <w:ind w:firstLine="656"/>
        <w:spacing w:after="0" w:line="248" w:lineRule="auto"/>
        <w:tabs>
          <w:tab w:leader="none" w:pos="1040" w:val="left"/>
        </w:tabs>
        <w:numPr>
          <w:ilvl w:val="1"/>
          <w:numId w:val="80"/>
        </w:numPr>
        <w:rPr>
          <w:rFonts w:ascii="Arial" w:cs="Arial" w:eastAsia="Arial" w:hAnsi="Arial"/>
          <w:sz w:val="16"/>
          <w:szCs w:val="16"/>
          <w:color w:val="auto"/>
        </w:rPr>
      </w:pPr>
      <w:r>
        <w:rPr>
          <w:rFonts w:ascii="Arial" w:cs="Arial" w:eastAsia="Arial" w:hAnsi="Arial"/>
          <w:sz w:val="16"/>
          <w:szCs w:val="16"/>
          <w:u w:val="single" w:color="auto"/>
          <w:color w:val="auto"/>
        </w:rPr>
        <w:t>Effect of Plans Operated by Acquired Companies</w:t>
      </w:r>
      <w:r>
        <w:rPr>
          <w:rFonts w:ascii="Arial" w:cs="Arial" w:eastAsia="Arial" w:hAnsi="Arial"/>
          <w:sz w:val="16"/>
          <w:szCs w:val="16"/>
          <w:color w:val="auto"/>
        </w:rPr>
        <w:t>. If a company acquired by the Company or any Subsidiary or with which the Company or any Subsidiary combines has shares available under a pre-existing plan approved by stockholders and not adopted in contemplation of such acquisition or combination, the shares available for grant pursuant to the terms of such pre-existing plan (as adjusted, to the extent appropriate, using the exchange ratio or other adjustment or valuation ratio or formula used in such acquisition or combination to determine the consideration payable to the holders of common stock of the entities party to such acquisition or combination) may be used for Awards under the Plan and shall supplement the Share reserve under Section 4(a). Awards using such available shares shall not be made after the date awards or grants could have been made under the terms of the pre-existing plan absent the acquisition or combination and shall only be made to individuals who were not Employees or Non-Employee Directors prior to such acquisition or combination.</w:t>
      </w:r>
    </w:p>
    <w:p>
      <w:pPr>
        <w:spacing w:after="0" w:line="370" w:lineRule="exact"/>
        <w:rPr>
          <w:rFonts w:ascii="Arial" w:cs="Arial" w:eastAsia="Arial" w:hAnsi="Arial"/>
          <w:sz w:val="16"/>
          <w:szCs w:val="16"/>
          <w:color w:val="auto"/>
        </w:rPr>
      </w:pPr>
    </w:p>
    <w:p>
      <w:pPr>
        <w:jc w:val="both"/>
        <w:ind w:firstLine="656"/>
        <w:spacing w:after="0" w:line="253" w:lineRule="auto"/>
        <w:tabs>
          <w:tab w:leader="none" w:pos="1107" w:val="left"/>
        </w:tabs>
        <w:numPr>
          <w:ilvl w:val="1"/>
          <w:numId w:val="80"/>
        </w:numPr>
        <w:rPr>
          <w:rFonts w:ascii="Arial" w:cs="Arial" w:eastAsia="Arial" w:hAnsi="Arial"/>
          <w:sz w:val="16"/>
          <w:szCs w:val="16"/>
          <w:color w:val="auto"/>
        </w:rPr>
      </w:pPr>
      <w:r>
        <w:rPr>
          <w:rFonts w:ascii="Arial" w:cs="Arial" w:eastAsia="Arial" w:hAnsi="Arial"/>
          <w:sz w:val="16"/>
          <w:szCs w:val="16"/>
          <w:u w:val="single" w:color="auto"/>
          <w:color w:val="auto"/>
        </w:rPr>
        <w:t>No Fractional Shares</w:t>
      </w:r>
      <w:r>
        <w:rPr>
          <w:rFonts w:ascii="Arial" w:cs="Arial" w:eastAsia="Arial" w:hAnsi="Arial"/>
          <w:sz w:val="16"/>
          <w:szCs w:val="16"/>
          <w:color w:val="auto"/>
        </w:rPr>
        <w:t>. Unless otherwise determined by the Committee, the number of Shares subject to an Award shall always be a whole number. No fractional Shares may be issued under the Plan, but the Committee may, in its discretion, adopt any rounding convention it deems suitable or pay cash in lieu of any fractional Share in settlement of an Award.</w:t>
      </w: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A-5</w:t>
      </w:r>
    </w:p>
    <w:p>
      <w:pPr>
        <w:sectPr>
          <w:pgSz w:w="11900" w:h="16838" w:orient="portrait"/>
          <w:cols w:equalWidth="0" w:num="1">
            <w:col w:w="11420"/>
          </w:cols>
          <w:pgMar w:left="240" w:top="790" w:right="239" w:bottom="1440" w:gutter="0" w:footer="0" w:header="0"/>
        </w:sectPr>
      </w:pPr>
    </w:p>
    <w:bookmarkStart w:id="56" w:name="page57"/>
    <w:bookmarkEnd w:id="56"/>
    <w:p>
      <w:pPr>
        <w:ind w:right="100" w:firstLine="656"/>
        <w:spacing w:after="0" w:line="258" w:lineRule="auto"/>
        <w:tabs>
          <w:tab w:leader="none" w:pos="981" w:val="left"/>
        </w:tabs>
        <w:numPr>
          <w:ilvl w:val="1"/>
          <w:numId w:val="81"/>
        </w:numPr>
        <w:rPr>
          <w:rFonts w:ascii="Arial" w:cs="Arial" w:eastAsia="Arial" w:hAnsi="Arial"/>
          <w:sz w:val="16"/>
          <w:szCs w:val="16"/>
          <w:color w:val="auto"/>
        </w:rPr>
      </w:pPr>
      <w:r>
        <w:rPr>
          <w:rFonts w:ascii="Arial" w:cs="Arial" w:eastAsia="Arial" w:hAnsi="Arial"/>
          <w:sz w:val="16"/>
          <w:szCs w:val="16"/>
          <w:u w:val="single" w:color="auto"/>
          <w:color w:val="auto"/>
        </w:rPr>
        <w:t>Individual Option and SAR Limit</w:t>
      </w:r>
      <w:r>
        <w:rPr>
          <w:rFonts w:ascii="Arial" w:cs="Arial" w:eastAsia="Arial" w:hAnsi="Arial"/>
          <w:sz w:val="16"/>
          <w:szCs w:val="16"/>
          <w:color w:val="auto"/>
        </w:rPr>
        <w:t>. The aggregate number of Shares subject to Option and/or Stock Appreciation Right Awards granted during any calendar year to any one Participant other than a Non-Employee Director shall not exceed 500,000 Shares (subject to adjustment as provided in Section 12(a)).</w:t>
      </w:r>
    </w:p>
    <w:p>
      <w:pPr>
        <w:spacing w:after="0" w:line="360" w:lineRule="exact"/>
        <w:rPr>
          <w:rFonts w:ascii="Arial" w:cs="Arial" w:eastAsia="Arial" w:hAnsi="Arial"/>
          <w:sz w:val="16"/>
          <w:szCs w:val="16"/>
          <w:color w:val="auto"/>
        </w:rPr>
      </w:pPr>
    </w:p>
    <w:p>
      <w:pPr>
        <w:jc w:val="both"/>
        <w:ind w:firstLine="656"/>
        <w:spacing w:after="0" w:line="253" w:lineRule="auto"/>
        <w:tabs>
          <w:tab w:leader="none" w:pos="1080" w:val="left"/>
        </w:tabs>
        <w:numPr>
          <w:ilvl w:val="1"/>
          <w:numId w:val="81"/>
        </w:numPr>
        <w:rPr>
          <w:rFonts w:ascii="Arial" w:cs="Arial" w:eastAsia="Arial" w:hAnsi="Arial"/>
          <w:sz w:val="16"/>
          <w:szCs w:val="16"/>
          <w:color w:val="auto"/>
        </w:rPr>
      </w:pPr>
      <w:r>
        <w:rPr>
          <w:rFonts w:ascii="Arial" w:cs="Arial" w:eastAsia="Arial" w:hAnsi="Arial"/>
          <w:sz w:val="16"/>
          <w:szCs w:val="16"/>
          <w:u w:val="single" w:color="auto"/>
          <w:color w:val="auto"/>
        </w:rPr>
        <w:t>Full Value Award Compensation Limit</w:t>
      </w:r>
      <w:r>
        <w:rPr>
          <w:rFonts w:ascii="Arial" w:cs="Arial" w:eastAsia="Arial" w:hAnsi="Arial"/>
          <w:sz w:val="16"/>
          <w:szCs w:val="16"/>
          <w:color w:val="auto"/>
        </w:rPr>
        <w:t>. The aggregate grant date fair value (as determined in accordance with generally accepted accounting principles applicable in the United States) of all Full Value Awards that are granted to any one Participant other than a Non-Employee Director during any calendar year shall not exceed $5,000,000.</w:t>
      </w:r>
    </w:p>
    <w:p>
      <w:pPr>
        <w:spacing w:after="0" w:line="174" w:lineRule="exact"/>
        <w:rPr>
          <w:rFonts w:ascii="Arial" w:cs="Arial" w:eastAsia="Arial" w:hAnsi="Arial"/>
          <w:sz w:val="16"/>
          <w:szCs w:val="16"/>
          <w:color w:val="auto"/>
        </w:rPr>
      </w:pPr>
    </w:p>
    <w:p>
      <w:pPr>
        <w:ind w:right="180" w:firstLine="656"/>
        <w:spacing w:after="0" w:line="251" w:lineRule="auto"/>
        <w:tabs>
          <w:tab w:leader="none" w:pos="1026" w:val="left"/>
        </w:tabs>
        <w:numPr>
          <w:ilvl w:val="1"/>
          <w:numId w:val="81"/>
        </w:numPr>
        <w:rPr>
          <w:rFonts w:ascii="Arial" w:cs="Arial" w:eastAsia="Arial" w:hAnsi="Arial"/>
          <w:sz w:val="16"/>
          <w:szCs w:val="16"/>
          <w:color w:val="auto"/>
        </w:rPr>
      </w:pPr>
      <w:r>
        <w:rPr>
          <w:rFonts w:ascii="Arial" w:cs="Arial" w:eastAsia="Arial" w:hAnsi="Arial"/>
          <w:sz w:val="16"/>
          <w:szCs w:val="16"/>
          <w:u w:val="single" w:color="auto"/>
          <w:color w:val="auto"/>
        </w:rPr>
        <w:t>Limits on Awards to Non-Employee Directors</w:t>
      </w:r>
      <w:r>
        <w:rPr>
          <w:rFonts w:ascii="Arial" w:cs="Arial" w:eastAsia="Arial" w:hAnsi="Arial"/>
          <w:sz w:val="16"/>
          <w:szCs w:val="16"/>
          <w:color w:val="auto"/>
        </w:rPr>
        <w:t>. The aggregate grant date fair value (as determined in accordance with generally accepted accounting principles applicable in the United States) of all Awards granted during any calendar year to any Non-Employee Director (excluding any Awards granted at the election of a Non-Employee Director in lieu of all or any portion of retainers or fees otherwise payable to Non-Employee Directors in cash) with respect to such individual’s Service as a Non-Employee Director shall not exceed $300,000.</w:t>
      </w:r>
    </w:p>
    <w:p>
      <w:pPr>
        <w:spacing w:after="0" w:line="155" w:lineRule="exact"/>
        <w:rPr>
          <w:rFonts w:ascii="Arial" w:cs="Arial" w:eastAsia="Arial" w:hAnsi="Arial"/>
          <w:sz w:val="16"/>
          <w:szCs w:val="16"/>
          <w:color w:val="auto"/>
        </w:rPr>
      </w:pPr>
    </w:p>
    <w:p>
      <w:pPr>
        <w:ind w:left="320" w:hanging="312"/>
        <w:spacing w:after="0"/>
        <w:tabs>
          <w:tab w:leader="none" w:pos="320" w:val="left"/>
        </w:tabs>
        <w:numPr>
          <w:ilvl w:val="0"/>
          <w:numId w:val="82"/>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Eligibility</w:t>
      </w:r>
      <w:r>
        <w:rPr>
          <w:rFonts w:ascii="Arial" w:cs="Arial" w:eastAsia="Arial" w:hAnsi="Arial"/>
          <w:sz w:val="16"/>
          <w:szCs w:val="16"/>
          <w:b w:val="1"/>
          <w:bCs w:val="1"/>
          <w:color w:val="auto"/>
        </w:rPr>
        <w:t xml:space="preserve">. </w:t>
      </w:r>
      <w:r>
        <w:rPr>
          <w:rFonts w:ascii="Arial" w:cs="Arial" w:eastAsia="Arial" w:hAnsi="Arial"/>
          <w:sz w:val="16"/>
          <w:szCs w:val="16"/>
          <w:color w:val="auto"/>
        </w:rPr>
        <w:t>Participation in the Plan is limited to Service Providers. Incentive Stock Options may only be granted to Employees.</w:t>
      </w:r>
    </w:p>
    <w:p>
      <w:pPr>
        <w:spacing w:after="0" w:line="221" w:lineRule="exact"/>
        <w:rPr>
          <w:rFonts w:ascii="Arial" w:cs="Arial" w:eastAsia="Arial" w:hAnsi="Arial"/>
          <w:sz w:val="16"/>
          <w:szCs w:val="16"/>
          <w:b w:val="1"/>
          <w:bCs w:val="1"/>
          <w:color w:val="auto"/>
        </w:rPr>
      </w:pPr>
    </w:p>
    <w:p>
      <w:pPr>
        <w:ind w:left="320" w:hanging="312"/>
        <w:spacing w:after="0"/>
        <w:tabs>
          <w:tab w:leader="none" w:pos="320" w:val="left"/>
        </w:tabs>
        <w:numPr>
          <w:ilvl w:val="0"/>
          <w:numId w:val="82"/>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General Terms of Awards</w:t>
      </w:r>
      <w:r>
        <w:rPr>
          <w:rFonts w:ascii="Arial" w:cs="Arial" w:eastAsia="Arial" w:hAnsi="Arial"/>
          <w:sz w:val="16"/>
          <w:szCs w:val="16"/>
          <w:b w:val="1"/>
          <w:bCs w:val="1"/>
          <w:color w:val="auto"/>
        </w:rPr>
        <w:t>.</w:t>
      </w:r>
    </w:p>
    <w:p>
      <w:pPr>
        <w:spacing w:after="0" w:line="241" w:lineRule="exact"/>
        <w:rPr>
          <w:rFonts w:ascii="Arial" w:cs="Arial" w:eastAsia="Arial" w:hAnsi="Arial"/>
          <w:sz w:val="16"/>
          <w:szCs w:val="16"/>
          <w:b w:val="1"/>
          <w:bCs w:val="1"/>
          <w:color w:val="auto"/>
        </w:rPr>
      </w:pPr>
    </w:p>
    <w:p>
      <w:pPr>
        <w:jc w:val="both"/>
        <w:ind w:firstLine="656"/>
        <w:spacing w:after="0" w:line="251" w:lineRule="auto"/>
        <w:tabs>
          <w:tab w:leader="none" w:pos="1053" w:val="left"/>
        </w:tabs>
        <w:numPr>
          <w:ilvl w:val="1"/>
          <w:numId w:val="82"/>
        </w:numPr>
        <w:rPr>
          <w:rFonts w:ascii="Arial" w:cs="Arial" w:eastAsia="Arial" w:hAnsi="Arial"/>
          <w:sz w:val="16"/>
          <w:szCs w:val="16"/>
          <w:color w:val="auto"/>
        </w:rPr>
      </w:pPr>
      <w:r>
        <w:rPr>
          <w:rFonts w:ascii="Arial" w:cs="Arial" w:eastAsia="Arial" w:hAnsi="Arial"/>
          <w:sz w:val="16"/>
          <w:szCs w:val="16"/>
          <w:u w:val="single" w:color="auto"/>
          <w:color w:val="auto"/>
        </w:rPr>
        <w:t>Award Agreement</w:t>
      </w:r>
      <w:r>
        <w:rPr>
          <w:rFonts w:ascii="Arial" w:cs="Arial" w:eastAsia="Arial" w:hAnsi="Arial"/>
          <w:sz w:val="16"/>
          <w:szCs w:val="16"/>
          <w:color w:val="auto"/>
        </w:rPr>
        <w:t>. Each Award shall be evidenced by an Agreement setting forth the amount of the Award together with such other terms and conditions applicable to the Award (and not inconsistent with the Plan) as determined by the Committee. An Award to a Participant may be made singly or in combination with any form of Award. Two types of Awards may be made in tandem with each other such that the exercise of one type of Award with respect to a number of Shares reduces the number of Shares subject to the related Award by at least an equal amount.</w:t>
      </w:r>
    </w:p>
    <w:p>
      <w:pPr>
        <w:spacing w:after="0" w:line="202" w:lineRule="exact"/>
        <w:rPr>
          <w:rFonts w:ascii="Arial" w:cs="Arial" w:eastAsia="Arial" w:hAnsi="Arial"/>
          <w:sz w:val="16"/>
          <w:szCs w:val="16"/>
          <w:color w:val="auto"/>
        </w:rPr>
      </w:pPr>
    </w:p>
    <w:p>
      <w:pPr>
        <w:jc w:val="both"/>
        <w:ind w:firstLine="656"/>
        <w:spacing w:after="0" w:line="246" w:lineRule="auto"/>
        <w:tabs>
          <w:tab w:leader="none" w:pos="1026" w:val="left"/>
        </w:tabs>
        <w:numPr>
          <w:ilvl w:val="1"/>
          <w:numId w:val="82"/>
        </w:numPr>
        <w:rPr>
          <w:rFonts w:ascii="Arial" w:cs="Arial" w:eastAsia="Arial" w:hAnsi="Arial"/>
          <w:sz w:val="16"/>
          <w:szCs w:val="16"/>
          <w:color w:val="auto"/>
        </w:rPr>
      </w:pPr>
      <w:r>
        <w:rPr>
          <w:rFonts w:ascii="Arial" w:cs="Arial" w:eastAsia="Arial" w:hAnsi="Arial"/>
          <w:sz w:val="16"/>
          <w:szCs w:val="16"/>
          <w:u w:val="single" w:color="auto"/>
          <w:color w:val="auto"/>
        </w:rPr>
        <w:t>Vesting and Term</w:t>
      </w:r>
      <w:r>
        <w:rPr>
          <w:rFonts w:ascii="Arial" w:cs="Arial" w:eastAsia="Arial" w:hAnsi="Arial"/>
          <w:sz w:val="16"/>
          <w:szCs w:val="16"/>
          <w:color w:val="auto"/>
        </w:rPr>
        <w:t>. Each Agreement shall set forth the period until the applicable Award is scheduled to vest and, if applicable, expire (which shall not be more than ten years from the Grant Date), and, consistent with the requirements of this Section 6(b), the applicable vesting conditions and any applicable performance period. Awards that vest based solely on the satisfaction by the Participant of service-based vesting conditions shall be subject to a vesting period of not less than one year from the applicable Grant Date (during which no portion of the award may be scheduled to vest), and Awards whose grant or vesting is subject to the satisfaction of performance goals over a performance period shall be subject to a performance period of not less than one year. The foregoing minimum vesting and performance periods will not, however, apply in connection with: (i) a Change in Control as provided in Section 12(b)</w:t>
      </w:r>
    </w:p>
    <w:p>
      <w:pPr>
        <w:spacing w:after="0" w:line="2" w:lineRule="exact"/>
        <w:rPr>
          <w:rFonts w:ascii="Arial" w:cs="Arial" w:eastAsia="Arial" w:hAnsi="Arial"/>
          <w:sz w:val="16"/>
          <w:szCs w:val="16"/>
          <w:color w:val="auto"/>
        </w:rPr>
      </w:pPr>
    </w:p>
    <w:p>
      <w:pPr>
        <w:jc w:val="both"/>
        <w:spacing w:after="0" w:line="250" w:lineRule="auto"/>
        <w:rPr>
          <w:rFonts w:ascii="Arial" w:cs="Arial" w:eastAsia="Arial" w:hAnsi="Arial"/>
          <w:sz w:val="16"/>
          <w:szCs w:val="16"/>
          <w:color w:val="auto"/>
        </w:rPr>
      </w:pPr>
      <w:r>
        <w:rPr>
          <w:rFonts w:ascii="Arial" w:cs="Arial" w:eastAsia="Arial" w:hAnsi="Arial"/>
          <w:sz w:val="16"/>
          <w:szCs w:val="16"/>
          <w:color w:val="auto"/>
        </w:rPr>
        <w:t>(2), 12(b)(4) or 12(c), (ii) a termination of Service due to death, Disability, (iii) to a Substitute Award that does not reduce the vesting period of the award being replaced, (iv) Awards made in payment of or exchange for other compensation already earned and payable, and (v) outstanding, exercised and settled Awards involving an aggregate number of Shares not in excess of 5% of the Plan’s share reserve specified in Section 4(a). For purposes of Awards to Non-Employee Directors, a vesting period will be deemed to be one year if runs from the date of one annual meeting of the Company’s stockholders to the date of the next annual meeting of the Company’s stockholders.</w:t>
      </w:r>
    </w:p>
    <w:p>
      <w:pPr>
        <w:spacing w:after="0" w:line="203" w:lineRule="exact"/>
        <w:rPr>
          <w:rFonts w:ascii="Arial" w:cs="Arial" w:eastAsia="Arial" w:hAnsi="Arial"/>
          <w:sz w:val="16"/>
          <w:szCs w:val="16"/>
          <w:color w:val="auto"/>
        </w:rPr>
      </w:pPr>
    </w:p>
    <w:p>
      <w:pPr>
        <w:jc w:val="both"/>
        <w:ind w:firstLine="656"/>
        <w:spacing w:after="0" w:line="248" w:lineRule="auto"/>
        <w:tabs>
          <w:tab w:leader="none" w:pos="1031" w:val="left"/>
        </w:tabs>
        <w:numPr>
          <w:ilvl w:val="1"/>
          <w:numId w:val="82"/>
        </w:numPr>
        <w:rPr>
          <w:rFonts w:ascii="Arial" w:cs="Arial" w:eastAsia="Arial" w:hAnsi="Arial"/>
          <w:sz w:val="16"/>
          <w:szCs w:val="16"/>
          <w:color w:val="auto"/>
        </w:rPr>
      </w:pPr>
      <w:r>
        <w:rPr>
          <w:rFonts w:ascii="Arial" w:cs="Arial" w:eastAsia="Arial" w:hAnsi="Arial"/>
          <w:sz w:val="16"/>
          <w:szCs w:val="16"/>
          <w:u w:val="single" w:color="auto"/>
          <w:color w:val="auto"/>
        </w:rPr>
        <w:t>Transferability</w:t>
      </w:r>
      <w:r>
        <w:rPr>
          <w:rFonts w:ascii="Arial" w:cs="Arial" w:eastAsia="Arial" w:hAnsi="Arial"/>
          <w:sz w:val="16"/>
          <w:szCs w:val="16"/>
          <w:color w:val="auto"/>
        </w:rPr>
        <w:t>. Except as provided in this Section 6(c), (i) during the lifetime of a Participant, only the Participant or the Participant’s guardian or legal representative may exercise an Option or SAR, or receive payment with respect to any other Award; and (ii) no Award may be sold, assigned, transferred, exchanged or encumbered, voluntarily or involuntarily, other than by will or the laws of descent and distribution. Any attempted transfer in violation of this Section 6(c) shall be of no effect. The Committee may, however, provide in an Agreement or otherwise that an Award (other than an Incentive Stock Option) may be transferred pursuant to a domestic relations order or may be transferable by gift to any “family member” (as defined in General Instruction A.1(a)(5) to Form S-8 under the Securities Act of 1933) of the Participant. Any Award held by a transferee shall continue to be subject to the same terms and conditions that were applicable to that Award immediately before the transfer thereof. For purposes of any provision of the Plan relating to notice to a Participant or to acceleration or termination of an Award upon the death or termination of Service of a Participant, the references to “Participant” shall mean the original grantee of an Award and not any transferee.</w:t>
      </w:r>
    </w:p>
    <w:p>
      <w:pPr>
        <w:spacing w:after="0" w:line="206" w:lineRule="exact"/>
        <w:rPr>
          <w:rFonts w:ascii="Arial" w:cs="Arial" w:eastAsia="Arial" w:hAnsi="Arial"/>
          <w:sz w:val="16"/>
          <w:szCs w:val="16"/>
          <w:color w:val="auto"/>
        </w:rPr>
      </w:pPr>
    </w:p>
    <w:p>
      <w:pPr>
        <w:jc w:val="both"/>
        <w:ind w:firstLine="656"/>
        <w:spacing w:after="0" w:line="253" w:lineRule="auto"/>
        <w:tabs>
          <w:tab w:leader="none" w:pos="1040" w:val="left"/>
        </w:tabs>
        <w:numPr>
          <w:ilvl w:val="1"/>
          <w:numId w:val="82"/>
        </w:numPr>
        <w:rPr>
          <w:rFonts w:ascii="Arial" w:cs="Arial" w:eastAsia="Arial" w:hAnsi="Arial"/>
          <w:sz w:val="16"/>
          <w:szCs w:val="16"/>
          <w:color w:val="auto"/>
        </w:rPr>
      </w:pPr>
      <w:r>
        <w:rPr>
          <w:rFonts w:ascii="Arial" w:cs="Arial" w:eastAsia="Arial" w:hAnsi="Arial"/>
          <w:sz w:val="16"/>
          <w:szCs w:val="16"/>
          <w:u w:val="single" w:color="auto"/>
          <w:color w:val="auto"/>
        </w:rPr>
        <w:t>Designation of Beneficiary</w:t>
      </w:r>
      <w:r>
        <w:rPr>
          <w:rFonts w:ascii="Arial" w:cs="Arial" w:eastAsia="Arial" w:hAnsi="Arial"/>
          <w:sz w:val="16"/>
          <w:szCs w:val="16"/>
          <w:color w:val="auto"/>
        </w:rPr>
        <w:t>. To the extent permitted by the Committee, a Participant may designate a beneficiary or beneficiaries to exercise any Award or receive a payment under any Award that is exercisable or payable on or after the Participant’s death. Any such designation shall be on a form approved by the Company and shall be effective upon its receipt by the Company.</w:t>
      </w:r>
    </w:p>
    <w:p>
      <w:pPr>
        <w:spacing w:after="0" w:line="201" w:lineRule="exact"/>
        <w:rPr>
          <w:rFonts w:ascii="Arial" w:cs="Arial" w:eastAsia="Arial" w:hAnsi="Arial"/>
          <w:sz w:val="16"/>
          <w:szCs w:val="16"/>
          <w:color w:val="auto"/>
        </w:rPr>
      </w:pPr>
    </w:p>
    <w:p>
      <w:pPr>
        <w:jc w:val="both"/>
        <w:ind w:firstLine="656"/>
        <w:spacing w:after="0" w:line="253" w:lineRule="auto"/>
        <w:tabs>
          <w:tab w:leader="none" w:pos="1026" w:val="left"/>
        </w:tabs>
        <w:numPr>
          <w:ilvl w:val="1"/>
          <w:numId w:val="82"/>
        </w:numPr>
        <w:rPr>
          <w:rFonts w:ascii="Arial" w:cs="Arial" w:eastAsia="Arial" w:hAnsi="Arial"/>
          <w:sz w:val="16"/>
          <w:szCs w:val="16"/>
          <w:color w:val="auto"/>
        </w:rPr>
      </w:pPr>
      <w:r>
        <w:rPr>
          <w:rFonts w:ascii="Arial" w:cs="Arial" w:eastAsia="Arial" w:hAnsi="Arial"/>
          <w:sz w:val="16"/>
          <w:szCs w:val="16"/>
          <w:u w:val="single" w:color="auto"/>
          <w:color w:val="auto"/>
        </w:rPr>
        <w:t>Termination of Service</w:t>
      </w:r>
      <w:r>
        <w:rPr>
          <w:rFonts w:ascii="Arial" w:cs="Arial" w:eastAsia="Arial" w:hAnsi="Arial"/>
          <w:sz w:val="16"/>
          <w:szCs w:val="16"/>
          <w:color w:val="auto"/>
        </w:rPr>
        <w:t>. Unless otherwise provided in an applicable Agreement or another then-effective written agreement between a Participant and the Company, and subject to Section 12 of this Plan, if a Participant’s Service with the Company and all of its Affiliates terminates, the following provisions shall apply (in all cases subject to the scheduled expiration of an Option or SAR Award, as applicable):</w:t>
      </w:r>
    </w:p>
    <w:p>
      <w:pPr>
        <w:spacing w:after="0" w:line="201" w:lineRule="exact"/>
        <w:rPr>
          <w:rFonts w:ascii="Arial" w:cs="Arial" w:eastAsia="Arial" w:hAnsi="Arial"/>
          <w:sz w:val="16"/>
          <w:szCs w:val="16"/>
          <w:color w:val="auto"/>
        </w:rPr>
      </w:pPr>
    </w:p>
    <w:p>
      <w:pPr>
        <w:ind w:firstLine="1305"/>
        <w:spacing w:after="0" w:line="260" w:lineRule="auto"/>
        <w:tabs>
          <w:tab w:leader="none" w:pos="1758" w:val="left"/>
        </w:tabs>
        <w:numPr>
          <w:ilvl w:val="2"/>
          <w:numId w:val="82"/>
        </w:numPr>
        <w:rPr>
          <w:rFonts w:ascii="Arial" w:cs="Arial" w:eastAsia="Arial" w:hAnsi="Arial"/>
          <w:sz w:val="16"/>
          <w:szCs w:val="16"/>
          <w:color w:val="auto"/>
        </w:rPr>
      </w:pPr>
      <w:r>
        <w:rPr>
          <w:rFonts w:ascii="Arial" w:cs="Arial" w:eastAsia="Arial" w:hAnsi="Arial"/>
          <w:sz w:val="16"/>
          <w:szCs w:val="16"/>
          <w:color w:val="auto"/>
        </w:rPr>
        <w:t>Upon termination of Service for Cause, or upon conduct during a post-termination exercise period that would constitute Cause, all unexercised Option and SAR Awards and all unvested portions of any other outstanding Awards shall be immediately forfeited without consideration.</w:t>
      </w:r>
    </w:p>
    <w:p>
      <w:pPr>
        <w:spacing w:after="0" w:line="168" w:lineRule="exact"/>
        <w:rPr>
          <w:rFonts w:ascii="Arial" w:cs="Arial" w:eastAsia="Arial" w:hAnsi="Arial"/>
          <w:sz w:val="16"/>
          <w:szCs w:val="16"/>
          <w:color w:val="auto"/>
        </w:rPr>
      </w:pPr>
    </w:p>
    <w:p>
      <w:pPr>
        <w:ind w:right="20" w:firstLine="1305"/>
        <w:spacing w:after="0" w:line="260" w:lineRule="auto"/>
        <w:tabs>
          <w:tab w:leader="none" w:pos="1699" w:val="left"/>
        </w:tabs>
        <w:numPr>
          <w:ilvl w:val="2"/>
          <w:numId w:val="82"/>
        </w:numPr>
        <w:rPr>
          <w:rFonts w:ascii="Arial" w:cs="Arial" w:eastAsia="Arial" w:hAnsi="Arial"/>
          <w:sz w:val="16"/>
          <w:szCs w:val="16"/>
          <w:color w:val="auto"/>
        </w:rPr>
      </w:pPr>
      <w:r>
        <w:rPr>
          <w:rFonts w:ascii="Arial" w:cs="Arial" w:eastAsia="Arial" w:hAnsi="Arial"/>
          <w:sz w:val="16"/>
          <w:szCs w:val="16"/>
          <w:color w:val="auto"/>
        </w:rPr>
        <w:t>Upon termination of Service for death or Disability, all unvested portions of any outstanding Awards shall vest in full immediately. If the vesting of any such Award is subject to satisfaction of specified performance goals, such Award shall</w:t>
      </w: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A-6</w:t>
      </w:r>
    </w:p>
    <w:p>
      <w:pPr>
        <w:sectPr>
          <w:pgSz w:w="11900" w:h="16838" w:orient="portrait"/>
          <w:cols w:equalWidth="0" w:num="1">
            <w:col w:w="11420"/>
          </w:cols>
          <w:pgMar w:left="240" w:top="790" w:right="239" w:bottom="1440" w:gutter="0" w:footer="0" w:header="0"/>
        </w:sectPr>
      </w:pPr>
    </w:p>
    <w:bookmarkStart w:id="57" w:name="page58"/>
    <w:bookmarkEnd w:id="57"/>
    <w:p>
      <w:pPr>
        <w:spacing w:after="0" w:line="260" w:lineRule="auto"/>
        <w:rPr>
          <w:sz w:val="20"/>
          <w:szCs w:val="20"/>
          <w:color w:val="auto"/>
        </w:rPr>
      </w:pPr>
      <w:r>
        <w:rPr>
          <w:rFonts w:ascii="Arial" w:cs="Arial" w:eastAsia="Arial" w:hAnsi="Arial"/>
          <w:sz w:val="16"/>
          <w:szCs w:val="16"/>
          <w:color w:val="auto"/>
        </w:rPr>
        <w:t>be deemed “fully vested” for purposes of this Section 6(e)(2) at the target level of performance or, in the discretion of the Committee, the actual level of performance (if determinable).</w:t>
      </w:r>
    </w:p>
    <w:p>
      <w:pPr>
        <w:spacing w:after="0" w:line="196" w:lineRule="exact"/>
        <w:rPr>
          <w:sz w:val="20"/>
          <w:szCs w:val="20"/>
          <w:color w:val="auto"/>
        </w:rPr>
      </w:pPr>
    </w:p>
    <w:p>
      <w:pPr>
        <w:ind w:right="20" w:firstLine="1305"/>
        <w:spacing w:after="0" w:line="260" w:lineRule="auto"/>
        <w:tabs>
          <w:tab w:leader="none" w:pos="1717" w:val="left"/>
        </w:tabs>
        <w:numPr>
          <w:ilvl w:val="3"/>
          <w:numId w:val="83"/>
        </w:numPr>
        <w:rPr>
          <w:rFonts w:ascii="Arial" w:cs="Arial" w:eastAsia="Arial" w:hAnsi="Arial"/>
          <w:sz w:val="16"/>
          <w:szCs w:val="16"/>
          <w:color w:val="auto"/>
        </w:rPr>
      </w:pPr>
      <w:r>
        <w:rPr>
          <w:rFonts w:ascii="Arial" w:cs="Arial" w:eastAsia="Arial" w:hAnsi="Arial"/>
          <w:sz w:val="16"/>
          <w:szCs w:val="16"/>
          <w:color w:val="auto"/>
        </w:rPr>
        <w:t>Upon termination of Service for any reason other than death or Disability, all unvested and unexercisable portions of any outstanding Awards shall be immediately forfeited without consideration.</w:t>
      </w:r>
    </w:p>
    <w:p>
      <w:pPr>
        <w:spacing w:after="0" w:line="195" w:lineRule="exact"/>
        <w:rPr>
          <w:rFonts w:ascii="Arial" w:cs="Arial" w:eastAsia="Arial" w:hAnsi="Arial"/>
          <w:sz w:val="16"/>
          <w:szCs w:val="16"/>
          <w:color w:val="auto"/>
        </w:rPr>
      </w:pPr>
    </w:p>
    <w:p>
      <w:pPr>
        <w:jc w:val="both"/>
        <w:ind w:firstLine="1305"/>
        <w:spacing w:after="0" w:line="252" w:lineRule="auto"/>
        <w:tabs>
          <w:tab w:leader="none" w:pos="1764" w:val="left"/>
        </w:tabs>
        <w:numPr>
          <w:ilvl w:val="3"/>
          <w:numId w:val="83"/>
        </w:numPr>
        <w:rPr>
          <w:rFonts w:ascii="Arial" w:cs="Arial" w:eastAsia="Arial" w:hAnsi="Arial"/>
          <w:sz w:val="16"/>
          <w:szCs w:val="16"/>
          <w:color w:val="auto"/>
        </w:rPr>
      </w:pPr>
      <w:r>
        <w:rPr>
          <w:rFonts w:ascii="Arial" w:cs="Arial" w:eastAsia="Arial" w:hAnsi="Arial"/>
          <w:sz w:val="16"/>
          <w:szCs w:val="16"/>
          <w:color w:val="auto"/>
        </w:rPr>
        <w:t>Upon termination of Service for any reason other than Cause, death or Disability, the currently vested and exercisable portions of Option and SAR Awards may be exercised for a period of three months after the date of such termination. However, if a Participant thereafter dies during such three-month period, the vested and exercisable portions of the Option and SAR Awards may be exercised for a period of one year after the date of such termination.</w:t>
      </w:r>
    </w:p>
    <w:p>
      <w:pPr>
        <w:spacing w:after="0" w:line="392" w:lineRule="exact"/>
        <w:rPr>
          <w:rFonts w:ascii="Arial" w:cs="Arial" w:eastAsia="Arial" w:hAnsi="Arial"/>
          <w:sz w:val="16"/>
          <w:szCs w:val="16"/>
          <w:color w:val="auto"/>
        </w:rPr>
      </w:pPr>
    </w:p>
    <w:p>
      <w:pPr>
        <w:ind w:firstLine="1305"/>
        <w:spacing w:after="0" w:line="260" w:lineRule="auto"/>
        <w:tabs>
          <w:tab w:leader="none" w:pos="1683" w:val="left"/>
        </w:tabs>
        <w:numPr>
          <w:ilvl w:val="3"/>
          <w:numId w:val="83"/>
        </w:numPr>
        <w:rPr>
          <w:rFonts w:ascii="Arial" w:cs="Arial" w:eastAsia="Arial" w:hAnsi="Arial"/>
          <w:sz w:val="16"/>
          <w:szCs w:val="16"/>
          <w:color w:val="auto"/>
        </w:rPr>
      </w:pPr>
      <w:r>
        <w:rPr>
          <w:rFonts w:ascii="Arial" w:cs="Arial" w:eastAsia="Arial" w:hAnsi="Arial"/>
          <w:sz w:val="16"/>
          <w:szCs w:val="16"/>
          <w:color w:val="auto"/>
        </w:rPr>
        <w:t>Upon termination of Service due to death or Disability, the currently vested and exercisable portions of Option and SAR Awards may be exercised for a period of one year after the date of such termination.</w:t>
      </w:r>
    </w:p>
    <w:p>
      <w:pPr>
        <w:spacing w:after="0" w:line="195" w:lineRule="exact"/>
        <w:rPr>
          <w:rFonts w:ascii="Arial" w:cs="Arial" w:eastAsia="Arial" w:hAnsi="Arial"/>
          <w:sz w:val="16"/>
          <w:szCs w:val="16"/>
          <w:color w:val="auto"/>
        </w:rPr>
      </w:pPr>
    </w:p>
    <w:p>
      <w:pPr>
        <w:ind w:right="20" w:firstLine="656"/>
        <w:spacing w:after="0" w:line="260" w:lineRule="auto"/>
        <w:tabs>
          <w:tab w:leader="none" w:pos="981" w:val="left"/>
        </w:tabs>
        <w:numPr>
          <w:ilvl w:val="2"/>
          <w:numId w:val="84"/>
        </w:numPr>
        <w:rPr>
          <w:rFonts w:ascii="Arial" w:cs="Arial" w:eastAsia="Arial" w:hAnsi="Arial"/>
          <w:sz w:val="16"/>
          <w:szCs w:val="16"/>
          <w:color w:val="auto"/>
        </w:rPr>
      </w:pPr>
      <w:r>
        <w:rPr>
          <w:rFonts w:ascii="Arial" w:cs="Arial" w:eastAsia="Arial" w:hAnsi="Arial"/>
          <w:sz w:val="16"/>
          <w:szCs w:val="16"/>
          <w:u w:val="single" w:color="auto"/>
          <w:color w:val="auto"/>
        </w:rPr>
        <w:t>Rights as Stockholder</w:t>
      </w:r>
      <w:r>
        <w:rPr>
          <w:rFonts w:ascii="Arial" w:cs="Arial" w:eastAsia="Arial" w:hAnsi="Arial"/>
          <w:sz w:val="16"/>
          <w:szCs w:val="16"/>
          <w:color w:val="auto"/>
        </w:rPr>
        <w:t>. No Participant shall have any rights as a stockholder with respect to any Shares covered by an Award unless and until the date the Participant becomes the holder of record of the Shares, if any, to which the Award relates.</w:t>
      </w:r>
    </w:p>
    <w:p>
      <w:pPr>
        <w:spacing w:after="0" w:line="195" w:lineRule="exact"/>
        <w:rPr>
          <w:rFonts w:ascii="Arial" w:cs="Arial" w:eastAsia="Arial" w:hAnsi="Arial"/>
          <w:sz w:val="16"/>
          <w:szCs w:val="16"/>
          <w:color w:val="auto"/>
        </w:rPr>
      </w:pPr>
    </w:p>
    <w:p>
      <w:pPr>
        <w:jc w:val="both"/>
        <w:ind w:firstLine="656"/>
        <w:spacing w:after="0" w:line="247" w:lineRule="auto"/>
        <w:tabs>
          <w:tab w:leader="none" w:pos="1040" w:val="left"/>
        </w:tabs>
        <w:numPr>
          <w:ilvl w:val="2"/>
          <w:numId w:val="84"/>
        </w:numPr>
        <w:rPr>
          <w:rFonts w:ascii="Arial" w:cs="Arial" w:eastAsia="Arial" w:hAnsi="Arial"/>
          <w:sz w:val="16"/>
          <w:szCs w:val="16"/>
          <w:color w:val="auto"/>
        </w:rPr>
      </w:pPr>
      <w:r>
        <w:rPr>
          <w:rFonts w:ascii="Arial" w:cs="Arial" w:eastAsia="Arial" w:hAnsi="Arial"/>
          <w:sz w:val="16"/>
          <w:szCs w:val="16"/>
          <w:u w:val="single" w:color="auto"/>
          <w:color w:val="auto"/>
        </w:rPr>
        <w:t>Performance-Based Awards</w:t>
      </w:r>
      <w:r>
        <w:rPr>
          <w:rFonts w:ascii="Arial" w:cs="Arial" w:eastAsia="Arial" w:hAnsi="Arial"/>
          <w:sz w:val="16"/>
          <w:szCs w:val="16"/>
          <w:color w:val="auto"/>
        </w:rPr>
        <w:t>. Any Award may be granted as a performance-based Award if the Committee establishes performance goals to be attained based on one or more Performance Measures, and the performance period over which the specified performance is to be attained, as a condition to the grant, vesting, exercisability, lapse of restrictions and/or settlement in cash or Shares of such Award. The Committee will select the applicable Performance Measure(s) and specify the performance goal(s) based on those Performance Measures for any performance period, specify in terms of a formula or standard the method for calculating the amount payable to a Participant if the performance goal(s) are satisfied, and determine the degree to which the grant, vesting, exercisability, lapse of restrictions and/or settlement of such Award has been earned, including the degree to which applicable performance goals have been satisfied. The Committee shall also have the authority to provide, in an Agreement or otherwise, for the modification of a performance period and/or adjustments to or waivers of the achievement of performance goals under specified circumstances such as (i) the occurrence of events that are unusual in nature or infrequently occurring, such as a Change in Control, an equity restructuring (as described in Section 12(a)), acquisitions, divestitures, restructuring activities, recapitalizations, or asset write-downs, (ii) a change in applicable tax laws or accounting principles, or (iii) the Participant’s death or Disability. The Committee may, in its discretion and based on such considerations as it deems appropriate, adjust any amount otherwise determined by the application of the performance goals to be otherwise payable in connection with an Award.</w:t>
      </w:r>
    </w:p>
    <w:p>
      <w:pPr>
        <w:spacing w:after="0" w:line="212" w:lineRule="exact"/>
        <w:rPr>
          <w:rFonts w:ascii="Arial" w:cs="Arial" w:eastAsia="Arial" w:hAnsi="Arial"/>
          <w:sz w:val="16"/>
          <w:szCs w:val="16"/>
          <w:color w:val="auto"/>
        </w:rPr>
      </w:pPr>
    </w:p>
    <w:p>
      <w:pPr>
        <w:jc w:val="both"/>
        <w:ind w:firstLine="656"/>
        <w:spacing w:after="0" w:line="248" w:lineRule="auto"/>
        <w:tabs>
          <w:tab w:leader="none" w:pos="1040" w:val="left"/>
        </w:tabs>
        <w:numPr>
          <w:ilvl w:val="2"/>
          <w:numId w:val="84"/>
        </w:numPr>
        <w:rPr>
          <w:rFonts w:ascii="Arial" w:cs="Arial" w:eastAsia="Arial" w:hAnsi="Arial"/>
          <w:sz w:val="16"/>
          <w:szCs w:val="16"/>
          <w:color w:val="auto"/>
        </w:rPr>
      </w:pPr>
      <w:r>
        <w:rPr>
          <w:rFonts w:ascii="Arial" w:cs="Arial" w:eastAsia="Arial" w:hAnsi="Arial"/>
          <w:sz w:val="16"/>
          <w:szCs w:val="16"/>
          <w:u w:val="single" w:color="auto"/>
          <w:color w:val="auto"/>
        </w:rPr>
        <w:t>Dividends and Dividend Equivalents</w:t>
      </w:r>
      <w:r>
        <w:rPr>
          <w:rFonts w:ascii="Arial" w:cs="Arial" w:eastAsia="Arial" w:hAnsi="Arial"/>
          <w:sz w:val="16"/>
          <w:szCs w:val="16"/>
          <w:color w:val="auto"/>
        </w:rPr>
        <w:t>. No dividends, dividend equivalents or distributions will be paid with respect to Shares subject to an Option or SAR Award. Unless otherwise provided in an applicable Agreement, any dividends or distributions payable with respect to Shares that are subject to the unvested portion of a Restricted Stock Award will be subject to the same restrictions and risk of forfeiture as the Shares to which such dividends or distributions relate. In its discretion, the Committee may provide in an Award Agreement for a Stock Unit Award or an Other Stock-Based Award that the Participant will be entitled to receive dividend equivalents, based on dividends actually declared and paid on outstanding Shares, on the units or other Share equivalents subject to the Stock Unit Award or Other Stock-Based Award, and unless otherwise provided in an applicable Agreement such dividend equivalents will be subject to the same restrictions and risk of forfeiture as the units or other Share equivalents to which such dividend equivalents relate. The additional terms of any such dividend equivalents will be as set forth in the applicable Agreement, including the time and form of payment and whether such dividend equivalents will be credited with interest or deemed to be reinvested in additional units or Share equivalents. Any Shares issued or issuable during the term of this Plan as the result of the reinvestment of dividends or the deemed reinvestment of dividend equivalents in connection with an Award or a Prior Plan Award shall be counted against, and replenish upon any subsequent forfeiture, the Plan’s share reserve as provided in Section 4.</w:t>
      </w:r>
    </w:p>
    <w:p>
      <w:pPr>
        <w:spacing w:after="0" w:line="177" w:lineRule="exact"/>
        <w:rPr>
          <w:rFonts w:ascii="Arial" w:cs="Arial" w:eastAsia="Arial" w:hAnsi="Arial"/>
          <w:sz w:val="16"/>
          <w:szCs w:val="16"/>
          <w:color w:val="auto"/>
        </w:rPr>
      </w:pPr>
    </w:p>
    <w:p>
      <w:pPr>
        <w:jc w:val="both"/>
        <w:ind w:firstLine="656"/>
        <w:spacing w:after="0" w:line="248" w:lineRule="auto"/>
        <w:tabs>
          <w:tab w:leader="none" w:pos="999" w:val="left"/>
        </w:tabs>
        <w:numPr>
          <w:ilvl w:val="2"/>
          <w:numId w:val="84"/>
        </w:numPr>
        <w:rPr>
          <w:rFonts w:ascii="Arial" w:cs="Arial" w:eastAsia="Arial" w:hAnsi="Arial"/>
          <w:sz w:val="16"/>
          <w:szCs w:val="16"/>
          <w:color w:val="auto"/>
        </w:rPr>
      </w:pPr>
      <w:r>
        <w:rPr>
          <w:rFonts w:ascii="Arial" w:cs="Arial" w:eastAsia="Arial" w:hAnsi="Arial"/>
          <w:sz w:val="16"/>
          <w:szCs w:val="16"/>
          <w:u w:val="single" w:color="auto"/>
          <w:color w:val="auto"/>
        </w:rPr>
        <w:t>Deferrals of Full Value Awards</w:t>
      </w:r>
      <w:r>
        <w:rPr>
          <w:rFonts w:ascii="Arial" w:cs="Arial" w:eastAsia="Arial" w:hAnsi="Arial"/>
          <w:sz w:val="16"/>
          <w:szCs w:val="16"/>
          <w:color w:val="auto"/>
        </w:rPr>
        <w:t>. The Committee may, in its discretion, permit or require the deferral by a Participant of the issuance of Shares or payment of cash in settlement of any Full Value Award, subject to such terms, conditions, rules and procedures as it may establish or prescribe for such purpose and with the intention of complying with the applicable requirements of Code Section 409A. The terms, conditions, rules and procedures for any such deferral shall be set forth in writing in the relevant Agreement or in such other agreement, plan or document as the Committee may determine, or some combination of such documents. The terms, conditions, rules and procedures for any such deferral shall address, to the extent relevant, matters such as: (i) the amount of compensation that may or must be deferred (or the method for calculating the amount); (ii) the permissible time(s) and form(s) of payment of deferred amounts; (iii) the terms and conditions of any deferral elections by a Participant or of any deferral required by the Company; and (iv) the crediting of interest or dividend equivalents on deferred amounts. To the extent that any such deferral is effected in accordance with any then-effective non-qualified deferred compensation plan of the Company, the Share equivalents credited to such non-qualified deferred compensation plan account of a Participant shall be deemed Stock Units for purposes of this Plan, and if settled in Shares, such Shares shall be drawn from and charged against the Plan’s share reserve.</w:t>
      </w:r>
    </w:p>
    <w:p>
      <w:pPr>
        <w:spacing w:after="0" w:line="158" w:lineRule="exact"/>
        <w:rPr>
          <w:rFonts w:ascii="Arial" w:cs="Arial" w:eastAsia="Arial" w:hAnsi="Arial"/>
          <w:sz w:val="16"/>
          <w:szCs w:val="16"/>
          <w:color w:val="auto"/>
        </w:rPr>
      </w:pPr>
    </w:p>
    <w:p>
      <w:pPr>
        <w:ind w:left="320" w:hanging="312"/>
        <w:spacing w:after="0"/>
        <w:tabs>
          <w:tab w:leader="none" w:pos="320" w:val="left"/>
        </w:tabs>
        <w:numPr>
          <w:ilvl w:val="0"/>
          <w:numId w:val="85"/>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Stock Option Awards</w:t>
      </w:r>
      <w:r>
        <w:rPr>
          <w:rFonts w:ascii="Arial" w:cs="Arial" w:eastAsia="Arial" w:hAnsi="Arial"/>
          <w:sz w:val="16"/>
          <w:szCs w:val="16"/>
          <w:b w:val="1"/>
          <w:bCs w:val="1"/>
          <w:color w:val="auto"/>
        </w:rPr>
        <w:t>.</w:t>
      </w:r>
    </w:p>
    <w:p>
      <w:pPr>
        <w:spacing w:after="0" w:line="241" w:lineRule="exact"/>
        <w:rPr>
          <w:rFonts w:ascii="Arial" w:cs="Arial" w:eastAsia="Arial" w:hAnsi="Arial"/>
          <w:sz w:val="16"/>
          <w:szCs w:val="16"/>
          <w:b w:val="1"/>
          <w:bCs w:val="1"/>
          <w:color w:val="auto"/>
        </w:rPr>
      </w:pPr>
    </w:p>
    <w:p>
      <w:pPr>
        <w:jc w:val="both"/>
        <w:ind w:firstLine="602"/>
        <w:spacing w:after="0" w:line="253" w:lineRule="auto"/>
        <w:tabs>
          <w:tab w:leader="none" w:pos="1013" w:val="left"/>
        </w:tabs>
        <w:numPr>
          <w:ilvl w:val="1"/>
          <w:numId w:val="85"/>
        </w:numPr>
        <w:rPr>
          <w:rFonts w:ascii="Arial" w:cs="Arial" w:eastAsia="Arial" w:hAnsi="Arial"/>
          <w:sz w:val="16"/>
          <w:szCs w:val="16"/>
          <w:color w:val="auto"/>
        </w:rPr>
      </w:pPr>
      <w:r>
        <w:rPr>
          <w:rFonts w:ascii="Arial" w:cs="Arial" w:eastAsia="Arial" w:hAnsi="Arial"/>
          <w:sz w:val="16"/>
          <w:szCs w:val="16"/>
          <w:u w:val="single" w:color="auto"/>
          <w:color w:val="auto"/>
        </w:rPr>
        <w:t>Type and Exercise Price</w:t>
      </w:r>
      <w:r>
        <w:rPr>
          <w:rFonts w:ascii="Arial" w:cs="Arial" w:eastAsia="Arial" w:hAnsi="Arial"/>
          <w:sz w:val="16"/>
          <w:szCs w:val="16"/>
          <w:color w:val="auto"/>
        </w:rPr>
        <w:t>. The Agreement pursuant to which an Option Award is granted shall specify whether the Option is an Incentive Stock Option or a Non-Qualified Stock Option. The exercise price at which each Share subject to an Option Award may be purchased shall be determined by the Committee and set forth in the Agreement, and shall not be less than the Fair</w:t>
      </w:r>
    </w:p>
    <w:p>
      <w:pPr>
        <w:spacing w:after="0" w:line="200" w:lineRule="exact"/>
        <w:rPr>
          <w:sz w:val="20"/>
          <w:szCs w:val="20"/>
          <w:color w:val="auto"/>
        </w:rPr>
      </w:pPr>
    </w:p>
    <w:p>
      <w:pPr>
        <w:spacing w:after="0" w:line="24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A-7</w:t>
      </w:r>
    </w:p>
    <w:p>
      <w:pPr>
        <w:sectPr>
          <w:pgSz w:w="11900" w:h="16838" w:orient="portrait"/>
          <w:cols w:equalWidth="0" w:num="1">
            <w:col w:w="11420"/>
          </w:cols>
          <w:pgMar w:left="240" w:top="790" w:right="239" w:bottom="1440" w:gutter="0" w:footer="0" w:header="0"/>
        </w:sectPr>
      </w:pPr>
    </w:p>
    <w:bookmarkStart w:id="58" w:name="page59"/>
    <w:bookmarkEnd w:id="58"/>
    <w:p>
      <w:pPr>
        <w:spacing w:after="0" w:line="260" w:lineRule="auto"/>
        <w:rPr>
          <w:sz w:val="20"/>
          <w:szCs w:val="20"/>
          <w:color w:val="auto"/>
        </w:rPr>
      </w:pPr>
      <w:r>
        <w:rPr>
          <w:rFonts w:ascii="Arial" w:cs="Arial" w:eastAsia="Arial" w:hAnsi="Arial"/>
          <w:sz w:val="16"/>
          <w:szCs w:val="16"/>
          <w:color w:val="auto"/>
        </w:rPr>
        <w:t>Market Value of a Share on the Grant Date, except in the case of Substitute Awards (to the extent consistent with Code Section 409A and, in the case of Incentive Stock Options, Code Section 424).</w:t>
      </w:r>
    </w:p>
    <w:p>
      <w:pPr>
        <w:spacing w:after="0" w:line="196" w:lineRule="exact"/>
        <w:rPr>
          <w:sz w:val="20"/>
          <w:szCs w:val="20"/>
          <w:color w:val="auto"/>
        </w:rPr>
      </w:pPr>
    </w:p>
    <w:p>
      <w:pPr>
        <w:jc w:val="both"/>
        <w:ind w:firstLine="602"/>
        <w:spacing w:after="0" w:line="250" w:lineRule="auto"/>
        <w:tabs>
          <w:tab w:leader="none" w:pos="999" w:val="left"/>
        </w:tabs>
        <w:numPr>
          <w:ilvl w:val="1"/>
          <w:numId w:val="86"/>
        </w:numPr>
        <w:rPr>
          <w:rFonts w:ascii="Arial" w:cs="Arial" w:eastAsia="Arial" w:hAnsi="Arial"/>
          <w:sz w:val="16"/>
          <w:szCs w:val="16"/>
          <w:color w:val="auto"/>
        </w:rPr>
      </w:pPr>
      <w:r>
        <w:rPr>
          <w:rFonts w:ascii="Arial" w:cs="Arial" w:eastAsia="Arial" w:hAnsi="Arial"/>
          <w:sz w:val="16"/>
          <w:szCs w:val="16"/>
          <w:u w:val="single" w:color="auto"/>
          <w:color w:val="auto"/>
        </w:rPr>
        <w:t>Payment of Exercise Price</w:t>
      </w:r>
      <w:r>
        <w:rPr>
          <w:rFonts w:ascii="Arial" w:cs="Arial" w:eastAsia="Arial" w:hAnsi="Arial"/>
          <w:sz w:val="16"/>
          <w:szCs w:val="16"/>
          <w:color w:val="auto"/>
        </w:rPr>
        <w:t>. The purchase price of the Shares with respect to which an Option Award is exercised shall be payable in full at the time of exercise. The purchase price may be paid in cash or in such other manner as the Committee may permit, including by payment under a broker-assisted sale and remittance program, by withholding Shares otherwise issuable to the Participant upon exercise of the Option or by delivery to the Company of Shares (by actual delivery or attestation) already owned by the Participant (in either case, such Shares having a Fair Market Value as of the date the Option is exercised equal to the purchase price of the Shares being purchased).</w:t>
      </w:r>
    </w:p>
    <w:p>
      <w:pPr>
        <w:spacing w:after="0" w:line="203" w:lineRule="exact"/>
        <w:rPr>
          <w:rFonts w:ascii="Arial" w:cs="Arial" w:eastAsia="Arial" w:hAnsi="Arial"/>
          <w:sz w:val="16"/>
          <w:szCs w:val="16"/>
          <w:color w:val="auto"/>
        </w:rPr>
      </w:pPr>
    </w:p>
    <w:p>
      <w:pPr>
        <w:ind w:firstLine="602"/>
        <w:spacing w:after="0" w:line="260" w:lineRule="auto"/>
        <w:tabs>
          <w:tab w:leader="none" w:pos="1017" w:val="left"/>
        </w:tabs>
        <w:numPr>
          <w:ilvl w:val="1"/>
          <w:numId w:val="86"/>
        </w:numPr>
        <w:rPr>
          <w:rFonts w:ascii="Arial" w:cs="Arial" w:eastAsia="Arial" w:hAnsi="Arial"/>
          <w:sz w:val="16"/>
          <w:szCs w:val="16"/>
          <w:color w:val="auto"/>
        </w:rPr>
      </w:pPr>
      <w:r>
        <w:rPr>
          <w:rFonts w:ascii="Arial" w:cs="Arial" w:eastAsia="Arial" w:hAnsi="Arial"/>
          <w:sz w:val="16"/>
          <w:szCs w:val="16"/>
          <w:u w:val="single" w:color="auto"/>
          <w:color w:val="auto"/>
        </w:rPr>
        <w:t>Exercisability and Expiration</w:t>
      </w:r>
      <w:r>
        <w:rPr>
          <w:rFonts w:ascii="Arial" w:cs="Arial" w:eastAsia="Arial" w:hAnsi="Arial"/>
          <w:sz w:val="16"/>
          <w:szCs w:val="16"/>
          <w:color w:val="auto"/>
        </w:rPr>
        <w:t>. Each Option Award shall be exercisable in whole or in part on the terms provided in the Agreement. No Option Award shall be exercisable at any time after its scheduled expiration. When an Option Award is no longer exercisable, it shall be deemed to have terminated.</w:t>
      </w:r>
    </w:p>
    <w:p>
      <w:pPr>
        <w:spacing w:after="0" w:line="195" w:lineRule="exact"/>
        <w:rPr>
          <w:rFonts w:ascii="Arial" w:cs="Arial" w:eastAsia="Arial" w:hAnsi="Arial"/>
          <w:sz w:val="16"/>
          <w:szCs w:val="16"/>
          <w:color w:val="auto"/>
        </w:rPr>
      </w:pPr>
    </w:p>
    <w:p>
      <w:pPr>
        <w:ind w:left="980" w:hanging="378"/>
        <w:spacing w:after="0"/>
        <w:tabs>
          <w:tab w:leader="none" w:pos="980" w:val="left"/>
        </w:tabs>
        <w:numPr>
          <w:ilvl w:val="1"/>
          <w:numId w:val="86"/>
        </w:numPr>
        <w:rPr>
          <w:rFonts w:ascii="Arial" w:cs="Arial" w:eastAsia="Arial" w:hAnsi="Arial"/>
          <w:sz w:val="16"/>
          <w:szCs w:val="16"/>
          <w:color w:val="auto"/>
        </w:rPr>
      </w:pPr>
      <w:r>
        <w:rPr>
          <w:rFonts w:ascii="Arial" w:cs="Arial" w:eastAsia="Arial" w:hAnsi="Arial"/>
          <w:sz w:val="16"/>
          <w:szCs w:val="16"/>
          <w:u w:val="single" w:color="auto"/>
          <w:color w:val="auto"/>
        </w:rPr>
        <w:t>Incentive Stock Options</w:t>
      </w:r>
      <w:r>
        <w:rPr>
          <w:rFonts w:ascii="Arial" w:cs="Arial" w:eastAsia="Arial" w:hAnsi="Arial"/>
          <w:sz w:val="16"/>
          <w:szCs w:val="16"/>
          <w:color w:val="auto"/>
        </w:rPr>
        <w:t>.</w:t>
      </w:r>
    </w:p>
    <w:p>
      <w:pPr>
        <w:spacing w:after="0" w:line="221" w:lineRule="exact"/>
        <w:rPr>
          <w:rFonts w:ascii="Arial" w:cs="Arial" w:eastAsia="Arial" w:hAnsi="Arial"/>
          <w:sz w:val="16"/>
          <w:szCs w:val="16"/>
          <w:color w:val="auto"/>
        </w:rPr>
      </w:pPr>
    </w:p>
    <w:p>
      <w:pPr>
        <w:jc w:val="both"/>
        <w:ind w:firstLine="1305"/>
        <w:spacing w:after="0" w:line="249" w:lineRule="auto"/>
        <w:tabs>
          <w:tab w:leader="none" w:pos="1677" w:val="left"/>
        </w:tabs>
        <w:numPr>
          <w:ilvl w:val="3"/>
          <w:numId w:val="86"/>
        </w:numPr>
        <w:rPr>
          <w:rFonts w:ascii="Arial" w:cs="Arial" w:eastAsia="Arial" w:hAnsi="Arial"/>
          <w:sz w:val="16"/>
          <w:szCs w:val="16"/>
          <w:color w:val="auto"/>
        </w:rPr>
      </w:pPr>
      <w:r>
        <w:rPr>
          <w:rFonts w:ascii="Arial" w:cs="Arial" w:eastAsia="Arial" w:hAnsi="Arial"/>
          <w:sz w:val="16"/>
          <w:szCs w:val="16"/>
          <w:color w:val="auto"/>
        </w:rPr>
        <w:t>An Option Award will constitute an Incentive Stock Option Award only if the Participant receiving the Option Award is an Employee, and only to the extent that (i) it is so designated in the applicable Agreement and (ii) the aggregate Fair Market Value (determined as of the Option Award’s Grant Date) of the Shares with respect to which Incentive Stock Option Awards held by the Participant first become exercisable in any calendar year (under the Plan and all other plans of the Company and its Affiliates) does not exceed $100,000 or such other amount specified by the Code. To the extent an Option Award granted to a Participant exceeds this limit, the Option Award shall be treated as a Non-Qualified Stock Option Award. The maximum number of Shares that may be issued upon the exercise of Incentive Stock Option Awards under the Plan shall be 4,100,000, subject to adjustment as provided in Section 12(a).</w:t>
      </w:r>
    </w:p>
    <w:p>
      <w:pPr>
        <w:spacing w:after="0" w:line="205" w:lineRule="exact"/>
        <w:rPr>
          <w:rFonts w:ascii="Arial" w:cs="Arial" w:eastAsia="Arial" w:hAnsi="Arial"/>
          <w:sz w:val="16"/>
          <w:szCs w:val="16"/>
          <w:color w:val="auto"/>
        </w:rPr>
      </w:pPr>
    </w:p>
    <w:p>
      <w:pPr>
        <w:jc w:val="both"/>
        <w:ind w:firstLine="1305"/>
        <w:spacing w:after="0" w:line="251" w:lineRule="auto"/>
        <w:tabs>
          <w:tab w:leader="none" w:pos="1805" w:val="left"/>
        </w:tabs>
        <w:numPr>
          <w:ilvl w:val="3"/>
          <w:numId w:val="86"/>
        </w:numPr>
        <w:rPr>
          <w:rFonts w:ascii="Arial" w:cs="Arial" w:eastAsia="Arial" w:hAnsi="Arial"/>
          <w:sz w:val="16"/>
          <w:szCs w:val="16"/>
          <w:color w:val="auto"/>
        </w:rPr>
      </w:pPr>
      <w:r>
        <w:rPr>
          <w:rFonts w:ascii="Arial" w:cs="Arial" w:eastAsia="Arial" w:hAnsi="Arial"/>
          <w:sz w:val="16"/>
          <w:szCs w:val="16"/>
          <w:color w:val="auto"/>
        </w:rPr>
        <w:t>No Participant may receive an Incentive Stock Option Award under the Plan if, immediately after the grant of such Award, the Participant would own (after application of the rules contained in Code Section 424(d)) Shares possessing more than 10% of the total combined Voting Power of all classes of stock of the Company or an Affiliate, unless (i) the per Share exercise price for such Award is at least 110% of the Fair Market Value of a Share on the Grant Date and (ii) such Award will expire no later than five years after its Grant Date.</w:t>
      </w:r>
    </w:p>
    <w:p>
      <w:pPr>
        <w:spacing w:after="0" w:line="175" w:lineRule="exact"/>
        <w:rPr>
          <w:rFonts w:ascii="Arial" w:cs="Arial" w:eastAsia="Arial" w:hAnsi="Arial"/>
          <w:sz w:val="16"/>
          <w:szCs w:val="16"/>
          <w:color w:val="auto"/>
        </w:rPr>
      </w:pPr>
    </w:p>
    <w:p>
      <w:pPr>
        <w:jc w:val="both"/>
        <w:ind w:firstLine="656"/>
        <w:spacing w:after="0" w:line="251" w:lineRule="auto"/>
        <w:tabs>
          <w:tab w:leader="none" w:pos="1041" w:val="left"/>
        </w:tabs>
        <w:numPr>
          <w:ilvl w:val="2"/>
          <w:numId w:val="86"/>
        </w:numPr>
        <w:rPr>
          <w:rFonts w:ascii="Arial" w:cs="Arial" w:eastAsia="Arial" w:hAnsi="Arial"/>
          <w:sz w:val="16"/>
          <w:szCs w:val="16"/>
          <w:color w:val="auto"/>
        </w:rPr>
      </w:pPr>
      <w:r>
        <w:rPr>
          <w:rFonts w:ascii="Arial" w:cs="Arial" w:eastAsia="Arial" w:hAnsi="Arial"/>
          <w:sz w:val="16"/>
          <w:szCs w:val="16"/>
          <w:color w:val="auto"/>
        </w:rPr>
        <w:t>For purposes of continued Service by a Participant who has been granted an Incentive Stock Option Award, no approved leave of absence may exceed three months unless reemployment upon expiration of such leave is provided by statute or contract. If reemployment is not so provided, then on the date six months following the first day of such leave, any Incentive Stock Option held by the Participant shall cease to be treated as an Incentive Stock Option and shall be treated for tax purposes as a Non-Qualified Stock Option.</w:t>
      </w:r>
    </w:p>
    <w:p>
      <w:pPr>
        <w:spacing w:after="0" w:line="202" w:lineRule="exact"/>
        <w:rPr>
          <w:rFonts w:ascii="Arial" w:cs="Arial" w:eastAsia="Arial" w:hAnsi="Arial"/>
          <w:sz w:val="16"/>
          <w:szCs w:val="16"/>
          <w:color w:val="auto"/>
        </w:rPr>
      </w:pPr>
    </w:p>
    <w:p>
      <w:pPr>
        <w:ind w:firstLine="656"/>
        <w:spacing w:after="0" w:line="260" w:lineRule="auto"/>
        <w:tabs>
          <w:tab w:leader="none" w:pos="1070" w:val="left"/>
        </w:tabs>
        <w:numPr>
          <w:ilvl w:val="2"/>
          <w:numId w:val="86"/>
        </w:numPr>
        <w:rPr>
          <w:rFonts w:ascii="Arial" w:cs="Arial" w:eastAsia="Arial" w:hAnsi="Arial"/>
          <w:sz w:val="16"/>
          <w:szCs w:val="16"/>
          <w:color w:val="auto"/>
        </w:rPr>
      </w:pPr>
      <w:r>
        <w:rPr>
          <w:rFonts w:ascii="Arial" w:cs="Arial" w:eastAsia="Arial" w:hAnsi="Arial"/>
          <w:sz w:val="16"/>
          <w:szCs w:val="16"/>
          <w:color w:val="auto"/>
        </w:rPr>
        <w:t>If an Incentive Stock Option Award is exercised after the expiration of the exercise periods that apply for purposes of Code Section 422, such Option shall thereafter be treated as a Non-Qualified Stock Option.</w:t>
      </w:r>
    </w:p>
    <w:p>
      <w:pPr>
        <w:spacing w:after="0" w:line="195" w:lineRule="exact"/>
        <w:rPr>
          <w:rFonts w:ascii="Arial" w:cs="Arial" w:eastAsia="Arial" w:hAnsi="Arial"/>
          <w:sz w:val="16"/>
          <w:szCs w:val="16"/>
          <w:color w:val="auto"/>
        </w:rPr>
      </w:pPr>
    </w:p>
    <w:p>
      <w:pPr>
        <w:ind w:right="20" w:firstLine="656"/>
        <w:spacing w:after="0" w:line="260" w:lineRule="auto"/>
        <w:tabs>
          <w:tab w:leader="none" w:pos="1144" w:val="left"/>
        </w:tabs>
        <w:numPr>
          <w:ilvl w:val="2"/>
          <w:numId w:val="86"/>
        </w:numPr>
        <w:rPr>
          <w:rFonts w:ascii="Arial" w:cs="Arial" w:eastAsia="Arial" w:hAnsi="Arial"/>
          <w:sz w:val="16"/>
          <w:szCs w:val="16"/>
          <w:color w:val="auto"/>
        </w:rPr>
      </w:pPr>
      <w:r>
        <w:rPr>
          <w:rFonts w:ascii="Arial" w:cs="Arial" w:eastAsia="Arial" w:hAnsi="Arial"/>
          <w:sz w:val="16"/>
          <w:szCs w:val="16"/>
          <w:color w:val="auto"/>
        </w:rPr>
        <w:t>The Agreement covering an Incentive Stock Option Award shall contain such other terms and provisions that the Committee determines necessary to qualify the Option Award as an Incentive Stock Option Award.</w:t>
      </w:r>
    </w:p>
    <w:p>
      <w:pPr>
        <w:spacing w:after="0" w:line="175" w:lineRule="exact"/>
        <w:rPr>
          <w:rFonts w:ascii="Arial" w:cs="Arial" w:eastAsia="Arial" w:hAnsi="Arial"/>
          <w:sz w:val="16"/>
          <w:szCs w:val="16"/>
          <w:color w:val="auto"/>
        </w:rPr>
      </w:pPr>
    </w:p>
    <w:p>
      <w:pPr>
        <w:ind w:left="320" w:hanging="312"/>
        <w:spacing w:after="0"/>
        <w:tabs>
          <w:tab w:leader="none" w:pos="320" w:val="left"/>
        </w:tabs>
        <w:numPr>
          <w:ilvl w:val="0"/>
          <w:numId w:val="87"/>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Stock Appreciation Right Awards</w:t>
      </w:r>
      <w:r>
        <w:rPr>
          <w:rFonts w:ascii="Arial" w:cs="Arial" w:eastAsia="Arial" w:hAnsi="Arial"/>
          <w:sz w:val="16"/>
          <w:szCs w:val="16"/>
          <w:b w:val="1"/>
          <w:bCs w:val="1"/>
          <w:color w:val="auto"/>
        </w:rPr>
        <w:t>.</w:t>
      </w:r>
    </w:p>
    <w:p>
      <w:pPr>
        <w:spacing w:after="0" w:line="241" w:lineRule="exact"/>
        <w:rPr>
          <w:sz w:val="20"/>
          <w:szCs w:val="20"/>
          <w:color w:val="auto"/>
        </w:rPr>
      </w:pPr>
    </w:p>
    <w:p>
      <w:pPr>
        <w:jc w:val="both"/>
        <w:ind w:firstLine="656"/>
        <w:spacing w:after="0" w:line="250" w:lineRule="auto"/>
        <w:tabs>
          <w:tab w:leader="none" w:pos="1026" w:val="left"/>
        </w:tabs>
        <w:numPr>
          <w:ilvl w:val="2"/>
          <w:numId w:val="88"/>
        </w:numPr>
        <w:rPr>
          <w:rFonts w:ascii="Arial" w:cs="Arial" w:eastAsia="Arial" w:hAnsi="Arial"/>
          <w:sz w:val="16"/>
          <w:szCs w:val="16"/>
          <w:color w:val="auto"/>
        </w:rPr>
      </w:pPr>
      <w:r>
        <w:rPr>
          <w:rFonts w:ascii="Arial" w:cs="Arial" w:eastAsia="Arial" w:hAnsi="Arial"/>
          <w:sz w:val="16"/>
          <w:szCs w:val="16"/>
          <w:u w:val="single" w:color="auto"/>
          <w:color w:val="auto"/>
        </w:rPr>
        <w:t>Nature of Award</w:t>
      </w:r>
      <w:r>
        <w:rPr>
          <w:rFonts w:ascii="Arial" w:cs="Arial" w:eastAsia="Arial" w:hAnsi="Arial"/>
          <w:sz w:val="16"/>
          <w:szCs w:val="16"/>
          <w:color w:val="auto"/>
        </w:rPr>
        <w:t>. An Award of Stock Appreciation Rights shall be subject to such terms and conditions as are determined by the Committee, and shall provide a Participant the right to receive upon exercise of the SAR Award all or a portion of the excess of (i) the Fair Market Value as of the date of exercise of the SAR Award of the number of Shares as to which the SAR Award is being exercised, over (ii) the aggregate exercise price for such number of Shares. The per Share exercise price for any SAR Award shall be determined by the Committee and set forth in the applicable Agreement, and shall not be less than the Fair Market Value of a Share on the Grant Date, except in the case of Substitute Awards (to the extent consistent with Code Section 409A).</w:t>
      </w:r>
    </w:p>
    <w:p>
      <w:pPr>
        <w:spacing w:after="0" w:line="203" w:lineRule="exact"/>
        <w:rPr>
          <w:rFonts w:ascii="Arial" w:cs="Arial" w:eastAsia="Arial" w:hAnsi="Arial"/>
          <w:sz w:val="16"/>
          <w:szCs w:val="16"/>
          <w:color w:val="auto"/>
        </w:rPr>
      </w:pPr>
    </w:p>
    <w:p>
      <w:pPr>
        <w:jc w:val="both"/>
        <w:ind w:firstLine="656"/>
        <w:spacing w:after="0" w:line="250" w:lineRule="auto"/>
        <w:tabs>
          <w:tab w:leader="none" w:pos="1121" w:val="left"/>
        </w:tabs>
        <w:numPr>
          <w:ilvl w:val="2"/>
          <w:numId w:val="88"/>
        </w:numPr>
        <w:rPr>
          <w:rFonts w:ascii="Arial" w:cs="Arial" w:eastAsia="Arial" w:hAnsi="Arial"/>
          <w:sz w:val="16"/>
          <w:szCs w:val="16"/>
          <w:color w:val="auto"/>
        </w:rPr>
      </w:pPr>
      <w:r>
        <w:rPr>
          <w:rFonts w:ascii="Arial" w:cs="Arial" w:eastAsia="Arial" w:hAnsi="Arial"/>
          <w:sz w:val="16"/>
          <w:szCs w:val="16"/>
          <w:u w:val="single" w:color="auto"/>
          <w:color w:val="auto"/>
        </w:rPr>
        <w:t>Exercise of SAR</w:t>
      </w:r>
      <w:r>
        <w:rPr>
          <w:rFonts w:ascii="Arial" w:cs="Arial" w:eastAsia="Arial" w:hAnsi="Arial"/>
          <w:sz w:val="16"/>
          <w:szCs w:val="16"/>
          <w:color w:val="auto"/>
        </w:rPr>
        <w:t>. Each SAR Award may be exercisable in whole or in part at the times, on the terms and in the manner provided in the Agreement. No SAR Award shall be exercisable at any time after its scheduled expiration. When a SAR Award is no longer exercisable, it shall be deemed to have terminated. Upon exercise of a SAR Award, payment to the Participant shall be made at such time or times as shall be provided in the Agreement in the form of cash, Shares or a combination of cash and Shares as determined by the Committee. The Agreement may provide for a limitation upon the amount or percentage of the total appreciation on which payment (whether in cash and/or Shares) may be made in the event of the exercise of a SAR Award.</w:t>
      </w:r>
    </w:p>
    <w:p>
      <w:pPr>
        <w:spacing w:after="0" w:line="183" w:lineRule="exact"/>
        <w:rPr>
          <w:rFonts w:ascii="Arial" w:cs="Arial" w:eastAsia="Arial" w:hAnsi="Arial"/>
          <w:sz w:val="16"/>
          <w:szCs w:val="16"/>
          <w:color w:val="auto"/>
        </w:rPr>
      </w:pPr>
    </w:p>
    <w:p>
      <w:pPr>
        <w:ind w:left="320" w:hanging="312"/>
        <w:spacing w:after="0"/>
        <w:tabs>
          <w:tab w:leader="none" w:pos="320" w:val="left"/>
        </w:tabs>
        <w:numPr>
          <w:ilvl w:val="0"/>
          <w:numId w:val="89"/>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Restricted Stock Awards</w:t>
      </w:r>
      <w:r>
        <w:rPr>
          <w:rFonts w:ascii="Arial" w:cs="Arial" w:eastAsia="Arial" w:hAnsi="Arial"/>
          <w:sz w:val="16"/>
          <w:szCs w:val="16"/>
          <w:b w:val="1"/>
          <w:bCs w:val="1"/>
          <w:color w:val="auto"/>
        </w:rPr>
        <w:t>.</w:t>
      </w:r>
    </w:p>
    <w:p>
      <w:pPr>
        <w:spacing w:after="0" w:line="241" w:lineRule="exact"/>
        <w:rPr>
          <w:rFonts w:ascii="Arial" w:cs="Arial" w:eastAsia="Arial" w:hAnsi="Arial"/>
          <w:sz w:val="16"/>
          <w:szCs w:val="16"/>
          <w:b w:val="1"/>
          <w:bCs w:val="1"/>
          <w:color w:val="auto"/>
        </w:rPr>
      </w:pPr>
    </w:p>
    <w:p>
      <w:pPr>
        <w:ind w:firstLine="602"/>
        <w:spacing w:after="0" w:line="260" w:lineRule="auto"/>
        <w:tabs>
          <w:tab w:leader="none" w:pos="986" w:val="left"/>
        </w:tabs>
        <w:numPr>
          <w:ilvl w:val="1"/>
          <w:numId w:val="89"/>
        </w:numPr>
        <w:rPr>
          <w:rFonts w:ascii="Arial" w:cs="Arial" w:eastAsia="Arial" w:hAnsi="Arial"/>
          <w:sz w:val="16"/>
          <w:szCs w:val="16"/>
          <w:color w:val="auto"/>
        </w:rPr>
      </w:pPr>
      <w:r>
        <w:rPr>
          <w:rFonts w:ascii="Arial" w:cs="Arial" w:eastAsia="Arial" w:hAnsi="Arial"/>
          <w:sz w:val="16"/>
          <w:szCs w:val="16"/>
          <w:u w:val="single" w:color="auto"/>
          <w:color w:val="auto"/>
        </w:rPr>
        <w:t>Vesting and Consideration</w:t>
      </w:r>
      <w:r>
        <w:rPr>
          <w:rFonts w:ascii="Arial" w:cs="Arial" w:eastAsia="Arial" w:hAnsi="Arial"/>
          <w:sz w:val="16"/>
          <w:szCs w:val="16"/>
          <w:color w:val="auto"/>
        </w:rPr>
        <w:t>. Shares subject to a Restricted Stock Award shall be subject to vesting and the lapse of applicable restrictions based on such conditions or factors and occurring over such period of time as the Committee may determine</w:t>
      </w: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A-8</w:t>
      </w:r>
    </w:p>
    <w:p>
      <w:pPr>
        <w:sectPr>
          <w:pgSz w:w="11900" w:h="16838" w:orient="portrait"/>
          <w:cols w:equalWidth="0" w:num="1">
            <w:col w:w="11420"/>
          </w:cols>
          <w:pgMar w:left="240" w:top="790" w:right="239" w:bottom="1440" w:gutter="0" w:footer="0" w:header="0"/>
        </w:sectPr>
      </w:pPr>
    </w:p>
    <w:bookmarkStart w:id="59" w:name="page60"/>
    <w:bookmarkEnd w:id="59"/>
    <w:p>
      <w:pPr>
        <w:jc w:val="both"/>
        <w:spacing w:after="0" w:line="253" w:lineRule="auto"/>
        <w:rPr>
          <w:sz w:val="20"/>
          <w:szCs w:val="20"/>
          <w:color w:val="auto"/>
        </w:rPr>
      </w:pPr>
      <w:r>
        <w:rPr>
          <w:rFonts w:ascii="Arial" w:cs="Arial" w:eastAsia="Arial" w:hAnsi="Arial"/>
          <w:sz w:val="16"/>
          <w:szCs w:val="16"/>
          <w:color w:val="auto"/>
        </w:rPr>
        <w:t>in its discretion. The Committee may provide whether any consideration other than Services must be received by the Company or any Affiliate as a condition precedent to the grant of a Restricted Stock Award and may correspondingly provide for Company reacquisition or repurchase rights if such additional consideration has been required and some or all of a Restricted Stock Award does not vest.</w:t>
      </w:r>
    </w:p>
    <w:p>
      <w:pPr>
        <w:spacing w:after="0" w:line="201" w:lineRule="exact"/>
        <w:rPr>
          <w:sz w:val="20"/>
          <w:szCs w:val="20"/>
          <w:color w:val="auto"/>
        </w:rPr>
      </w:pPr>
    </w:p>
    <w:p>
      <w:pPr>
        <w:jc w:val="both"/>
        <w:ind w:firstLine="602"/>
        <w:spacing w:after="0" w:line="248" w:lineRule="auto"/>
        <w:tabs>
          <w:tab w:leader="none" w:pos="1040" w:val="left"/>
        </w:tabs>
        <w:numPr>
          <w:ilvl w:val="1"/>
          <w:numId w:val="90"/>
        </w:numPr>
        <w:rPr>
          <w:rFonts w:ascii="Arial" w:cs="Arial" w:eastAsia="Arial" w:hAnsi="Arial"/>
          <w:sz w:val="16"/>
          <w:szCs w:val="16"/>
          <w:color w:val="auto"/>
        </w:rPr>
      </w:pPr>
      <w:r>
        <w:rPr>
          <w:rFonts w:ascii="Arial" w:cs="Arial" w:eastAsia="Arial" w:hAnsi="Arial"/>
          <w:sz w:val="16"/>
          <w:szCs w:val="16"/>
          <w:u w:val="single" w:color="auto"/>
          <w:color w:val="auto"/>
        </w:rPr>
        <w:t>Shares Subject to Restricted Stock Awards</w:t>
      </w:r>
      <w:r>
        <w:rPr>
          <w:rFonts w:ascii="Arial" w:cs="Arial" w:eastAsia="Arial" w:hAnsi="Arial"/>
          <w:sz w:val="16"/>
          <w:szCs w:val="16"/>
          <w:color w:val="auto"/>
        </w:rPr>
        <w:t>. Unvested Shares subject to a Restricted Stock Award shall be evidenced by a book-entry in the name of the Participant with the Company’s transfer agent or by one or more Stock certificates issued in the name of the Participant. Any such Stock certificate shall be deposited with the Company or its designee, together with an assignment separate from the certificate, in blank, signed by the Participant, and bear an appropriate legend referring to the restricted nature of the Restricted Stock evidenced thereby. Any book-entry shall be subject to comparable restrictions and corresponding stop transfer instructions. Upon the vesting of Shares of Restricted Stock, and the Company’s determination that any necessary conditions precedent to the release of vested Shares (such as satisfaction of tax withholding obligations and compliance with applicable legal requirements) have been satisfied, such vested Shares shall be made available to the Participant in such manner as may be prescribed or permitted by the Committee. Except as otherwise provided in the Plan or an applicable Agreement, a Participant with a Restricted Stock Award shall have all the rights of a shareholder, including the right to vote the Shares of Restricted Stock.</w:t>
      </w:r>
    </w:p>
    <w:p>
      <w:pPr>
        <w:spacing w:after="0" w:line="186" w:lineRule="exact"/>
        <w:rPr>
          <w:rFonts w:ascii="Arial" w:cs="Arial" w:eastAsia="Arial" w:hAnsi="Arial"/>
          <w:sz w:val="16"/>
          <w:szCs w:val="16"/>
          <w:color w:val="auto"/>
        </w:rPr>
      </w:pPr>
    </w:p>
    <w:p>
      <w:pPr>
        <w:ind w:left="420" w:hanging="412"/>
        <w:spacing w:after="0"/>
        <w:tabs>
          <w:tab w:leader="none" w:pos="420" w:val="left"/>
        </w:tabs>
        <w:numPr>
          <w:ilvl w:val="0"/>
          <w:numId w:val="91"/>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Stock Unit Awards</w:t>
      </w:r>
      <w:r>
        <w:rPr>
          <w:rFonts w:ascii="Arial" w:cs="Arial" w:eastAsia="Arial" w:hAnsi="Arial"/>
          <w:sz w:val="16"/>
          <w:szCs w:val="16"/>
          <w:b w:val="1"/>
          <w:bCs w:val="1"/>
          <w:color w:val="auto"/>
        </w:rPr>
        <w:t>.</w:t>
      </w:r>
    </w:p>
    <w:p>
      <w:pPr>
        <w:spacing w:after="0" w:line="241" w:lineRule="exact"/>
        <w:rPr>
          <w:rFonts w:ascii="Arial" w:cs="Arial" w:eastAsia="Arial" w:hAnsi="Arial"/>
          <w:sz w:val="16"/>
          <w:szCs w:val="16"/>
          <w:b w:val="1"/>
          <w:bCs w:val="1"/>
          <w:color w:val="auto"/>
        </w:rPr>
      </w:pPr>
    </w:p>
    <w:p>
      <w:pPr>
        <w:jc w:val="both"/>
        <w:ind w:firstLine="656"/>
        <w:spacing w:after="0" w:line="249" w:lineRule="auto"/>
        <w:tabs>
          <w:tab w:leader="none" w:pos="1053" w:val="left"/>
        </w:tabs>
        <w:numPr>
          <w:ilvl w:val="2"/>
          <w:numId w:val="91"/>
        </w:numPr>
        <w:rPr>
          <w:rFonts w:ascii="Arial" w:cs="Arial" w:eastAsia="Arial" w:hAnsi="Arial"/>
          <w:sz w:val="16"/>
          <w:szCs w:val="16"/>
          <w:color w:val="auto"/>
        </w:rPr>
      </w:pPr>
      <w:r>
        <w:rPr>
          <w:rFonts w:ascii="Arial" w:cs="Arial" w:eastAsia="Arial" w:hAnsi="Arial"/>
          <w:sz w:val="16"/>
          <w:szCs w:val="16"/>
          <w:u w:val="single" w:color="auto"/>
          <w:color w:val="auto"/>
        </w:rPr>
        <w:t>Vesting and Consideration</w:t>
      </w:r>
      <w:r>
        <w:rPr>
          <w:rFonts w:ascii="Arial" w:cs="Arial" w:eastAsia="Arial" w:hAnsi="Arial"/>
          <w:sz w:val="16"/>
          <w:szCs w:val="16"/>
          <w:color w:val="auto"/>
        </w:rPr>
        <w:t>. A Stock Unit Award shall be subject to vesting and the lapse of applicable restrictions based on such conditions or factors and occurring over such period of time as the Committee may determine in its discretion. If vesting of a Stock Unit Award is conditioned on the achievement of specified performance goals, the extent to which they are achieved over the specified performance period shall determine the number of Stock Units that will be earned and eligible to vest, which may be greater or less than the target number of Stock Units stated in the Agreement. The Committee may provide whether any consideration other than Services must be received by the Company or any Affiliate as a condition precedent to the settlement of a Stock Unit Award.</w:t>
      </w:r>
    </w:p>
    <w:p>
      <w:pPr>
        <w:spacing w:after="0" w:line="205" w:lineRule="exact"/>
        <w:rPr>
          <w:rFonts w:ascii="Arial" w:cs="Arial" w:eastAsia="Arial" w:hAnsi="Arial"/>
          <w:sz w:val="16"/>
          <w:szCs w:val="16"/>
          <w:color w:val="auto"/>
        </w:rPr>
      </w:pPr>
    </w:p>
    <w:p>
      <w:pPr>
        <w:jc w:val="both"/>
        <w:ind w:firstLine="656"/>
        <w:spacing w:after="0" w:line="251" w:lineRule="auto"/>
        <w:tabs>
          <w:tab w:leader="none" w:pos="1040" w:val="left"/>
        </w:tabs>
        <w:numPr>
          <w:ilvl w:val="2"/>
          <w:numId w:val="91"/>
        </w:numPr>
        <w:rPr>
          <w:rFonts w:ascii="Arial" w:cs="Arial" w:eastAsia="Arial" w:hAnsi="Arial"/>
          <w:sz w:val="16"/>
          <w:szCs w:val="16"/>
          <w:color w:val="auto"/>
        </w:rPr>
      </w:pPr>
      <w:r>
        <w:rPr>
          <w:rFonts w:ascii="Arial" w:cs="Arial" w:eastAsia="Arial" w:hAnsi="Arial"/>
          <w:sz w:val="16"/>
          <w:szCs w:val="16"/>
          <w:u w:val="single" w:color="auto"/>
          <w:color w:val="auto"/>
        </w:rPr>
        <w:t>Settlement of Award</w:t>
      </w:r>
      <w:r>
        <w:rPr>
          <w:rFonts w:ascii="Arial" w:cs="Arial" w:eastAsia="Arial" w:hAnsi="Arial"/>
          <w:sz w:val="16"/>
          <w:szCs w:val="16"/>
          <w:color w:val="auto"/>
        </w:rPr>
        <w:t>. Following the vesting of a Stock Unit Award, and the Company’s determination that any necessary conditions precedent to the settlement of the Award (such as satisfaction of tax withholding obligations and compliance with applicable legal requirements) have been satisfied, settlement of the Award and payment to the Participant shall be made at such time or times in the form of cash, Shares (which may themselves be considered Restricted Stock under the Plan) or a combination of cash and Shares as determined by the Committee.</w:t>
      </w:r>
    </w:p>
    <w:p>
      <w:pPr>
        <w:spacing w:after="0" w:line="182" w:lineRule="exact"/>
        <w:rPr>
          <w:rFonts w:ascii="Arial" w:cs="Arial" w:eastAsia="Arial" w:hAnsi="Arial"/>
          <w:sz w:val="16"/>
          <w:szCs w:val="16"/>
          <w:color w:val="auto"/>
        </w:rPr>
      </w:pPr>
    </w:p>
    <w:p>
      <w:pPr>
        <w:jc w:val="both"/>
        <w:ind w:firstLine="8"/>
        <w:spacing w:after="0" w:line="259" w:lineRule="auto"/>
        <w:tabs>
          <w:tab w:leader="none" w:pos="446" w:val="left"/>
        </w:tabs>
        <w:numPr>
          <w:ilvl w:val="0"/>
          <w:numId w:val="91"/>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Other Stock-Based Awards</w:t>
      </w:r>
      <w:r>
        <w:rPr>
          <w:rFonts w:ascii="Arial" w:cs="Arial" w:eastAsia="Arial" w:hAnsi="Arial"/>
          <w:sz w:val="16"/>
          <w:szCs w:val="16"/>
          <w:b w:val="1"/>
          <w:bCs w:val="1"/>
          <w:color w:val="auto"/>
        </w:rPr>
        <w:t xml:space="preserve">. </w:t>
      </w:r>
      <w:r>
        <w:rPr>
          <w:rFonts w:ascii="Arial" w:cs="Arial" w:eastAsia="Arial" w:hAnsi="Arial"/>
          <w:sz w:val="16"/>
          <w:szCs w:val="16"/>
          <w:color w:val="auto"/>
        </w:rPr>
        <w:t>The Committee may from time to time grant Shares and other Awards that are valued by reference to and/or payable in</w:t>
      </w:r>
      <w:r>
        <w:rPr>
          <w:rFonts w:ascii="Arial" w:cs="Arial" w:eastAsia="Arial" w:hAnsi="Arial"/>
          <w:sz w:val="16"/>
          <w:szCs w:val="16"/>
          <w:b w:val="1"/>
          <w:bCs w:val="1"/>
          <w:color w:val="auto"/>
        </w:rPr>
        <w:t xml:space="preserve"> </w:t>
      </w:r>
      <w:r>
        <w:rPr>
          <w:rFonts w:ascii="Arial" w:cs="Arial" w:eastAsia="Arial" w:hAnsi="Arial"/>
          <w:sz w:val="16"/>
          <w:szCs w:val="16"/>
          <w:color w:val="auto"/>
        </w:rPr>
        <w:t>whole or in part in Shares under the Plan. The Committee shall determine the terms and conditions of such Awards, which shall be consistent with the terms and purposes of the Plan. The Committee may direct the Company to issue Shares subject to restrictive legends and/or stop transfer instructions that are consistent with the terms and conditions of the Award to which the Shares relate.</w:t>
      </w:r>
    </w:p>
    <w:p>
      <w:pPr>
        <w:spacing w:after="0" w:line="151" w:lineRule="exact"/>
        <w:rPr>
          <w:rFonts w:ascii="Arial" w:cs="Arial" w:eastAsia="Arial" w:hAnsi="Arial"/>
          <w:sz w:val="16"/>
          <w:szCs w:val="16"/>
          <w:b w:val="1"/>
          <w:bCs w:val="1"/>
          <w:color w:val="auto"/>
        </w:rPr>
      </w:pPr>
    </w:p>
    <w:p>
      <w:pPr>
        <w:ind w:left="420" w:hanging="412"/>
        <w:spacing w:after="0"/>
        <w:tabs>
          <w:tab w:leader="none" w:pos="420" w:val="left"/>
        </w:tabs>
        <w:numPr>
          <w:ilvl w:val="0"/>
          <w:numId w:val="91"/>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Changes in Capitalization, Corporate Transactions, Change in Control</w:t>
      </w:r>
      <w:r>
        <w:rPr>
          <w:rFonts w:ascii="Arial" w:cs="Arial" w:eastAsia="Arial" w:hAnsi="Arial"/>
          <w:sz w:val="16"/>
          <w:szCs w:val="16"/>
          <w:b w:val="1"/>
          <w:bCs w:val="1"/>
          <w:color w:val="auto"/>
        </w:rPr>
        <w:t>.</w:t>
      </w:r>
    </w:p>
    <w:p>
      <w:pPr>
        <w:spacing w:after="0" w:line="214" w:lineRule="exact"/>
        <w:rPr>
          <w:rFonts w:ascii="Arial" w:cs="Arial" w:eastAsia="Arial" w:hAnsi="Arial"/>
          <w:sz w:val="16"/>
          <w:szCs w:val="16"/>
          <w:b w:val="1"/>
          <w:bCs w:val="1"/>
          <w:color w:val="auto"/>
        </w:rPr>
      </w:pPr>
    </w:p>
    <w:p>
      <w:pPr>
        <w:jc w:val="both"/>
        <w:ind w:firstLine="656"/>
        <w:spacing w:after="0" w:line="248" w:lineRule="auto"/>
        <w:tabs>
          <w:tab w:leader="none" w:pos="1040" w:val="left"/>
        </w:tabs>
        <w:numPr>
          <w:ilvl w:val="2"/>
          <w:numId w:val="91"/>
        </w:numPr>
        <w:rPr>
          <w:rFonts w:ascii="Arial" w:cs="Arial" w:eastAsia="Arial" w:hAnsi="Arial"/>
          <w:sz w:val="16"/>
          <w:szCs w:val="16"/>
          <w:color w:val="auto"/>
        </w:rPr>
      </w:pPr>
      <w:r>
        <w:rPr>
          <w:rFonts w:ascii="Arial" w:cs="Arial" w:eastAsia="Arial" w:hAnsi="Arial"/>
          <w:sz w:val="16"/>
          <w:szCs w:val="16"/>
          <w:u w:val="single" w:color="auto"/>
          <w:color w:val="auto"/>
        </w:rPr>
        <w:t>Adjustments for Changes in Capitalization</w:t>
      </w:r>
      <w:r>
        <w:rPr>
          <w:rFonts w:ascii="Arial" w:cs="Arial" w:eastAsia="Arial" w:hAnsi="Arial"/>
          <w:sz w:val="16"/>
          <w:szCs w:val="16"/>
          <w:color w:val="auto"/>
        </w:rPr>
        <w:t>. In the event of any equity restructuring (within the meaning of FASB ASC Topic 718) that causes the per share value of Shares to change, such as a stock dividend, stock split, spinoff, rights offering or recapitalization through an extraordinary dividend, the Committee shall make such adjustments as it deems equitable and appropriate to (i) the aggregate number and kind of Shares or other securities issued or reserved for issuance under the Plan, (ii) the number and kind of Shares or other securities subject to outstanding Awards, (iii) the exercise price of outstanding Options and SARs, and (iv) any maximum limitations prescribed by the Plan with respect to certain types of Awards or the grants to individuals of certain types of Awards. In the event of any other change in corporate capitalization, including a merger, consolidation, reorganization, or partial or complete liquidation of the Company, such equitable adjustments described in the foregoing sentence may be made as determined to be appropriate and equitable by the Committee to prevent dilution or enlargement of rights of Participants. In either case, any such adjustment shall be conclusive and binding for all purposes of the Plan. No adjustment shall be made pursuant to this Section 12(a) in connection with the conversion of any convertible securities of the Company, or in a manner that would cause Incentive Stock Options to violate Section 422(b) of the Code or cause an Award to be subject to adverse tax consequences under Section 409A of the Code.</w:t>
      </w:r>
    </w:p>
    <w:p>
      <w:pPr>
        <w:spacing w:after="0" w:line="177" w:lineRule="exact"/>
        <w:rPr>
          <w:rFonts w:ascii="Arial" w:cs="Arial" w:eastAsia="Arial" w:hAnsi="Arial"/>
          <w:sz w:val="16"/>
          <w:szCs w:val="16"/>
          <w:color w:val="auto"/>
        </w:rPr>
      </w:pPr>
    </w:p>
    <w:p>
      <w:pPr>
        <w:jc w:val="both"/>
        <w:ind w:firstLine="656"/>
        <w:spacing w:after="0" w:line="253" w:lineRule="auto"/>
        <w:tabs>
          <w:tab w:leader="none" w:pos="1094" w:val="left"/>
        </w:tabs>
        <w:numPr>
          <w:ilvl w:val="2"/>
          <w:numId w:val="91"/>
        </w:numPr>
        <w:rPr>
          <w:rFonts w:ascii="Arial" w:cs="Arial" w:eastAsia="Arial" w:hAnsi="Arial"/>
          <w:sz w:val="16"/>
          <w:szCs w:val="16"/>
          <w:color w:val="auto"/>
        </w:rPr>
      </w:pPr>
      <w:r>
        <w:rPr>
          <w:rFonts w:ascii="Arial" w:cs="Arial" w:eastAsia="Arial" w:hAnsi="Arial"/>
          <w:sz w:val="16"/>
          <w:szCs w:val="16"/>
          <w:u w:val="single" w:color="auto"/>
          <w:color w:val="auto"/>
        </w:rPr>
        <w:t>Corporate Transactions; Change in Control</w:t>
      </w:r>
      <w:r>
        <w:rPr>
          <w:rFonts w:ascii="Arial" w:cs="Arial" w:eastAsia="Arial" w:hAnsi="Arial"/>
          <w:sz w:val="16"/>
          <w:szCs w:val="16"/>
          <w:color w:val="auto"/>
        </w:rPr>
        <w:t>. Unless otherwise provided in an applicable Agreement or another written agreement between a Participant and the Company, the following provisions shall apply to outstanding Awards in the event of a Change in Control that involves a Corporate Transaction.</w:t>
      </w:r>
    </w:p>
    <w:p>
      <w:pPr>
        <w:spacing w:after="0" w:line="158" w:lineRule="exact"/>
        <w:rPr>
          <w:rFonts w:ascii="Arial" w:cs="Arial" w:eastAsia="Arial" w:hAnsi="Arial"/>
          <w:sz w:val="16"/>
          <w:szCs w:val="16"/>
          <w:color w:val="auto"/>
        </w:rPr>
      </w:pPr>
    </w:p>
    <w:p>
      <w:pPr>
        <w:jc w:val="both"/>
        <w:ind w:firstLine="1305"/>
        <w:spacing w:after="0" w:line="253" w:lineRule="auto"/>
        <w:tabs>
          <w:tab w:leader="none" w:pos="1675" w:val="left"/>
        </w:tabs>
        <w:numPr>
          <w:ilvl w:val="3"/>
          <w:numId w:val="91"/>
        </w:numPr>
        <w:rPr>
          <w:rFonts w:ascii="Arial" w:cs="Arial" w:eastAsia="Arial" w:hAnsi="Arial"/>
          <w:sz w:val="16"/>
          <w:szCs w:val="16"/>
          <w:color w:val="auto"/>
        </w:rPr>
      </w:pPr>
      <w:r>
        <w:rPr>
          <w:rFonts w:ascii="Arial" w:cs="Arial" w:eastAsia="Arial" w:hAnsi="Arial"/>
          <w:sz w:val="16"/>
          <w:szCs w:val="16"/>
          <w:i w:val="1"/>
          <w:iCs w:val="1"/>
          <w:u w:val="single" w:color="auto"/>
          <w:color w:val="auto"/>
        </w:rPr>
        <w:t>Continuation, Assumption or Replacement of Awards</w:t>
      </w:r>
      <w:r>
        <w:rPr>
          <w:rFonts w:ascii="Arial" w:cs="Arial" w:eastAsia="Arial" w:hAnsi="Arial"/>
          <w:sz w:val="16"/>
          <w:szCs w:val="16"/>
          <w:color w:val="auto"/>
        </w:rPr>
        <w:t>. In the event of a Corporate Transaction, then the surviving or successor entity (or</w:t>
      </w:r>
      <w:r>
        <w:rPr>
          <w:rFonts w:ascii="Arial" w:cs="Arial" w:eastAsia="Arial" w:hAnsi="Arial"/>
          <w:sz w:val="16"/>
          <w:szCs w:val="16"/>
          <w:i w:val="1"/>
          <w:iCs w:val="1"/>
          <w:color w:val="auto"/>
        </w:rPr>
        <w:t xml:space="preserve"> </w:t>
      </w:r>
      <w:r>
        <w:rPr>
          <w:rFonts w:ascii="Arial" w:cs="Arial" w:eastAsia="Arial" w:hAnsi="Arial"/>
          <w:sz w:val="16"/>
          <w:szCs w:val="16"/>
          <w:color w:val="auto"/>
        </w:rPr>
        <w:t>its Parent) may continue, assume or replace Awards outstanding as of the date of the Corporate Transaction (with such adjustments as may be required or permitted by Section 12(a)), and such Awards or replacements therefor shall remain outstanding and be governed by their respective terms, subject to Section 12(b)(4) below. A surviving or successor entity may elect to continue, assume or replace only some Awards or portions of Awards. For purposes of this Section 12(b)(1), an Award shall be considered assumed or replaced if, in connection with the Corporate Transaction and in a manner consistent with Code Section 409A (and Code Section 424 if the Award is an ISO), either (i) the contractual obligations represented by the Award are</w:t>
      </w: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A-9</w:t>
      </w:r>
    </w:p>
    <w:p>
      <w:pPr>
        <w:sectPr>
          <w:pgSz w:w="11900" w:h="16838" w:orient="portrait"/>
          <w:cols w:equalWidth="0" w:num="1">
            <w:col w:w="11420"/>
          </w:cols>
          <w:pgMar w:left="240" w:top="790" w:right="239" w:bottom="1440" w:gutter="0" w:footer="0" w:header="0"/>
        </w:sectPr>
      </w:pPr>
    </w:p>
    <w:bookmarkStart w:id="60" w:name="page61"/>
    <w:bookmarkEnd w:id="60"/>
    <w:p>
      <w:pPr>
        <w:jc w:val="both"/>
        <w:spacing w:after="0" w:line="246" w:lineRule="auto"/>
        <w:rPr>
          <w:sz w:val="20"/>
          <w:szCs w:val="20"/>
          <w:color w:val="auto"/>
        </w:rPr>
      </w:pPr>
      <w:r>
        <w:rPr>
          <w:rFonts w:ascii="Arial" w:cs="Arial" w:eastAsia="Arial" w:hAnsi="Arial"/>
          <w:sz w:val="16"/>
          <w:szCs w:val="16"/>
          <w:color w:val="auto"/>
        </w:rPr>
        <w:t>expressly assumed by the surviving or successor entity (or its Parent) with appropriate adjustments to the number and type of securities subject to the Award and the exercise price thereof that preserves the intrinsic value of the Award existing at the time of the Corporate Transaction, or (ii) the Participant has received a comparable equity-based award that preserves the intrinsic value of the Award existing at the time of the Corporate Transaction and contains terms and conditions that are substantially similar to those of the Award. To the extent vesting of any Award continued, assumed or replaced under this Section 12(b)</w:t>
      </w:r>
    </w:p>
    <w:p>
      <w:pPr>
        <w:spacing w:after="0" w:line="2" w:lineRule="exact"/>
        <w:rPr>
          <w:sz w:val="20"/>
          <w:szCs w:val="20"/>
          <w:color w:val="auto"/>
        </w:rPr>
      </w:pPr>
    </w:p>
    <w:p>
      <w:pPr>
        <w:jc w:val="both"/>
        <w:ind w:firstLine="8"/>
        <w:spacing w:after="0" w:line="253" w:lineRule="auto"/>
        <w:tabs>
          <w:tab w:leader="none" w:pos="257" w:val="left"/>
        </w:tabs>
        <w:numPr>
          <w:ilvl w:val="0"/>
          <w:numId w:val="92"/>
        </w:numPr>
        <w:rPr>
          <w:rFonts w:ascii="Arial" w:cs="Arial" w:eastAsia="Arial" w:hAnsi="Arial"/>
          <w:sz w:val="16"/>
          <w:szCs w:val="16"/>
          <w:color w:val="auto"/>
        </w:rPr>
      </w:pPr>
      <w:r>
        <w:rPr>
          <w:rFonts w:ascii="Arial" w:cs="Arial" w:eastAsia="Arial" w:hAnsi="Arial"/>
          <w:sz w:val="16"/>
          <w:szCs w:val="16"/>
          <w:color w:val="auto"/>
        </w:rPr>
        <w:t>is subject to satisfaction of specified performance goals, those goals shall be deemed to be achieved as of the date of the Corporate Transaction at the target level of performance, or, in the discretion of the Committee, at the actual level of performance (if determinable), and such Awards shall continue to be subject to any continuing service requirements.</w:t>
      </w:r>
    </w:p>
    <w:p>
      <w:pPr>
        <w:spacing w:after="0" w:line="158" w:lineRule="exact"/>
        <w:rPr>
          <w:rFonts w:ascii="Arial" w:cs="Arial" w:eastAsia="Arial" w:hAnsi="Arial"/>
          <w:sz w:val="16"/>
          <w:szCs w:val="16"/>
          <w:color w:val="auto"/>
        </w:rPr>
      </w:pPr>
    </w:p>
    <w:p>
      <w:pPr>
        <w:jc w:val="both"/>
        <w:ind w:firstLine="1305"/>
        <w:spacing w:after="0" w:line="250" w:lineRule="auto"/>
        <w:tabs>
          <w:tab w:leader="none" w:pos="1688" w:val="left"/>
        </w:tabs>
        <w:numPr>
          <w:ilvl w:val="1"/>
          <w:numId w:val="92"/>
        </w:numPr>
        <w:rPr>
          <w:rFonts w:ascii="Arial" w:cs="Arial" w:eastAsia="Arial" w:hAnsi="Arial"/>
          <w:sz w:val="16"/>
          <w:szCs w:val="16"/>
          <w:color w:val="auto"/>
        </w:rPr>
      </w:pPr>
      <w:r>
        <w:rPr>
          <w:rFonts w:ascii="Arial" w:cs="Arial" w:eastAsia="Arial" w:hAnsi="Arial"/>
          <w:sz w:val="16"/>
          <w:szCs w:val="16"/>
          <w:i w:val="1"/>
          <w:iCs w:val="1"/>
          <w:u w:val="single" w:color="auto"/>
          <w:color w:val="auto"/>
        </w:rPr>
        <w:t>Acceleration</w:t>
      </w:r>
      <w:r>
        <w:rPr>
          <w:rFonts w:ascii="Arial" w:cs="Arial" w:eastAsia="Arial" w:hAnsi="Arial"/>
          <w:sz w:val="16"/>
          <w:szCs w:val="16"/>
          <w:color w:val="auto"/>
        </w:rPr>
        <w:t>. If and to the extent that outstanding Awards under the Plan are not continued, assumed or replaced in connection with a</w:t>
      </w:r>
      <w:r>
        <w:rPr>
          <w:rFonts w:ascii="Arial" w:cs="Arial" w:eastAsia="Arial" w:hAnsi="Arial"/>
          <w:sz w:val="16"/>
          <w:szCs w:val="16"/>
          <w:i w:val="1"/>
          <w:iCs w:val="1"/>
          <w:color w:val="auto"/>
        </w:rPr>
        <w:t xml:space="preserve"> </w:t>
      </w:r>
      <w:r>
        <w:rPr>
          <w:rFonts w:ascii="Arial" w:cs="Arial" w:eastAsia="Arial" w:hAnsi="Arial"/>
          <w:sz w:val="16"/>
          <w:szCs w:val="16"/>
          <w:color w:val="auto"/>
        </w:rPr>
        <w:t>Corporate Transaction, then (i) all outstanding Option and SAR Awards shall become fully vested and exercisable for such period of time prior to the effective time of the Corporate Transaction as is deemed fair and equitable by the Committee, and shall terminate at the effective time of the Corporate Transaction, (ii) all outstanding Full Value Awards shall fully vest immediately prior to the effective time of the Corporate Transaction, and (iii) to the extent vesting of any Award is subject to satisfaction of specified performance goals, such Award shall be deemed “fully vested” for purposes of this Section 12(b)(2) at the greater of target level of performance or actual level of performance (if determinable) and the vested portion of the Award at that level of performance is proportionate to the portion of the performance period that has elapsed as of the effective time of the Corporate Transaction. The Committee shall provide written notice of the period of accelerated exercisability of Option and SAR Awards to all affected Participants. The exercise of any Option or SAR Award whose exercisability is accelerated as provided in this Section 12(b)(2) shall be conditioned upon the consummation of the Corporate Transaction and shall be effective only immediately before such consummation.</w:t>
      </w:r>
    </w:p>
    <w:p>
      <w:pPr>
        <w:spacing w:after="0" w:line="163" w:lineRule="exact"/>
        <w:rPr>
          <w:rFonts w:ascii="Arial" w:cs="Arial" w:eastAsia="Arial" w:hAnsi="Arial"/>
          <w:sz w:val="16"/>
          <w:szCs w:val="16"/>
          <w:color w:val="auto"/>
        </w:rPr>
      </w:pPr>
    </w:p>
    <w:p>
      <w:pPr>
        <w:jc w:val="both"/>
        <w:ind w:firstLine="1305"/>
        <w:spacing w:after="0" w:line="249" w:lineRule="auto"/>
        <w:tabs>
          <w:tab w:leader="none" w:pos="1675" w:val="left"/>
        </w:tabs>
        <w:numPr>
          <w:ilvl w:val="1"/>
          <w:numId w:val="92"/>
        </w:numPr>
        <w:rPr>
          <w:rFonts w:ascii="Arial" w:cs="Arial" w:eastAsia="Arial" w:hAnsi="Arial"/>
          <w:sz w:val="16"/>
          <w:szCs w:val="16"/>
          <w:color w:val="auto"/>
        </w:rPr>
      </w:pPr>
      <w:r>
        <w:rPr>
          <w:rFonts w:ascii="Arial" w:cs="Arial" w:eastAsia="Arial" w:hAnsi="Arial"/>
          <w:sz w:val="16"/>
          <w:szCs w:val="16"/>
          <w:i w:val="1"/>
          <w:iCs w:val="1"/>
          <w:u w:val="single" w:color="auto"/>
          <w:color w:val="auto"/>
        </w:rPr>
        <w:t>Payment for Awards</w:t>
      </w:r>
      <w:r>
        <w:rPr>
          <w:rFonts w:ascii="Arial" w:cs="Arial" w:eastAsia="Arial" w:hAnsi="Arial"/>
          <w:sz w:val="16"/>
          <w:szCs w:val="16"/>
          <w:color w:val="auto"/>
        </w:rPr>
        <w:t>. If and to the extent that outstanding Awards under the Plan are not continued, assumed or replaced in connection</w:t>
      </w:r>
      <w:r>
        <w:rPr>
          <w:rFonts w:ascii="Arial" w:cs="Arial" w:eastAsia="Arial" w:hAnsi="Arial"/>
          <w:sz w:val="16"/>
          <w:szCs w:val="16"/>
          <w:i w:val="1"/>
          <w:iCs w:val="1"/>
          <w:color w:val="auto"/>
        </w:rPr>
        <w:t xml:space="preserve"> </w:t>
      </w:r>
      <w:r>
        <w:rPr>
          <w:rFonts w:ascii="Arial" w:cs="Arial" w:eastAsia="Arial" w:hAnsi="Arial"/>
          <w:sz w:val="16"/>
          <w:szCs w:val="16"/>
          <w:color w:val="auto"/>
        </w:rPr>
        <w:t>with a Corporate Transaction, then the Committee may provide that some or all of such outstanding Awards shall be canceled at or immediately prior to the effective time of the Corporate Transaction in exchange for payments to the holders as provided in this Section 12(b)(3). The Committee will not be required to treat all Awards similarly for purposes of this Section 12(b)(3). The payment for any Award canceled shall be in an amount equal to the difference, if any, between (i) the fair market value (as determined in good faith by the Committee) of the consideration that would otherwise be received in the Corporate Transaction for the number of Shares subject to the Award, and (ii) the aggregate exercise price (if any) for the Shares subject to such Award. If the amount determined pursuant to the preceding sentence is not a positive number with respect to any Award, such Award may be canceled pursuant to this Section 12(b)(3) without payment of any kind to the affected Participant. With respect to an Award whose vesting is subject to the satisfaction of specified performance goals, the number of Shares subject to such an Award for purposes of this Section 12(b)(3) shall be the number of Shares as to which the Award would have been deemed “fully vested” for purposes of Section 12(b)(2). Payment of any amount under this Section 12(b)(3) shall be made in such form, on such terms and subject to such conditions as the Committee determines in its discretion, which may or may not be the same as the form, terms and conditions applicable to payments to the Company’s stockholders in connection with the Corporate Transaction, and may, in the Committee’s discretion, include subjecting such payments to vesting conditions comparable to those of the Award canceled, subjecting such payments to escrow or holdback terms comparable to those imposed upon the Company’s stockholders under the Corporate Transaction, or calculating and paying the present value of payments that would otherwise be subject to escrow or holdback terms.</w:t>
      </w:r>
    </w:p>
    <w:p>
      <w:pPr>
        <w:spacing w:after="0" w:line="161" w:lineRule="exact"/>
        <w:rPr>
          <w:rFonts w:ascii="Arial" w:cs="Arial" w:eastAsia="Arial" w:hAnsi="Arial"/>
          <w:sz w:val="16"/>
          <w:szCs w:val="16"/>
          <w:color w:val="auto"/>
        </w:rPr>
      </w:pPr>
    </w:p>
    <w:p>
      <w:pPr>
        <w:jc w:val="both"/>
        <w:ind w:firstLine="1305"/>
        <w:spacing w:after="0" w:line="253" w:lineRule="auto"/>
        <w:tabs>
          <w:tab w:leader="none" w:pos="1850" w:val="left"/>
        </w:tabs>
        <w:numPr>
          <w:ilvl w:val="1"/>
          <w:numId w:val="92"/>
        </w:numPr>
        <w:rPr>
          <w:rFonts w:ascii="Arial" w:cs="Arial" w:eastAsia="Arial" w:hAnsi="Arial"/>
          <w:sz w:val="16"/>
          <w:szCs w:val="16"/>
          <w:color w:val="auto"/>
        </w:rPr>
      </w:pPr>
      <w:r>
        <w:rPr>
          <w:rFonts w:ascii="Arial" w:cs="Arial" w:eastAsia="Arial" w:hAnsi="Arial"/>
          <w:sz w:val="16"/>
          <w:szCs w:val="16"/>
          <w:i w:val="1"/>
          <w:iCs w:val="1"/>
          <w:u w:val="single" w:color="auto"/>
          <w:color w:val="auto"/>
        </w:rPr>
        <w:t>Termination After a Corporate Transaction</w:t>
      </w:r>
      <w:r>
        <w:rPr>
          <w:rFonts w:ascii="Arial" w:cs="Arial" w:eastAsia="Arial" w:hAnsi="Arial"/>
          <w:sz w:val="16"/>
          <w:szCs w:val="16"/>
          <w:color w:val="auto"/>
        </w:rPr>
        <w:t>. If and to the extent that Awards are continued, assumed or replaced under the</w:t>
      </w:r>
      <w:r>
        <w:rPr>
          <w:rFonts w:ascii="Arial" w:cs="Arial" w:eastAsia="Arial" w:hAnsi="Arial"/>
          <w:sz w:val="16"/>
          <w:szCs w:val="16"/>
          <w:i w:val="1"/>
          <w:iCs w:val="1"/>
          <w:color w:val="auto"/>
        </w:rPr>
        <w:t xml:space="preserve"> </w:t>
      </w:r>
      <w:r>
        <w:rPr>
          <w:rFonts w:ascii="Arial" w:cs="Arial" w:eastAsia="Arial" w:hAnsi="Arial"/>
          <w:sz w:val="16"/>
          <w:szCs w:val="16"/>
          <w:color w:val="auto"/>
        </w:rPr>
        <w:t>circumstances described in Section 12(b)(1), and if within twenty-four (24) months after the Corporate Transaction a Participant experiences an involuntary termination of Service for reasons other than Cause, or, if so provided in the discretion of the Committee in an Agreement, terminates his or her Service for</w:t>
      </w:r>
    </w:p>
    <w:p>
      <w:pPr>
        <w:spacing w:after="0" w:line="1" w:lineRule="exact"/>
        <w:rPr>
          <w:sz w:val="20"/>
          <w:szCs w:val="20"/>
          <w:color w:val="auto"/>
        </w:rPr>
      </w:pPr>
    </w:p>
    <w:p>
      <w:pPr>
        <w:spacing w:after="0"/>
        <w:rPr>
          <w:sz w:val="20"/>
          <w:szCs w:val="20"/>
          <w:color w:val="auto"/>
        </w:rPr>
      </w:pPr>
      <w:r>
        <w:rPr>
          <w:rFonts w:ascii="Arial" w:cs="Arial" w:eastAsia="Arial" w:hAnsi="Arial"/>
          <w:sz w:val="16"/>
          <w:szCs w:val="16"/>
          <w:color w:val="auto"/>
        </w:rPr>
        <w:t>Good Reason (as defined in the applicable Agreement or other then-effective written agreement between the Participant and the Company), then</w:t>
      </w:r>
    </w:p>
    <w:p>
      <w:pPr>
        <w:spacing w:after="0" w:line="5" w:lineRule="exact"/>
        <w:rPr>
          <w:sz w:val="20"/>
          <w:szCs w:val="20"/>
          <w:color w:val="auto"/>
        </w:rPr>
      </w:pPr>
    </w:p>
    <w:p>
      <w:pPr>
        <w:jc w:val="both"/>
        <w:ind w:firstLine="8"/>
        <w:spacing w:after="0" w:line="253" w:lineRule="auto"/>
        <w:tabs>
          <w:tab w:leader="none" w:pos="191" w:val="left"/>
        </w:tabs>
        <w:numPr>
          <w:ilvl w:val="0"/>
          <w:numId w:val="93"/>
        </w:numPr>
        <w:rPr>
          <w:rFonts w:ascii="Arial" w:cs="Arial" w:eastAsia="Arial" w:hAnsi="Arial"/>
          <w:sz w:val="16"/>
          <w:szCs w:val="16"/>
          <w:color w:val="auto"/>
        </w:rPr>
      </w:pPr>
      <w:r>
        <w:rPr>
          <w:rFonts w:ascii="Arial" w:cs="Arial" w:eastAsia="Arial" w:hAnsi="Arial"/>
          <w:sz w:val="16"/>
          <w:szCs w:val="16"/>
          <w:color w:val="auto"/>
        </w:rPr>
        <w:t>outstanding Option and SAR Awards issued to the Participant that are not yet fully exercisable shall immediately become exercisable in full and shall remain exercisable for one year following the Participant’s termination of employment, and (ii) any Full Value Awards that are not yet fully vested shall immediately vest in full.</w:t>
      </w:r>
    </w:p>
    <w:p>
      <w:pPr>
        <w:spacing w:after="0" w:line="174" w:lineRule="exact"/>
        <w:rPr>
          <w:rFonts w:ascii="Arial" w:cs="Arial" w:eastAsia="Arial" w:hAnsi="Arial"/>
          <w:sz w:val="16"/>
          <w:szCs w:val="16"/>
          <w:color w:val="auto"/>
        </w:rPr>
      </w:pPr>
    </w:p>
    <w:p>
      <w:pPr>
        <w:jc w:val="both"/>
        <w:ind w:firstLine="656"/>
        <w:spacing w:after="0" w:line="248" w:lineRule="auto"/>
        <w:tabs>
          <w:tab w:leader="none" w:pos="1058" w:val="left"/>
        </w:tabs>
        <w:numPr>
          <w:ilvl w:val="1"/>
          <w:numId w:val="93"/>
        </w:numPr>
        <w:rPr>
          <w:rFonts w:ascii="Arial" w:cs="Arial" w:eastAsia="Arial" w:hAnsi="Arial"/>
          <w:sz w:val="16"/>
          <w:szCs w:val="16"/>
          <w:color w:val="auto"/>
        </w:rPr>
      </w:pPr>
      <w:r>
        <w:rPr>
          <w:rFonts w:ascii="Arial" w:cs="Arial" w:eastAsia="Arial" w:hAnsi="Arial"/>
          <w:sz w:val="16"/>
          <w:szCs w:val="16"/>
          <w:u w:val="single" w:color="auto"/>
          <w:color w:val="auto"/>
        </w:rPr>
        <w:t>Other Change in Control</w:t>
      </w:r>
      <w:r>
        <w:rPr>
          <w:rFonts w:ascii="Arial" w:cs="Arial" w:eastAsia="Arial" w:hAnsi="Arial"/>
          <w:sz w:val="16"/>
          <w:szCs w:val="16"/>
          <w:color w:val="auto"/>
        </w:rPr>
        <w:t>. In the event of a Change in Control that does not involve a Corporate Transaction, if within twenty-four (24) months after the Change in Control a Participant experiences an involuntary termination of Service for reasons other than Cause, or, if so provided in the discretion of the Committee in an Agreement, terminates his or her Service for Good Reason (as defined in the applicable Agreement or other then-effective written agreement between the Participant and the Company), then (i) outstanding Option and SAR Awards issued to the Participant that are not yet fully exercisable shall immediately become fully vested and exercisable and shall remain exercisable for one year following the Participant’s termination of employment, (ii) any Full Value Awards that are not yet fully vested shall immediately vest in full, and (iii) to the extent vesting of any Award is subject to satisfaction of specified performance goals, such Award shall be deemed “fully vested” for purposes of this Section 12(c) at the greater of target level of performance or actual level of performance (if determinable) and the vested portion of the Award at that level of performance is proportionate to the portion of the performance period that has occurred up to the date of such Participant’s termination of Service.</w:t>
      </w:r>
    </w:p>
    <w:p>
      <w:pPr>
        <w:spacing w:after="0" w:line="179" w:lineRule="exact"/>
        <w:rPr>
          <w:rFonts w:ascii="Arial" w:cs="Arial" w:eastAsia="Arial" w:hAnsi="Arial"/>
          <w:sz w:val="16"/>
          <w:szCs w:val="16"/>
          <w:color w:val="auto"/>
        </w:rPr>
      </w:pPr>
    </w:p>
    <w:p>
      <w:pPr>
        <w:jc w:val="both"/>
        <w:ind w:firstLine="656"/>
        <w:spacing w:after="0" w:line="253" w:lineRule="auto"/>
        <w:tabs>
          <w:tab w:leader="none" w:pos="1080" w:val="left"/>
        </w:tabs>
        <w:numPr>
          <w:ilvl w:val="1"/>
          <w:numId w:val="93"/>
        </w:numPr>
        <w:rPr>
          <w:rFonts w:ascii="Arial" w:cs="Arial" w:eastAsia="Arial" w:hAnsi="Arial"/>
          <w:sz w:val="16"/>
          <w:szCs w:val="16"/>
          <w:color w:val="auto"/>
        </w:rPr>
      </w:pPr>
      <w:r>
        <w:rPr>
          <w:rFonts w:ascii="Arial" w:cs="Arial" w:eastAsia="Arial" w:hAnsi="Arial"/>
          <w:sz w:val="16"/>
          <w:szCs w:val="16"/>
          <w:u w:val="single" w:color="auto"/>
          <w:color w:val="auto"/>
        </w:rPr>
        <w:t>Dissolution or Liquidation</w:t>
      </w:r>
      <w:r>
        <w:rPr>
          <w:rFonts w:ascii="Arial" w:cs="Arial" w:eastAsia="Arial" w:hAnsi="Arial"/>
          <w:sz w:val="16"/>
          <w:szCs w:val="16"/>
          <w:color w:val="auto"/>
        </w:rPr>
        <w:t>. Unless otherwise provided in an applicable Agreement, in the event of a proposed dissolution or liquidation of the Company, the Committee will notify each Participant as soon as practicable prior to the effective date of such proposed transaction. An Award will terminate immediately prior to the consummation of such proposed action.</w:t>
      </w:r>
    </w:p>
    <w:p>
      <w:pPr>
        <w:spacing w:after="0" w:line="174" w:lineRule="exact"/>
        <w:rPr>
          <w:rFonts w:ascii="Arial" w:cs="Arial" w:eastAsia="Arial" w:hAnsi="Arial"/>
          <w:sz w:val="16"/>
          <w:szCs w:val="16"/>
          <w:color w:val="auto"/>
        </w:rPr>
      </w:pPr>
    </w:p>
    <w:p>
      <w:pPr>
        <w:ind w:left="1040" w:hanging="384"/>
        <w:spacing w:after="0"/>
        <w:tabs>
          <w:tab w:leader="none" w:pos="1040" w:val="left"/>
        </w:tabs>
        <w:numPr>
          <w:ilvl w:val="1"/>
          <w:numId w:val="93"/>
        </w:numPr>
        <w:rPr>
          <w:rFonts w:ascii="Arial" w:cs="Arial" w:eastAsia="Arial" w:hAnsi="Arial"/>
          <w:sz w:val="16"/>
          <w:szCs w:val="16"/>
          <w:color w:val="auto"/>
        </w:rPr>
      </w:pPr>
      <w:r>
        <w:rPr>
          <w:rFonts w:ascii="Arial" w:cs="Arial" w:eastAsia="Arial" w:hAnsi="Arial"/>
          <w:sz w:val="16"/>
          <w:szCs w:val="16"/>
          <w:u w:val="single" w:color="auto"/>
          <w:color w:val="auto"/>
        </w:rPr>
        <w:t>Parachute Payment Limitation</w:t>
      </w:r>
      <w:r>
        <w:rPr>
          <w:rFonts w:ascii="Arial" w:cs="Arial" w:eastAsia="Arial" w:hAnsi="Arial"/>
          <w:sz w:val="16"/>
          <w:szCs w:val="16"/>
          <w:color w:val="auto"/>
        </w:rPr>
        <w:t>.</w:t>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A-10</w:t>
      </w:r>
    </w:p>
    <w:p>
      <w:pPr>
        <w:sectPr>
          <w:pgSz w:w="11900" w:h="16838" w:orient="portrait"/>
          <w:cols w:equalWidth="0" w:num="1">
            <w:col w:w="11420"/>
          </w:cols>
          <w:pgMar w:left="240" w:top="790" w:right="239" w:bottom="1440" w:gutter="0" w:footer="0" w:header="0"/>
        </w:sectPr>
      </w:pPr>
    </w:p>
    <w:bookmarkStart w:id="61" w:name="page62"/>
    <w:bookmarkEnd w:id="61"/>
    <w:p>
      <w:pPr>
        <w:ind w:right="20" w:firstLine="1305"/>
        <w:spacing w:after="0" w:line="246" w:lineRule="auto"/>
        <w:tabs>
          <w:tab w:leader="none" w:pos="1675" w:val="left"/>
        </w:tabs>
        <w:numPr>
          <w:ilvl w:val="1"/>
          <w:numId w:val="94"/>
        </w:numPr>
        <w:rPr>
          <w:rFonts w:ascii="Arial" w:cs="Arial" w:eastAsia="Arial" w:hAnsi="Arial"/>
          <w:sz w:val="16"/>
          <w:szCs w:val="16"/>
          <w:color w:val="auto"/>
        </w:rPr>
      </w:pPr>
      <w:r>
        <w:rPr>
          <w:rFonts w:ascii="Arial" w:cs="Arial" w:eastAsia="Arial" w:hAnsi="Arial"/>
          <w:sz w:val="16"/>
          <w:szCs w:val="16"/>
          <w:color w:val="auto"/>
        </w:rPr>
        <w:t>Notwithstanding any other provision of this Plan or any other plan, arrangement or agreement to the contrary, if any of the payments or benefits provided or to be provided by the Company or its Affiliates to a Participant or for the Participant’s benefit pursuant to the terms of this Plan or otherwise ("Covered Payments") constitute parachute payments ("Parachute Payments") within the meaning of Section 280G of the Code, and would, but for this Section 12(e) be subject to the excise tax imposed under Section 4999 of the Code (or any successor provision thereto) or any similar tax imposed by state or local law and any interest or penalties with respect to such taxes (collectively, the "Excise Tax"), then the Covered Payments shall be payable either (i) in full or (ii) reduced to the minimum extent necessary to ensure that no portion of the Covered Payments is subject to the Excise Tax, whichever of the foregoing clauses</w:t>
      </w:r>
    </w:p>
    <w:p>
      <w:pPr>
        <w:spacing w:after="0" w:line="2" w:lineRule="exact"/>
        <w:rPr>
          <w:rFonts w:ascii="Arial" w:cs="Arial" w:eastAsia="Arial" w:hAnsi="Arial"/>
          <w:sz w:val="16"/>
          <w:szCs w:val="16"/>
          <w:color w:val="auto"/>
        </w:rPr>
      </w:pPr>
    </w:p>
    <w:p>
      <w:pPr>
        <w:ind w:firstLine="8"/>
        <w:spacing w:after="0" w:line="260" w:lineRule="auto"/>
        <w:tabs>
          <w:tab w:leader="none" w:pos="189" w:val="left"/>
        </w:tabs>
        <w:numPr>
          <w:ilvl w:val="0"/>
          <w:numId w:val="95"/>
        </w:numPr>
        <w:rPr>
          <w:rFonts w:ascii="Arial" w:cs="Arial" w:eastAsia="Arial" w:hAnsi="Arial"/>
          <w:sz w:val="16"/>
          <w:szCs w:val="16"/>
          <w:color w:val="auto"/>
        </w:rPr>
      </w:pPr>
      <w:r>
        <w:rPr>
          <w:rFonts w:ascii="Arial" w:cs="Arial" w:eastAsia="Arial" w:hAnsi="Arial"/>
          <w:sz w:val="16"/>
          <w:szCs w:val="16"/>
          <w:color w:val="auto"/>
        </w:rPr>
        <w:t>or (ii) results in the Participant’s receipt on an after-tax basis of the greatest amount of payments and benefits after taking into account the applicable federal, state, local and foreign income, employment and excise taxes (including the Excise Tax).</w:t>
      </w:r>
    </w:p>
    <w:p>
      <w:pPr>
        <w:spacing w:after="0" w:line="168" w:lineRule="exact"/>
        <w:rPr>
          <w:rFonts w:ascii="Arial" w:cs="Arial" w:eastAsia="Arial" w:hAnsi="Arial"/>
          <w:sz w:val="16"/>
          <w:szCs w:val="16"/>
          <w:color w:val="auto"/>
        </w:rPr>
      </w:pPr>
    </w:p>
    <w:p>
      <w:pPr>
        <w:ind w:right="160" w:firstLine="1305"/>
        <w:spacing w:after="0" w:line="251" w:lineRule="auto"/>
        <w:tabs>
          <w:tab w:leader="none" w:pos="1666" w:val="left"/>
        </w:tabs>
        <w:numPr>
          <w:ilvl w:val="1"/>
          <w:numId w:val="95"/>
        </w:numPr>
        <w:rPr>
          <w:rFonts w:ascii="Arial" w:cs="Arial" w:eastAsia="Arial" w:hAnsi="Arial"/>
          <w:sz w:val="16"/>
          <w:szCs w:val="16"/>
          <w:color w:val="auto"/>
        </w:rPr>
      </w:pPr>
      <w:r>
        <w:rPr>
          <w:rFonts w:ascii="Arial" w:cs="Arial" w:eastAsia="Arial" w:hAnsi="Arial"/>
          <w:sz w:val="16"/>
          <w:szCs w:val="16"/>
          <w:color w:val="auto"/>
        </w:rPr>
        <w:t>Any such reduction shall be made in accordance with Section 409A of the Code and the following: (i) the Covered Payments which do not constitute deferred compensation subject to Section 409A of the Code shall be reduced first, and (ii) Covered Payments that are cash payments shall be reduced before non-cash payments, and Covered Payments to be made on a later payment date shall be reduced before payments to be made on an earlier payment date.</w:t>
      </w:r>
    </w:p>
    <w:p>
      <w:pPr>
        <w:spacing w:after="0" w:line="175" w:lineRule="exact"/>
        <w:rPr>
          <w:rFonts w:ascii="Arial" w:cs="Arial" w:eastAsia="Arial" w:hAnsi="Arial"/>
          <w:sz w:val="16"/>
          <w:szCs w:val="16"/>
          <w:color w:val="auto"/>
        </w:rPr>
      </w:pPr>
    </w:p>
    <w:p>
      <w:pPr>
        <w:ind w:right="100" w:firstLine="1305"/>
        <w:spacing w:after="0" w:line="250" w:lineRule="auto"/>
        <w:tabs>
          <w:tab w:leader="none" w:pos="1675" w:val="left"/>
        </w:tabs>
        <w:numPr>
          <w:ilvl w:val="1"/>
          <w:numId w:val="95"/>
        </w:numPr>
        <w:rPr>
          <w:rFonts w:ascii="Arial" w:cs="Arial" w:eastAsia="Arial" w:hAnsi="Arial"/>
          <w:sz w:val="16"/>
          <w:szCs w:val="16"/>
          <w:color w:val="auto"/>
        </w:rPr>
      </w:pPr>
      <w:r>
        <w:rPr>
          <w:rFonts w:ascii="Arial" w:cs="Arial" w:eastAsia="Arial" w:hAnsi="Arial"/>
          <w:sz w:val="16"/>
          <w:szCs w:val="16"/>
          <w:color w:val="auto"/>
        </w:rPr>
        <w:t>If, notwithstanding the initial application of this Section 12(e), the Internal Revenue Service determines that any Covered Payment constitutes an “excess parachute payment” (as defined by Section 280G(b) of the Code), this Section 12(e) will be reapplied based on the Internal Revenue Service's determination, and the Participant will be required to promptly repay the portion of the Covered Payments required to avoid imposition of the Excise Tax together with interest at the applicable federal rate (as defined in Section 7872(f)(2)(A) of the Code) from the date of the Participant’s receipt of the excess payments until the date of repayment).</w:t>
      </w:r>
    </w:p>
    <w:p>
      <w:pPr>
        <w:spacing w:after="0" w:line="176" w:lineRule="exact"/>
        <w:rPr>
          <w:rFonts w:ascii="Arial" w:cs="Arial" w:eastAsia="Arial" w:hAnsi="Arial"/>
          <w:sz w:val="16"/>
          <w:szCs w:val="16"/>
          <w:color w:val="auto"/>
        </w:rPr>
      </w:pPr>
    </w:p>
    <w:p>
      <w:pPr>
        <w:ind w:right="400" w:firstLine="1305"/>
        <w:spacing w:after="0" w:line="250" w:lineRule="auto"/>
        <w:tabs>
          <w:tab w:leader="none" w:pos="1666" w:val="left"/>
        </w:tabs>
        <w:numPr>
          <w:ilvl w:val="1"/>
          <w:numId w:val="95"/>
        </w:numPr>
        <w:rPr>
          <w:rFonts w:ascii="Arial" w:cs="Arial" w:eastAsia="Arial" w:hAnsi="Arial"/>
          <w:sz w:val="16"/>
          <w:szCs w:val="16"/>
          <w:color w:val="auto"/>
        </w:rPr>
      </w:pPr>
      <w:r>
        <w:rPr>
          <w:rFonts w:ascii="Arial" w:cs="Arial" w:eastAsia="Arial" w:hAnsi="Arial"/>
          <w:sz w:val="16"/>
          <w:szCs w:val="16"/>
          <w:color w:val="auto"/>
        </w:rPr>
        <w:t>Any determination required under this Section 12(e) shall be made in writing in good faith by the accounting firm which was the Company's independent auditor immediately before the Change in Control (the "Accountants"), which shall provide detailed supporting calculations to the Company and the Participant as requested by the Company or the Participant. The Company and the Participant shall provide the Accountants with such information and documents as the Accountants may reasonably request in order to make a determination under this Section 12(e). The Company shall be responsible for all fees and expenses of the Accountants.</w:t>
      </w:r>
    </w:p>
    <w:p>
      <w:pPr>
        <w:spacing w:after="0" w:line="156" w:lineRule="exact"/>
        <w:rPr>
          <w:sz w:val="20"/>
          <w:szCs w:val="20"/>
          <w:color w:val="auto"/>
        </w:rPr>
      </w:pPr>
    </w:p>
    <w:p>
      <w:pPr>
        <w:jc w:val="both"/>
        <w:ind w:firstLine="8"/>
        <w:spacing w:after="0" w:line="256" w:lineRule="auto"/>
        <w:tabs>
          <w:tab w:leader="none" w:pos="446" w:val="left"/>
        </w:tabs>
        <w:numPr>
          <w:ilvl w:val="0"/>
          <w:numId w:val="96"/>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Plan Participation and Service Provider Status</w:t>
      </w:r>
      <w:r>
        <w:rPr>
          <w:rFonts w:ascii="Arial" w:cs="Arial" w:eastAsia="Arial" w:hAnsi="Arial"/>
          <w:sz w:val="16"/>
          <w:szCs w:val="16"/>
          <w:b w:val="1"/>
          <w:bCs w:val="1"/>
          <w:color w:val="auto"/>
        </w:rPr>
        <w:t xml:space="preserve">. </w:t>
      </w:r>
      <w:r>
        <w:rPr>
          <w:rFonts w:ascii="Arial" w:cs="Arial" w:eastAsia="Arial" w:hAnsi="Arial"/>
          <w:sz w:val="16"/>
          <w:szCs w:val="16"/>
          <w:color w:val="auto"/>
        </w:rPr>
        <w:t>Status as a Service Provider shall not be construed as a commitment that any Award will be made</w:t>
      </w:r>
      <w:r>
        <w:rPr>
          <w:rFonts w:ascii="Arial" w:cs="Arial" w:eastAsia="Arial" w:hAnsi="Arial"/>
          <w:sz w:val="16"/>
          <w:szCs w:val="16"/>
          <w:b w:val="1"/>
          <w:bCs w:val="1"/>
          <w:color w:val="auto"/>
        </w:rPr>
        <w:t xml:space="preserve"> </w:t>
      </w:r>
      <w:r>
        <w:rPr>
          <w:rFonts w:ascii="Arial" w:cs="Arial" w:eastAsia="Arial" w:hAnsi="Arial"/>
          <w:sz w:val="16"/>
          <w:szCs w:val="16"/>
          <w:color w:val="auto"/>
        </w:rPr>
        <w:t>under the Plan to that Service Provider or to eligible Service Providers generally. Nothing in the Plan or in any Agreement or related documents shall confer upon any Service Provider or Participant any right to continued Service with the Company or any Affiliate, nor shall it interfere with or limit in any way any right of the Company or any Affiliate to terminate the person’s Service at any time with or without Cause or change such person’s compensation, other benefits, job responsibilities or title.</w:t>
      </w:r>
    </w:p>
    <w:p>
      <w:pPr>
        <w:spacing w:after="0" w:line="153" w:lineRule="exact"/>
        <w:rPr>
          <w:rFonts w:ascii="Arial" w:cs="Arial" w:eastAsia="Arial" w:hAnsi="Arial"/>
          <w:sz w:val="16"/>
          <w:szCs w:val="16"/>
          <w:b w:val="1"/>
          <w:bCs w:val="1"/>
          <w:color w:val="auto"/>
        </w:rPr>
      </w:pPr>
    </w:p>
    <w:p>
      <w:pPr>
        <w:jc w:val="both"/>
        <w:ind w:firstLine="8"/>
        <w:spacing w:after="0" w:line="252" w:lineRule="auto"/>
        <w:tabs>
          <w:tab w:leader="none" w:pos="446" w:val="left"/>
        </w:tabs>
        <w:numPr>
          <w:ilvl w:val="0"/>
          <w:numId w:val="96"/>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Tax Withholding</w:t>
      </w:r>
      <w:r>
        <w:rPr>
          <w:rFonts w:ascii="Arial" w:cs="Arial" w:eastAsia="Arial" w:hAnsi="Arial"/>
          <w:sz w:val="16"/>
          <w:szCs w:val="16"/>
          <w:b w:val="1"/>
          <w:bCs w:val="1"/>
          <w:color w:val="auto"/>
        </w:rPr>
        <w:t xml:space="preserve">. </w:t>
      </w:r>
      <w:r>
        <w:rPr>
          <w:rFonts w:ascii="Arial" w:cs="Arial" w:eastAsia="Arial" w:hAnsi="Arial"/>
          <w:sz w:val="16"/>
          <w:szCs w:val="16"/>
          <w:color w:val="auto"/>
        </w:rPr>
        <w:t>The Company or any Affiliate, as applicable, shall have the right to (i) withhold from any cash payment under the Plan or any other</w:t>
      </w:r>
      <w:r>
        <w:rPr>
          <w:rFonts w:ascii="Arial" w:cs="Arial" w:eastAsia="Arial" w:hAnsi="Arial"/>
          <w:sz w:val="16"/>
          <w:szCs w:val="16"/>
          <w:b w:val="1"/>
          <w:bCs w:val="1"/>
          <w:color w:val="auto"/>
        </w:rPr>
        <w:t xml:space="preserve"> </w:t>
      </w:r>
      <w:r>
        <w:rPr>
          <w:rFonts w:ascii="Arial" w:cs="Arial" w:eastAsia="Arial" w:hAnsi="Arial"/>
          <w:sz w:val="16"/>
          <w:szCs w:val="16"/>
          <w:color w:val="auto"/>
        </w:rPr>
        <w:t>compensation owed to a Participant an amount sufficient to cover any required withholding taxes related to the grant, vesting, exercise or settlement of an Award, and (ii) require a Participant or other person receiving Shares under the Plan to pay a cash amount sufficient to cover any required withholding taxes before actual receipt of those Shares. In lieu of all or any part of a cash payment from a person receiving Shares under the Plan, the Committee may permit the Participant to satisfy all or any part of the required tax withholding obligations (but not to exceed the maximum individual statutory tax rate in each applicable jurisdiction) by authorizing the Company to withhold a number of the Shares that would otherwise be delivered to the Participant pursuant to the Award, or by transferring to the Company Shares already owned by the Participant, with the Shares so withheld or delivered having a Fair Market Value on the date the taxes are required to be withheld equal to the amount of taxes to be withheld.</w:t>
      </w:r>
    </w:p>
    <w:p>
      <w:pPr>
        <w:spacing w:after="0" w:line="183" w:lineRule="exact"/>
        <w:rPr>
          <w:rFonts w:ascii="Arial" w:cs="Arial" w:eastAsia="Arial" w:hAnsi="Arial"/>
          <w:sz w:val="16"/>
          <w:szCs w:val="16"/>
          <w:b w:val="1"/>
          <w:bCs w:val="1"/>
          <w:color w:val="auto"/>
        </w:rPr>
      </w:pPr>
    </w:p>
    <w:p>
      <w:pPr>
        <w:ind w:left="420" w:hanging="412"/>
        <w:spacing w:after="0"/>
        <w:tabs>
          <w:tab w:leader="none" w:pos="420" w:val="left"/>
        </w:tabs>
        <w:numPr>
          <w:ilvl w:val="0"/>
          <w:numId w:val="96"/>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Effective Date, Duration, Amendment and Termination of the Plan</w:t>
      </w:r>
      <w:r>
        <w:rPr>
          <w:rFonts w:ascii="Arial" w:cs="Arial" w:eastAsia="Arial" w:hAnsi="Arial"/>
          <w:sz w:val="16"/>
          <w:szCs w:val="16"/>
          <w:b w:val="1"/>
          <w:bCs w:val="1"/>
          <w:color w:val="auto"/>
        </w:rPr>
        <w:t>.</w:t>
      </w:r>
    </w:p>
    <w:p>
      <w:pPr>
        <w:spacing w:after="0" w:line="241" w:lineRule="exact"/>
        <w:rPr>
          <w:rFonts w:ascii="Arial" w:cs="Arial" w:eastAsia="Arial" w:hAnsi="Arial"/>
          <w:sz w:val="16"/>
          <w:szCs w:val="16"/>
          <w:b w:val="1"/>
          <w:bCs w:val="1"/>
          <w:color w:val="auto"/>
        </w:rPr>
      </w:pPr>
    </w:p>
    <w:p>
      <w:pPr>
        <w:jc w:val="both"/>
        <w:ind w:firstLine="656"/>
        <w:spacing w:after="0" w:line="253" w:lineRule="auto"/>
        <w:tabs>
          <w:tab w:leader="none" w:pos="1026" w:val="left"/>
        </w:tabs>
        <w:numPr>
          <w:ilvl w:val="1"/>
          <w:numId w:val="96"/>
        </w:numPr>
        <w:rPr>
          <w:rFonts w:ascii="Arial" w:cs="Arial" w:eastAsia="Arial" w:hAnsi="Arial"/>
          <w:sz w:val="16"/>
          <w:szCs w:val="16"/>
          <w:color w:val="auto"/>
        </w:rPr>
      </w:pPr>
      <w:r>
        <w:rPr>
          <w:rFonts w:ascii="Arial" w:cs="Arial" w:eastAsia="Arial" w:hAnsi="Arial"/>
          <w:sz w:val="16"/>
          <w:szCs w:val="16"/>
          <w:u w:val="single" w:color="auto"/>
          <w:color w:val="auto"/>
        </w:rPr>
        <w:t>Effective Date</w:t>
      </w:r>
      <w:r>
        <w:rPr>
          <w:rFonts w:ascii="Arial" w:cs="Arial" w:eastAsia="Arial" w:hAnsi="Arial"/>
          <w:sz w:val="16"/>
          <w:szCs w:val="16"/>
          <w:color w:val="auto"/>
        </w:rPr>
        <w:t>. The Plan shall become effective on the date it is approved by the Company’s shareholders, which shall be considered the date of its adoption for purposes of Treasury Regulation §1.422-2(b)(2)(i). No Awards shall be made under the Plan prior to its effective date. If the Company’s shareholders fail to approve the Plan by January 31, 2019, the Plan will be of no further force or effect.</w:t>
      </w:r>
    </w:p>
    <w:p>
      <w:pPr>
        <w:spacing w:after="0" w:line="201" w:lineRule="exact"/>
        <w:rPr>
          <w:rFonts w:ascii="Arial" w:cs="Arial" w:eastAsia="Arial" w:hAnsi="Arial"/>
          <w:sz w:val="16"/>
          <w:szCs w:val="16"/>
          <w:color w:val="auto"/>
        </w:rPr>
      </w:pPr>
    </w:p>
    <w:p>
      <w:pPr>
        <w:jc w:val="both"/>
        <w:ind w:firstLine="656"/>
        <w:spacing w:after="0" w:line="251" w:lineRule="auto"/>
        <w:tabs>
          <w:tab w:leader="none" w:pos="1040" w:val="left"/>
        </w:tabs>
        <w:numPr>
          <w:ilvl w:val="1"/>
          <w:numId w:val="96"/>
        </w:numPr>
        <w:rPr>
          <w:rFonts w:ascii="Arial" w:cs="Arial" w:eastAsia="Arial" w:hAnsi="Arial"/>
          <w:sz w:val="16"/>
          <w:szCs w:val="16"/>
          <w:color w:val="auto"/>
        </w:rPr>
      </w:pPr>
      <w:r>
        <w:rPr>
          <w:rFonts w:ascii="Arial" w:cs="Arial" w:eastAsia="Arial" w:hAnsi="Arial"/>
          <w:sz w:val="16"/>
          <w:szCs w:val="16"/>
          <w:u w:val="single" w:color="auto"/>
          <w:color w:val="auto"/>
        </w:rPr>
        <w:t>Duration of the Plan</w:t>
      </w:r>
      <w:r>
        <w:rPr>
          <w:rFonts w:ascii="Arial" w:cs="Arial" w:eastAsia="Arial" w:hAnsi="Arial"/>
          <w:sz w:val="16"/>
          <w:szCs w:val="16"/>
          <w:color w:val="auto"/>
        </w:rPr>
        <w:t>. The Plan shall remain in effect until all Shares subject to it are distributed, all Awards have expired or terminated, the Plan is terminated pursuant to Section 15(c), or the tenth anniversary of the effective date of the Plan, whichever occurs first (the “Termination Date”). Awards made before the Termination Date shall continue to be outstanding in accordance with their terms and the terms of the Plan unless otherwise provided in the applicable Agreements.</w:t>
      </w:r>
    </w:p>
    <w:p>
      <w:pPr>
        <w:spacing w:after="0" w:line="202" w:lineRule="exact"/>
        <w:rPr>
          <w:rFonts w:ascii="Arial" w:cs="Arial" w:eastAsia="Arial" w:hAnsi="Arial"/>
          <w:sz w:val="16"/>
          <w:szCs w:val="16"/>
          <w:color w:val="auto"/>
        </w:rPr>
      </w:pPr>
    </w:p>
    <w:p>
      <w:pPr>
        <w:jc w:val="both"/>
        <w:ind w:firstLine="656"/>
        <w:spacing w:after="0" w:line="251" w:lineRule="auto"/>
        <w:tabs>
          <w:tab w:leader="none" w:pos="1071" w:val="left"/>
        </w:tabs>
        <w:numPr>
          <w:ilvl w:val="1"/>
          <w:numId w:val="96"/>
        </w:numPr>
        <w:rPr>
          <w:rFonts w:ascii="Arial" w:cs="Arial" w:eastAsia="Arial" w:hAnsi="Arial"/>
          <w:sz w:val="16"/>
          <w:szCs w:val="16"/>
          <w:color w:val="auto"/>
        </w:rPr>
      </w:pPr>
      <w:r>
        <w:rPr>
          <w:rFonts w:ascii="Arial" w:cs="Arial" w:eastAsia="Arial" w:hAnsi="Arial"/>
          <w:sz w:val="16"/>
          <w:szCs w:val="16"/>
          <w:u w:val="single" w:color="auto"/>
          <w:color w:val="auto"/>
        </w:rPr>
        <w:t>Amendment and Termination of the Plan</w:t>
      </w:r>
      <w:r>
        <w:rPr>
          <w:rFonts w:ascii="Arial" w:cs="Arial" w:eastAsia="Arial" w:hAnsi="Arial"/>
          <w:sz w:val="16"/>
          <w:szCs w:val="16"/>
          <w:color w:val="auto"/>
        </w:rPr>
        <w:t>. The Board may at any time terminate, suspend or amend the Plan. The Company shall submit any amendment of the Plan to its stockholders for approval only to the extent required by applicable laws or regulations or the rules of any securities exchange on which the Shares may then be listed. No termination, suspension, or amendment of the Plan may materially impair the rights of any Participant under a previously granted Award without the Participant's consent, unless such action is necessary to comply with applicable law or stock exchange rules.</w:t>
      </w: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A-11</w:t>
      </w:r>
    </w:p>
    <w:p>
      <w:pPr>
        <w:sectPr>
          <w:pgSz w:w="11900" w:h="16838" w:orient="portrait"/>
          <w:cols w:equalWidth="0" w:num="1">
            <w:col w:w="11420"/>
          </w:cols>
          <w:pgMar w:left="240" w:top="979" w:right="239" w:bottom="1440" w:gutter="0" w:footer="0" w:header="0"/>
        </w:sectPr>
      </w:pPr>
    </w:p>
    <w:bookmarkStart w:id="62" w:name="page63"/>
    <w:bookmarkEnd w:id="62"/>
    <w:p>
      <w:pPr>
        <w:jc w:val="both"/>
        <w:ind w:right="20" w:firstLine="656"/>
        <w:spacing w:after="0" w:line="251" w:lineRule="auto"/>
        <w:tabs>
          <w:tab w:leader="none" w:pos="1107" w:val="left"/>
        </w:tabs>
        <w:numPr>
          <w:ilvl w:val="1"/>
          <w:numId w:val="97"/>
        </w:numPr>
        <w:rPr>
          <w:rFonts w:ascii="Arial" w:cs="Arial" w:eastAsia="Arial" w:hAnsi="Arial"/>
          <w:sz w:val="16"/>
          <w:szCs w:val="16"/>
          <w:color w:val="auto"/>
        </w:rPr>
      </w:pPr>
      <w:r>
        <w:rPr>
          <w:rFonts w:ascii="Arial" w:cs="Arial" w:eastAsia="Arial" w:hAnsi="Arial"/>
          <w:sz w:val="16"/>
          <w:szCs w:val="16"/>
          <w:u w:val="single" w:color="auto"/>
          <w:color w:val="auto"/>
        </w:rPr>
        <w:t>Amendment of Awards</w:t>
      </w:r>
      <w:r>
        <w:rPr>
          <w:rFonts w:ascii="Arial" w:cs="Arial" w:eastAsia="Arial" w:hAnsi="Arial"/>
          <w:sz w:val="16"/>
          <w:szCs w:val="16"/>
          <w:color w:val="auto"/>
        </w:rPr>
        <w:t>. Subject to Section 15(e), the Committee may unilaterally amend the terms of any Agreement evidencing an Award previously granted, except that no such amendment may materially impair the rights of any Participant under the applicable Award without the Participant's consent, unless such amendment is necessary to comply with applicable law or stock exchange rules or any compensation recovery policy as provided in Section 16(i).</w:t>
      </w:r>
    </w:p>
    <w:p>
      <w:pPr>
        <w:spacing w:after="0" w:line="175" w:lineRule="exact"/>
        <w:rPr>
          <w:rFonts w:ascii="Arial" w:cs="Arial" w:eastAsia="Arial" w:hAnsi="Arial"/>
          <w:sz w:val="16"/>
          <w:szCs w:val="16"/>
          <w:color w:val="auto"/>
        </w:rPr>
      </w:pPr>
    </w:p>
    <w:p>
      <w:pPr>
        <w:ind w:left="1040" w:hanging="384"/>
        <w:spacing w:after="0"/>
        <w:tabs>
          <w:tab w:leader="none" w:pos="1040" w:val="left"/>
        </w:tabs>
        <w:numPr>
          <w:ilvl w:val="1"/>
          <w:numId w:val="97"/>
        </w:numPr>
        <w:rPr>
          <w:rFonts w:ascii="Arial" w:cs="Arial" w:eastAsia="Arial" w:hAnsi="Arial"/>
          <w:sz w:val="16"/>
          <w:szCs w:val="16"/>
          <w:color w:val="auto"/>
        </w:rPr>
      </w:pPr>
      <w:r>
        <w:rPr>
          <w:rFonts w:ascii="Arial" w:cs="Arial" w:eastAsia="Arial" w:hAnsi="Arial"/>
          <w:sz w:val="16"/>
          <w:szCs w:val="16"/>
          <w:u w:val="single" w:color="auto"/>
          <w:color w:val="auto"/>
        </w:rPr>
        <w:t>No Option or SAR Repricing</w:t>
      </w:r>
      <w:r>
        <w:rPr>
          <w:rFonts w:ascii="Arial" w:cs="Arial" w:eastAsia="Arial" w:hAnsi="Arial"/>
          <w:sz w:val="16"/>
          <w:szCs w:val="16"/>
          <w:color w:val="auto"/>
        </w:rPr>
        <w:t>. Except as provided in Section 12(a), no Option or Stock Appreciation Right Award granted under the Plan may be</w:t>
      </w:r>
    </w:p>
    <w:p>
      <w:pPr>
        <w:spacing w:after="0" w:line="5" w:lineRule="exact"/>
        <w:rPr>
          <w:rFonts w:ascii="Arial" w:cs="Arial" w:eastAsia="Arial" w:hAnsi="Arial"/>
          <w:sz w:val="16"/>
          <w:szCs w:val="16"/>
          <w:color w:val="auto"/>
        </w:rPr>
      </w:pPr>
    </w:p>
    <w:p>
      <w:pPr>
        <w:jc w:val="both"/>
        <w:ind w:firstLine="8"/>
        <w:spacing w:after="0" w:line="251" w:lineRule="auto"/>
        <w:tabs>
          <w:tab w:leader="none" w:pos="205" w:val="left"/>
        </w:tabs>
        <w:numPr>
          <w:ilvl w:val="0"/>
          <w:numId w:val="98"/>
        </w:numPr>
        <w:rPr>
          <w:rFonts w:ascii="Arial" w:cs="Arial" w:eastAsia="Arial" w:hAnsi="Arial"/>
          <w:sz w:val="16"/>
          <w:szCs w:val="16"/>
          <w:color w:val="auto"/>
        </w:rPr>
      </w:pPr>
      <w:r>
        <w:rPr>
          <w:rFonts w:ascii="Arial" w:cs="Arial" w:eastAsia="Arial" w:hAnsi="Arial"/>
          <w:sz w:val="16"/>
          <w:szCs w:val="16"/>
          <w:color w:val="auto"/>
        </w:rPr>
        <w:t>amended to decrease the exercise price thereof, (ii) cancelled in conjunction with the grant of any new Option or Stock Appreciation Right Award with a lower exercise price, (iii) cancelled in exchange for cash, other property or the grant of any Full Value Award at a time when the per share exercise price of the Option or Stock Appreciation Right Award is greater than the current Fair Market Value of a Share, or (iv) otherwise subject to any action that would be treated under accounting rules as a “repricing” of such Option or Stock Appreciation Right Award, unless such action is first approved by the Company’s stockholders.</w:t>
      </w:r>
    </w:p>
    <w:p>
      <w:pPr>
        <w:spacing w:after="0" w:line="156" w:lineRule="exact"/>
        <w:rPr>
          <w:sz w:val="20"/>
          <w:szCs w:val="20"/>
          <w:color w:val="auto"/>
        </w:rPr>
      </w:pPr>
    </w:p>
    <w:p>
      <w:pPr>
        <w:ind w:left="420" w:hanging="412"/>
        <w:spacing w:after="0"/>
        <w:tabs>
          <w:tab w:leader="none" w:pos="420" w:val="left"/>
        </w:tabs>
        <w:numPr>
          <w:ilvl w:val="0"/>
          <w:numId w:val="99"/>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Other Provisions</w:t>
      </w:r>
      <w:r>
        <w:rPr>
          <w:rFonts w:ascii="Arial" w:cs="Arial" w:eastAsia="Arial" w:hAnsi="Arial"/>
          <w:sz w:val="16"/>
          <w:szCs w:val="16"/>
          <w:b w:val="1"/>
          <w:bCs w:val="1"/>
          <w:color w:val="auto"/>
        </w:rPr>
        <w:t>.</w:t>
      </w:r>
    </w:p>
    <w:p>
      <w:pPr>
        <w:spacing w:after="0" w:line="241" w:lineRule="exact"/>
        <w:rPr>
          <w:rFonts w:ascii="Arial" w:cs="Arial" w:eastAsia="Arial" w:hAnsi="Arial"/>
          <w:sz w:val="16"/>
          <w:szCs w:val="16"/>
          <w:b w:val="1"/>
          <w:bCs w:val="1"/>
          <w:color w:val="auto"/>
        </w:rPr>
      </w:pPr>
    </w:p>
    <w:p>
      <w:pPr>
        <w:jc w:val="both"/>
        <w:ind w:firstLine="656"/>
        <w:spacing w:after="0" w:line="250" w:lineRule="auto"/>
        <w:tabs>
          <w:tab w:leader="none" w:pos="1148" w:val="left"/>
        </w:tabs>
        <w:numPr>
          <w:ilvl w:val="1"/>
          <w:numId w:val="99"/>
        </w:numPr>
        <w:rPr>
          <w:rFonts w:ascii="Arial" w:cs="Arial" w:eastAsia="Arial" w:hAnsi="Arial"/>
          <w:sz w:val="16"/>
          <w:szCs w:val="16"/>
          <w:color w:val="auto"/>
        </w:rPr>
      </w:pPr>
      <w:r>
        <w:rPr>
          <w:rFonts w:ascii="Arial" w:cs="Arial" w:eastAsia="Arial" w:hAnsi="Arial"/>
          <w:sz w:val="16"/>
          <w:szCs w:val="16"/>
          <w:u w:val="single" w:color="auto"/>
          <w:color w:val="auto"/>
        </w:rPr>
        <w:t>Unfunded Plan</w:t>
      </w:r>
      <w:r>
        <w:rPr>
          <w:rFonts w:ascii="Arial" w:cs="Arial" w:eastAsia="Arial" w:hAnsi="Arial"/>
          <w:sz w:val="16"/>
          <w:szCs w:val="16"/>
          <w:color w:val="auto"/>
        </w:rPr>
        <w:t>. The Plan shall be unfunded, and the Company shall not be required to segregate any assets that may at any time be represented by Awards under the Plan. Neither the Company, its Affiliates, the Committee, nor the Board shall be deemed to be a trustee of any amounts to be paid under the Plan nor shall anything contained in the Plan or any action taken pursuant to its provisions create or be construed to create a fiduciary relationship between the Company and/or its Affiliates, and a Participant. To the extent any person has or acquires a right to receive a payment in connection with an Award under the Plan, this right shall be no greater than the right of an unsecured general creditor of the Company.</w:t>
      </w:r>
    </w:p>
    <w:p>
      <w:pPr>
        <w:spacing w:after="0" w:line="203" w:lineRule="exact"/>
        <w:rPr>
          <w:rFonts w:ascii="Arial" w:cs="Arial" w:eastAsia="Arial" w:hAnsi="Arial"/>
          <w:sz w:val="16"/>
          <w:szCs w:val="16"/>
          <w:color w:val="auto"/>
        </w:rPr>
      </w:pPr>
    </w:p>
    <w:p>
      <w:pPr>
        <w:jc w:val="both"/>
        <w:ind w:firstLine="656"/>
        <w:spacing w:after="0" w:line="251" w:lineRule="auto"/>
        <w:tabs>
          <w:tab w:leader="none" w:pos="1080" w:val="left"/>
        </w:tabs>
        <w:numPr>
          <w:ilvl w:val="1"/>
          <w:numId w:val="99"/>
        </w:numPr>
        <w:rPr>
          <w:rFonts w:ascii="Arial" w:cs="Arial" w:eastAsia="Arial" w:hAnsi="Arial"/>
          <w:sz w:val="16"/>
          <w:szCs w:val="16"/>
          <w:color w:val="auto"/>
        </w:rPr>
      </w:pPr>
      <w:r>
        <w:rPr>
          <w:rFonts w:ascii="Arial" w:cs="Arial" w:eastAsia="Arial" w:hAnsi="Arial"/>
          <w:sz w:val="16"/>
          <w:szCs w:val="16"/>
          <w:u w:val="single" w:color="auto"/>
          <w:color w:val="auto"/>
        </w:rPr>
        <w:t>Limits of Liability</w:t>
      </w:r>
      <w:r>
        <w:rPr>
          <w:rFonts w:ascii="Arial" w:cs="Arial" w:eastAsia="Arial" w:hAnsi="Arial"/>
          <w:sz w:val="16"/>
          <w:szCs w:val="16"/>
          <w:color w:val="auto"/>
        </w:rPr>
        <w:t>. Except as may be required by law, neither the Company nor any member of the Board or of the Committee, nor any other person participating (including participation pursuant to a delegation of authority under Section 3(c) of the Plan) in any determination of any question under the Plan, or in the interpretation, administration or application of the Plan, shall have any liability to any party for any action taken, or not taken, in good faith under the Plan.</w:t>
      </w:r>
    </w:p>
    <w:p>
      <w:pPr>
        <w:spacing w:after="0" w:line="202" w:lineRule="exact"/>
        <w:rPr>
          <w:rFonts w:ascii="Arial" w:cs="Arial" w:eastAsia="Arial" w:hAnsi="Arial"/>
          <w:sz w:val="16"/>
          <w:szCs w:val="16"/>
          <w:color w:val="auto"/>
        </w:rPr>
      </w:pPr>
    </w:p>
    <w:p>
      <w:pPr>
        <w:jc w:val="both"/>
        <w:ind w:firstLine="656"/>
        <w:spacing w:after="0" w:line="248" w:lineRule="auto"/>
        <w:tabs>
          <w:tab w:leader="none" w:pos="1112" w:val="left"/>
        </w:tabs>
        <w:numPr>
          <w:ilvl w:val="1"/>
          <w:numId w:val="99"/>
        </w:numPr>
        <w:rPr>
          <w:rFonts w:ascii="Arial" w:cs="Arial" w:eastAsia="Arial" w:hAnsi="Arial"/>
          <w:sz w:val="16"/>
          <w:szCs w:val="16"/>
          <w:color w:val="auto"/>
        </w:rPr>
      </w:pPr>
      <w:r>
        <w:rPr>
          <w:rFonts w:ascii="Arial" w:cs="Arial" w:eastAsia="Arial" w:hAnsi="Arial"/>
          <w:sz w:val="16"/>
          <w:szCs w:val="16"/>
          <w:u w:val="single" w:color="auto"/>
          <w:color w:val="auto"/>
        </w:rPr>
        <w:t>Compliance with Applicable Legal Requirements and Company Policies</w:t>
      </w:r>
      <w:r>
        <w:rPr>
          <w:rFonts w:ascii="Arial" w:cs="Arial" w:eastAsia="Arial" w:hAnsi="Arial"/>
          <w:sz w:val="16"/>
          <w:szCs w:val="16"/>
          <w:color w:val="auto"/>
        </w:rPr>
        <w:t>. No Shares distributable pursuant to the Plan shall be issued and delivered unless and until the issuance of the Shares complies with all applicable legal requirements, including compliance with the provisions of applicable state and federal securities laws, and the requirements of any securities exchanges on which the Company’s Shares may, at the time, be listed. During any period in which the offering and issuance of Shares under the Plan is not registered under federal or state securities laws, Participants shall acknowledge that they are acquiring Shares under the Plan for investment purposes and not for resale, and that Shares may not be transferred except pursuant to an effective registration statement under, or an exemption from the registration requirements of, such securities laws. Any stock certificate or book-entry evidencing Shares issued under the Plan that are subject to securities law restrictions shall bear or be accompanied by an appropriate restrictive legend or stop transfer instruction. Notwithstanding any other provision of this Plan, the acquisition, holding or disposition of Shares acquired pursuant to the Plan shall in all events be subject to compliance with applicable Company policies, including those relating to insider trading, pledging or hedging transactions, minimum post-vesting holding periods and stock ownership guidelines, and to forfeiture or recovery of compensation as provided in Section 16(i).</w:t>
      </w:r>
    </w:p>
    <w:p>
      <w:pPr>
        <w:spacing w:after="0" w:line="205" w:lineRule="exact"/>
        <w:rPr>
          <w:rFonts w:ascii="Arial" w:cs="Arial" w:eastAsia="Arial" w:hAnsi="Arial"/>
          <w:sz w:val="16"/>
          <w:szCs w:val="16"/>
          <w:color w:val="auto"/>
        </w:rPr>
      </w:pPr>
    </w:p>
    <w:p>
      <w:pPr>
        <w:jc w:val="both"/>
        <w:ind w:firstLine="656"/>
        <w:spacing w:after="0" w:line="249" w:lineRule="auto"/>
        <w:tabs>
          <w:tab w:leader="none" w:pos="1053" w:val="left"/>
        </w:tabs>
        <w:numPr>
          <w:ilvl w:val="1"/>
          <w:numId w:val="99"/>
        </w:numPr>
        <w:rPr>
          <w:rFonts w:ascii="Arial" w:cs="Arial" w:eastAsia="Arial" w:hAnsi="Arial"/>
          <w:sz w:val="16"/>
          <w:szCs w:val="16"/>
          <w:color w:val="auto"/>
        </w:rPr>
      </w:pPr>
      <w:r>
        <w:rPr>
          <w:rFonts w:ascii="Arial" w:cs="Arial" w:eastAsia="Arial" w:hAnsi="Arial"/>
          <w:sz w:val="16"/>
          <w:szCs w:val="16"/>
          <w:u w:val="single" w:color="auto"/>
          <w:color w:val="auto"/>
        </w:rPr>
        <w:t>Other Benefit and Compensation Programs</w:t>
      </w:r>
      <w:r>
        <w:rPr>
          <w:rFonts w:ascii="Arial" w:cs="Arial" w:eastAsia="Arial" w:hAnsi="Arial"/>
          <w:sz w:val="16"/>
          <w:szCs w:val="16"/>
          <w:color w:val="auto"/>
        </w:rPr>
        <w:t>. Payments and other benefits received by a Participant under an Award made pursuant to the Plan shall not be deemed a part of a Participant’s regular, recurring compensation for purposes of the termination, indemnity or severance pay laws of any country and shall not be included in, nor have any effect on, the determination of benefits under any other employee benefit plan, contract or similar arrangement provided by the Company or an Affiliate unless expressly so provided by such other plan, contract or arrangement, or unless the Committee expressly determines that an Award or portion of an Award should be included to accurately reflect competitive compensation practices or to recognize that an Award has been made in lieu of a portion of competitive cash compensation.</w:t>
      </w:r>
    </w:p>
    <w:p>
      <w:pPr>
        <w:spacing w:after="0" w:line="205" w:lineRule="exact"/>
        <w:rPr>
          <w:rFonts w:ascii="Arial" w:cs="Arial" w:eastAsia="Arial" w:hAnsi="Arial"/>
          <w:sz w:val="16"/>
          <w:szCs w:val="16"/>
          <w:color w:val="auto"/>
        </w:rPr>
      </w:pPr>
    </w:p>
    <w:p>
      <w:pPr>
        <w:ind w:right="20" w:firstLine="656"/>
        <w:spacing w:after="0" w:line="260" w:lineRule="auto"/>
        <w:tabs>
          <w:tab w:leader="none" w:pos="1026" w:val="left"/>
        </w:tabs>
        <w:numPr>
          <w:ilvl w:val="1"/>
          <w:numId w:val="99"/>
        </w:numPr>
        <w:rPr>
          <w:rFonts w:ascii="Arial" w:cs="Arial" w:eastAsia="Arial" w:hAnsi="Arial"/>
          <w:sz w:val="16"/>
          <w:szCs w:val="16"/>
          <w:color w:val="auto"/>
        </w:rPr>
      </w:pPr>
      <w:r>
        <w:rPr>
          <w:rFonts w:ascii="Arial" w:cs="Arial" w:eastAsia="Arial" w:hAnsi="Arial"/>
          <w:sz w:val="16"/>
          <w:szCs w:val="16"/>
          <w:u w:val="single" w:color="auto"/>
          <w:color w:val="auto"/>
        </w:rPr>
        <w:t>Governing Law</w:t>
      </w:r>
      <w:r>
        <w:rPr>
          <w:rFonts w:ascii="Arial" w:cs="Arial" w:eastAsia="Arial" w:hAnsi="Arial"/>
          <w:sz w:val="16"/>
          <w:szCs w:val="16"/>
          <w:color w:val="auto"/>
        </w:rPr>
        <w:t>. To the extent that federal laws do not otherwise control, the Plan and all determinations made and actions taken pursuant to the Plan shall be governed by the laws of the State of Iowa without regard to its conflicts-of-law principles and shall be construed accordingly.</w:t>
      </w:r>
    </w:p>
    <w:p>
      <w:pPr>
        <w:spacing w:after="0" w:line="195" w:lineRule="exact"/>
        <w:rPr>
          <w:rFonts w:ascii="Arial" w:cs="Arial" w:eastAsia="Arial" w:hAnsi="Arial"/>
          <w:sz w:val="16"/>
          <w:szCs w:val="16"/>
          <w:color w:val="auto"/>
        </w:rPr>
      </w:pPr>
    </w:p>
    <w:p>
      <w:pPr>
        <w:ind w:right="100" w:firstLine="656"/>
        <w:spacing w:after="0" w:line="260" w:lineRule="auto"/>
        <w:tabs>
          <w:tab w:leader="none" w:pos="981" w:val="left"/>
        </w:tabs>
        <w:numPr>
          <w:ilvl w:val="1"/>
          <w:numId w:val="99"/>
        </w:numPr>
        <w:rPr>
          <w:rFonts w:ascii="Arial" w:cs="Arial" w:eastAsia="Arial" w:hAnsi="Arial"/>
          <w:sz w:val="16"/>
          <w:szCs w:val="16"/>
          <w:color w:val="auto"/>
        </w:rPr>
      </w:pPr>
      <w:r>
        <w:rPr>
          <w:rFonts w:ascii="Arial" w:cs="Arial" w:eastAsia="Arial" w:hAnsi="Arial"/>
          <w:sz w:val="16"/>
          <w:szCs w:val="16"/>
          <w:u w:val="single" w:color="auto"/>
          <w:color w:val="auto"/>
        </w:rPr>
        <w:t>Severability</w:t>
      </w:r>
      <w:r>
        <w:rPr>
          <w:rFonts w:ascii="Arial" w:cs="Arial" w:eastAsia="Arial" w:hAnsi="Arial"/>
          <w:sz w:val="16"/>
          <w:szCs w:val="16"/>
          <w:color w:val="auto"/>
        </w:rPr>
        <w:t>. If any provision of the Plan shall be held illegal or invalid for any reason, the illegality or invalidity shall not affect the remaining parts of the Plan, and the Plan shall be construed and enforced as if the illegal or invalid provision had not been included.</w:t>
      </w:r>
    </w:p>
    <w:p>
      <w:pPr>
        <w:spacing w:after="0" w:line="168" w:lineRule="exact"/>
        <w:rPr>
          <w:rFonts w:ascii="Arial" w:cs="Arial" w:eastAsia="Arial" w:hAnsi="Arial"/>
          <w:sz w:val="16"/>
          <w:szCs w:val="16"/>
          <w:color w:val="auto"/>
        </w:rPr>
      </w:pPr>
    </w:p>
    <w:p>
      <w:pPr>
        <w:jc w:val="both"/>
        <w:ind w:firstLine="656"/>
        <w:spacing w:after="0" w:line="249" w:lineRule="auto"/>
        <w:tabs>
          <w:tab w:leader="none" w:pos="1067" w:val="left"/>
        </w:tabs>
        <w:numPr>
          <w:ilvl w:val="1"/>
          <w:numId w:val="99"/>
        </w:numPr>
        <w:rPr>
          <w:rFonts w:ascii="Arial" w:cs="Arial" w:eastAsia="Arial" w:hAnsi="Arial"/>
          <w:sz w:val="16"/>
          <w:szCs w:val="16"/>
          <w:color w:val="auto"/>
        </w:rPr>
      </w:pPr>
      <w:r>
        <w:rPr>
          <w:rFonts w:ascii="Arial" w:cs="Arial" w:eastAsia="Arial" w:hAnsi="Arial"/>
          <w:sz w:val="16"/>
          <w:szCs w:val="16"/>
          <w:u w:val="single" w:color="auto"/>
          <w:color w:val="auto"/>
        </w:rPr>
        <w:t>Code Section 409A</w:t>
      </w:r>
      <w:r>
        <w:rPr>
          <w:rFonts w:ascii="Arial" w:cs="Arial" w:eastAsia="Arial" w:hAnsi="Arial"/>
          <w:sz w:val="16"/>
          <w:szCs w:val="16"/>
          <w:color w:val="auto"/>
        </w:rPr>
        <w:t>. It is intended that (i) all Awards of Options, SARs and Restricted Stock under the Plan will not provide for the deferral of compensation within the meaning of Code Section 409A and thereby be exempt from Code Section 409A, and (ii) all other Awards under the Plan will either not provide for the deferral of compensation within the meaning of Code Section 409A, or will comply with the requirements of Code Section 409A, and Awards shall be structured and the Plan administered and interpreted in accordance with this intent. The Plan and any Agreement may be unilaterally amended by the Company in any manner deemed necessary or advisable by the Committee or Board in order to maintain such exemption from or compliance with Code Section 409A, and any such amendment shall conclusively be presumed to be necessary to comply with applicable law. Notwithstanding</w:t>
      </w:r>
    </w:p>
    <w:p>
      <w:pPr>
        <w:spacing w:after="0" w:line="23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A-12</w:t>
      </w:r>
    </w:p>
    <w:p>
      <w:pPr>
        <w:sectPr>
          <w:pgSz w:w="11900" w:h="16838" w:orient="portrait"/>
          <w:cols w:equalWidth="0" w:num="1">
            <w:col w:w="11420"/>
          </w:cols>
          <w:pgMar w:left="240" w:top="979" w:right="239" w:bottom="1440" w:gutter="0" w:footer="0" w:header="0"/>
        </w:sectPr>
      </w:pPr>
    </w:p>
    <w:bookmarkStart w:id="63" w:name="page64"/>
    <w:bookmarkEnd w:id="63"/>
    <w:p>
      <w:pPr>
        <w:spacing w:after="0"/>
        <w:rPr>
          <w:sz w:val="20"/>
          <w:szCs w:val="20"/>
          <w:color w:val="auto"/>
        </w:rPr>
      </w:pPr>
      <w:r>
        <w:rPr>
          <w:rFonts w:ascii="Arial" w:cs="Arial" w:eastAsia="Arial" w:hAnsi="Arial"/>
          <w:sz w:val="16"/>
          <w:szCs w:val="16"/>
          <w:color w:val="auto"/>
        </w:rPr>
        <w:t>anything to the contrary in the Plan or any Agreement, with respect to any Award that constitutes a deferral of compensation subject to Code Section 409A:</w:t>
      </w:r>
    </w:p>
    <w:p>
      <w:pPr>
        <w:spacing w:after="0" w:line="194" w:lineRule="exact"/>
        <w:rPr>
          <w:sz w:val="20"/>
          <w:szCs w:val="20"/>
          <w:color w:val="auto"/>
        </w:rPr>
      </w:pPr>
    </w:p>
    <w:p>
      <w:pPr>
        <w:ind w:right="20" w:firstLine="1305"/>
        <w:spacing w:after="0" w:line="260" w:lineRule="auto"/>
        <w:tabs>
          <w:tab w:leader="none" w:pos="1720" w:val="left"/>
        </w:tabs>
        <w:numPr>
          <w:ilvl w:val="0"/>
          <w:numId w:val="100"/>
        </w:numPr>
        <w:rPr>
          <w:rFonts w:ascii="Arial" w:cs="Arial" w:eastAsia="Arial" w:hAnsi="Arial"/>
          <w:sz w:val="16"/>
          <w:szCs w:val="16"/>
          <w:color w:val="auto"/>
        </w:rPr>
      </w:pPr>
      <w:r>
        <w:rPr>
          <w:rFonts w:ascii="Arial" w:cs="Arial" w:eastAsia="Arial" w:hAnsi="Arial"/>
          <w:sz w:val="16"/>
          <w:szCs w:val="16"/>
          <w:color w:val="auto"/>
        </w:rPr>
        <w:t>If any amount is payable under such Award upon a termination of Service, a termination of Service will be deemed to have occurred only at such time as the Participant has experienced a “separation from service” as such term is defined for purposes of Code Section 409A;</w:t>
      </w:r>
    </w:p>
    <w:p>
      <w:pPr>
        <w:spacing w:after="0" w:line="168" w:lineRule="exact"/>
        <w:rPr>
          <w:rFonts w:ascii="Arial" w:cs="Arial" w:eastAsia="Arial" w:hAnsi="Arial"/>
          <w:sz w:val="16"/>
          <w:szCs w:val="16"/>
          <w:color w:val="auto"/>
        </w:rPr>
      </w:pPr>
    </w:p>
    <w:p>
      <w:pPr>
        <w:jc w:val="both"/>
        <w:ind w:firstLine="1305"/>
        <w:spacing w:after="0" w:line="250" w:lineRule="auto"/>
        <w:tabs>
          <w:tab w:leader="none" w:pos="1709" w:val="left"/>
        </w:tabs>
        <w:numPr>
          <w:ilvl w:val="0"/>
          <w:numId w:val="100"/>
        </w:numPr>
        <w:rPr>
          <w:rFonts w:ascii="Arial" w:cs="Arial" w:eastAsia="Arial" w:hAnsi="Arial"/>
          <w:sz w:val="16"/>
          <w:szCs w:val="16"/>
          <w:color w:val="auto"/>
        </w:rPr>
      </w:pPr>
      <w:r>
        <w:rPr>
          <w:rFonts w:ascii="Arial" w:cs="Arial" w:eastAsia="Arial" w:hAnsi="Arial"/>
          <w:sz w:val="16"/>
          <w:szCs w:val="16"/>
          <w:color w:val="auto"/>
        </w:rPr>
        <w:t>If any amount shall be payable with respect to any such Award as a result of a Participant’s “separation from service” at such time as the Participant is a “specified employee” within the meaning of Code Section 409A, then no payment shall be made, except as permitted under Code Section 409A, prior to the first business day after the earlier of (i) the date that is six months after the Participant’s separation from service or (ii) the Participant’s death. Unless the Committee has adopted a specified employee identification policy as contemplated by Code Section 409A, specified employees will be identified in accordance with the default provisions specified under Code Section 409A.</w:t>
      </w:r>
    </w:p>
    <w:p>
      <w:pPr>
        <w:spacing w:after="0" w:line="176" w:lineRule="exact"/>
        <w:rPr>
          <w:sz w:val="20"/>
          <w:szCs w:val="20"/>
          <w:color w:val="auto"/>
        </w:rPr>
      </w:pPr>
    </w:p>
    <w:p>
      <w:pPr>
        <w:jc w:val="both"/>
        <w:spacing w:after="0" w:line="251" w:lineRule="auto"/>
        <w:rPr>
          <w:sz w:val="20"/>
          <w:szCs w:val="20"/>
          <w:color w:val="auto"/>
        </w:rPr>
      </w:pPr>
      <w:r>
        <w:rPr>
          <w:rFonts w:ascii="Arial" w:cs="Arial" w:eastAsia="Arial" w:hAnsi="Arial"/>
          <w:sz w:val="16"/>
          <w:szCs w:val="16"/>
          <w:color w:val="auto"/>
        </w:rPr>
        <w:t>None of the Company, the Board, the Committee nor any other person involved with the administration of this Plan shall (i) in any way be responsible for ensuring the exemption of any Award from, or compliance by any Award with, the requirements of Code Section 409A, (ii) have any obligation to design or administer the Plan or Awards granted thereunder in a manner that minimizes a Participant’s tax liabilities, including the avoidance of any additional tax liabilities under Code Section 409A, and (iii) shall have any liability to any Participant for any such tax liabilities.</w:t>
      </w:r>
    </w:p>
    <w:p>
      <w:pPr>
        <w:spacing w:after="0" w:line="176" w:lineRule="exact"/>
        <w:rPr>
          <w:sz w:val="20"/>
          <w:szCs w:val="20"/>
          <w:color w:val="auto"/>
        </w:rPr>
      </w:pPr>
    </w:p>
    <w:p>
      <w:pPr>
        <w:jc w:val="both"/>
        <w:ind w:firstLine="656"/>
        <w:spacing w:after="0" w:line="250" w:lineRule="auto"/>
        <w:tabs>
          <w:tab w:leader="none" w:pos="1067" w:val="left"/>
        </w:tabs>
        <w:numPr>
          <w:ilvl w:val="0"/>
          <w:numId w:val="101"/>
        </w:numPr>
        <w:rPr>
          <w:rFonts w:ascii="Arial" w:cs="Arial" w:eastAsia="Arial" w:hAnsi="Arial"/>
          <w:sz w:val="16"/>
          <w:szCs w:val="16"/>
          <w:color w:val="auto"/>
        </w:rPr>
      </w:pPr>
      <w:r>
        <w:rPr>
          <w:rFonts w:ascii="Arial" w:cs="Arial" w:eastAsia="Arial" w:hAnsi="Arial"/>
          <w:sz w:val="16"/>
          <w:szCs w:val="16"/>
          <w:u w:val="single" w:color="auto"/>
          <w:color w:val="auto"/>
        </w:rPr>
        <w:t>Rule 16b-3</w:t>
      </w:r>
      <w:r>
        <w:rPr>
          <w:rFonts w:ascii="Arial" w:cs="Arial" w:eastAsia="Arial" w:hAnsi="Arial"/>
          <w:sz w:val="16"/>
          <w:szCs w:val="16"/>
          <w:color w:val="auto"/>
        </w:rPr>
        <w:t>. It is intended that the Plan and all Awards granted pursuant to it shall be administered by the Committee so as to permit the Plan and Awards to comply with Exchange Act Rule 16b-3. If any provision of the Plan or of any Award would otherwise frustrate or conflict with the intent expressed in this Section 16(h), that provision to the extent possible shall be interpreted and deemed amended in the manner determined by the Committee so as to avoid the conflict. To the extent of any remaining irreconcilable conflict with this intent, the provision shall be deemed void as applied to Participants subject to Section 16 of the Exchange Act to the extent permitted by law and in the manner deemed advisable by the Committee.</w:t>
      </w:r>
    </w:p>
    <w:p>
      <w:pPr>
        <w:spacing w:after="0" w:line="176" w:lineRule="exact"/>
        <w:rPr>
          <w:rFonts w:ascii="Arial" w:cs="Arial" w:eastAsia="Arial" w:hAnsi="Arial"/>
          <w:sz w:val="16"/>
          <w:szCs w:val="16"/>
          <w:color w:val="auto"/>
        </w:rPr>
      </w:pPr>
    </w:p>
    <w:p>
      <w:pPr>
        <w:ind w:left="980" w:hanging="324"/>
        <w:spacing w:after="0"/>
        <w:tabs>
          <w:tab w:leader="none" w:pos="980" w:val="left"/>
        </w:tabs>
        <w:numPr>
          <w:ilvl w:val="0"/>
          <w:numId w:val="101"/>
        </w:numPr>
        <w:rPr>
          <w:rFonts w:ascii="Arial" w:cs="Arial" w:eastAsia="Arial" w:hAnsi="Arial"/>
          <w:sz w:val="16"/>
          <w:szCs w:val="16"/>
          <w:color w:val="auto"/>
        </w:rPr>
      </w:pPr>
      <w:r>
        <w:rPr>
          <w:rFonts w:ascii="Arial" w:cs="Arial" w:eastAsia="Arial" w:hAnsi="Arial"/>
          <w:sz w:val="16"/>
          <w:szCs w:val="16"/>
          <w:u w:val="single" w:color="auto"/>
          <w:color w:val="auto"/>
        </w:rPr>
        <w:t>Forfeiture and Compensation Recovery</w:t>
      </w:r>
      <w:r>
        <w:rPr>
          <w:rFonts w:ascii="Arial" w:cs="Arial" w:eastAsia="Arial" w:hAnsi="Arial"/>
          <w:sz w:val="16"/>
          <w:szCs w:val="16"/>
          <w:color w:val="auto"/>
        </w:rPr>
        <w:t>.</w:t>
      </w:r>
    </w:p>
    <w:p>
      <w:pPr>
        <w:spacing w:after="0" w:line="194" w:lineRule="exact"/>
        <w:rPr>
          <w:rFonts w:ascii="Arial" w:cs="Arial" w:eastAsia="Arial" w:hAnsi="Arial"/>
          <w:sz w:val="16"/>
          <w:szCs w:val="16"/>
          <w:color w:val="auto"/>
        </w:rPr>
      </w:pPr>
    </w:p>
    <w:p>
      <w:pPr>
        <w:jc w:val="both"/>
        <w:ind w:firstLine="1305"/>
        <w:spacing w:after="0" w:line="249" w:lineRule="auto"/>
        <w:tabs>
          <w:tab w:leader="none" w:pos="1748" w:val="left"/>
        </w:tabs>
        <w:numPr>
          <w:ilvl w:val="1"/>
          <w:numId w:val="101"/>
        </w:numPr>
        <w:rPr>
          <w:rFonts w:ascii="Arial" w:cs="Arial" w:eastAsia="Arial" w:hAnsi="Arial"/>
          <w:sz w:val="16"/>
          <w:szCs w:val="16"/>
          <w:color w:val="auto"/>
        </w:rPr>
      </w:pPr>
      <w:r>
        <w:rPr>
          <w:rFonts w:ascii="Arial" w:cs="Arial" w:eastAsia="Arial" w:hAnsi="Arial"/>
          <w:sz w:val="16"/>
          <w:szCs w:val="16"/>
          <w:color w:val="auto"/>
        </w:rPr>
        <w:t>The Committee may specify in an Agreement that the Participant’s rights, payments, and benefits with respect to an Award will be subject to reduction, cancellation, forfeiture or recovery by the Company upon the occurrence of certain specified events, in addition to any otherwise applicable vesting or performance conditions of an Award. Such events may include termination of Service for Cause; violation of any material Company or Affiliate policy; breach of noncompetition, non-solicitation or confidentiality provisions that apply to the Participant; a determination that the payment of the Award was based on an incorrect determination that financial or other criteria were met or other conduct by the Participant that is detrimental to the business or reputation of the Company or its Affiliates.</w:t>
      </w:r>
    </w:p>
    <w:p>
      <w:pPr>
        <w:spacing w:after="0" w:line="178" w:lineRule="exact"/>
        <w:rPr>
          <w:rFonts w:ascii="Arial" w:cs="Arial" w:eastAsia="Arial" w:hAnsi="Arial"/>
          <w:sz w:val="16"/>
          <w:szCs w:val="16"/>
          <w:color w:val="auto"/>
        </w:rPr>
      </w:pPr>
    </w:p>
    <w:p>
      <w:pPr>
        <w:ind w:firstLine="1305"/>
        <w:spacing w:after="0" w:line="251" w:lineRule="auto"/>
        <w:tabs>
          <w:tab w:leader="none" w:pos="1666" w:val="left"/>
        </w:tabs>
        <w:numPr>
          <w:ilvl w:val="1"/>
          <w:numId w:val="101"/>
        </w:numPr>
        <w:rPr>
          <w:rFonts w:ascii="Arial" w:cs="Arial" w:eastAsia="Arial" w:hAnsi="Arial"/>
          <w:sz w:val="16"/>
          <w:szCs w:val="16"/>
          <w:color w:val="auto"/>
        </w:rPr>
      </w:pPr>
      <w:r>
        <w:rPr>
          <w:rFonts w:ascii="Arial" w:cs="Arial" w:eastAsia="Arial" w:hAnsi="Arial"/>
          <w:sz w:val="16"/>
          <w:szCs w:val="16"/>
          <w:color w:val="auto"/>
        </w:rPr>
        <w:t>Awards and any compensation associated therewith may be made subject to forfeiture, recovery by the Company or other action pursuant to any compensation recovery policy adopted by the Board or the Committee at any time, including in response to the requirements of Section 10D of the Exchange Act and any implementing rules and regulations thereunder, or as otherwise required by law. Any Agreement may be unilaterally amended by the Committee to comply with any such compensation recovery policy.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A-13</w:t>
      </w:r>
    </w:p>
    <w:p>
      <w:pPr>
        <w:sectPr>
          <w:pgSz w:w="11900" w:h="16838" w:orient="portrait"/>
          <w:cols w:equalWidth="0" w:num="1">
            <w:col w:w="11420"/>
          </w:cols>
          <w:pgMar w:left="240" w:top="790" w:right="239" w:bottom="1440" w:gutter="0" w:footer="0" w:header="0"/>
        </w:sectPr>
      </w:pPr>
    </w:p>
    <w:bookmarkStart w:id="64" w:name="page65"/>
    <w:bookmarkEnd w:id="64"/>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697865</wp:posOffset>
            </wp:positionH>
            <wp:positionV relativeFrom="page">
              <wp:posOffset>380365</wp:posOffset>
            </wp:positionV>
            <wp:extent cx="6174740" cy="796671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clrChange>
                        <a:clrFrom>
                          <a:srgbClr val="FFFFFF"/>
                        </a:clrFrom>
                        <a:clrTo>
                          <a:srgbClr val="FFFFFF">
                            <a:alpha val="0"/>
                          </a:srgbClr>
                        </a:clrTo>
                      </a:clrChange>
                      <a:extLst>
                        <a:ext uri="{28A0092B-C50C-407E-A947-70E740481C1C}"/>
                      </a:extLst>
                    </a:blip>
                    <a:srcRect/>
                    <a:stretch>
                      <a:fillRect/>
                    </a:stretch>
                  </pic:blipFill>
                  <pic:spPr bwMode="auto">
                    <a:xfrm>
                      <a:off x="0" y="0"/>
                      <a:ext cx="6174740" cy="796671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5" w:name="page66"/>
    <w:bookmarkEnd w:id="65"/>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697865</wp:posOffset>
            </wp:positionH>
            <wp:positionV relativeFrom="page">
              <wp:posOffset>243205</wp:posOffset>
            </wp:positionV>
            <wp:extent cx="6174740" cy="800100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clrChange>
                        <a:clrFrom>
                          <a:srgbClr val="FFFFFF"/>
                        </a:clrFrom>
                        <a:clrTo>
                          <a:srgbClr val="FFFFFF">
                            <a:alpha val="0"/>
                          </a:srgbClr>
                        </a:clrTo>
                      </a:clrChange>
                      <a:extLst>
                        <a:ext uri="{28A0092B-C50C-407E-A947-70E740481C1C}"/>
                      </a:extLst>
                    </a:blip>
                    <a:srcRect/>
                    <a:stretch>
                      <a:fillRect/>
                    </a:stretch>
                  </pic:blipFill>
                  <pic:spPr bwMode="auto">
                    <a:xfrm>
                      <a:off x="0" y="0"/>
                      <a:ext cx="6174740" cy="80010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6" w:name="page67"/>
    <w:bookmarkEnd w:id="66"/>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697865</wp:posOffset>
            </wp:positionH>
            <wp:positionV relativeFrom="page">
              <wp:posOffset>243205</wp:posOffset>
            </wp:positionV>
            <wp:extent cx="6174740" cy="800100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clrChange>
                        <a:clrFrom>
                          <a:srgbClr val="FFFFFF"/>
                        </a:clrFrom>
                        <a:clrTo>
                          <a:srgbClr val="FFFFFF">
                            <a:alpha val="0"/>
                          </a:srgbClr>
                        </a:clrTo>
                      </a:clrChange>
                      <a:extLst>
                        <a:ext uri="{28A0092B-C50C-407E-A947-70E740481C1C}"/>
                      </a:extLst>
                    </a:blip>
                    <a:srcRect/>
                    <a:stretch>
                      <a:fillRect/>
                    </a:stretch>
                  </pic:blipFill>
                  <pic:spPr bwMode="auto">
                    <a:xfrm>
                      <a:off x="0" y="0"/>
                      <a:ext cx="6174740" cy="80010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7" w:name="page68"/>
    <w:bookmarkEnd w:id="67"/>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697865</wp:posOffset>
            </wp:positionH>
            <wp:positionV relativeFrom="page">
              <wp:posOffset>243205</wp:posOffset>
            </wp:positionV>
            <wp:extent cx="6174740" cy="7932420"/>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clrChange>
                        <a:clrFrom>
                          <a:srgbClr val="FFFFFF"/>
                        </a:clrFrom>
                        <a:clrTo>
                          <a:srgbClr val="FFFFFF">
                            <a:alpha val="0"/>
                          </a:srgbClr>
                        </a:clrTo>
                      </a:clrChange>
                      <a:extLst>
                        <a:ext uri="{28A0092B-C50C-407E-A947-70E740481C1C}"/>
                      </a:extLst>
                    </a:blip>
                    <a:srcRect/>
                    <a:stretch>
                      <a:fillRect/>
                    </a:stretch>
                  </pic:blipFill>
                  <pic:spPr bwMode="auto">
                    <a:xfrm>
                      <a:off x="0" y="0"/>
                      <a:ext cx="6174740" cy="79324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8" w:name="page69"/>
    <w:bookmarkEnd w:id="68"/>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697865</wp:posOffset>
            </wp:positionH>
            <wp:positionV relativeFrom="page">
              <wp:posOffset>243205</wp:posOffset>
            </wp:positionV>
            <wp:extent cx="6174740" cy="795845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clrChange>
                        <a:clrFrom>
                          <a:srgbClr val="FFFFFF"/>
                        </a:clrFrom>
                        <a:clrTo>
                          <a:srgbClr val="FFFFFF">
                            <a:alpha val="0"/>
                          </a:srgbClr>
                        </a:clrTo>
                      </a:clrChange>
                      <a:extLst>
                        <a:ext uri="{28A0092B-C50C-407E-A947-70E740481C1C}"/>
                      </a:extLst>
                    </a:blip>
                    <a:srcRect/>
                    <a:stretch>
                      <a:fillRect/>
                    </a:stretch>
                  </pic:blipFill>
                  <pic:spPr bwMode="auto">
                    <a:xfrm>
                      <a:off x="0" y="0"/>
                      <a:ext cx="6174740" cy="795845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9" w:name="page70"/>
    <w:bookmarkEnd w:id="69"/>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697865</wp:posOffset>
            </wp:positionH>
            <wp:positionV relativeFrom="page">
              <wp:posOffset>243205</wp:posOffset>
            </wp:positionV>
            <wp:extent cx="6174740" cy="7975600"/>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clrChange>
                        <a:clrFrom>
                          <a:srgbClr val="FFFFFF"/>
                        </a:clrFrom>
                        <a:clrTo>
                          <a:srgbClr val="FFFFFF">
                            <a:alpha val="0"/>
                          </a:srgbClr>
                        </a:clrTo>
                      </a:clrChange>
                      <a:extLst>
                        <a:ext uri="{28A0092B-C50C-407E-A947-70E740481C1C}"/>
                      </a:extLst>
                    </a:blip>
                    <a:srcRect/>
                    <a:stretch>
                      <a:fillRect/>
                    </a:stretch>
                  </pic:blipFill>
                  <pic:spPr bwMode="auto">
                    <a:xfrm>
                      <a:off x="0" y="0"/>
                      <a:ext cx="6174740" cy="7975600"/>
                    </a:xfrm>
                    <a:prstGeom prst="rect">
                      <a:avLst/>
                    </a:prstGeom>
                    <a:noFill/>
                  </pic:spPr>
                </pic:pic>
              </a:graphicData>
            </a:graphic>
          </wp:anchor>
        </w:drawing>
      </w:r>
    </w:p>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BA026FA"/>
    <w:multiLevelType w:val="hybridMultilevel"/>
    <w:lvl w:ilvl="0">
      <w:lvlJc w:val="left"/>
      <w:lvlText w:val="o"/>
      <w:numFmt w:val="bullet"/>
      <w:start w:val="1"/>
    </w:lvl>
  </w:abstractNum>
  <w:abstractNum w:abstractNumId="1">
    <w:nsid w:val="79A1DEAA"/>
    <w:multiLevelType w:val="hybridMultilevel"/>
    <w:lvl w:ilvl="0">
      <w:lvlJc w:val="left"/>
      <w:lvlText w:val="x"/>
      <w:numFmt w:val="bullet"/>
      <w:start w:val="1"/>
    </w:lvl>
  </w:abstractNum>
  <w:abstractNum w:abstractNumId="2">
    <w:nsid w:val="75C6C33A"/>
    <w:multiLevelType w:val="hybridMultilevel"/>
    <w:lvl w:ilvl="0">
      <w:lvlJc w:val="left"/>
      <w:lvlText w:val="o"/>
      <w:numFmt w:val="bullet"/>
      <w:start w:val="1"/>
    </w:lvl>
    <w:lvl w:ilvl="1">
      <w:lvlJc w:val="left"/>
      <w:lvlText w:val="%2)"/>
      <w:numFmt w:val="decimal"/>
      <w:start w:val="1"/>
    </w:lvl>
  </w:abstractNum>
  <w:abstractNum w:abstractNumId="3">
    <w:nsid w:val="12E685FB"/>
    <w:multiLevelType w:val="hybridMultilevel"/>
    <w:lvl w:ilvl="0">
      <w:lvlJc w:val="left"/>
      <w:lvlText w:val="%1)"/>
      <w:numFmt w:val="decimal"/>
      <w:start w:val="1"/>
    </w:lvl>
  </w:abstractNum>
  <w:abstractNum w:abstractNumId="4">
    <w:nsid w:val="70C6A529"/>
    <w:multiLevelType w:val="hybridMultilevel"/>
    <w:lvl w:ilvl="0">
      <w:lvlJc w:val="left"/>
      <w:lvlText w:val="(%1)"/>
      <w:numFmt w:val="decimal"/>
      <w:start w:val="1"/>
    </w:lvl>
  </w:abstractNum>
  <w:abstractNum w:abstractNumId="5">
    <w:nsid w:val="520EEDD1"/>
    <w:multiLevelType w:val="hybridMultilevel"/>
    <w:lvl w:ilvl="0">
      <w:lvlJc w:val="left"/>
      <w:lvlText w:val="(%1)"/>
      <w:numFmt w:val="decimal"/>
      <w:start w:val="5"/>
    </w:lvl>
  </w:abstractNum>
  <w:abstractNum w:abstractNumId="6">
    <w:nsid w:val="374A3FE6"/>
    <w:multiLevelType w:val="hybridMultilevel"/>
    <w:lvl w:ilvl="0">
      <w:lvlJc w:val="left"/>
      <w:lvlText w:val="(%1)"/>
      <w:numFmt w:val="decimal"/>
      <w:start w:val="1"/>
    </w:lvl>
  </w:abstractNum>
  <w:abstractNum w:abstractNumId="7">
    <w:nsid w:val="4F4EF005"/>
    <w:multiLevelType w:val="hybridMultilevel"/>
    <w:lvl w:ilvl="0">
      <w:lvlJc w:val="left"/>
      <w:lvlText w:val="(%1)"/>
      <w:numFmt w:val="decimal"/>
      <w:start w:val="1"/>
    </w:lvl>
  </w:abstractNum>
  <w:abstractNum w:abstractNumId="8">
    <w:nsid w:val="23F9C13C"/>
    <w:multiLevelType w:val="hybridMultilevel"/>
    <w:lvl w:ilvl="0">
      <w:lvlJc w:val="left"/>
      <w:lvlText w:val="(%1)"/>
      <w:numFmt w:val="decimal"/>
      <w:start w:val="1"/>
    </w:lvl>
  </w:abstractNum>
  <w:abstractNum w:abstractNumId="9">
    <w:nsid w:val="649BB77C"/>
    <w:multiLevelType w:val="hybridMultilevel"/>
    <w:lvl w:ilvl="0">
      <w:lvlJc w:val="left"/>
      <w:lvlText w:val="(%1)"/>
      <w:numFmt w:val="decimal"/>
      <w:start w:val="6"/>
    </w:lvl>
  </w:abstractNum>
  <w:abstractNum w:abstractNumId="10">
    <w:nsid w:val="275AC794"/>
    <w:multiLevelType w:val="hybridMultilevel"/>
    <w:lvl w:ilvl="0">
      <w:lvlJc w:val="left"/>
      <w:lvlText w:val="(%1)"/>
      <w:numFmt w:val="decimal"/>
      <w:start w:val="1"/>
    </w:lvl>
    <w:lvl w:ilvl="1">
      <w:lvlJc w:val="left"/>
      <w:lvlText w:val="(%2)"/>
      <w:numFmt w:val="lowerRoman"/>
      <w:start w:val="1"/>
    </w:lvl>
  </w:abstractNum>
  <w:abstractNum w:abstractNumId="11">
    <w:nsid w:val="39386575"/>
    <w:multiLevelType w:val="hybridMultilevel"/>
    <w:lvl w:ilvl="0">
      <w:lvlJc w:val="left"/>
      <w:lvlText w:val="(%1)"/>
      <w:numFmt w:val="decimal"/>
      <w:start w:val="5"/>
    </w:lvl>
  </w:abstractNum>
  <w:abstractNum w:abstractNumId="12">
    <w:nsid w:val="1CF10FD8"/>
    <w:multiLevelType w:val="hybridMultilevel"/>
    <w:lvl w:ilvl="0">
      <w:lvlJc w:val="left"/>
      <w:lvlText w:val="•"/>
      <w:numFmt w:val="bullet"/>
      <w:start w:val="1"/>
    </w:lvl>
  </w:abstractNum>
  <w:abstractNum w:abstractNumId="13">
    <w:nsid w:val="180115BE"/>
    <w:multiLevelType w:val="hybridMultilevel"/>
    <w:lvl w:ilvl="0">
      <w:lvlJc w:val="left"/>
      <w:lvlText w:val="(%1)"/>
      <w:numFmt w:val="decimal"/>
      <w:start w:val="1"/>
    </w:lvl>
  </w:abstractNum>
  <w:abstractNum w:abstractNumId="14">
    <w:nsid w:val="235BA861"/>
    <w:multiLevelType w:val="hybridMultilevel"/>
    <w:lvl w:ilvl="0">
      <w:lvlJc w:val="left"/>
      <w:lvlText w:val="Ÿ"/>
      <w:numFmt w:val="bullet"/>
      <w:start w:val="1"/>
    </w:lvl>
  </w:abstractNum>
  <w:abstractNum w:abstractNumId="15">
    <w:nsid w:val="47398C89"/>
    <w:multiLevelType w:val="hybridMultilevel"/>
    <w:lvl w:ilvl="0">
      <w:lvlJc w:val="left"/>
      <w:lvlText w:val="Ÿ"/>
      <w:numFmt w:val="bullet"/>
      <w:start w:val="1"/>
    </w:lvl>
  </w:abstractNum>
  <w:abstractNum w:abstractNumId="16">
    <w:nsid w:val="354FE9F9"/>
    <w:multiLevelType w:val="hybridMultilevel"/>
    <w:lvl w:ilvl="0">
      <w:lvlJc w:val="left"/>
      <w:lvlText w:val="Ÿ"/>
      <w:numFmt w:val="bullet"/>
      <w:start w:val="1"/>
    </w:lvl>
  </w:abstractNum>
  <w:abstractNum w:abstractNumId="17">
    <w:nsid w:val="15B5AF5C"/>
    <w:multiLevelType w:val="hybridMultilevel"/>
    <w:lvl w:ilvl="0">
      <w:lvlJc w:val="left"/>
      <w:lvlText w:val="Ÿ"/>
      <w:numFmt w:val="bullet"/>
      <w:start w:val="1"/>
    </w:lvl>
  </w:abstractNum>
  <w:abstractNum w:abstractNumId="18">
    <w:nsid w:val="741226BB"/>
    <w:multiLevelType w:val="hybridMultilevel"/>
    <w:lvl w:ilvl="0">
      <w:lvlJc w:val="left"/>
      <w:lvlText w:val="Ÿ"/>
      <w:numFmt w:val="bullet"/>
      <w:start w:val="1"/>
    </w:lvl>
  </w:abstractNum>
  <w:abstractNum w:abstractNumId="19">
    <w:nsid w:val="D34B6A8"/>
    <w:multiLevelType w:val="hybridMultilevel"/>
    <w:lvl w:ilvl="0">
      <w:lvlJc w:val="left"/>
      <w:lvlText w:val="Ÿ"/>
      <w:numFmt w:val="bullet"/>
      <w:start w:val="1"/>
    </w:lvl>
  </w:abstractNum>
  <w:abstractNum w:abstractNumId="20">
    <w:nsid w:val="10233C99"/>
    <w:multiLevelType w:val="hybridMultilevel"/>
    <w:lvl w:ilvl="0">
      <w:lvlJc w:val="left"/>
      <w:lvlText w:val="Ÿ"/>
      <w:numFmt w:val="bullet"/>
      <w:start w:val="1"/>
    </w:lvl>
  </w:abstractNum>
  <w:abstractNum w:abstractNumId="21">
    <w:nsid w:val="3F6AB60F"/>
    <w:multiLevelType w:val="hybridMultilevel"/>
    <w:lvl w:ilvl="0">
      <w:lvlJc w:val="left"/>
      <w:lvlText w:val="•"/>
      <w:numFmt w:val="bullet"/>
      <w:start w:val="1"/>
    </w:lvl>
  </w:abstractNum>
  <w:abstractNum w:abstractNumId="22">
    <w:nsid w:val="61574095"/>
    <w:multiLevelType w:val="hybridMultilevel"/>
    <w:lvl w:ilvl="0">
      <w:lvlJc w:val="left"/>
      <w:lvlText w:val="▪"/>
      <w:numFmt w:val="bullet"/>
      <w:start w:val="1"/>
    </w:lvl>
  </w:abstractNum>
  <w:abstractNum w:abstractNumId="23">
    <w:nsid w:val="7E0C57B1"/>
    <w:multiLevelType w:val="hybridMultilevel"/>
    <w:lvl w:ilvl="0">
      <w:lvlJc w:val="left"/>
      <w:lvlText w:val="(%1)"/>
      <w:numFmt w:val="decimal"/>
      <w:start w:val="1"/>
    </w:lvl>
  </w:abstractNum>
  <w:abstractNum w:abstractNumId="24">
    <w:nsid w:val="77AE35EB"/>
    <w:multiLevelType w:val="hybridMultilevel"/>
    <w:lvl w:ilvl="0">
      <w:lvlJc w:val="left"/>
      <w:lvlText w:val="û"/>
      <w:numFmt w:val="bullet"/>
      <w:start w:val="1"/>
    </w:lvl>
  </w:abstractNum>
  <w:abstractNum w:abstractNumId="25">
    <w:nsid w:val="579BE4F1"/>
    <w:multiLevelType w:val="hybridMultilevel"/>
    <w:lvl w:ilvl="0">
      <w:lvlJc w:val="left"/>
      <w:lvlText w:val="▪"/>
      <w:numFmt w:val="bullet"/>
      <w:start w:val="1"/>
    </w:lvl>
  </w:abstractNum>
  <w:abstractNum w:abstractNumId="26">
    <w:nsid w:val="310C50B3"/>
    <w:multiLevelType w:val="hybridMultilevel"/>
    <w:lvl w:ilvl="0">
      <w:lvlJc w:val="left"/>
      <w:lvlText w:val="▪"/>
      <w:numFmt w:val="bullet"/>
      <w:start w:val="1"/>
    </w:lvl>
  </w:abstractNum>
  <w:abstractNum w:abstractNumId="27">
    <w:nsid w:val="5FF87E05"/>
    <w:multiLevelType w:val="hybridMultilevel"/>
    <w:lvl w:ilvl="0">
      <w:lvlJc w:val="left"/>
      <w:lvlText w:val="▪"/>
      <w:numFmt w:val="bullet"/>
      <w:start w:val="1"/>
    </w:lvl>
  </w:abstractNum>
  <w:abstractNum w:abstractNumId="28">
    <w:nsid w:val="2F305DEF"/>
    <w:multiLevelType w:val="hybridMultilevel"/>
    <w:lvl w:ilvl="0">
      <w:lvlJc w:val="left"/>
      <w:lvlText w:val="▪"/>
      <w:numFmt w:val="bullet"/>
      <w:start w:val="1"/>
    </w:lvl>
  </w:abstractNum>
  <w:abstractNum w:abstractNumId="29">
    <w:nsid w:val="25A70BF7"/>
    <w:multiLevelType w:val="hybridMultilevel"/>
    <w:lvl w:ilvl="0">
      <w:lvlJc w:val="left"/>
      <w:lvlText w:val="▪"/>
      <w:numFmt w:val="bullet"/>
      <w:start w:val="1"/>
    </w:lvl>
  </w:abstractNum>
  <w:abstractNum w:abstractNumId="30">
    <w:nsid w:val="1DBABF00"/>
    <w:multiLevelType w:val="hybridMultilevel"/>
    <w:lvl w:ilvl="0">
      <w:lvlJc w:val="left"/>
      <w:lvlText w:val="(%1)"/>
      <w:numFmt w:val="decimal"/>
      <w:start w:val="1"/>
    </w:lvl>
  </w:abstractNum>
  <w:abstractNum w:abstractNumId="31">
    <w:nsid w:val="4AD084E9"/>
    <w:multiLevelType w:val="hybridMultilevel"/>
    <w:lvl w:ilvl="0">
      <w:lvlJc w:val="left"/>
      <w:lvlText w:val="▪"/>
      <w:numFmt w:val="bullet"/>
      <w:start w:val="1"/>
    </w:lvl>
  </w:abstractNum>
  <w:abstractNum w:abstractNumId="32">
    <w:nsid w:val="1F48EAA1"/>
    <w:multiLevelType w:val="hybridMultilevel"/>
    <w:lvl w:ilvl="0">
      <w:lvlJc w:val="left"/>
      <w:lvlText w:val="(%1)"/>
      <w:numFmt w:val="decimal"/>
      <w:start w:val="1"/>
    </w:lvl>
  </w:abstractNum>
  <w:abstractNum w:abstractNumId="33">
    <w:nsid w:val="1381823A"/>
    <w:multiLevelType w:val="hybridMultilevel"/>
    <w:lvl w:ilvl="0">
      <w:lvlJc w:val="left"/>
      <w:lvlText w:val="(%1)"/>
      <w:numFmt w:val="decimal"/>
      <w:start w:val="1"/>
    </w:lvl>
  </w:abstractNum>
  <w:abstractNum w:abstractNumId="34">
    <w:nsid w:val="5DB70AE5"/>
    <w:multiLevelType w:val="hybridMultilevel"/>
    <w:lvl w:ilvl="0">
      <w:lvlJc w:val="left"/>
      <w:lvlText w:val="•"/>
      <w:numFmt w:val="bullet"/>
      <w:start w:val="1"/>
    </w:lvl>
  </w:abstractNum>
  <w:abstractNum w:abstractNumId="35">
    <w:nsid w:val="100F8FCA"/>
    <w:multiLevelType w:val="hybridMultilevel"/>
    <w:lvl w:ilvl="0">
      <w:lvlJc w:val="left"/>
      <w:lvlText w:val="(%1)"/>
      <w:numFmt w:val="lowerLetter"/>
      <w:start w:val="1"/>
    </w:lvl>
  </w:abstractNum>
  <w:abstractNum w:abstractNumId="36">
    <w:nsid w:val="6590700B"/>
    <w:multiLevelType w:val="hybridMultilevel"/>
    <w:lvl w:ilvl="0">
      <w:lvlJc w:val="left"/>
      <w:lvlText w:val="(%1)"/>
      <w:numFmt w:val="decimal"/>
      <w:start w:val="1"/>
    </w:lvl>
  </w:abstractNum>
  <w:abstractNum w:abstractNumId="37">
    <w:nsid w:val="15014ACB"/>
    <w:multiLevelType w:val="hybridMultilevel"/>
    <w:lvl w:ilvl="0">
      <w:lvlJc w:val="left"/>
      <w:lvlText w:val="%1"/>
      <w:numFmt w:val="decimal"/>
      <w:start w:val="1"/>
    </w:lvl>
    <w:lvl w:ilvl="1">
      <w:lvlJc w:val="left"/>
      <w:lvlText w:val="(%2)"/>
      <w:numFmt w:val="lowerLetter"/>
      <w:start w:val="1"/>
    </w:lvl>
  </w:abstractNum>
  <w:abstractNum w:abstractNumId="38">
    <w:nsid w:val="5F5E7FD0"/>
    <w:multiLevelType w:val="hybridMultilevel"/>
    <w:lvl w:ilvl="0">
      <w:lvlJc w:val="left"/>
      <w:lvlText w:val="(%1)"/>
      <w:numFmt w:val="decimal"/>
      <w:start w:val="2"/>
    </w:lvl>
    <w:lvl w:ilvl="1">
      <w:lvlJc w:val="left"/>
      <w:lvlText w:val="%2"/>
      <w:numFmt w:val="lowerLetter"/>
      <w:start w:val="1"/>
    </w:lvl>
  </w:abstractNum>
  <w:abstractNum w:abstractNumId="39">
    <w:nsid w:val="98A3148"/>
    <w:multiLevelType w:val="hybridMultilevel"/>
    <w:lvl w:ilvl="0">
      <w:lvlJc w:val="left"/>
      <w:lvlText w:val="%1"/>
      <w:numFmt w:val="decimal"/>
      <w:start w:val="1"/>
    </w:lvl>
    <w:lvl w:ilvl="1">
      <w:lvlJc w:val="left"/>
      <w:lvlText w:val="(%2)"/>
      <w:numFmt w:val="decimal"/>
      <w:start w:val="1"/>
    </w:lvl>
  </w:abstractNum>
  <w:abstractNum w:abstractNumId="40">
    <w:nsid w:val="799D0247"/>
    <w:multiLevelType w:val="hybridMultilevel"/>
    <w:lvl w:ilvl="0">
      <w:lvlJc w:val="left"/>
      <w:lvlText w:val="(%1)"/>
      <w:numFmt w:val="decimal"/>
      <w:start w:val="5"/>
    </w:lvl>
    <w:lvl w:ilvl="1">
      <w:lvlJc w:val="left"/>
      <w:lvlText w:val="%2"/>
      <w:numFmt w:val="decimal"/>
      <w:start w:val="1"/>
    </w:lvl>
  </w:abstractNum>
  <w:abstractNum w:abstractNumId="41">
    <w:nsid w:val="6B94764"/>
    <w:multiLevelType w:val="hybridMultilevel"/>
    <w:lvl w:ilvl="0">
      <w:lvlJc w:val="left"/>
      <w:lvlText w:val="(%1)"/>
      <w:numFmt w:val="decimal"/>
      <w:start w:val="1"/>
    </w:lvl>
  </w:abstractNum>
  <w:abstractNum w:abstractNumId="42">
    <w:nsid w:val="42C296BD"/>
    <w:multiLevelType w:val="hybridMultilevel"/>
    <w:lvl w:ilvl="0">
      <w:lvlJc w:val="left"/>
      <w:lvlText w:val="(%1)"/>
      <w:numFmt w:val="decimal"/>
      <w:start w:val="1"/>
    </w:lvl>
  </w:abstractNum>
  <w:abstractNum w:abstractNumId="43">
    <w:nsid w:val="168E121F"/>
    <w:multiLevelType w:val="hybridMultilevel"/>
    <w:lvl w:ilvl="0">
      <w:lvlJc w:val="left"/>
      <w:lvlText w:val="(%1)"/>
      <w:numFmt w:val="decimal"/>
      <w:start w:val="4"/>
    </w:lvl>
  </w:abstractNum>
  <w:abstractNum w:abstractNumId="44">
    <w:nsid w:val="1EBA5D23"/>
    <w:multiLevelType w:val="hybridMultilevel"/>
    <w:lvl w:ilvl="0">
      <w:lvlJc w:val="left"/>
      <w:lvlText w:val="(%1)"/>
      <w:numFmt w:val="decimal"/>
      <w:start w:val="1"/>
    </w:lvl>
  </w:abstractNum>
  <w:abstractNum w:abstractNumId="45">
    <w:nsid w:val="661E3F1E"/>
    <w:multiLevelType w:val="hybridMultilevel"/>
    <w:lvl w:ilvl="0">
      <w:lvlJc w:val="left"/>
      <w:lvlText w:val="(%1)"/>
      <w:numFmt w:val="lowerRoman"/>
      <w:start w:val="1"/>
    </w:lvl>
  </w:abstractNum>
  <w:abstractNum w:abstractNumId="46">
    <w:nsid w:val="5DC79EA8"/>
    <w:multiLevelType w:val="hybridMultilevel"/>
    <w:lvl w:ilvl="0">
      <w:lvlJc w:val="left"/>
      <w:lvlText w:val="•"/>
      <w:numFmt w:val="bullet"/>
      <w:start w:val="1"/>
    </w:lvl>
  </w:abstractNum>
  <w:abstractNum w:abstractNumId="47">
    <w:nsid w:val="540A471C"/>
    <w:multiLevelType w:val="hybridMultilevel"/>
    <w:lvl w:ilvl="0">
      <w:lvlJc w:val="left"/>
      <w:lvlText w:val="•"/>
      <w:numFmt w:val="bullet"/>
      <w:start w:val="1"/>
    </w:lvl>
  </w:abstractNum>
  <w:abstractNum w:abstractNumId="48">
    <w:nsid w:val="7BD3EE7B"/>
    <w:multiLevelType w:val="hybridMultilevel"/>
    <w:lvl w:ilvl="0">
      <w:lvlJc w:val="left"/>
      <w:lvlText w:val="•"/>
      <w:numFmt w:val="bullet"/>
      <w:start w:val="1"/>
    </w:lvl>
  </w:abstractNum>
  <w:abstractNum w:abstractNumId="49">
    <w:nsid w:val="51D9C564"/>
    <w:multiLevelType w:val="hybridMultilevel"/>
    <w:lvl w:ilvl="0">
      <w:lvlJc w:val="left"/>
      <w:lvlText w:val="(%1)"/>
      <w:numFmt w:val="decimal"/>
      <w:start w:val="1"/>
    </w:lvl>
  </w:abstractNum>
  <w:abstractNum w:abstractNumId="50">
    <w:nsid w:val="613EFDC5"/>
    <w:multiLevelType w:val="hybridMultilevel"/>
    <w:lvl w:ilvl="0">
      <w:lvlJc w:val="left"/>
      <w:lvlText w:val="(%1)"/>
      <w:numFmt w:val="decimal"/>
      <w:start w:val="3"/>
    </w:lvl>
  </w:abstractNum>
  <w:abstractNum w:abstractNumId="51">
    <w:nsid w:val="BF72B14"/>
    <w:multiLevelType w:val="hybridMultilevel"/>
    <w:lvl w:ilvl="0">
      <w:lvlJc w:val="left"/>
      <w:lvlText w:val="•"/>
      <w:numFmt w:val="bullet"/>
      <w:start w:val="1"/>
    </w:lvl>
  </w:abstractNum>
  <w:abstractNum w:abstractNumId="52">
    <w:nsid w:val="11447B73"/>
    <w:multiLevelType w:val="hybridMultilevel"/>
    <w:lvl w:ilvl="0">
      <w:lvlJc w:val="left"/>
      <w:lvlText w:val="(%1)"/>
      <w:numFmt w:val="decimal"/>
      <w:start w:val="1"/>
    </w:lvl>
  </w:abstractNum>
  <w:abstractNum w:abstractNumId="53">
    <w:nsid w:val="42963E5A"/>
    <w:multiLevelType w:val="hybridMultilevel"/>
    <w:lvl w:ilvl="0">
      <w:lvlJc w:val="left"/>
      <w:lvlText w:val="•"/>
      <w:numFmt w:val="bullet"/>
      <w:start w:val="1"/>
    </w:lvl>
  </w:abstractNum>
  <w:abstractNum w:abstractNumId="54">
    <w:nsid w:val="A0382C5"/>
    <w:multiLevelType w:val="hybridMultilevel"/>
    <w:lvl w:ilvl="0">
      <w:lvlJc w:val="left"/>
      <w:lvlText w:val="•"/>
      <w:numFmt w:val="bullet"/>
      <w:start w:val="1"/>
    </w:lvl>
  </w:abstractNum>
  <w:abstractNum w:abstractNumId="55">
    <w:nsid w:val="8F2B15E"/>
    <w:multiLevelType w:val="hybridMultilevel"/>
    <w:lvl w:ilvl="0">
      <w:lvlJc w:val="left"/>
      <w:lvlText w:val="(%1)"/>
      <w:numFmt w:val="lowerRoman"/>
      <w:start w:val="3"/>
    </w:lvl>
  </w:abstractNum>
  <w:abstractNum w:abstractNumId="56">
    <w:nsid w:val="1A32234B"/>
    <w:multiLevelType w:val="hybridMultilevel"/>
    <w:lvl w:ilvl="0">
      <w:lvlJc w:val="left"/>
      <w:lvlText w:val="(%1)"/>
      <w:numFmt w:val="lowerRoman"/>
      <w:start w:val="1"/>
    </w:lvl>
  </w:abstractNum>
  <w:abstractNum w:abstractNumId="57">
    <w:nsid w:val="3B0FD379"/>
    <w:multiLevelType w:val="hybridMultilevel"/>
    <w:lvl w:ilvl="0">
      <w:lvlJc w:val="left"/>
      <w:lvlText w:val="(%1)"/>
      <w:numFmt w:val="lowerRoman"/>
      <w:start w:val="7"/>
    </w:lvl>
  </w:abstractNum>
  <w:abstractNum w:abstractNumId="58">
    <w:nsid w:val="68EB2F63"/>
    <w:multiLevelType w:val="hybridMultilevel"/>
    <w:lvl w:ilvl="0">
      <w:lvlJc w:val="left"/>
      <w:lvlText w:val="(%1)"/>
      <w:numFmt w:val="lowerRoman"/>
      <w:start w:val="11"/>
    </w:lvl>
  </w:abstractNum>
  <w:abstractNum w:abstractNumId="59">
    <w:nsid w:val="4962813B"/>
    <w:multiLevelType w:val="hybridMultilevel"/>
    <w:lvl w:ilvl="0">
      <w:lvlJc w:val="left"/>
      <w:lvlText w:val="(%1)"/>
      <w:numFmt w:val="lowerRoman"/>
      <w:start w:val="13"/>
    </w:lvl>
  </w:abstractNum>
  <w:abstractNum w:abstractNumId="60">
    <w:nsid w:val="60B6DF70"/>
    <w:multiLevelType w:val="hybridMultilevel"/>
    <w:lvl w:ilvl="0">
      <w:lvlJc w:val="left"/>
      <w:lvlText w:val="•"/>
      <w:numFmt w:val="bullet"/>
      <w:start w:val="1"/>
    </w:lvl>
    <w:lvl w:ilvl="1">
      <w:lvlJc w:val="left"/>
      <w:lvlText w:val="(%2)"/>
      <w:numFmt w:val="lowerRoman"/>
      <w:start w:val="2"/>
    </w:lvl>
  </w:abstractNum>
  <w:abstractNum w:abstractNumId="61">
    <w:nsid w:val="6A5EE64"/>
    <w:multiLevelType w:val="hybridMultilevel"/>
    <w:lvl w:ilvl="0">
      <w:lvlJc w:val="left"/>
      <w:lvlText w:val="(%1)"/>
      <w:numFmt w:val="lowerRoman"/>
      <w:start w:val="3"/>
    </w:lvl>
  </w:abstractNum>
  <w:abstractNum w:abstractNumId="62">
    <w:nsid w:val="14330624"/>
    <w:multiLevelType w:val="hybridMultilevel"/>
    <w:lvl w:ilvl="0">
      <w:lvlJc w:val="left"/>
      <w:lvlText w:val="(%1)"/>
      <w:numFmt w:val="lowerRoman"/>
      <w:start w:val="5"/>
    </w:lvl>
  </w:abstractNum>
  <w:abstractNum w:abstractNumId="63">
    <w:nsid w:val="7FFFCA11"/>
    <w:multiLevelType w:val="hybridMultilevel"/>
    <w:lvl w:ilvl="0">
      <w:lvlJc w:val="left"/>
      <w:lvlText w:val="(%1)"/>
      <w:numFmt w:val="decimal"/>
      <w:start w:val="2"/>
    </w:lvl>
  </w:abstractNum>
  <w:abstractNum w:abstractNumId="64">
    <w:nsid w:val="1A27709E"/>
    <w:multiLevelType w:val="hybridMultilevel"/>
    <w:lvl w:ilvl="0">
      <w:lvlJc w:val="left"/>
      <w:lvlText w:val="•"/>
      <w:numFmt w:val="bullet"/>
      <w:start w:val="1"/>
    </w:lvl>
  </w:abstractNum>
  <w:abstractNum w:abstractNumId="65">
    <w:nsid w:val="71EA1109"/>
    <w:multiLevelType w:val="hybridMultilevel"/>
    <w:lvl w:ilvl="0">
      <w:lvlJc w:val="left"/>
      <w:lvlText w:val="•"/>
      <w:numFmt w:val="bullet"/>
      <w:start w:val="1"/>
    </w:lvl>
  </w:abstractNum>
  <w:abstractNum w:abstractNumId="66">
    <w:nsid w:val="100F59DC"/>
    <w:multiLevelType w:val="hybridMultilevel"/>
    <w:lvl w:ilvl="0">
      <w:lvlJc w:val="left"/>
      <w:lvlText w:val="(%1)"/>
      <w:numFmt w:val="decimal"/>
      <w:start w:val="1"/>
    </w:lvl>
  </w:abstractNum>
  <w:abstractNum w:abstractNumId="67">
    <w:nsid w:val="7FB7E0AA"/>
    <w:multiLevelType w:val="hybridMultilevel"/>
    <w:lvl w:ilvl="0">
      <w:lvlJc w:val="left"/>
      <w:lvlText w:val="(%1)"/>
      <w:numFmt w:val="decimal"/>
      <w:start w:val="2"/>
    </w:lvl>
  </w:abstractNum>
  <w:abstractNum w:abstractNumId="68">
    <w:nsid w:val="6EB5BD4"/>
    <w:multiLevelType w:val="hybridMultilevel"/>
    <w:lvl w:ilvl="0">
      <w:lvlJc w:val="left"/>
      <w:lvlText w:val="&amp;"/>
      <w:numFmt w:val="bullet"/>
      <w:start w:val="1"/>
    </w:lvl>
  </w:abstractNum>
  <w:abstractNum w:abstractNumId="69">
    <w:nsid w:val="6F6DD9AC"/>
    <w:multiLevelType w:val="hybridMultilevel"/>
    <w:lvl w:ilvl="0">
      <w:lvlJc w:val="left"/>
      <w:lvlText w:val="%1."/>
      <w:numFmt w:val="decimal"/>
      <w:start w:val="1"/>
    </w:lvl>
    <w:lvl w:ilvl="1">
      <w:lvlJc w:val="left"/>
      <w:lvlText w:val="(%2)"/>
      <w:numFmt w:val="lowerLetter"/>
      <w:start w:val="1"/>
    </w:lvl>
    <w:lvl w:ilvl="2">
      <w:lvlJc w:val="left"/>
      <w:lvlText w:val="(%3)"/>
      <w:numFmt w:val="decimal"/>
      <w:start w:val="1"/>
    </w:lvl>
    <w:lvl w:ilvl="3">
      <w:lvlJc w:val="left"/>
      <w:lvlText w:val="(%4)"/>
      <w:numFmt w:val="upperLetter"/>
      <w:start w:val="1"/>
    </w:lvl>
  </w:abstractNum>
  <w:abstractNum w:abstractNumId="70">
    <w:nsid w:val="94211F2"/>
    <w:multiLevelType w:val="hybridMultilevel"/>
    <w:lvl w:ilvl="0">
      <w:lvlJc w:val="left"/>
      <w:lvlText w:val="(%1)"/>
      <w:numFmt w:val="decimal"/>
      <w:start w:val="2"/>
    </w:lvl>
  </w:abstractNum>
  <w:abstractNum w:abstractNumId="71">
    <w:nsid w:val="885E1B"/>
    <w:multiLevelType w:val="hybridMultilevel"/>
    <w:lvl w:ilvl="0">
      <w:lvlJc w:val="left"/>
      <w:lvlText w:val="%1"/>
      <w:numFmt w:val="lowerLetter"/>
      <w:start w:val="1"/>
    </w:lvl>
    <w:lvl w:ilvl="1">
      <w:lvlJc w:val="left"/>
      <w:lvlText w:val="(%2)"/>
      <w:numFmt w:val="lowerLetter"/>
      <w:start w:val="7"/>
    </w:lvl>
    <w:lvl w:ilvl="2">
      <w:lvlJc w:val="left"/>
      <w:lvlText w:val="(%3)"/>
      <w:numFmt w:val="decimal"/>
      <w:start w:val="1"/>
    </w:lvl>
    <w:lvl w:ilvl="3">
      <w:lvlJc w:val="left"/>
      <w:lvlText w:val="(%4)"/>
      <w:numFmt w:val="decimal"/>
      <w:start w:val="2"/>
    </w:lvl>
  </w:abstractNum>
  <w:abstractNum w:abstractNumId="72">
    <w:nsid w:val="76272110"/>
    <w:multiLevelType w:val="hybridMultilevel"/>
    <w:lvl w:ilvl="0">
      <w:lvlJc w:val="left"/>
      <w:lvlText w:val="(%1)"/>
      <w:numFmt w:val="lowerLetter"/>
      <w:start w:val="17"/>
    </w:lvl>
    <w:lvl w:ilvl="1">
      <w:lvlJc w:val="left"/>
      <w:lvlText w:val="%2"/>
      <w:numFmt w:val="lowerLetter"/>
      <w:start w:val="1"/>
    </w:lvl>
    <w:lvl w:ilvl="2">
      <w:lvlJc w:val="left"/>
      <w:lvlText w:val="%3"/>
      <w:numFmt w:val="decimal"/>
      <w:start w:val="1"/>
    </w:lvl>
    <w:lvl w:ilvl="3">
      <w:lvlJc w:val="left"/>
      <w:lvlText w:val="%4"/>
      <w:numFmt w:val="decimal"/>
      <w:start w:val="1"/>
    </w:lvl>
  </w:abstractNum>
  <w:abstractNum w:abstractNumId="73">
    <w:nsid w:val="4C04A8AF"/>
    <w:multiLevelType w:val="hybridMultilevel"/>
    <w:lvl w:ilvl="0">
      <w:lvlJc w:val="left"/>
      <w:lvlText w:val="(%1)"/>
      <w:numFmt w:val="lowerLetter"/>
      <w:start w:val="21"/>
    </w:lvl>
  </w:abstractNum>
  <w:abstractNum w:abstractNumId="74">
    <w:nsid w:val="1716703B"/>
    <w:multiLevelType w:val="hybridMultilevel"/>
    <w:lvl w:ilvl="0">
      <w:lvlJc w:val="left"/>
      <w:lvlText w:val="%1"/>
      <w:numFmt w:val="lowerLetter"/>
      <w:start w:val="1"/>
    </w:lvl>
    <w:lvl w:ilvl="1">
      <w:lvlJc w:val="left"/>
      <w:lvlText w:val="(%2)"/>
      <w:numFmt w:val="lowerLetter"/>
      <w:start w:val="27"/>
    </w:lvl>
  </w:abstractNum>
  <w:abstractNum w:abstractNumId="75">
    <w:nsid w:val="14E17E33"/>
    <w:multiLevelType w:val="hybridMultilevel"/>
    <w:lvl w:ilvl="0">
      <w:lvlJc w:val="left"/>
      <w:lvlText w:val="(%1)"/>
      <w:numFmt w:val="lowerLetter"/>
      <w:start w:val="35"/>
    </w:lvl>
    <w:lvl w:ilvl="1">
      <w:lvlJc w:val="left"/>
      <w:lvlText w:val="(%2)"/>
      <w:numFmt w:val="lowerLetter"/>
      <w:start w:val="31"/>
    </w:lvl>
  </w:abstractNum>
  <w:abstractNum w:abstractNumId="76">
    <w:nsid w:val="3222E7CD"/>
    <w:multiLevelType w:val="hybridMultilevel"/>
    <w:lvl w:ilvl="0">
      <w:lvlJc w:val="left"/>
      <w:lvlText w:val="%1"/>
      <w:numFmt w:val="decimal"/>
      <w:start w:val="1"/>
    </w:lvl>
    <w:lvl w:ilvl="1">
      <w:lvlJc w:val="left"/>
      <w:lvlText w:val="(%2)"/>
      <w:numFmt w:val="lowerLetter"/>
      <w:start w:val="37"/>
    </w:lvl>
    <w:lvl w:ilvl="2">
      <w:lvlJc w:val="left"/>
      <w:lvlText w:val="%3"/>
      <w:numFmt w:val="decimal"/>
      <w:start w:val="1"/>
    </w:lvl>
  </w:abstractNum>
  <w:abstractNum w:abstractNumId="77">
    <w:nsid w:val="74DE0EE3"/>
    <w:multiLevelType w:val="hybridMultilevel"/>
    <w:lvl w:ilvl="0">
      <w:lvlJc w:val="left"/>
      <w:lvlText w:val="%1."/>
      <w:numFmt w:val="decimal"/>
      <w:start w:val="3"/>
    </w:lvl>
    <w:lvl w:ilvl="1">
      <w:lvlJc w:val="left"/>
      <w:lvlText w:val="(%2)"/>
      <w:numFmt w:val="lowerLetter"/>
      <w:start w:val="1"/>
    </w:lvl>
    <w:lvl w:ilvl="2">
      <w:lvlJc w:val="left"/>
      <w:lvlText w:val="(%3)"/>
      <w:numFmt w:val="decimal"/>
      <w:start w:val="1"/>
    </w:lvl>
  </w:abstractNum>
  <w:abstractNum w:abstractNumId="78">
    <w:nsid w:val="68EBC550"/>
    <w:multiLevelType w:val="hybridMultilevel"/>
    <w:lvl w:ilvl="0">
      <w:lvlJc w:val="left"/>
      <w:lvlText w:val="(%1)"/>
      <w:numFmt w:val="lowerLetter"/>
      <w:start w:val="3"/>
    </w:lvl>
  </w:abstractNum>
  <w:abstractNum w:abstractNumId="79">
    <w:nsid w:val="2DF6D648"/>
    <w:multiLevelType w:val="hybridMultilevel"/>
    <w:lvl w:ilvl="0">
      <w:lvlJc w:val="left"/>
      <w:lvlText w:val="%1."/>
      <w:numFmt w:val="decimal"/>
      <w:start w:val="4"/>
    </w:lvl>
    <w:lvl w:ilvl="1">
      <w:lvlJc w:val="left"/>
      <w:lvlText w:val="(%2)"/>
      <w:numFmt w:val="lowerLetter"/>
      <w:start w:val="1"/>
    </w:lvl>
    <w:lvl w:ilvl="2">
      <w:lvlJc w:val="left"/>
      <w:lvlText w:val="(%3)"/>
      <w:numFmt w:val="decimal"/>
      <w:start w:val="1"/>
    </w:lvl>
  </w:abstractNum>
  <w:abstractNum w:abstractNumId="80">
    <w:nsid w:val="46B7D447"/>
    <w:multiLevelType w:val="hybridMultilevel"/>
    <w:lvl w:ilvl="0">
      <w:lvlJc w:val="left"/>
      <w:lvlText w:val="%1"/>
      <w:numFmt w:val="decimal"/>
      <w:start w:val="1"/>
    </w:lvl>
    <w:lvl w:ilvl="1">
      <w:lvlJc w:val="left"/>
      <w:lvlText w:val="(%2)"/>
      <w:numFmt w:val="lowerLetter"/>
      <w:start w:val="6"/>
    </w:lvl>
    <w:lvl w:ilvl="2">
      <w:lvlJc w:val="left"/>
      <w:lvlText w:val="%3"/>
      <w:numFmt w:val="decimal"/>
      <w:start w:val="1"/>
    </w:lvl>
  </w:abstractNum>
  <w:abstractNum w:abstractNumId="81">
    <w:nsid w:val="4A2AC315"/>
    <w:multiLevelType w:val="hybridMultilevel"/>
    <w:lvl w:ilvl="0">
      <w:lvlJc w:val="left"/>
      <w:lvlText w:val="%1."/>
      <w:numFmt w:val="decimal"/>
      <w:start w:val="5"/>
    </w:lvl>
    <w:lvl w:ilvl="1">
      <w:lvlJc w:val="left"/>
      <w:lvlText w:val="(%2)"/>
      <w:numFmt w:val="lowerLetter"/>
      <w:start w:val="1"/>
    </w:lvl>
    <w:lvl w:ilvl="2">
      <w:lvlJc w:val="left"/>
      <w:lvlText w:val="(%3)"/>
      <w:numFmt w:val="decimal"/>
      <w:start w:val="1"/>
    </w:lvl>
  </w:abstractNum>
  <w:abstractNum w:abstractNumId="82">
    <w:nsid w:val="39EE015C"/>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1"/>
    </w:lvl>
    <w:lvl w:ilvl="3">
      <w:lvlJc w:val="left"/>
      <w:lvlText w:val="(%4)"/>
      <w:numFmt w:val="decimal"/>
      <w:start w:val="3"/>
    </w:lvl>
  </w:abstractNum>
  <w:abstractNum w:abstractNumId="83">
    <w:nsid w:val="57FC4FBB"/>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6"/>
    </w:lvl>
    <w:lvl w:ilvl="3">
      <w:lvlJc w:val="left"/>
      <w:lvlText w:val="%4"/>
      <w:numFmt w:val="decimal"/>
      <w:start w:val="1"/>
    </w:lvl>
  </w:abstractNum>
  <w:abstractNum w:abstractNumId="84">
    <w:nsid w:val="CC1016F"/>
    <w:multiLevelType w:val="hybridMultilevel"/>
    <w:lvl w:ilvl="0">
      <w:lvlJc w:val="left"/>
      <w:lvlText w:val="%1."/>
      <w:numFmt w:val="decimal"/>
      <w:start w:val="7"/>
    </w:lvl>
    <w:lvl w:ilvl="1">
      <w:lvlJc w:val="left"/>
      <w:lvlText w:val="(%2)"/>
      <w:numFmt w:val="lowerLetter"/>
      <w:start w:val="1"/>
    </w:lvl>
    <w:lvl w:ilvl="2">
      <w:lvlJc w:val="left"/>
      <w:lvlText w:val="%3"/>
      <w:numFmt w:val="lowerLetter"/>
      <w:start w:val="1"/>
    </w:lvl>
    <w:lvl w:ilvl="3">
      <w:lvlJc w:val="left"/>
      <w:lvlText w:val="%4"/>
      <w:numFmt w:val="decimal"/>
      <w:start w:val="1"/>
    </w:lvl>
  </w:abstractNum>
  <w:abstractNum w:abstractNumId="85">
    <w:nsid w:val="43F18422"/>
    <w:multiLevelType w:val="hybridMultilevel"/>
    <w:lvl w:ilvl="0">
      <w:lvlJc w:val="left"/>
      <w:lvlText w:val="%1"/>
      <w:numFmt w:val="decimal"/>
      <w:start w:val="1"/>
    </w:lvl>
    <w:lvl w:ilvl="1">
      <w:lvlJc w:val="left"/>
      <w:lvlText w:val="(%2)"/>
      <w:numFmt w:val="lowerLetter"/>
      <w:start w:val="2"/>
    </w:lvl>
    <w:lvl w:ilvl="2">
      <w:lvlJc w:val="left"/>
      <w:lvlText w:val="(%3)"/>
      <w:numFmt w:val="decimal"/>
      <w:start w:val="2"/>
    </w:lvl>
    <w:lvl w:ilvl="3">
      <w:lvlJc w:val="left"/>
      <w:lvlText w:val="(%4)"/>
      <w:numFmt w:val="decimal"/>
      <w:start w:val="1"/>
    </w:lvl>
  </w:abstractNum>
  <w:abstractNum w:abstractNumId="86">
    <w:nsid w:val="60EF0119"/>
    <w:multiLevelType w:val="hybridMultilevel"/>
    <w:lvl w:ilvl="0">
      <w:lvlJc w:val="left"/>
      <w:lvlText w:val="%1."/>
      <w:numFmt w:val="decimal"/>
      <w:start w:val="8"/>
    </w:lvl>
    <w:lvl w:ilvl="1">
      <w:lvlJc w:val="left"/>
      <w:lvlText w:val="%2"/>
      <w:numFmt w:val="lowerLetter"/>
      <w:start w:val="1"/>
    </w:lvl>
    <w:lvl w:ilvl="2">
      <w:lvlJc w:val="left"/>
      <w:lvlText w:val="%3"/>
      <w:numFmt w:val="decimal"/>
      <w:start w:val="1"/>
    </w:lvl>
    <w:lvl w:ilvl="3">
      <w:lvlJc w:val="left"/>
      <w:lvlText w:val="%4"/>
      <w:numFmt w:val="decimal"/>
      <w:start w:val="1"/>
    </w:lvl>
  </w:abstractNum>
  <w:abstractNum w:abstractNumId="87">
    <w:nsid w:val="26F324BA"/>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1"/>
    </w:lvl>
  </w:abstractNum>
  <w:abstractNum w:abstractNumId="88">
    <w:nsid w:val="7F01579B"/>
    <w:multiLevelType w:val="hybridMultilevel"/>
    <w:lvl w:ilvl="0">
      <w:lvlJc w:val="left"/>
      <w:lvlText w:val="%1."/>
      <w:numFmt w:val="decimal"/>
      <w:start w:val="9"/>
    </w:lvl>
    <w:lvl w:ilvl="1">
      <w:lvlJc w:val="left"/>
      <w:lvlText w:val="(%2)"/>
      <w:numFmt w:val="lowerLetter"/>
      <w:start w:val="1"/>
    </w:lvl>
    <w:lvl w:ilvl="2">
      <w:lvlJc w:val="left"/>
      <w:lvlText w:val="%3"/>
      <w:numFmt w:val="lowerLetter"/>
      <w:start w:val="1"/>
    </w:lvl>
  </w:abstractNum>
  <w:abstractNum w:abstractNumId="89">
    <w:nsid w:val="49DA307D"/>
    <w:multiLevelType w:val="hybridMultilevel"/>
    <w:lvl w:ilvl="0">
      <w:lvlJc w:val="left"/>
      <w:lvlText w:val="%1"/>
      <w:numFmt w:val="decimal"/>
      <w:start w:val="1"/>
    </w:lvl>
    <w:lvl w:ilvl="1">
      <w:lvlJc w:val="left"/>
      <w:lvlText w:val="(%2)"/>
      <w:numFmt w:val="lowerLetter"/>
      <w:start w:val="2"/>
    </w:lvl>
    <w:lvl w:ilvl="2">
      <w:lvlJc w:val="left"/>
      <w:lvlText w:val="%3"/>
      <w:numFmt w:val="lowerLetter"/>
      <w:start w:val="1"/>
    </w:lvl>
    <w:lvl w:ilvl="3">
      <w:lvlJc w:val="left"/>
      <w:lvlText w:val="%4"/>
      <w:numFmt w:val="decimal"/>
      <w:start w:val="1"/>
    </w:lvl>
  </w:abstractNum>
  <w:abstractNum w:abstractNumId="90">
    <w:nsid w:val="7055A5F5"/>
    <w:multiLevelType w:val="hybridMultilevel"/>
    <w:lvl w:ilvl="0">
      <w:lvlJc w:val="left"/>
      <w:lvlText w:val="%1."/>
      <w:numFmt w:val="decimal"/>
      <w:start w:val="10"/>
    </w:lvl>
    <w:lvl w:ilvl="1">
      <w:lvlJc w:val="left"/>
      <w:lvlText w:val="%2"/>
      <w:numFmt w:val="lowerLetter"/>
      <w:start w:val="1"/>
    </w:lvl>
    <w:lvl w:ilvl="2">
      <w:lvlJc w:val="left"/>
      <w:lvlText w:val="(%3)"/>
      <w:numFmt w:val="lowerLetter"/>
      <w:start w:val="1"/>
    </w:lvl>
    <w:lvl w:ilvl="3">
      <w:lvlJc w:val="left"/>
      <w:lvlText w:val="(%4)"/>
      <w:numFmt w:val="decimal"/>
      <w:start w:val="1"/>
    </w:lvl>
  </w:abstractNum>
  <w:abstractNum w:abstractNumId="91">
    <w:nsid w:val="5FB8370B"/>
    <w:multiLevelType w:val="hybridMultilevel"/>
    <w:lvl w:ilvl="0">
      <w:lvlJc w:val="left"/>
      <w:lvlText w:val="(%1)"/>
      <w:numFmt w:val="decimal"/>
      <w:start w:val="1"/>
    </w:lvl>
    <w:lvl w:ilvl="1">
      <w:lvlJc w:val="left"/>
      <w:lvlText w:val="(%2)"/>
      <w:numFmt w:val="decimal"/>
      <w:start w:val="2"/>
    </w:lvl>
  </w:abstractNum>
  <w:abstractNum w:abstractNumId="92">
    <w:nsid w:val="50801EE1"/>
    <w:multiLevelType w:val="hybridMultilevel"/>
    <w:lvl w:ilvl="0">
      <w:lvlJc w:val="left"/>
      <w:lvlText w:val="(%1)"/>
      <w:numFmt w:val="lowerLetter"/>
      <w:start w:val="9"/>
    </w:lvl>
    <w:lvl w:ilvl="1">
      <w:lvlJc w:val="left"/>
      <w:lvlText w:val="(%2)"/>
      <w:numFmt w:val="lowerLetter"/>
      <w:start w:val="3"/>
    </w:lvl>
  </w:abstractNum>
  <w:abstractNum w:abstractNumId="93">
    <w:nsid w:val="488AC1A"/>
    <w:multiLevelType w:val="hybridMultilevel"/>
    <w:lvl w:ilvl="0">
      <w:lvlJc w:val="left"/>
      <w:lvlText w:val="%1"/>
      <w:numFmt w:val="lowerRoman"/>
      <w:start w:val="1"/>
    </w:lvl>
    <w:lvl w:ilvl="1">
      <w:lvlJc w:val="left"/>
      <w:lvlText w:val="(%2)"/>
      <w:numFmt w:val="decimal"/>
      <w:start w:val="1"/>
    </w:lvl>
  </w:abstractNum>
  <w:abstractNum w:abstractNumId="94">
    <w:nsid w:val="5FB8011C"/>
    <w:multiLevelType w:val="hybridMultilevel"/>
    <w:lvl w:ilvl="0">
      <w:lvlJc w:val="left"/>
      <w:lvlText w:val="(%1)"/>
      <w:numFmt w:val="lowerRoman"/>
      <w:start w:val="1"/>
    </w:lvl>
    <w:lvl w:ilvl="1">
      <w:lvlJc w:val="left"/>
      <w:lvlText w:val="(%2)"/>
      <w:numFmt w:val="decimal"/>
      <w:start w:val="2"/>
    </w:lvl>
  </w:abstractNum>
  <w:abstractNum w:abstractNumId="95">
    <w:nsid w:val="6AA78F7F"/>
    <w:multiLevelType w:val="hybridMultilevel"/>
    <w:lvl w:ilvl="0">
      <w:lvlJc w:val="left"/>
      <w:lvlText w:val="%1."/>
      <w:numFmt w:val="decimal"/>
      <w:start w:val="13"/>
    </w:lvl>
    <w:lvl w:ilvl="1">
      <w:lvlJc w:val="left"/>
      <w:lvlText w:val="(%2)"/>
      <w:numFmt w:val="lowerLetter"/>
      <w:start w:val="1"/>
    </w:lvl>
  </w:abstractNum>
  <w:abstractNum w:abstractNumId="96">
    <w:nsid w:val="7672BD23"/>
    <w:multiLevelType w:val="hybridMultilevel"/>
    <w:lvl w:ilvl="0">
      <w:lvlJc w:val="left"/>
      <w:lvlText w:val="%1"/>
      <w:numFmt w:val="lowerLetter"/>
      <w:start w:val="1"/>
    </w:lvl>
    <w:lvl w:ilvl="1">
      <w:lvlJc w:val="left"/>
      <w:lvlText w:val="(%2)"/>
      <w:numFmt w:val="lowerLetter"/>
      <w:start w:val="4"/>
    </w:lvl>
  </w:abstractNum>
  <w:abstractNum w:abstractNumId="97">
    <w:nsid w:val="6FC75AF8"/>
    <w:multiLevelType w:val="hybridMultilevel"/>
    <w:lvl w:ilvl="0">
      <w:lvlJc w:val="left"/>
      <w:lvlText w:val="(%1)"/>
      <w:numFmt w:val="lowerLetter"/>
      <w:start w:val="9"/>
    </w:lvl>
    <w:lvl w:ilvl="1">
      <w:lvlJc w:val="left"/>
      <w:lvlText w:val="%2"/>
      <w:numFmt w:val="lowerLetter"/>
      <w:start w:val="1"/>
    </w:lvl>
  </w:abstractNum>
  <w:abstractNum w:abstractNumId="98">
    <w:nsid w:val="6A5F7029"/>
    <w:multiLevelType w:val="hybridMultilevel"/>
    <w:lvl w:ilvl="0">
      <w:lvlJc w:val="left"/>
      <w:lvlText w:val="%1."/>
      <w:numFmt w:val="decimal"/>
      <w:start w:val="16"/>
    </w:lvl>
    <w:lvl w:ilvl="1">
      <w:lvlJc w:val="left"/>
      <w:lvlText w:val="(%2)"/>
      <w:numFmt w:val="lowerLetter"/>
      <w:start w:val="1"/>
    </w:lvl>
  </w:abstractNum>
  <w:abstractNum w:abstractNumId="99">
    <w:nsid w:val="7D5E18F8"/>
    <w:multiLevelType w:val="hybridMultilevel"/>
    <w:lvl w:ilvl="0">
      <w:lvlJc w:val="left"/>
      <w:lvlText w:val="(%1)"/>
      <w:numFmt w:val="decimal"/>
      <w:start w:val="1"/>
    </w:lvl>
  </w:abstractNum>
  <w:abstractNum w:abstractNumId="100">
    <w:nsid w:val="5F3534A4"/>
    <w:multiLevelType w:val="hybridMultilevel"/>
    <w:lvl w:ilvl="0">
      <w:lvlJc w:val="left"/>
      <w:lvlText w:val="(%1)"/>
      <w:numFmt w:val="lowerLetter"/>
      <w:start w:val="8"/>
    </w:lvl>
    <w:lvl w:ilvl="1">
      <w:lvlJc w:val="left"/>
      <w:lvlText w:val="(%2)"/>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jpeg"/><Relationship Id="rId21" Type="http://schemas.openxmlformats.org/officeDocument/2006/relationships/image" Target="media/image14.png"/><Relationship Id="rId22" Type="http://schemas.openxmlformats.org/officeDocument/2006/relationships/image" Target="media/image15.jpeg"/><Relationship Id="rId23" Type="http://schemas.openxmlformats.org/officeDocument/2006/relationships/image" Target="media/image16.png"/><Relationship Id="rId24" Type="http://schemas.openxmlformats.org/officeDocument/2006/relationships/image" Target="media/image17.jpe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jpe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jpe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jpe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jpe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jpeg"/><Relationship Id="rId54" Type="http://schemas.openxmlformats.org/officeDocument/2006/relationships/image" Target="media/image47.png"/><Relationship Id="rId55" Type="http://schemas.openxmlformats.org/officeDocument/2006/relationships/image" Target="media/image48.jpeg"/><Relationship Id="rId56" Type="http://schemas.openxmlformats.org/officeDocument/2006/relationships/image" Target="media/image49.png"/><Relationship Id="rId57" Type="http://schemas.openxmlformats.org/officeDocument/2006/relationships/image" Target="media/image50.jpeg"/><Relationship Id="rId58" Type="http://schemas.openxmlformats.org/officeDocument/2006/relationships/image" Target="media/image51.png"/><Relationship Id="rId59" Type="http://schemas.openxmlformats.org/officeDocument/2006/relationships/image" Target="media/image52.jpe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jpeg"/><Relationship Id="rId63" Type="http://schemas.openxmlformats.org/officeDocument/2006/relationships/image" Target="media/image56.png"/><Relationship Id="rId64" Type="http://schemas.openxmlformats.org/officeDocument/2006/relationships/image" Target="media/image57.jpe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jpe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jpe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jpe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jpe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jpe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jpe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jpe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jpe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jpe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jpe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jpe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jpeg"/><Relationship Id="rId127" Type="http://schemas.openxmlformats.org/officeDocument/2006/relationships/image" Target="media/image120.png"/><Relationship Id="rId128" Type="http://schemas.openxmlformats.org/officeDocument/2006/relationships/image" Target="media/image121.jpe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jpe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jpe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jpeg"/><Relationship Id="rId148" Type="http://schemas.openxmlformats.org/officeDocument/2006/relationships/image" Target="media/image141.png"/><Relationship Id="rId149" Type="http://schemas.openxmlformats.org/officeDocument/2006/relationships/image" Target="media/image142.jpe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jpe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jpe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jpe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jpe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jpeg"/><Relationship Id="rId175" Type="http://schemas.openxmlformats.org/officeDocument/2006/relationships/image" Target="media/image168.png"/><Relationship Id="rId176" Type="http://schemas.openxmlformats.org/officeDocument/2006/relationships/image" Target="media/image169.jpe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jpe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jpe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jpe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jpeg"/><Relationship Id="rId191" Type="http://schemas.openxmlformats.org/officeDocument/2006/relationships/image" Target="media/image184.png"/><Relationship Id="rId192" Type="http://schemas.openxmlformats.org/officeDocument/2006/relationships/image" Target="media/image185.jpeg"/><Relationship Id="rId193" Type="http://schemas.openxmlformats.org/officeDocument/2006/relationships/image" Target="media/image186.png"/><Relationship Id="rId194" Type="http://schemas.openxmlformats.org/officeDocument/2006/relationships/image" Target="media/image187.jpeg"/><Relationship Id="rId195" Type="http://schemas.openxmlformats.org/officeDocument/2006/relationships/image" Target="media/image188.png"/><Relationship Id="rId196" Type="http://schemas.openxmlformats.org/officeDocument/2006/relationships/image" Target="media/image189.jpeg"/><Relationship Id="rId197" Type="http://schemas.openxmlformats.org/officeDocument/2006/relationships/image" Target="media/image190.png"/><Relationship Id="rId198" Type="http://schemas.openxmlformats.org/officeDocument/2006/relationships/image" Target="media/image191.jpeg"/><Relationship Id="rId199" Type="http://schemas.openxmlformats.org/officeDocument/2006/relationships/image" Target="media/image192.png"/><Relationship Id="rId200" Type="http://schemas.openxmlformats.org/officeDocument/2006/relationships/image" Target="media/image193.jpeg"/><Relationship Id="rId201" Type="http://schemas.openxmlformats.org/officeDocument/2006/relationships/image" Target="media/image194.png"/><Relationship Id="rId202" Type="http://schemas.openxmlformats.org/officeDocument/2006/relationships/image" Target="media/image195.jpe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jpe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jpe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jpe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jpeg"/><Relationship Id="rId218" Type="http://schemas.openxmlformats.org/officeDocument/2006/relationships/image" Target="media/image211.jpeg"/><Relationship Id="rId219" Type="http://schemas.openxmlformats.org/officeDocument/2006/relationships/image" Target="media/image212.jpeg"/><Relationship Id="rId220" Type="http://schemas.openxmlformats.org/officeDocument/2006/relationships/image" Target="media/image213.jpeg"/><Relationship Id="rId221" Type="http://schemas.openxmlformats.org/officeDocument/2006/relationships/image" Target="media/image214.jpeg"/><Relationship Id="rId222" Type="http://schemas.openxmlformats.org/officeDocument/2006/relationships/image" Target="media/image215.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2019-12-05T10:33:33Z</dcterms:created>
  <dcterms:modified xsi:type="dcterms:W3CDTF">2019-12-05T10:33:33Z</dcterms:modified>
</cp:coreProperties>
</file>