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Winnebago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974637100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ILLINOIS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BD</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29,778.00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0.11 %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974637100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ILLINOIS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29,778.00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29,778.00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29,778.00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Winnebago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2519"/>
        <w:spacing w:after="0"/>
        <w:rPr>
          <w:sz w:val="20"/>
          <w:szCs w:val="20"/>
          <w:color w:val="auto"/>
        </w:rPr>
      </w:pPr>
      <w:r>
        <w:rPr>
          <w:rFonts w:ascii="Times New Roman" w:cs="Times New Roman" w:eastAsia="Times New Roman" w:hAnsi="Times New Roman"/>
          <w:sz w:val="22"/>
          <w:szCs w:val="22"/>
          <w:color w:val="auto"/>
        </w:rPr>
        <w:t>Attn: Legal Department, 13200 Pioneer Trail, Eden Prairie, MN 55347, USA</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620"/>
        <w:spacing w:after="0" w:line="256" w:lineRule="auto"/>
        <w:rPr>
          <w:sz w:val="20"/>
          <w:szCs w:val="20"/>
          <w:color w:val="auto"/>
        </w:rPr>
      </w:pPr>
      <w:r>
        <w:rPr>
          <w:rFonts w:ascii="Times New Roman" w:cs="Times New Roman" w:eastAsia="Times New Roman" w:hAnsi="Times New Roman"/>
          <w:sz w:val="22"/>
          <w:szCs w:val="22"/>
          <w:color w:val="auto"/>
        </w:rPr>
        <w:t>First Trust Portfolios L.P. First Trust Advisors L.P. The Charger Corporation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120 East Liberty Drive, Suite 400, Wheaton, Illinois 60187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Illinois, USA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974637100</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29,778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0.11 %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ind w:left="920" w:right="6240" w:firstLine="6"/>
        <w:spacing w:after="0" w:line="486" w:lineRule="auto"/>
        <w:tabs>
          <w:tab w:leader="none" w:pos="123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29,778</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120" w:firstLine="6"/>
        <w:spacing w:after="0" w:line="486" w:lineRule="auto"/>
        <w:tabs>
          <w:tab w:leader="none" w:pos="128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29,778</w:t>
      </w:r>
    </w:p>
    <w:p>
      <w:pPr>
        <w:spacing w:after="0" w:line="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w:t>
      </w:r>
    </w:p>
    <w:p>
      <w:pPr>
        <w:sectPr>
          <w:pgSz w:w="11900" w:h="16838" w:orient="portrait"/>
          <w:cols w:equalWidth="0" w:num="1">
            <w:col w:w="11140"/>
          </w:cols>
          <w:pgMar w:left="360" w:top="112" w:right="3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3"/>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proceeds from the sale of, such securities, a statement to that effect should be included in response to this item and, if</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such interest relates to more than 5 percent of the class, such person should be identified. A listing of the shareholders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of an investment company registered under the Investment Company Act of 1940 or the beneficiaries of employee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benefit plan, pension fund or endowment fund is not required.</w:t>
            </w:r>
          </w:p>
        </w:tc>
        <w:tc>
          <w:tcPr>
            <w:tcW w:w="0" w:type="dxa"/>
            <w:vAlign w:val="bottom"/>
          </w:tcPr>
          <w:p>
            <w:pPr>
              <w:spacing w:after="0"/>
              <w:rPr>
                <w:sz w:val="1"/>
                <w:szCs w:val="1"/>
                <w:color w:val="auto"/>
              </w:rPr>
            </w:pPr>
          </w:p>
        </w:tc>
      </w:tr>
      <w:tr>
        <w:trPr>
          <w:trHeight w:val="690"/>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This Schedule 13G filing is jointly filed by The Charger Corporation, First Trust Portfolios L.P. and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pursuant to Rule 13d-1(k)(1). The Charger Corporation is the General Partner of both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7"/>
              </w:rPr>
              <w:t>Portfolios L.P. and First Trust Advisors L.P. First Trust Portfolios L.P. acts as sponsor of certain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which hold shares of the issuer. The total number of shares of the issuer held by these unit investment trusts is set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forth in Row (8) above with respect to First Trust Portfolios L.P. No individual unit investment trust sponsored by</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Portfolios L.P. holds more than 3% of any registered investment company issuer's shares.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Advisors L.P., an affiliate of First Trust Portfolios L.P., acts as portfolio supervisor of the unit investment trusts</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sponsored by First Trust Portfolios L.P., certain of which hold shares of the issuer. Neither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First Trust Advisors L.P. nor The Charger Corporation have the power to vote the shares of the issuer held by these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unit investment trusts sponsored by First Trust Portfolios L.P. These shares are voted by the trustee of such unit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investment trusts so as to insure that the shares are ordinarily voted as closely as possible in the same manner and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the same general proportion as are the shares held by owners other than such unit investment trusts. Subject to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requirements of Rule 12d1-4 under the Investment Company Act of 1940 and as further explained in the Standard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Terms and Conditions of Trust and related Trust Agreements of the unit investment trusts, First Trust Portfolios L.P.,</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on behalf of the unit investment trusts, may enter into an agreement with a deposited fund which may permit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shares of such fund to be voted in the best interest of unit holders at the discretion of First Trust Portfolios L.P.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difference, if any, between the aggregate amount of shares beneficially owned by each reporting person, as set forth</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 Row (9) above, and the number of shares of the issuer held by the unit investment trusts sponsored by First Trust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9"/>
              </w:rPr>
              <w:t>Portfolios L.P. represents shares of the issuer which are either held in other registered investment companies, pooled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investment vehicles and/or separately managed accounts for which First Trust Advisors L.P. serves as investment</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w w:val="98"/>
              </w:rPr>
              <w:t>advisor and/or investment sub-advisor. Each of First Trust Portfolios L.P., First Trust Advisors L.P. and The Charger</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Corporation disclaims beneficial ownership of the shares of the issuer identified in this filing.</w:t>
            </w:r>
          </w:p>
        </w:tc>
        <w:tc>
          <w:tcPr>
            <w:tcW w:w="0" w:type="dxa"/>
            <w:vAlign w:val="bottom"/>
          </w:tcPr>
          <w:p>
            <w:pPr>
              <w:spacing w:after="0"/>
              <w:rPr>
                <w:sz w:val="1"/>
                <w:szCs w:val="1"/>
                <w:color w:val="auto"/>
              </w:rPr>
            </w:pPr>
          </w:p>
        </w:tc>
      </w:tr>
      <w:tr>
        <w:trPr>
          <w:trHeight w:val="258"/>
        </w:trPr>
        <w:tc>
          <w:tcPr>
            <w:tcW w:w="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Item 7.</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w:t>
            </w:r>
          </w:p>
        </w:tc>
        <w:tc>
          <w:tcPr>
            <w:tcW w:w="0" w:type="dxa"/>
            <w:vAlign w:val="bottom"/>
          </w:tcPr>
          <w:p>
            <w:pPr>
              <w:spacing w:after="0"/>
              <w:rPr>
                <w:sz w:val="1"/>
                <w:szCs w:val="1"/>
                <w:color w:val="auto"/>
              </w:rPr>
            </w:pPr>
          </w:p>
        </w:tc>
      </w:tr>
      <w:tr>
        <w:trPr>
          <w:trHeight w:val="161"/>
        </w:trPr>
        <w:tc>
          <w:tcPr>
            <w:tcW w:w="820" w:type="dxa"/>
            <w:vAlign w:val="bottom"/>
            <w:vMerge w:val="continue"/>
          </w:tcPr>
          <w:p>
            <w:pPr>
              <w:spacing w:after="0"/>
              <w:rPr>
                <w:sz w:val="13"/>
                <w:szCs w:val="13"/>
                <w:color w:val="auto"/>
              </w:rPr>
            </w:pPr>
          </w:p>
        </w:tc>
        <w:tc>
          <w:tcPr>
            <w:tcW w:w="1032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Holding Company or Control Person.</w:t>
            </w:r>
          </w:p>
        </w:tc>
        <w:tc>
          <w:tcPr>
            <w:tcW w:w="0" w:type="dxa"/>
            <w:vAlign w:val="bottom"/>
          </w:tcPr>
          <w:p>
            <w:pPr>
              <w:spacing w:after="0"/>
              <w:rPr>
                <w:sz w:val="1"/>
                <w:szCs w:val="1"/>
                <w:color w:val="auto"/>
              </w:rPr>
            </w:pPr>
          </w:p>
        </w:tc>
      </w:tr>
      <w:tr>
        <w:trPr>
          <w:trHeight w:val="121"/>
        </w:trPr>
        <w:tc>
          <w:tcPr>
            <w:tcW w:w="820" w:type="dxa"/>
            <w:vAlign w:val="bottom"/>
          </w:tcPr>
          <w:p>
            <w:pPr>
              <w:spacing w:after="0"/>
              <w:rPr>
                <w:sz w:val="10"/>
                <w:szCs w:val="10"/>
                <w:color w:val="auto"/>
              </w:rPr>
            </w:pPr>
          </w:p>
        </w:tc>
        <w:tc>
          <w:tcPr>
            <w:tcW w:w="10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8"/>
              </w:rPr>
              <w:t>If a parent holding company has filed this schedule, pursuant to Rule 13d-1(b)(ii)(G), so indicate under Item 3(g) and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attach an exhibit stating the identity and the Item 3 classification of the relevant subsidiary. If a parent holding</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company has filed this schedule pursuant to Rule 13d-1(c) or Rule 13d-1(d), attach an exhibit stating the</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of the relevant subsidiary.</w:t>
            </w:r>
          </w:p>
        </w:tc>
        <w:tc>
          <w:tcPr>
            <w:tcW w:w="0" w:type="dxa"/>
            <w:vAlign w:val="bottom"/>
          </w:tcPr>
          <w:p>
            <w:pPr>
              <w:spacing w:after="0"/>
              <w:rPr>
                <w:sz w:val="1"/>
                <w:szCs w:val="1"/>
                <w:color w:val="auto"/>
              </w:rPr>
            </w:pPr>
          </w:p>
        </w:tc>
      </w:tr>
      <w:tr>
        <w:trPr>
          <w:trHeight w:val="729"/>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See Item 6.</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8.</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9.</w:t>
            </w: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Notice of Dissolution of Group.</w:t>
            </w:r>
          </w:p>
        </w:tc>
        <w:tc>
          <w:tcPr>
            <w:tcW w:w="0" w:type="dxa"/>
            <w:vAlign w:val="bottom"/>
          </w:tcPr>
          <w:p>
            <w:pPr>
              <w:spacing w:after="0"/>
              <w:rPr>
                <w:sz w:val="1"/>
                <w:szCs w:val="1"/>
                <w:color w:val="auto"/>
              </w:rPr>
            </w:pPr>
          </w:p>
        </w:tc>
      </w:tr>
      <w:tr>
        <w:trPr>
          <w:trHeight w:val="297"/>
        </w:trPr>
        <w:tc>
          <w:tcPr>
            <w:tcW w:w="820" w:type="dxa"/>
            <w:vAlign w:val="bottom"/>
          </w:tcPr>
          <w:p>
            <w:pPr>
              <w:spacing w:after="0"/>
              <w:rPr>
                <w:sz w:val="24"/>
                <w:szCs w:val="24"/>
                <w:color w:val="auto"/>
              </w:rPr>
            </w:pPr>
          </w:p>
        </w:tc>
        <w:tc>
          <w:tcPr>
            <w:tcW w:w="103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Not Applicable</w:t>
            </w:r>
          </w:p>
        </w:tc>
        <w:tc>
          <w:tcPr>
            <w:tcW w:w="0" w:type="dxa"/>
            <w:vAlign w:val="bottom"/>
          </w:tcPr>
          <w:p>
            <w:pPr>
              <w:spacing w:after="0"/>
              <w:rPr>
                <w:sz w:val="1"/>
                <w:szCs w:val="1"/>
                <w:color w:val="auto"/>
              </w:rPr>
            </w:pPr>
          </w:p>
        </w:tc>
      </w:tr>
      <w:tr>
        <w:trPr>
          <w:trHeight w:val="567"/>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Item 10.</w:t>
            </w: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Certifications:</w:t>
            </w:r>
          </w:p>
        </w:tc>
        <w:tc>
          <w:tcPr>
            <w:tcW w:w="0" w:type="dxa"/>
            <w:vAlign w:val="bottom"/>
          </w:tcPr>
          <w:p>
            <w:pPr>
              <w:spacing w:after="0"/>
              <w:rPr>
                <w:sz w:val="1"/>
                <w:szCs w:val="1"/>
                <w:color w:val="auto"/>
              </w:rPr>
            </w:pPr>
          </w:p>
        </w:tc>
      </w:tr>
      <w:tr>
        <w:trPr>
          <w:trHeight w:val="258"/>
        </w:trPr>
        <w:tc>
          <w:tcPr>
            <w:tcW w:w="820" w:type="dxa"/>
            <w:vAlign w:val="bottom"/>
          </w:tcPr>
          <w:p>
            <w:pPr>
              <w:spacing w:after="0"/>
              <w:rPr>
                <w:sz w:val="22"/>
                <w:szCs w:val="22"/>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acquired</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w w:val="99"/>
              </w:rPr>
              <w:t>and are held in the ordinary course of business and were not acquired and are not held for the purpose of or with the</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w:t>
            </w:r>
          </w:p>
        </w:tc>
        <w:tc>
          <w:tcPr>
            <w:tcW w:w="0" w:type="dxa"/>
            <w:vAlign w:val="bottom"/>
          </w:tcPr>
          <w:p>
            <w:pPr>
              <w:spacing w:after="0"/>
              <w:rPr>
                <w:sz w:val="1"/>
                <w:szCs w:val="1"/>
                <w:color w:val="auto"/>
              </w:rPr>
            </w:pPr>
          </w:p>
        </w:tc>
      </w:tr>
      <w:tr>
        <w:trPr>
          <w:trHeight w:val="243"/>
        </w:trPr>
        <w:tc>
          <w:tcPr>
            <w:tcW w:w="820" w:type="dxa"/>
            <w:vAlign w:val="bottom"/>
          </w:tcPr>
          <w:p>
            <w:pPr>
              <w:spacing w:after="0"/>
              <w:rPr>
                <w:sz w:val="21"/>
                <w:szCs w:val="21"/>
                <w:color w:val="auto"/>
              </w:rPr>
            </w:pPr>
          </w:p>
        </w:tc>
        <w:tc>
          <w:tcPr>
            <w:tcW w:w="103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w:t>
            </w:r>
          </w:p>
        </w:tc>
        <w:tc>
          <w:tcPr>
            <w:tcW w:w="0" w:type="dxa"/>
            <w:vAlign w:val="bottom"/>
          </w:tcPr>
          <w:p>
            <w:pPr>
              <w:spacing w:after="0"/>
              <w:rPr>
                <w:sz w:val="1"/>
                <w:szCs w:val="1"/>
                <w:color w:val="auto"/>
              </w:rPr>
            </w:pPr>
          </w:p>
        </w:tc>
      </w:tr>
      <w:tr>
        <w:trPr>
          <w:trHeight w:val="282"/>
        </w:trPr>
        <w:tc>
          <w:tcPr>
            <w:tcW w:w="820" w:type="dxa"/>
            <w:vAlign w:val="bottom"/>
          </w:tcPr>
          <w:p>
            <w:pPr>
              <w:spacing w:after="0"/>
              <w:rPr>
                <w:sz w:val="24"/>
                <w:szCs w:val="24"/>
                <w:color w:val="auto"/>
              </w:rPr>
            </w:pPr>
          </w:p>
        </w:tc>
        <w:tc>
          <w:tcPr>
            <w:tcW w:w="103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connection with a nomination under ?? 240.14a-11.</w:t>
            </w:r>
          </w:p>
        </w:tc>
        <w:tc>
          <w:tcPr>
            <w:tcW w:w="0" w:type="dxa"/>
            <w:vAlign w:val="bottom"/>
          </w:tcPr>
          <w:p>
            <w:pPr>
              <w:spacing w:after="0"/>
              <w:rPr>
                <w:sz w:val="1"/>
                <w:szCs w:val="1"/>
                <w:color w:val="auto"/>
              </w:rPr>
            </w:pPr>
          </w:p>
        </w:tc>
      </w:tr>
    </w:tbl>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5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22"/>
          <w:szCs w:val="22"/>
          <w:color w:val="auto"/>
        </w:rPr>
        <w:t>First Trust Advisors L.P.</w:t>
      </w:r>
    </w:p>
    <w:p>
      <w:pPr>
        <w:spacing w:after="0" w:line="152"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spacing w:after="0" w:line="44"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color w:val="auto"/>
        </w:rPr>
        <w:t>Name/Title: James M. Dykas, Chief Financial Officer</w:t>
      </w:r>
    </w:p>
    <w:p>
      <w:pPr>
        <w:spacing w:after="0" w:line="44" w:lineRule="exact"/>
        <w:rPr>
          <w:sz w:val="20"/>
          <w:szCs w:val="20"/>
          <w:color w:val="auto"/>
        </w:rPr>
      </w:pPr>
    </w:p>
    <w:p>
      <w:pPr>
        <w:ind w:left="4840"/>
        <w:spacing w:after="0"/>
        <w:tabs>
          <w:tab w:leader="none" w:pos="5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ectPr>
          <w:pgSz w:w="11900" w:h="16838" w:orient="portrait"/>
          <w:cols w:equalWidth="0" w:num="1">
            <w:col w:w="11140"/>
          </w:cols>
          <w:pgMar w:left="360" w:top="102" w:right="399" w:bottom="0" w:gutter="0" w:footer="0" w:header="0"/>
        </w:sectPr>
      </w:pPr>
    </w:p>
    <w:bookmarkStart w:id="5" w:name="page6"/>
    <w:bookmarkEnd w:id="5"/>
    <w:p>
      <w:pPr>
        <w:ind w:left="23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153"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James M. Dykas</w:t>
      </w:r>
    </w:p>
    <w:p>
      <w:pPr>
        <w:jc w:val="right"/>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James M. Dykas, Chief Financial Officer and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Treasurer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3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Please see Exhibit 99.1 for Joint Filing Agreement</w:t>
      </w:r>
    </w:p>
    <w:p>
      <w:pPr>
        <w:sectPr>
          <w:pgSz w:w="11900" w:h="16838" w:orient="portrait"/>
          <w:cols w:equalWidth="0" w:num="1">
            <w:col w:w="10660"/>
          </w:cols>
          <w:pgMar w:left="360" w:top="111" w:right="87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Exhibit 99.1 - Joint Filing Agreement</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undersigned hereby agree that they are filing this statement jointly pursuant to Rule 13d-1(k)(1). 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In accordance with Rule 13d-1(k)(1) promulgated under the Securities and Exchange Act of 1934, as amended, the undersigned hereby agree to the joint filing with each other on behalf of each of them of such a statement on Schedule 13G and any amendments thereto with respect to the equity securities (as defined in Rule 13d-1(i)) of the issuer, beneficially owned by each of them. This Joint Filing Agreement shall be included as an exhibit to such Schedule 13G and any amendments thereto.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28, 2025</w:t>
      </w:r>
    </w:p>
    <w:p>
      <w:pPr>
        <w:spacing w:after="0" w:line="200" w:lineRule="exact"/>
        <w:rPr>
          <w:sz w:val="20"/>
          <w:szCs w:val="20"/>
          <w:color w:val="auto"/>
        </w:rPr>
      </w:pPr>
    </w:p>
    <w:p>
      <w:pPr>
        <w:spacing w:after="0" w:line="2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Portfolios L.P.,</w:t>
      </w:r>
    </w:p>
    <w:p>
      <w:pPr>
        <w:spacing w:after="0" w:line="4"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22"/>
          <w:szCs w:val="22"/>
          <w:color w:val="auto"/>
        </w:rPr>
        <w:t>First Trust Advisors L.P. and</w:t>
      </w:r>
    </w:p>
    <w:p>
      <w:pPr>
        <w:ind w:left="5480"/>
        <w:spacing w:after="0"/>
        <w:rPr>
          <w:sz w:val="20"/>
          <w:szCs w:val="20"/>
          <w:color w:val="auto"/>
        </w:rPr>
      </w:pPr>
      <w:r>
        <w:rPr>
          <w:rFonts w:ascii="Times New Roman" w:cs="Times New Roman" w:eastAsia="Times New Roman" w:hAnsi="Times New Roman"/>
          <w:sz w:val="22"/>
          <w:szCs w:val="22"/>
          <w:color w:val="auto"/>
        </w:rPr>
        <w:t>The Charger Corporation</w:t>
      </w:r>
    </w:p>
    <w:p>
      <w:pPr>
        <w:spacing w:after="0" w:line="209" w:lineRule="exact"/>
        <w:rPr>
          <w:sz w:val="20"/>
          <w:szCs w:val="20"/>
          <w:color w:val="auto"/>
        </w:rPr>
      </w:pPr>
    </w:p>
    <w:tbl>
      <w:tblPr>
        <w:tblLayout w:type="fixed"/>
        <w:tblInd w:w="5480" w:type="dxa"/>
        <w:tblCellMar>
          <w:top w:w="0" w:type="dxa"/>
          <w:left w:w="0" w:type="dxa"/>
          <w:bottom w:w="0" w:type="dxa"/>
          <w:right w:w="0" w:type="dxa"/>
        </w:tblCellMar>
      </w:tblPr>
      <w:tr>
        <w:trPr>
          <w:trHeight w:val="270"/>
        </w:trPr>
        <w:tc>
          <w:tcPr>
            <w:tcW w:w="8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James M. Dykas</w:t>
            </w:r>
          </w:p>
        </w:tc>
      </w:tr>
      <w:tr>
        <w:trPr>
          <w:trHeight w:val="209"/>
        </w:trPr>
        <w:tc>
          <w:tcPr>
            <w:tcW w:w="80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Name:</w:t>
            </w:r>
          </w:p>
        </w:tc>
        <w:tc>
          <w:tcPr>
            <w:tcW w:w="3860" w:type="dxa"/>
            <w:vAlign w:val="bottom"/>
          </w:tcPr>
          <w:p>
            <w:pPr>
              <w:spacing w:after="0" w:line="209" w:lineRule="exact"/>
              <w:rPr>
                <w:sz w:val="20"/>
                <w:szCs w:val="20"/>
                <w:color w:val="auto"/>
              </w:rPr>
            </w:pPr>
            <w:r>
              <w:rPr>
                <w:rFonts w:ascii="Times New Roman" w:cs="Times New Roman" w:eastAsia="Times New Roman" w:hAnsi="Times New Roman"/>
                <w:sz w:val="22"/>
                <w:szCs w:val="22"/>
                <w:color w:val="auto"/>
              </w:rPr>
              <w:t>James M. Dykas</w:t>
            </w:r>
          </w:p>
        </w:tc>
      </w:tr>
      <w:tr>
        <w:trPr>
          <w:trHeight w:val="243"/>
        </w:trPr>
        <w:tc>
          <w:tcPr>
            <w:tcW w:w="8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Title:</w:t>
            </w: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Chief Financial Officer of First Trust</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Portfolios L.P. and First Trust Advisors L.P.,</w:t>
            </w:r>
          </w:p>
        </w:tc>
      </w:tr>
      <w:tr>
        <w:trPr>
          <w:trHeight w:val="243"/>
        </w:trPr>
        <w:tc>
          <w:tcPr>
            <w:tcW w:w="800" w:type="dxa"/>
            <w:vAlign w:val="bottom"/>
          </w:tcPr>
          <w:p>
            <w:pPr>
              <w:spacing w:after="0"/>
              <w:rPr>
                <w:sz w:val="21"/>
                <w:szCs w:val="21"/>
                <w:color w:val="auto"/>
              </w:rPr>
            </w:pPr>
          </w:p>
        </w:tc>
        <w:tc>
          <w:tcPr>
            <w:tcW w:w="38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and Chief Financial Officer and Treasurer of</w:t>
            </w:r>
          </w:p>
        </w:tc>
      </w:tr>
      <w:tr>
        <w:trPr>
          <w:trHeight w:val="282"/>
        </w:trPr>
        <w:tc>
          <w:tcPr>
            <w:tcW w:w="80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22"/>
                <w:szCs w:val="22"/>
                <w:color w:val="auto"/>
              </w:rPr>
              <w:t>The Charger Corporation</w:t>
            </w:r>
          </w:p>
        </w:tc>
      </w:tr>
    </w:tbl>
    <w:p>
      <w:pPr>
        <w:spacing w:after="0" w:line="1" w:lineRule="exact"/>
        <w:rPr>
          <w:sz w:val="20"/>
          <w:szCs w:val="20"/>
          <w:color w:val="auto"/>
        </w:rPr>
      </w:pP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2025-04-28T08:53:40Z</dcterms:created>
  <dcterms:modified xsi:type="dcterms:W3CDTF">2025-04-28T08:53:40Z</dcterms:modified>
</cp:coreProperties>
</file>