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4" w:lineRule="exact"/>
        <w:rPr>
          <w:sz w:val="24"/>
          <w:szCs w:val="24"/>
          <w:color w:val="auto"/>
        </w:rPr>
      </w:pPr>
    </w:p>
    <w:p>
      <w:pPr>
        <w:ind w:right="4820" w:firstLine="5"/>
        <w:spacing w:after="0" w:line="259"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 xml:space="preserve">ANNUAL REPORT PURSUANT TO SECTION 13 OR 15(d) OF THE SECURITIES EXCHANGE ACT OF 1934 </w:t>
      </w:r>
      <w:r>
        <w:rPr>
          <w:rFonts w:ascii="Arial" w:cs="Arial" w:eastAsia="Arial" w:hAnsi="Arial"/>
          <w:sz w:val="13"/>
          <w:szCs w:val="13"/>
          <w:color w:val="auto"/>
        </w:rPr>
        <w:t>For the fiscal year ended August 26,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4" w:lineRule="exact"/>
        <w:rPr>
          <w:sz w:val="24"/>
          <w:szCs w:val="24"/>
          <w:color w:val="auto"/>
        </w:rPr>
      </w:pPr>
    </w:p>
    <w:p>
      <w:pPr>
        <w:ind w:right="4580" w:firstLine="5"/>
        <w:spacing w:after="0" w:line="287" w:lineRule="auto"/>
        <w:tabs>
          <w:tab w:leader="none" w:pos="167"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3"/>
          <w:szCs w:val="13"/>
          <w:color w:val="auto"/>
        </w:rPr>
        <w:t>For the transition period from ___________________ to 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2239645</wp:posOffset>
            </wp:positionH>
            <wp:positionV relativeFrom="paragraph">
              <wp:posOffset>30480</wp:posOffset>
            </wp:positionV>
            <wp:extent cx="2687955" cy="774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7955" cy="774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WINNEBAGO INDUSTRIES, INC.</w:t>
      </w:r>
    </w:p>
    <w:p>
      <w:pPr>
        <w:spacing w:after="0" w:line="46" w:lineRule="exact"/>
        <w:rPr>
          <w:sz w:val="24"/>
          <w:szCs w:val="24"/>
          <w:color w:val="auto"/>
        </w:rPr>
      </w:pPr>
    </w:p>
    <w:tbl>
      <w:tblPr>
        <w:tblLayout w:type="fixed"/>
        <w:tblInd w:w="380" w:type="dxa"/>
        <w:tblCellMar>
          <w:top w:w="0" w:type="dxa"/>
          <w:left w:w="0" w:type="dxa"/>
          <w:bottom w:w="0" w:type="dxa"/>
          <w:right w:w="0" w:type="dxa"/>
        </w:tblCellMar>
      </w:tblPr>
      <w:tr>
        <w:trPr>
          <w:trHeight w:val="144"/>
        </w:trPr>
        <w:tc>
          <w:tcPr>
            <w:tcW w:w="1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320" w:type="dxa"/>
            <w:vAlign w:val="bottom"/>
            <w:gridSpan w:val="3"/>
          </w:tcPr>
          <w:p>
            <w:pPr>
              <w:ind w:left="400"/>
              <w:spacing w:after="0"/>
              <w:rPr>
                <w:sz w:val="20"/>
                <w:szCs w:val="20"/>
                <w:color w:val="auto"/>
              </w:rPr>
            </w:pPr>
            <w:r>
              <w:rPr>
                <w:rFonts w:ascii="Arial" w:cs="Arial" w:eastAsia="Arial" w:hAnsi="Arial"/>
                <w:sz w:val="11"/>
                <w:szCs w:val="11"/>
                <w:color w:val="auto"/>
              </w:rPr>
              <w:t>(Exact name of registrant as specified in its charter)</w:t>
            </w:r>
          </w:p>
        </w:tc>
        <w:tc>
          <w:tcPr>
            <w:tcW w:w="3640" w:type="dxa"/>
            <w:vAlign w:val="bottom"/>
          </w:tcPr>
          <w:p>
            <w:pPr>
              <w:spacing w:after="0"/>
              <w:rPr>
                <w:sz w:val="12"/>
                <w:szCs w:val="12"/>
                <w:color w:val="auto"/>
              </w:rPr>
            </w:pPr>
          </w:p>
        </w:tc>
      </w:tr>
      <w:tr>
        <w:trPr>
          <w:trHeight w:val="168"/>
        </w:trPr>
        <w:tc>
          <w:tcPr>
            <w:tcW w:w="1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ind w:right="256"/>
              <w:spacing w:after="0"/>
              <w:rPr>
                <w:sz w:val="20"/>
                <w:szCs w:val="20"/>
                <w:color w:val="auto"/>
              </w:rPr>
            </w:pPr>
            <w:r>
              <w:rPr>
                <w:rFonts w:ascii="Arial" w:cs="Arial" w:eastAsia="Arial" w:hAnsi="Arial"/>
                <w:sz w:val="13"/>
                <w:szCs w:val="13"/>
                <w:color w:val="auto"/>
                <w:w w:val="96"/>
              </w:rPr>
              <w:t>Minnesota</w:t>
            </w:r>
          </w:p>
        </w:tc>
        <w:tc>
          <w:tcPr>
            <w:tcW w:w="116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jc w:val="right"/>
              <w:ind w:right="1896"/>
              <w:spacing w:after="0"/>
              <w:rPr>
                <w:sz w:val="20"/>
                <w:szCs w:val="20"/>
                <w:color w:val="auto"/>
              </w:rPr>
            </w:pPr>
            <w:r>
              <w:rPr>
                <w:rFonts w:ascii="Arial" w:cs="Arial" w:eastAsia="Arial" w:hAnsi="Arial"/>
                <w:sz w:val="13"/>
                <w:szCs w:val="13"/>
                <w:color w:val="auto"/>
              </w:rPr>
              <w:t>42-0802678</w:t>
            </w:r>
          </w:p>
        </w:tc>
      </w:tr>
      <w:tr>
        <w:trPr>
          <w:trHeight w:val="158"/>
        </w:trPr>
        <w:tc>
          <w:tcPr>
            <w:tcW w:w="1480" w:type="dxa"/>
            <w:vAlign w:val="bottom"/>
          </w:tcPr>
          <w:p>
            <w:pPr>
              <w:spacing w:after="0"/>
              <w:rPr>
                <w:sz w:val="13"/>
                <w:szCs w:val="13"/>
                <w:color w:val="auto"/>
              </w:rPr>
            </w:pPr>
          </w:p>
        </w:tc>
        <w:tc>
          <w:tcPr>
            <w:tcW w:w="2100" w:type="dxa"/>
            <w:vAlign w:val="bottom"/>
          </w:tcPr>
          <w:p>
            <w:pPr>
              <w:jc w:val="center"/>
              <w:ind w:right="256"/>
              <w:spacing w:after="0"/>
              <w:rPr>
                <w:sz w:val="20"/>
                <w:szCs w:val="20"/>
                <w:color w:val="auto"/>
              </w:rPr>
            </w:pPr>
            <w:r>
              <w:rPr>
                <w:rFonts w:ascii="Arial" w:cs="Arial" w:eastAsia="Arial" w:hAnsi="Arial"/>
                <w:sz w:val="13"/>
                <w:szCs w:val="13"/>
                <w:color w:val="auto"/>
                <w:w w:val="97"/>
              </w:rPr>
              <w:t>(State or other jurisdiction of</w:t>
            </w: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40" w:type="dxa"/>
            <w:vAlign w:val="bottom"/>
          </w:tcPr>
          <w:p>
            <w:pPr>
              <w:jc w:val="center"/>
              <w:ind w:right="896"/>
              <w:spacing w:after="0"/>
              <w:rPr>
                <w:sz w:val="20"/>
                <w:szCs w:val="20"/>
                <w:color w:val="auto"/>
              </w:rPr>
            </w:pPr>
            <w:r>
              <w:rPr>
                <w:rFonts w:ascii="Arial" w:cs="Arial" w:eastAsia="Arial" w:hAnsi="Arial"/>
                <w:sz w:val="13"/>
                <w:szCs w:val="13"/>
                <w:color w:val="auto"/>
                <w:w w:val="97"/>
              </w:rPr>
              <w:t>(I.R.S. Employer Identification No.)</w:t>
            </w:r>
          </w:p>
        </w:tc>
      </w:tr>
      <w:tr>
        <w:trPr>
          <w:trHeight w:val="170"/>
        </w:trPr>
        <w:tc>
          <w:tcPr>
            <w:tcW w:w="1480" w:type="dxa"/>
            <w:vAlign w:val="bottom"/>
          </w:tcPr>
          <w:p>
            <w:pPr>
              <w:spacing w:after="0"/>
              <w:rPr>
                <w:sz w:val="14"/>
                <w:szCs w:val="14"/>
                <w:color w:val="auto"/>
              </w:rPr>
            </w:pPr>
          </w:p>
        </w:tc>
        <w:tc>
          <w:tcPr>
            <w:tcW w:w="2100" w:type="dxa"/>
            <w:vAlign w:val="bottom"/>
          </w:tcPr>
          <w:p>
            <w:pPr>
              <w:jc w:val="center"/>
              <w:ind w:right="256"/>
              <w:spacing w:after="0"/>
              <w:rPr>
                <w:sz w:val="20"/>
                <w:szCs w:val="20"/>
                <w:color w:val="auto"/>
              </w:rPr>
            </w:pPr>
            <w:r>
              <w:rPr>
                <w:rFonts w:ascii="Arial" w:cs="Arial" w:eastAsia="Arial" w:hAnsi="Arial"/>
                <w:sz w:val="13"/>
                <w:szCs w:val="13"/>
                <w:color w:val="auto"/>
                <w:w w:val="98"/>
              </w:rPr>
              <w:t>incorporation or organization)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289"/>
        </w:trPr>
        <w:tc>
          <w:tcPr>
            <w:tcW w:w="1480" w:type="dxa"/>
            <w:vAlign w:val="bottom"/>
          </w:tcPr>
          <w:p>
            <w:pPr>
              <w:ind w:left="320"/>
              <w:spacing w:after="0"/>
              <w:rPr>
                <w:sz w:val="20"/>
                <w:szCs w:val="20"/>
                <w:color w:val="auto"/>
              </w:rPr>
            </w:pPr>
            <w:r>
              <w:rPr>
                <w:rFonts w:ascii="Arial" w:cs="Arial" w:eastAsia="Arial" w:hAnsi="Arial"/>
                <w:sz w:val="13"/>
                <w:szCs w:val="13"/>
                <w:color w:val="auto"/>
              </w:rPr>
              <w:t>13200 Pioneer Trail</w:t>
            </w:r>
          </w:p>
        </w:tc>
        <w:tc>
          <w:tcPr>
            <w:tcW w:w="2100" w:type="dxa"/>
            <w:vAlign w:val="bottom"/>
          </w:tcPr>
          <w:p>
            <w:pPr>
              <w:ind w:left="680"/>
              <w:spacing w:after="0"/>
              <w:rPr>
                <w:sz w:val="20"/>
                <w:szCs w:val="20"/>
                <w:color w:val="auto"/>
              </w:rPr>
            </w:pPr>
            <w:r>
              <w:rPr>
                <w:rFonts w:ascii="Arial" w:cs="Arial" w:eastAsia="Arial" w:hAnsi="Arial"/>
                <w:sz w:val="13"/>
                <w:szCs w:val="13"/>
                <w:color w:val="auto"/>
              </w:rPr>
              <w:t>Eden Prairie</w:t>
            </w:r>
          </w:p>
        </w:tc>
        <w:tc>
          <w:tcPr>
            <w:tcW w:w="3320" w:type="dxa"/>
            <w:vAlign w:val="bottom"/>
            <w:gridSpan w:val="3"/>
          </w:tcPr>
          <w:p>
            <w:pPr>
              <w:ind w:left="120"/>
              <w:spacing w:after="0"/>
              <w:rPr>
                <w:sz w:val="20"/>
                <w:szCs w:val="20"/>
                <w:color w:val="auto"/>
              </w:rPr>
            </w:pPr>
            <w:r>
              <w:rPr>
                <w:rFonts w:ascii="Arial" w:cs="Arial" w:eastAsia="Arial" w:hAnsi="Arial"/>
                <w:sz w:val="13"/>
                <w:szCs w:val="13"/>
                <w:color w:val="auto"/>
              </w:rPr>
              <w:t>Minnesota</w:t>
            </w:r>
          </w:p>
        </w:tc>
        <w:tc>
          <w:tcPr>
            <w:tcW w:w="3640" w:type="dxa"/>
            <w:vAlign w:val="bottom"/>
          </w:tcPr>
          <w:p>
            <w:pPr>
              <w:jc w:val="right"/>
              <w:ind w:right="2056"/>
              <w:spacing w:after="0"/>
              <w:rPr>
                <w:sz w:val="20"/>
                <w:szCs w:val="20"/>
                <w:color w:val="auto"/>
              </w:rPr>
            </w:pPr>
            <w:r>
              <w:rPr>
                <w:rFonts w:ascii="Arial" w:cs="Arial" w:eastAsia="Arial" w:hAnsi="Arial"/>
                <w:sz w:val="13"/>
                <w:szCs w:val="13"/>
                <w:color w:val="auto"/>
              </w:rPr>
              <w:t>55347</w:t>
            </w:r>
          </w:p>
        </w:tc>
      </w:tr>
      <w:tr>
        <w:trPr>
          <w:trHeight w:val="158"/>
        </w:trPr>
        <w:tc>
          <w:tcPr>
            <w:tcW w:w="3580" w:type="dxa"/>
            <w:vAlign w:val="bottom"/>
            <w:tcBorders>
              <w:top w:val="single" w:sz="8" w:color="auto"/>
            </w:tcBorders>
            <w:gridSpan w:val="2"/>
          </w:tcPr>
          <w:p>
            <w:pPr>
              <w:jc w:val="center"/>
              <w:ind w:left="1096"/>
              <w:spacing w:after="0"/>
              <w:rPr>
                <w:sz w:val="20"/>
                <w:szCs w:val="20"/>
                <w:color w:val="auto"/>
              </w:rPr>
            </w:pPr>
            <w:r>
              <w:rPr>
                <w:rFonts w:ascii="Arial" w:cs="Arial" w:eastAsia="Arial" w:hAnsi="Arial"/>
                <w:sz w:val="13"/>
                <w:szCs w:val="13"/>
                <w:color w:val="auto"/>
                <w:w w:val="97"/>
              </w:rPr>
              <w:t>(Address of principal executive offices)</w:t>
            </w:r>
          </w:p>
        </w:tc>
        <w:tc>
          <w:tcPr>
            <w:tcW w:w="1160" w:type="dxa"/>
            <w:vAlign w:val="bottom"/>
            <w:tcBorders>
              <w:top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40" w:type="dxa"/>
            <w:vAlign w:val="bottom"/>
            <w:tcBorders>
              <w:top w:val="single" w:sz="8" w:color="auto"/>
            </w:tcBorders>
          </w:tcPr>
          <w:p>
            <w:pPr>
              <w:jc w:val="center"/>
              <w:ind w:right="896"/>
              <w:spacing w:after="0"/>
              <w:rPr>
                <w:sz w:val="20"/>
                <w:szCs w:val="20"/>
                <w:color w:val="auto"/>
              </w:rPr>
            </w:pPr>
            <w:r>
              <w:rPr>
                <w:rFonts w:ascii="Arial" w:cs="Arial" w:eastAsia="Arial" w:hAnsi="Arial"/>
                <w:sz w:val="13"/>
                <w:szCs w:val="13"/>
                <w:color w:val="auto"/>
                <w:w w:val="97"/>
              </w:rPr>
              <w:t>(Zip Code)</w:t>
            </w:r>
          </w:p>
        </w:tc>
      </w:tr>
    </w:tbl>
    <w:p>
      <w:pPr>
        <w:spacing w:after="0" w:line="7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 (952) 829-8600</w:t>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160"/>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Common Stock, $0.50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WGO</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New York Stock Exchange</w:t>
            </w:r>
          </w:p>
        </w:tc>
      </w:tr>
    </w:tbl>
    <w:p>
      <w:pPr>
        <w:spacing w:after="0" w:line="59"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94"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ind w:right="380"/>
        <w:spacing w:after="0" w:line="178" w:lineRule="exact"/>
        <w:rPr>
          <w:sz w:val="20"/>
          <w:szCs w:val="20"/>
          <w:color w:val="auto"/>
        </w:rPr>
      </w:pPr>
      <w:r>
        <w:rPr>
          <w:rFonts w:ascii="Arial" w:cs="Arial" w:eastAsia="Arial" w:hAnsi="Arial"/>
          <w:sz w:val="13"/>
          <w:szCs w:val="13"/>
          <w:color w:val="auto"/>
        </w:rPr>
        <w:t>I</w:t>
      </w:r>
      <w:r>
        <w:rPr>
          <w:rFonts w:ascii="Arial" w:cs="Arial" w:eastAsia="Arial" w:hAnsi="Arial"/>
          <w:sz w:val="11"/>
          <w:szCs w:val="11"/>
          <w:color w:val="auto"/>
        </w:rPr>
        <w:t>ndicate by check mark whether the registrant (1) has filed all reports required to be filed by Section 13 or 15(d) of the Securities Exchange Act of 1934 during the preceding 12 months (or for such shorter period that the</w:t>
      </w:r>
      <w:r>
        <w:rPr>
          <w:rFonts w:ascii="Arial" w:cs="Arial" w:eastAsia="Arial" w:hAnsi="Arial"/>
          <w:sz w:val="13"/>
          <w:szCs w:val="13"/>
          <w:color w:val="auto"/>
        </w:rPr>
        <w:t xml:space="preserve"> </w:t>
      </w:r>
      <w:r>
        <w:rPr>
          <w:rFonts w:ascii="Arial" w:cs="Arial" w:eastAsia="Arial" w:hAnsi="Arial"/>
          <w:sz w:val="11"/>
          <w:szCs w:val="11"/>
          <w:color w:val="auto"/>
        </w:rPr>
        <w:t xml:space="preserve">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40"/>
        <w:spacing w:after="0" w:line="16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29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spacing w:after="0" w:line="161" w:lineRule="exact"/>
        <w:tabs>
          <w:tab w:leader="none" w:pos="1440" w:val="left"/>
          <w:tab w:leader="none" w:pos="256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1"/>
          <w:szCs w:val="11"/>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1"/>
          <w:szCs w:val="11"/>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1"/>
          <w:szCs w:val="11"/>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1"/>
          <w:szCs w:val="11"/>
          <w:color w:val="auto"/>
        </w:rPr>
        <w:t xml:space="preserve"> Emerging Growth Company </w:t>
      </w:r>
      <w:r>
        <w:rPr>
          <w:rFonts w:ascii="MS PGothic" w:cs="MS PGothic" w:eastAsia="MS PGothic" w:hAnsi="MS PGothic"/>
          <w:sz w:val="14"/>
          <w:szCs w:val="14"/>
          <w:color w:val="auto"/>
        </w:rPr>
        <w:t>☐</w:t>
      </w:r>
    </w:p>
    <w:p>
      <w:pPr>
        <w:spacing w:after="0" w:line="135" w:lineRule="exact"/>
        <w:rPr>
          <w:sz w:val="24"/>
          <w:szCs w:val="24"/>
          <w:color w:val="auto"/>
        </w:rPr>
      </w:pPr>
    </w:p>
    <w:p>
      <w:pPr>
        <w:ind w:right="100"/>
        <w:spacing w:after="0" w:line="167"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40"/>
        <w:spacing w:after="0" w:line="167"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ind w:right="380"/>
        <w:spacing w:after="0" w:line="162"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466090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 w:name="page2"/>
    <w:bookmarkEnd w:id="1"/>
    <w:p>
      <w:pPr>
        <w:ind w:right="340"/>
        <w:spacing w:after="0" w:line="167"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0"/>
          <w:szCs w:val="20"/>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35" w:lineRule="exact"/>
        <w:rPr>
          <w:sz w:val="20"/>
          <w:szCs w:val="20"/>
          <w:color w:val="auto"/>
        </w:rPr>
      </w:pPr>
    </w:p>
    <w:p>
      <w:pPr>
        <w:ind w:right="40"/>
        <w:spacing w:after="0" w:line="295"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was approximately $1,900,074,000 as of February 25, 2023, based upon the closing price of $63.97 as of February 24, 2023 as reported on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As of October 12, 2023, 29,887,011 shares of the registrant's common stock, par value $0.50 per share, were outstanding.</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1"/>
          <w:szCs w:val="11"/>
          <w:b w:val="1"/>
          <w:bCs w:val="1"/>
          <w:color w:val="auto"/>
        </w:rPr>
        <w:t>DOCUMENTS INCORPORATED BY REFERENCE</w:t>
      </w:r>
    </w:p>
    <w:p>
      <w:pPr>
        <w:spacing w:after="0" w:line="2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Portions of the definitive Proxy Statement to be filed with the Securities and Exchange Commission within 120 days after the end of the fiscal year covered by this report for the registrant's 2023 Annual Meeting of Shareholders to be held on December 14, 2023 (the "2023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7520" w:type="dxa"/>
            <w:vAlign w:val="bottom"/>
            <w:gridSpan w:val="28"/>
          </w:tcPr>
          <w:p>
            <w:pPr>
              <w:spacing w:after="0"/>
              <w:rPr>
                <w:sz w:val="20"/>
                <w:szCs w:val="20"/>
                <w:color w:val="auto"/>
              </w:rPr>
            </w:pPr>
            <w:r>
              <w:rPr>
                <w:rFonts w:ascii="Arial" w:cs="Arial" w:eastAsia="Arial" w:hAnsi="Arial"/>
                <w:sz w:val="13"/>
                <w:szCs w:val="13"/>
                <w:b w:val="1"/>
                <w:bCs w:val="1"/>
                <w:color w:val="auto"/>
              </w:rPr>
              <w:t>Winnebago Industries, Inc.</w:t>
            </w: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7520" w:type="dxa"/>
            <w:vAlign w:val="bottom"/>
            <w:gridSpan w:val="28"/>
          </w:tcPr>
          <w:p>
            <w:pPr>
              <w:spacing w:after="0"/>
              <w:rPr>
                <w:sz w:val="20"/>
                <w:szCs w:val="20"/>
                <w:color w:val="auto"/>
              </w:rPr>
            </w:pPr>
            <w:r>
              <w:rPr>
                <w:rFonts w:ascii="Arial" w:cs="Arial" w:eastAsia="Arial" w:hAnsi="Arial"/>
                <w:sz w:val="13"/>
                <w:szCs w:val="13"/>
                <w:b w:val="1"/>
                <w:bCs w:val="1"/>
                <w:color w:val="auto"/>
              </w:rPr>
              <w:t>Fiscal 2023 Annual Report on Form 10-K</w:t>
            </w: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7520" w:type="dxa"/>
            <w:vAlign w:val="bottom"/>
            <w:gridSpan w:val="28"/>
          </w:tcPr>
          <w:p>
            <w:pPr>
              <w:spacing w:after="0"/>
              <w:rPr>
                <w:sz w:val="20"/>
                <w:szCs w:val="20"/>
                <w:color w:val="auto"/>
              </w:rPr>
            </w:pPr>
            <w:r>
              <w:rPr>
                <w:rFonts w:ascii="Arial" w:cs="Arial" w:eastAsia="Arial" w:hAnsi="Arial"/>
                <w:sz w:val="13"/>
                <w:szCs w:val="13"/>
                <w:b w:val="1"/>
                <w:bCs w:val="1"/>
                <w:color w:val="auto"/>
              </w:rPr>
              <w:t>Table of Contents</w:t>
            </w: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720" w:type="dxa"/>
            <w:vAlign w:val="bottom"/>
            <w:gridSpan w:val="5"/>
          </w:tcPr>
          <w:p>
            <w:pPr>
              <w:spacing w:after="0" w:line="145" w:lineRule="exact"/>
              <w:rPr>
                <w:sz w:val="20"/>
                <w:szCs w:val="20"/>
                <w:color w:val="auto"/>
              </w:rPr>
            </w:pPr>
            <w:r>
              <w:rPr>
                <w:rFonts w:ascii="Arial" w:cs="Arial" w:eastAsia="Arial" w:hAnsi="Arial"/>
                <w:sz w:val="13"/>
                <w:szCs w:val="13"/>
                <w:b w:val="1"/>
                <w:bCs w:val="1"/>
                <w:color w:val="0000FF"/>
              </w:rPr>
              <w:t>PART I</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gridSpan w:val="3"/>
          </w:tcPr>
          <w:p>
            <w:pPr>
              <w:jc w:val="right"/>
              <w:spacing w:after="0" w:line="145" w:lineRule="exact"/>
              <w:rPr>
                <w:sz w:val="20"/>
                <w:szCs w:val="20"/>
                <w:color w:val="auto"/>
              </w:rPr>
            </w:pPr>
            <w:r>
              <w:rPr>
                <w:rFonts w:ascii="Arial" w:cs="Arial" w:eastAsia="Arial" w:hAnsi="Arial"/>
                <w:sz w:val="13"/>
                <w:szCs w:val="13"/>
                <w:color w:val="0000FF"/>
              </w:rPr>
              <w:t>5</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0000FF"/>
                <w:w w:val="95"/>
              </w:rPr>
              <w:t>Item 1.</w:t>
            </w:r>
          </w:p>
        </w:tc>
        <w:tc>
          <w:tcPr>
            <w:tcW w:w="320" w:type="dxa"/>
            <w:vAlign w:val="bottom"/>
            <w:gridSpan w:val="3"/>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Business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1A.</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Risk Factors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1B.</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Unresolved Staff Comments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2.</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Properties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3"/>
                <w:szCs w:val="13"/>
                <w:color w:val="0000FF"/>
              </w:rPr>
              <w:t>Item 3.</w:t>
            </w: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Legal Proceedings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3"/>
                <w:szCs w:val="13"/>
                <w:color w:val="0000FF"/>
              </w:rPr>
              <w:t>Item 4.</w:t>
            </w: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Mine Safety Disclosures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720" w:type="dxa"/>
            <w:vAlign w:val="bottom"/>
            <w:gridSpan w:val="5"/>
          </w:tcPr>
          <w:p>
            <w:pPr>
              <w:spacing w:after="0"/>
              <w:rPr>
                <w:sz w:val="20"/>
                <w:szCs w:val="20"/>
                <w:color w:val="auto"/>
              </w:rPr>
            </w:pPr>
            <w:r>
              <w:rPr>
                <w:rFonts w:ascii="Arial" w:cs="Arial" w:eastAsia="Arial" w:hAnsi="Arial"/>
                <w:sz w:val="13"/>
                <w:szCs w:val="13"/>
                <w:b w:val="1"/>
                <w:bCs w:val="1"/>
                <w:color w:val="0000FF"/>
              </w:rPr>
              <w:t>PART II</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19</w:t>
            </w:r>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4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Item 5.</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w w:val="97"/>
              </w:rPr>
              <w:t>Market for the Registrant's Common Equity, Related Shareholder Matters, and Issuer Purchases of Equity Securities</w:t>
            </w:r>
          </w:p>
        </w:tc>
        <w:tc>
          <w:tcPr>
            <w:tcW w:w="3600" w:type="dxa"/>
            <w:vAlign w:val="bottom"/>
          </w:tcPr>
          <w:p>
            <w:pPr>
              <w:spacing w:after="0"/>
              <w:rPr>
                <w:sz w:val="13"/>
                <w:szCs w:val="13"/>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19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6.</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[Reserved]</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21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Borders>
              <w:righ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7.</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21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7A.</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Quantitative and Qualitative Disclosures About Market Risk</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29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Borders>
              <w:righ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8.</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Financial Statements and Supplementary Data</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30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9.</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Borders>
              <w:righ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9A.</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Controls and Procedures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9B.</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Other Information</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7"/>
              </w:rPr>
              <w:t>Item 9C</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4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80"/>
              </w:rPr>
              <w:t>PART III</w:t>
            </w:r>
          </w:p>
        </w:tc>
        <w:tc>
          <w:tcPr>
            <w:tcW w:w="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62</w:t>
            </w:r>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10.</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Directors, Executive Officers and Corporate Governance</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11.</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Executive Compensation</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12.</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Security Ownership of Certain Beneficial Owners and Management and Related Shareholder Matters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13.</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Certain Relationships and Related Transactions, and Director Independence</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14.</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Principal Accountant Fees and Services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0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b w:val="1"/>
                <w:bCs w:val="1"/>
                <w:color w:val="0000FF"/>
                <w:w w:val="93"/>
              </w:rPr>
              <w:t>PART IV</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63</w:t>
            </w:r>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15.</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Exhibits and Financial Statement Schedules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16.</w:t>
            </w:r>
          </w:p>
        </w:tc>
        <w:tc>
          <w:tcPr>
            <w:tcW w:w="280" w:type="dxa"/>
            <w:vAlign w:val="bottom"/>
            <w:gridSpan w:val="2"/>
          </w:tcPr>
          <w:p>
            <w:pPr>
              <w:spacing w:after="0"/>
              <w:rPr>
                <w:sz w:val="13"/>
                <w:szCs w:val="13"/>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color w:val="0000FF"/>
              </w:rPr>
              <w:t>Form 10-K Summary</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360" w:type="dxa"/>
            <w:vAlign w:val="bottom"/>
            <w:gridSpan w:val="1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gridSpan w:val="22"/>
          </w:tcPr>
          <w:p>
            <w:pPr>
              <w:ind w:left="240"/>
              <w:spacing w:after="0"/>
              <w:rPr>
                <w:sz w:val="20"/>
                <w:szCs w:val="20"/>
                <w:color w:val="auto"/>
              </w:rPr>
            </w:pPr>
            <w:r>
              <w:rPr>
                <w:rFonts w:ascii="Arial" w:cs="Arial" w:eastAsia="Arial" w:hAnsi="Arial"/>
                <w:sz w:val="13"/>
                <w:szCs w:val="13"/>
                <w:b w:val="1"/>
                <w:bCs w:val="1"/>
                <w:color w:val="0000FF"/>
              </w:rPr>
              <w:t>SIGNATURES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69</w:t>
            </w:r>
          </w:p>
        </w:tc>
        <w:tc>
          <w:tcPr>
            <w:tcW w:w="20" w:type="dxa"/>
            <w:vAlign w:val="bottom"/>
          </w:tcPr>
          <w:p>
            <w:pPr>
              <w:spacing w:after="0"/>
              <w:rPr>
                <w:sz w:val="24"/>
                <w:szCs w:val="24"/>
                <w:color w:val="auto"/>
              </w:rPr>
            </w:pPr>
          </w:p>
        </w:tc>
      </w:tr>
      <w:tr>
        <w:trPr>
          <w:trHeight w:val="87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0000FF"/>
            </w:tcBorders>
            <w:gridSpan w:val="5"/>
          </w:tcPr>
          <w:p>
            <w:pPr>
              <w:spacing w:after="0"/>
              <w:rPr>
                <w:sz w:val="24"/>
                <w:szCs w:val="24"/>
                <w:color w:val="auto"/>
              </w:rPr>
            </w:pPr>
          </w:p>
        </w:tc>
        <w:tc>
          <w:tcPr>
            <w:tcW w:w="4180" w:type="dxa"/>
            <w:vAlign w:val="bottom"/>
            <w:gridSpan w:val="13"/>
          </w:tcPr>
          <w:p>
            <w:pPr>
              <w:jc w:val="right"/>
              <w:ind w:right="30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WINNEBAGO INDUSTRIES,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FORM 10-K</w:t>
      </w:r>
    </w:p>
    <w:p>
      <w:pPr>
        <w:spacing w:after="0" w:line="4"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Report for the Fiscal Year Ended August 26, 2023</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 Under the Private Securities Litigation Reform Act</w:t>
      </w:r>
    </w:p>
    <w:p>
      <w:pPr>
        <w:spacing w:after="0" w:line="20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 xml:space="preserve">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2"/>
          <w:szCs w:val="12"/>
          <w:i w:val="1"/>
          <w:iCs w:val="1"/>
          <w:color w:val="auto"/>
        </w:rPr>
        <w:t>Risk Factors</w:t>
      </w:r>
      <w:r>
        <w:rPr>
          <w:rFonts w:ascii="Arial" w:cs="Arial" w:eastAsia="Arial" w:hAnsi="Arial"/>
          <w:sz w:val="12"/>
          <w:szCs w:val="12"/>
          <w:color w:val="auto"/>
        </w:rPr>
        <w:t>, in this Annual Report on Form 10-K for the fiscal year ended August 26, 2023,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w:t>
      </w:r>
    </w:p>
    <w:p>
      <w:pPr>
        <w:spacing w:after="0" w:line="3"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General economic uncertainty in key markets and a worsening of domestic and global economic conditions or low levels of economic growth.</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Availability of financing for RV and marine dealers.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Competition and new product introductions by competitors.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innovate and commercialize new products.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manage our inventory to meet demand.</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related to cyclicality and seasonality of our business.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related to independent dealers.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related to dealer consolidation or the loss of a significant dealer.</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Significant increase in repurchase obligations.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retain relationships with our suppliers and obtain components.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Business or production disruptions.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Inadequate management of dealer inventory levels.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material and component costs, including availability and price of fuel and other raw materials.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integrate mergers and acquisitions.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attract and retain qualified personnel and changes in market compensation rates.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warranty claims.</w:t>
      </w:r>
    </w:p>
    <w:p>
      <w:pPr>
        <w:spacing w:after="0" w:line="4" w:lineRule="exact"/>
        <w:rPr>
          <w:rFonts w:ascii="Arial" w:cs="Arial" w:eastAsia="Arial" w:hAnsi="Arial"/>
          <w:sz w:val="13"/>
          <w:szCs w:val="13"/>
          <w:color w:val="auto"/>
        </w:rPr>
      </w:pPr>
    </w:p>
    <w:p>
      <w:pPr>
        <w:ind w:left="520" w:right="600" w:hanging="260"/>
        <w:spacing w:after="0" w:line="242"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protect our information technology systems from data security, cyberattacks, and network disruption risks and the ability to successfully upgrade and evolve our information technology systems.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retain brand reputation and related exposure to product liability claims.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Governmental regulation, including for climate change.</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attention to environmental, social, and governance ("ESG") matters, and our ability to meet our commitments.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Impairment of goodwill and trade names.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Convertible and Senior Secured Notes, including our ability to satisfy our obligations under these notes.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4" w:name="page5"/>
    <w:bookmarkEnd w:id="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92" w:lineRule="exact"/>
        <w:rPr>
          <w:sz w:val="20"/>
          <w:szCs w:val="20"/>
          <w:color w:val="auto"/>
        </w:rPr>
      </w:pPr>
    </w:p>
    <w:p>
      <w:pPr>
        <w:ind w:right="320"/>
        <w:spacing w:after="0" w:line="274" w:lineRule="auto"/>
        <w:rPr>
          <w:sz w:val="20"/>
          <w:szCs w:val="20"/>
          <w:color w:val="auto"/>
        </w:rPr>
      </w:pPr>
      <w:r>
        <w:rPr>
          <w:rFonts w:ascii="Arial" w:cs="Arial" w:eastAsia="Arial" w:hAnsi="Arial"/>
          <w:sz w:val="13"/>
          <w:szCs w:val="13"/>
          <w:color w:val="auto"/>
        </w:rPr>
        <w:t>The use of terms "Winnebago Industries," "Winnebago," "we," "our," and "us" in this Annual Report on Form 10-K, unless the context otherwise requires, refer to Winnebago Industries, Inc. and its wholly-owned subsidiaries.</w:t>
      </w:r>
    </w:p>
    <w:p>
      <w:pPr>
        <w:spacing w:after="0" w:line="157"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We produce our towable RV units in Indiana; our motorhome RV units in Iowa and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173"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color w:val="auto"/>
        </w:rPr>
        <w:t>Fiscal 2023 refers to the fiscal year ended August 26, 2023, Fiscal 2022 refers to the fiscal year ended August 27, 2022, and Fiscal 2021 refers to the fiscal year ended August 28, 2021. The financial statements presented are all 52-week fiscal periods.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92" w:lineRule="exact"/>
        <w:rPr>
          <w:sz w:val="20"/>
          <w:szCs w:val="20"/>
          <w:color w:val="auto"/>
        </w:rPr>
      </w:pPr>
    </w:p>
    <w:p>
      <w:pPr>
        <w:ind w:right="300"/>
        <w:spacing w:after="0" w:line="256" w:lineRule="auto"/>
        <w:rPr>
          <w:sz w:val="20"/>
          <w:szCs w:val="20"/>
          <w:color w:val="auto"/>
        </w:rPr>
      </w:pPr>
      <w:r>
        <w:rPr>
          <w:rFonts w:ascii="Arial" w:cs="Arial" w:eastAsia="Arial" w:hAnsi="Arial"/>
          <w:sz w:val="13"/>
          <w:szCs w:val="13"/>
          <w:color w:val="auto"/>
        </w:rPr>
        <w:t>Our internet website, located at www.winnebagoind.com, provides additional information about us. On our website you can obtain, free of charge, this and prior year Annual Reports on Form 10-K, Quarterly Reports on Form 10-Q, Current Reports on Form 8-K, and all other recent filings with the SEC. Our recent press releases and important information regarding our corporate governance practices are also available on our website. Information contained on our website is not incorporated into this Annual Report on Form 10-K. The SEC also maintains an internet site that contains reports, proxy and information statements, and other information regarding issuers that file electronically with the SEC which can be accessed at http://www.sec.gov.</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 Name Changes</w:t>
      </w:r>
    </w:p>
    <w:p>
      <w:pPr>
        <w:spacing w:after="0" w:line="92" w:lineRule="exact"/>
        <w:rPr>
          <w:sz w:val="20"/>
          <w:szCs w:val="20"/>
          <w:color w:val="auto"/>
        </w:rPr>
      </w:pPr>
    </w:p>
    <w:p>
      <w:pPr>
        <w:ind w:right="300"/>
        <w:spacing w:after="0" w:line="274" w:lineRule="auto"/>
        <w:rPr>
          <w:sz w:val="20"/>
          <w:szCs w:val="20"/>
          <w:color w:val="auto"/>
        </w:rPr>
      </w:pPr>
      <w:r>
        <w:rPr>
          <w:rFonts w:ascii="Arial" w:cs="Arial" w:eastAsia="Arial" w:hAnsi="Arial"/>
          <w:sz w:val="13"/>
          <w:szCs w:val="13"/>
          <w:color w:val="auto"/>
        </w:rPr>
        <w:t>In the third quarter of Fiscal 2023, we changed the name of our “Towable” segment to “Towable RV” and our “Motorhome” segment to “Motorhome RV.” These name changes had no impact on the composition of our segments, or previously reported results of operations, financial position, cash flows or segment results.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Products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Our operations are organized into three reportable segments, Towable RV, Motorhome RV, and Marine, based on similarities within their markets, products, operations and distributions.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 RV</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A towable RV is a non-motorized vehicle that is designed to be towed by automobiles, pickup trucks, SUVs, or vans and is used primarily as temporary living quarters during vacation and camping trips, or to support active and mobile lifestyles. The Recreation Vehicle Industry Association ("RVIA") classifies towable RVs into four types: conventional travel trailers, fifth wheels, folding camper trailers, and truck campers. We manufacture and sell conventional travel trailers and fifth wheels under the Winnebago and Grand Design brand names, which are defined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38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Description</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Winnebago product offerings</w:t>
            </w:r>
          </w:p>
        </w:tc>
        <w:tc>
          <w:tcPr>
            <w:tcW w:w="352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Grand Design product offerings</w:t>
            </w:r>
          </w:p>
        </w:tc>
      </w:tr>
      <w:tr>
        <w:trPr>
          <w:trHeight w:val="122"/>
        </w:trPr>
        <w:tc>
          <w:tcPr>
            <w:tcW w:w="11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Travel trailer</w:t>
            </w:r>
          </w:p>
        </w:tc>
        <w:tc>
          <w:tcPr>
            <w:tcW w:w="382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rPr>
              <w:t>Towed by means of a hitch attached to the frame of the</w:t>
            </w:r>
          </w:p>
        </w:tc>
        <w:tc>
          <w:tcPr>
            <w:tcW w:w="278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HIKE, Micro Minnie, Minnie, and Voyage</w:t>
            </w:r>
          </w:p>
        </w:tc>
        <w:tc>
          <w:tcPr>
            <w:tcW w:w="3520" w:type="dxa"/>
            <w:vAlign w:val="bottom"/>
            <w:shd w:val="clear" w:color="auto" w:fill="CCEEFF"/>
          </w:tcPr>
          <w:p>
            <w:pPr>
              <w:ind w:left="440"/>
              <w:spacing w:after="0" w:line="122" w:lineRule="exact"/>
              <w:rPr>
                <w:sz w:val="20"/>
                <w:szCs w:val="20"/>
                <w:color w:val="auto"/>
              </w:rPr>
            </w:pPr>
            <w:r>
              <w:rPr>
                <w:rFonts w:ascii="Arial" w:cs="Arial" w:eastAsia="Arial" w:hAnsi="Arial"/>
                <w:sz w:val="13"/>
                <w:szCs w:val="13"/>
                <w:color w:val="auto"/>
              </w:rPr>
              <w:t>Imagine, Momentum, Reflection, and Transcend</w:t>
            </w:r>
          </w:p>
        </w:tc>
      </w:tr>
      <w:tr>
        <w:trPr>
          <w:trHeight w:val="166"/>
        </w:trPr>
        <w:tc>
          <w:tcPr>
            <w:tcW w:w="1160" w:type="dxa"/>
            <w:vAlign w:val="bottom"/>
            <w:shd w:val="clear" w:color="auto" w:fill="CCEEFF"/>
          </w:tcPr>
          <w:p>
            <w:pPr>
              <w:spacing w:after="0"/>
              <w:rPr>
                <w:sz w:val="14"/>
                <w:szCs w:val="14"/>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vehicle</w:t>
            </w:r>
          </w:p>
        </w:tc>
        <w:tc>
          <w:tcPr>
            <w:tcW w:w="278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r>
      <w:tr>
        <w:trPr>
          <w:trHeight w:val="131"/>
        </w:trPr>
        <w:tc>
          <w:tcPr>
            <w:tcW w:w="1160" w:type="dxa"/>
            <w:vAlign w:val="bottom"/>
          </w:tcPr>
          <w:p>
            <w:pPr>
              <w:ind w:left="20"/>
              <w:spacing w:after="0" w:line="131" w:lineRule="exact"/>
              <w:rPr>
                <w:sz w:val="20"/>
                <w:szCs w:val="20"/>
                <w:color w:val="auto"/>
              </w:rPr>
            </w:pPr>
            <w:r>
              <w:rPr>
                <w:rFonts w:ascii="Arial" w:cs="Arial" w:eastAsia="Arial" w:hAnsi="Arial"/>
                <w:sz w:val="13"/>
                <w:szCs w:val="13"/>
                <w:color w:val="auto"/>
              </w:rPr>
              <w:t>Fifth wheel</w:t>
            </w:r>
          </w:p>
        </w:tc>
        <w:tc>
          <w:tcPr>
            <w:tcW w:w="3820" w:type="dxa"/>
            <w:vAlign w:val="bottom"/>
          </w:tcPr>
          <w:p>
            <w:pPr>
              <w:ind w:left="420"/>
              <w:spacing w:after="0" w:line="131" w:lineRule="exact"/>
              <w:rPr>
                <w:sz w:val="20"/>
                <w:szCs w:val="20"/>
                <w:color w:val="auto"/>
              </w:rPr>
            </w:pPr>
            <w:r>
              <w:rPr>
                <w:rFonts w:ascii="Arial" w:cs="Arial" w:eastAsia="Arial" w:hAnsi="Arial"/>
                <w:sz w:val="13"/>
                <w:szCs w:val="13"/>
                <w:color w:val="auto"/>
                <w:w w:val="99"/>
              </w:rPr>
              <w:t>Constructed with a raised forward section that is connected</w:t>
            </w:r>
          </w:p>
        </w:tc>
        <w:tc>
          <w:tcPr>
            <w:tcW w:w="2780" w:type="dxa"/>
            <w:vAlign w:val="bottom"/>
          </w:tcPr>
          <w:p>
            <w:pPr>
              <w:ind w:left="40"/>
              <w:spacing w:after="0" w:line="131" w:lineRule="exact"/>
              <w:rPr>
                <w:sz w:val="20"/>
                <w:szCs w:val="20"/>
                <w:color w:val="auto"/>
              </w:rPr>
            </w:pPr>
            <w:r>
              <w:rPr>
                <w:rFonts w:ascii="Arial" w:cs="Arial" w:eastAsia="Arial" w:hAnsi="Arial"/>
                <w:sz w:val="13"/>
                <w:szCs w:val="13"/>
                <w:color w:val="auto"/>
              </w:rPr>
              <w:t>N/A</w:t>
            </w:r>
          </w:p>
        </w:tc>
        <w:tc>
          <w:tcPr>
            <w:tcW w:w="3520" w:type="dxa"/>
            <w:vAlign w:val="bottom"/>
          </w:tcPr>
          <w:p>
            <w:pPr>
              <w:ind w:left="440"/>
              <w:spacing w:after="0" w:line="131" w:lineRule="exact"/>
              <w:rPr>
                <w:sz w:val="20"/>
                <w:szCs w:val="20"/>
                <w:color w:val="auto"/>
              </w:rPr>
            </w:pPr>
            <w:r>
              <w:rPr>
                <w:rFonts w:ascii="Arial" w:cs="Arial" w:eastAsia="Arial" w:hAnsi="Arial"/>
                <w:sz w:val="13"/>
                <w:szCs w:val="13"/>
                <w:color w:val="auto"/>
              </w:rPr>
              <w:t>Momentum, Reflection, and Solitude</w:t>
            </w:r>
          </w:p>
        </w:tc>
      </w:tr>
      <w:tr>
        <w:trPr>
          <w:trHeight w:val="161"/>
        </w:trPr>
        <w:tc>
          <w:tcPr>
            <w:tcW w:w="1160" w:type="dxa"/>
            <w:vAlign w:val="bottom"/>
          </w:tcPr>
          <w:p>
            <w:pPr>
              <w:spacing w:after="0"/>
              <w:rPr>
                <w:sz w:val="14"/>
                <w:szCs w:val="14"/>
                <w:color w:val="auto"/>
              </w:rPr>
            </w:pPr>
          </w:p>
        </w:tc>
        <w:tc>
          <w:tcPr>
            <w:tcW w:w="3820" w:type="dxa"/>
            <w:vAlign w:val="bottom"/>
          </w:tcPr>
          <w:p>
            <w:pPr>
              <w:ind w:left="420"/>
              <w:spacing w:after="0"/>
              <w:rPr>
                <w:sz w:val="20"/>
                <w:szCs w:val="20"/>
                <w:color w:val="auto"/>
              </w:rPr>
            </w:pPr>
            <w:r>
              <w:rPr>
                <w:rFonts w:ascii="Arial" w:cs="Arial" w:eastAsia="Arial" w:hAnsi="Arial"/>
                <w:sz w:val="13"/>
                <w:szCs w:val="13"/>
                <w:color w:val="auto"/>
              </w:rPr>
              <w:t>to the vehicle with a special fifth wheel hitch</w:t>
            </w:r>
          </w:p>
        </w:tc>
        <w:tc>
          <w:tcPr>
            <w:tcW w:w="2780" w:type="dxa"/>
            <w:vAlign w:val="bottom"/>
          </w:tcPr>
          <w:p>
            <w:pPr>
              <w:spacing w:after="0"/>
              <w:rPr>
                <w:sz w:val="14"/>
                <w:szCs w:val="14"/>
                <w:color w:val="auto"/>
              </w:rPr>
            </w:pPr>
          </w:p>
        </w:tc>
        <w:tc>
          <w:tcPr>
            <w:tcW w:w="3520" w:type="dxa"/>
            <w:vAlign w:val="bottom"/>
          </w:tcPr>
          <w:p>
            <w:pPr>
              <w:spacing w:after="0"/>
              <w:rPr>
                <w:sz w:val="14"/>
                <w:szCs w:val="14"/>
                <w:color w:val="auto"/>
              </w:rPr>
            </w:pPr>
          </w:p>
        </w:tc>
      </w:tr>
    </w:tbl>
    <w:p>
      <w:pPr>
        <w:spacing w:after="0" w:line="253" w:lineRule="exact"/>
        <w:rPr>
          <w:sz w:val="20"/>
          <w:szCs w:val="20"/>
          <w:color w:val="auto"/>
        </w:rPr>
      </w:pPr>
    </w:p>
    <w:p>
      <w:pPr>
        <w:ind w:right="420"/>
        <w:spacing w:after="0" w:line="274" w:lineRule="auto"/>
        <w:rPr>
          <w:sz w:val="20"/>
          <w:szCs w:val="20"/>
          <w:color w:val="auto"/>
        </w:rPr>
      </w:pPr>
      <w:r>
        <w:rPr>
          <w:rFonts w:ascii="Arial" w:cs="Arial" w:eastAsia="Arial" w:hAnsi="Arial"/>
          <w:sz w:val="13"/>
          <w:szCs w:val="13"/>
          <w:color w:val="auto"/>
        </w:rPr>
        <w:t>Our travel trailer and fifth wheel towable RVs are sold by dealers in the retail market with manufacturer's suggested retail prices ranging from approximately $30,000 to $150,000, which can vary depending on size and model, plus optional equipment and delivery charges.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 RV</w:t>
      </w:r>
    </w:p>
    <w:p>
      <w:pPr>
        <w:spacing w:after="0" w:line="88" w:lineRule="exact"/>
        <w:rPr>
          <w:sz w:val="20"/>
          <w:szCs w:val="20"/>
          <w:color w:val="auto"/>
        </w:rPr>
      </w:pPr>
    </w:p>
    <w:p>
      <w:pPr>
        <w:ind w:right="480"/>
        <w:spacing w:after="0" w:line="274" w:lineRule="auto"/>
        <w:rPr>
          <w:sz w:val="20"/>
          <w:szCs w:val="20"/>
          <w:color w:val="auto"/>
        </w:rPr>
      </w:pPr>
      <w:r>
        <w:rPr>
          <w:rFonts w:ascii="Arial" w:cs="Arial" w:eastAsia="Arial" w:hAnsi="Arial"/>
          <w:sz w:val="13"/>
          <w:szCs w:val="13"/>
          <w:color w:val="auto"/>
        </w:rPr>
        <w:t>A motorhome RV is a self-propelled mobile dwelling used primarily as temporary living quarters during vacation and camping trips, or to support active and mobile lifestyles. The RVIA classifies motorhome RVs into three types, all of which we manufacture and sell under the Winnebago and Newmar brand names, which are defined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390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Description</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Winnebago product offerings</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Newmar product offerings</w:t>
            </w:r>
          </w:p>
        </w:tc>
        <w:tc>
          <w:tcPr>
            <w:tcW w:w="0" w:type="dxa"/>
            <w:vAlign w:val="bottom"/>
          </w:tcPr>
          <w:p>
            <w:pPr>
              <w:spacing w:after="0"/>
              <w:rPr>
                <w:sz w:val="1"/>
                <w:szCs w:val="1"/>
                <w:color w:val="auto"/>
              </w:rPr>
            </w:pPr>
          </w:p>
        </w:tc>
      </w:tr>
      <w:tr>
        <w:trPr>
          <w:trHeight w:val="251"/>
        </w:trPr>
        <w:tc>
          <w:tcPr>
            <w:tcW w:w="102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Gas: Adventurer, Sunstar, and Vista</w:t>
            </w: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Gas: Bay Star and Bay Star Sport</w:t>
            </w:r>
          </w:p>
        </w:tc>
        <w:tc>
          <w:tcPr>
            <w:tcW w:w="0" w:type="dxa"/>
            <w:vAlign w:val="bottom"/>
          </w:tcPr>
          <w:p>
            <w:pPr>
              <w:spacing w:after="0"/>
              <w:rPr>
                <w:sz w:val="1"/>
                <w:szCs w:val="1"/>
                <w:color w:val="auto"/>
              </w:rPr>
            </w:pPr>
          </w:p>
        </w:tc>
      </w:tr>
      <w:tr>
        <w:trPr>
          <w:trHeight w:val="189"/>
        </w:trPr>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39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Built on a heavy truck chassis in both diesel and gas</w:t>
            </w:r>
          </w:p>
        </w:tc>
        <w:tc>
          <w:tcPr>
            <w:tcW w:w="3180" w:type="dxa"/>
            <w:vAlign w:val="bottom"/>
            <w:shd w:val="clear" w:color="auto" w:fill="CCEEFF"/>
          </w:tcPr>
          <w:p>
            <w:pPr>
              <w:spacing w:after="0"/>
              <w:rPr>
                <w:sz w:val="16"/>
                <w:szCs w:val="16"/>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Diesel: Canyon Star, Dutch Star, Essex, King Aire,</w:t>
            </w:r>
          </w:p>
        </w:tc>
        <w:tc>
          <w:tcPr>
            <w:tcW w:w="0" w:type="dxa"/>
            <w:vAlign w:val="bottom"/>
          </w:tcPr>
          <w:p>
            <w:pPr>
              <w:spacing w:after="0"/>
              <w:rPr>
                <w:sz w:val="1"/>
                <w:szCs w:val="1"/>
                <w:color w:val="auto"/>
              </w:rPr>
            </w:pPr>
          </w:p>
        </w:tc>
      </w:tr>
      <w:tr>
        <w:trPr>
          <w:trHeight w:val="98"/>
        </w:trPr>
        <w:tc>
          <w:tcPr>
            <w:tcW w:w="1020" w:type="dxa"/>
            <w:vAlign w:val="bottom"/>
            <w:vMerge w:val="continue"/>
            <w:shd w:val="clear" w:color="auto" w:fill="CCEEFF"/>
          </w:tcPr>
          <w:p>
            <w:pPr>
              <w:spacing w:after="0"/>
              <w:rPr>
                <w:sz w:val="8"/>
                <w:szCs w:val="8"/>
                <w:color w:val="auto"/>
              </w:rPr>
            </w:pPr>
          </w:p>
        </w:tc>
        <w:tc>
          <w:tcPr>
            <w:tcW w:w="3900" w:type="dxa"/>
            <w:vAlign w:val="bottom"/>
            <w:vMerge w:val="restart"/>
            <w:shd w:val="clear" w:color="auto" w:fill="CCEEFF"/>
          </w:tcPr>
          <w:p>
            <w:pPr>
              <w:ind w:left="560"/>
              <w:spacing w:after="0" w:line="123" w:lineRule="exact"/>
              <w:rPr>
                <w:sz w:val="20"/>
                <w:szCs w:val="20"/>
                <w:color w:val="auto"/>
              </w:rPr>
            </w:pPr>
            <w:r>
              <w:rPr>
                <w:rFonts w:ascii="Arial" w:cs="Arial" w:eastAsia="Arial" w:hAnsi="Arial"/>
                <w:sz w:val="13"/>
                <w:szCs w:val="13"/>
                <w:color w:val="auto"/>
              </w:rPr>
              <w:t>models with the ability to tow a small vehicle</w:t>
            </w:r>
          </w:p>
        </w:tc>
        <w:tc>
          <w:tcPr>
            <w:tcW w:w="3180" w:type="dxa"/>
            <w:vAlign w:val="bottom"/>
            <w:shd w:val="clear" w:color="auto" w:fill="CCEEFF"/>
          </w:tcPr>
          <w:p>
            <w:pPr>
              <w:spacing w:after="0"/>
              <w:rPr>
                <w:sz w:val="8"/>
                <w:szCs w:val="8"/>
                <w:color w:val="auto"/>
              </w:rPr>
            </w:pPr>
          </w:p>
        </w:tc>
        <w:tc>
          <w:tcPr>
            <w:tcW w:w="3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020" w:type="dxa"/>
            <w:vAlign w:val="bottom"/>
            <w:shd w:val="clear" w:color="auto" w:fill="CCEEFF"/>
          </w:tcPr>
          <w:p>
            <w:pPr>
              <w:spacing w:after="0"/>
              <w:rPr>
                <w:sz w:val="2"/>
                <w:szCs w:val="2"/>
                <w:color w:val="auto"/>
              </w:rPr>
            </w:pPr>
          </w:p>
        </w:tc>
        <w:tc>
          <w:tcPr>
            <w:tcW w:w="3900" w:type="dxa"/>
            <w:vAlign w:val="bottom"/>
            <w:vMerge w:val="continue"/>
            <w:shd w:val="clear" w:color="auto" w:fill="CCEEFF"/>
          </w:tcPr>
          <w:p>
            <w:pPr>
              <w:spacing w:after="0"/>
              <w:rPr>
                <w:sz w:val="2"/>
                <w:szCs w:val="2"/>
                <w:color w:val="auto"/>
              </w:rPr>
            </w:pPr>
          </w:p>
        </w:tc>
        <w:tc>
          <w:tcPr>
            <w:tcW w:w="3180" w:type="dxa"/>
            <w:vAlign w:val="bottom"/>
            <w:vMerge w:val="restart"/>
            <w:shd w:val="clear" w:color="auto" w:fill="CCEEFF"/>
          </w:tcPr>
          <w:p>
            <w:pPr>
              <w:ind w:left="20"/>
              <w:spacing w:after="0" w:line="147" w:lineRule="exact"/>
              <w:rPr>
                <w:sz w:val="20"/>
                <w:szCs w:val="20"/>
                <w:color w:val="auto"/>
              </w:rPr>
            </w:pPr>
            <w:r>
              <w:rPr>
                <w:rFonts w:ascii="Arial" w:cs="Arial" w:eastAsia="Arial" w:hAnsi="Arial"/>
                <w:sz w:val="13"/>
                <w:szCs w:val="13"/>
                <w:color w:val="auto"/>
              </w:rPr>
              <w:t>Diesel: Forza and Journey</w:t>
            </w:r>
          </w:p>
        </w:tc>
        <w:tc>
          <w:tcPr>
            <w:tcW w:w="31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shd w:val="clear" w:color="auto" w:fill="CCEEFF"/>
          </w:tcPr>
          <w:p>
            <w:pPr>
              <w:spacing w:after="0"/>
              <w:rPr>
                <w:sz w:val="10"/>
                <w:szCs w:val="10"/>
                <w:color w:val="auto"/>
              </w:rPr>
            </w:pPr>
          </w:p>
        </w:tc>
        <w:tc>
          <w:tcPr>
            <w:tcW w:w="3900" w:type="dxa"/>
            <w:vAlign w:val="bottom"/>
            <w:shd w:val="clear" w:color="auto" w:fill="CCEEFF"/>
          </w:tcPr>
          <w:p>
            <w:pPr>
              <w:spacing w:after="0"/>
              <w:rPr>
                <w:sz w:val="10"/>
                <w:szCs w:val="10"/>
                <w:color w:val="auto"/>
              </w:rPr>
            </w:pPr>
          </w:p>
        </w:tc>
        <w:tc>
          <w:tcPr>
            <w:tcW w:w="3180" w:type="dxa"/>
            <w:vAlign w:val="bottom"/>
            <w:vMerge w:val="continue"/>
            <w:shd w:val="clear" w:color="auto" w:fill="CCEEFF"/>
          </w:tcPr>
          <w:p>
            <w:pPr>
              <w:spacing w:after="0"/>
              <w:rPr>
                <w:sz w:val="10"/>
                <w:szCs w:val="10"/>
                <w:color w:val="auto"/>
              </w:rPr>
            </w:pPr>
          </w:p>
        </w:tc>
        <w:tc>
          <w:tcPr>
            <w:tcW w:w="31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Kountry Star, London Aire, Mountain Aire, New Aire,</w:t>
            </w:r>
          </w:p>
        </w:tc>
        <w:tc>
          <w:tcPr>
            <w:tcW w:w="0" w:type="dxa"/>
            <w:vAlign w:val="bottom"/>
          </w:tcPr>
          <w:p>
            <w:pPr>
              <w:spacing w:after="0"/>
              <w:rPr>
                <w:sz w:val="1"/>
                <w:szCs w:val="1"/>
                <w:color w:val="auto"/>
              </w:rPr>
            </w:pPr>
          </w:p>
        </w:tc>
      </w:tr>
      <w:tr>
        <w:trPr>
          <w:trHeight w:val="161"/>
        </w:trPr>
        <w:tc>
          <w:tcPr>
            <w:tcW w:w="102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Ventana</w:t>
            </w:r>
          </w:p>
        </w:tc>
        <w:tc>
          <w:tcPr>
            <w:tcW w:w="0" w:type="dxa"/>
            <w:vAlign w:val="bottom"/>
          </w:tcPr>
          <w:p>
            <w:pPr>
              <w:spacing w:after="0"/>
              <w:rPr>
                <w:sz w:val="1"/>
                <w:szCs w:val="1"/>
                <w:color w:val="auto"/>
              </w:rPr>
            </w:pPr>
          </w:p>
        </w:tc>
      </w:tr>
      <w:tr>
        <w:trPr>
          <w:trHeight w:val="89"/>
        </w:trPr>
        <w:tc>
          <w:tcPr>
            <w:tcW w:w="1020" w:type="dxa"/>
            <w:vAlign w:val="bottom"/>
            <w:shd w:val="clear" w:color="auto" w:fill="CCEEFF"/>
          </w:tcPr>
          <w:p>
            <w:pPr>
              <w:spacing w:after="0"/>
              <w:rPr>
                <w:sz w:val="7"/>
                <w:szCs w:val="7"/>
                <w:color w:val="auto"/>
              </w:rPr>
            </w:pPr>
          </w:p>
        </w:tc>
        <w:tc>
          <w:tcPr>
            <w:tcW w:w="3900" w:type="dxa"/>
            <w:vAlign w:val="bottom"/>
            <w:shd w:val="clear" w:color="auto" w:fill="CCEEFF"/>
          </w:tcPr>
          <w:p>
            <w:pPr>
              <w:spacing w:after="0"/>
              <w:rPr>
                <w:sz w:val="7"/>
                <w:szCs w:val="7"/>
                <w:color w:val="auto"/>
              </w:rPr>
            </w:pPr>
          </w:p>
        </w:tc>
        <w:tc>
          <w:tcPr>
            <w:tcW w:w="3180" w:type="dxa"/>
            <w:vAlign w:val="bottom"/>
            <w:shd w:val="clear" w:color="auto" w:fill="CCEEFF"/>
          </w:tcPr>
          <w:p>
            <w:pPr>
              <w:spacing w:after="0"/>
              <w:rPr>
                <w:sz w:val="7"/>
                <w:szCs w:val="7"/>
                <w:color w:val="auto"/>
              </w:rPr>
            </w:pPr>
          </w:p>
        </w:tc>
        <w:tc>
          <w:tcPr>
            <w:tcW w:w="3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ectPr>
          <w:pgSz w:w="11900" w:h="16838" w:orient="portrait"/>
          <w:cols w:equalWidth="0" w:num="1">
            <w:col w:w="11280"/>
          </w:cols>
          <w:pgMar w:left="300" w:top="133" w:right="31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Class B</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Class 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Built by adding a taller roof and amenities to an existing van, which allows for easy maneuvering</w:t>
      </w:r>
    </w:p>
    <w:p>
      <w:pPr>
        <w:spacing w:after="0" w:line="349" w:lineRule="exact"/>
        <w:rPr>
          <w:sz w:val="20"/>
          <w:szCs w:val="20"/>
          <w:color w:val="auto"/>
        </w:rPr>
      </w:pPr>
    </w:p>
    <w:p>
      <w:pPr>
        <w:jc w:val="both"/>
        <w:ind w:right="60"/>
        <w:spacing w:after="0" w:line="222" w:lineRule="auto"/>
        <w:rPr>
          <w:sz w:val="20"/>
          <w:szCs w:val="20"/>
          <w:color w:val="auto"/>
        </w:rPr>
      </w:pPr>
      <w:r>
        <w:rPr>
          <w:rFonts w:ascii="Arial" w:cs="Arial" w:eastAsia="Arial" w:hAnsi="Arial"/>
          <w:sz w:val="13"/>
          <w:szCs w:val="13"/>
          <w:color w:val="auto"/>
        </w:rPr>
        <w:t>Built on a medium truck chassis in both diesel and gas models with similar features and amenities to Class A models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Gas: Solis and Travato</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Diesel: Boldt, Era, Revel, and Roam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71755</wp:posOffset>
            </wp:positionV>
            <wp:extent cx="7161530" cy="478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781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Gas: Ekko, Minnie Winnie, and Spirit</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Diesel: Navion, Porto, View, and Vita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351" w:lineRule="exact"/>
        <w:rPr>
          <w:sz w:val="20"/>
          <w:szCs w:val="20"/>
          <w:color w:val="auto"/>
        </w:rPr>
      </w:pPr>
    </w:p>
    <w:p>
      <w:pPr>
        <w:jc w:val="center"/>
        <w:ind w:right="1080"/>
        <w:spacing w:after="0"/>
        <w:rPr>
          <w:sz w:val="20"/>
          <w:szCs w:val="20"/>
          <w:color w:val="auto"/>
        </w:rPr>
      </w:pPr>
      <w:r>
        <w:rPr>
          <w:rFonts w:ascii="Arial" w:cs="Arial" w:eastAsia="Arial" w:hAnsi="Arial"/>
          <w:sz w:val="12"/>
          <w:szCs w:val="12"/>
          <w:color w:val="auto"/>
        </w:rPr>
        <w:t>Diesel: Super Star and Supreme Aire</w:t>
      </w:r>
    </w:p>
    <w:p>
      <w:pPr>
        <w:spacing w:after="0" w:line="390" w:lineRule="exact"/>
        <w:rPr>
          <w:sz w:val="20"/>
          <w:szCs w:val="20"/>
          <w:color w:val="auto"/>
        </w:rPr>
      </w:pPr>
    </w:p>
    <w:p>
      <w:pPr>
        <w:sectPr>
          <w:pgSz w:w="11900" w:h="16838" w:orient="portrait"/>
          <w:cols w:equalWidth="0" w:num="4">
            <w:col w:w="860" w:space="720"/>
            <w:col w:w="3140" w:space="220"/>
            <w:col w:w="2460" w:space="720"/>
            <w:col w:w="3160"/>
          </w:cols>
          <w:pgMar w:left="300" w:top="133" w:right="319" w:bottom="1440" w:gutter="0" w:footer="0" w:header="0"/>
          <w:type w:val="continuous"/>
        </w:sectPr>
      </w:pP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Our Class A, Class B, and Class C motorhome RVs are sold by dealers in the retail market with manufacturer's suggested retail prices ranging from approximately $140,000 to $1,650,000, which can vary depending on size and model, plus optional equipment and delivery charges. Our motorhome RVs range in length from 18 to 45 feet.</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3"/>
          <w:szCs w:val="13"/>
          <w:color w:val="auto"/>
        </w:rPr>
        <w:t>Motorhome RV parts and service activities represent revenues generated by service work we perform for retail customers at our Forest City, Iowa and Nappanee, Indiana facilities as well as revenues from the sale of unit parts. Our competitive strategy is to provide proprietary manufactured parts through our dealer network, which we believe increases customer satisfaction and the value of our motorhome RVs.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Marine</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We manufacture and sell premium quality recreational boats under our Chris-Craft and Barletta brands through an established network of independent authorized dealers.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428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Chris-Craft product offerings</w:t>
            </w:r>
          </w:p>
        </w:tc>
        <w:tc>
          <w:tcPr>
            <w:tcW w:w="602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Barletta product offerings</w:t>
            </w:r>
          </w:p>
        </w:tc>
      </w:tr>
      <w:tr>
        <w:trPr>
          <w:trHeight w:val="160"/>
        </w:trPr>
        <w:tc>
          <w:tcPr>
            <w:tcW w:w="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Boats</w:t>
            </w:r>
          </w:p>
        </w:tc>
        <w:tc>
          <w:tcPr>
            <w:tcW w:w="42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Calypso, Catalina, Launch, and Launch GT</w:t>
            </w:r>
          </w:p>
        </w:tc>
        <w:tc>
          <w:tcPr>
            <w:tcW w:w="602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Aria, Cabrio, Corsa, Lusso, and Reserve</w:t>
            </w:r>
          </w:p>
        </w:tc>
      </w:tr>
    </w:tbl>
    <w:p>
      <w:pPr>
        <w:spacing w:after="0" w:line="248" w:lineRule="exact"/>
        <w:rPr>
          <w:sz w:val="20"/>
          <w:szCs w:val="20"/>
          <w:color w:val="auto"/>
        </w:rPr>
      </w:pPr>
    </w:p>
    <w:p>
      <w:pPr>
        <w:ind w:right="380"/>
        <w:spacing w:after="0" w:line="274" w:lineRule="auto"/>
        <w:rPr>
          <w:sz w:val="20"/>
          <w:szCs w:val="20"/>
          <w:color w:val="auto"/>
        </w:rPr>
      </w:pPr>
      <w:r>
        <w:rPr>
          <w:rFonts w:ascii="Arial" w:cs="Arial" w:eastAsia="Arial" w:hAnsi="Arial"/>
          <w:sz w:val="13"/>
          <w:szCs w:val="13"/>
          <w:color w:val="auto"/>
        </w:rPr>
        <w:t>Our boats are sold by dealers in the retail market with manufacturer's suggested retail prices ranging from approximately $60,000 to $770,000, which can vary depending on size and model, plus optional equipment and delivery charges.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Winnebago Specialty Vehicles</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We manufacture accessibility enhanced motorhomes under the Winnebago brand name, which are vehicles with a wheelchair lift to allow individuals with physical disabilities access to the motorhome. In addition, we also manufacture other specialty commercial vehicles custom designed for the buyer's specific needs and requirements, such as law enforcement command centers, mobile medical clinics, and mobile office space. We also provide commercial vehicles as bare shells to third-party upfitters for conversion at their facilities. These specialty commercial vehicles are manufactured in Forest City, Iowa and sold through our dealer network.</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Lithionics</w:t>
      </w:r>
    </w:p>
    <w:p>
      <w:pPr>
        <w:spacing w:after="0" w:line="88"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On April 28, 2023, we acquired 100% of the equity interests Lithionics Battery, LLC and Lithionics LLC (collectively, "Lithionics"), a premier lithium-ion battery solutions provider to the recreational equipment and specialty vehicle markets. Using a proprietary battery management system called NeverDie® Technology, Lithionics offers a broad range of standard and custom-designed battery configurations delivering “house power” and supporting internal electrical features and appliances for a variety of outdoor products, including RVs, boats, specialty and other low-speed vehicles, as well as other industrial applications. These batteries are manufactured in Clearwater, Florida. Refer to Note 2 in the Notes to Consolidated Financial Statements, included in Item 8 of Part II in this Annual Report on Form 10-K, for further detail regarding the acquisition.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We generally produce towable RVs, motorhome RVs, and marine products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spacing w:after="0" w:line="169" w:lineRule="exact"/>
        <w:rPr>
          <w:sz w:val="20"/>
          <w:szCs w:val="20"/>
          <w:color w:val="auto"/>
        </w:rPr>
      </w:pPr>
    </w:p>
    <w:p>
      <w:pPr>
        <w:ind w:right="300"/>
        <w:spacing w:after="0" w:line="257" w:lineRule="auto"/>
        <w:rPr>
          <w:sz w:val="20"/>
          <w:szCs w:val="20"/>
          <w:color w:val="auto"/>
        </w:rPr>
      </w:pPr>
      <w:r>
        <w:rPr>
          <w:rFonts w:ascii="Arial" w:cs="Arial" w:eastAsia="Arial" w:hAnsi="Arial"/>
          <w:sz w:val="13"/>
          <w:szCs w:val="13"/>
          <w:color w:val="auto"/>
        </w:rPr>
        <w:t>Our towable RVs are produced at two assembly campuses located in Middlebury, Indiana. The majority of components are comprised of frames, appliances, and furniture, and are purchased from multiple suppliers.</w:t>
      </w:r>
    </w:p>
    <w:p>
      <w:pPr>
        <w:spacing w:after="0" w:line="178" w:lineRule="exact"/>
        <w:rPr>
          <w:sz w:val="20"/>
          <w:szCs w:val="20"/>
          <w:color w:val="auto"/>
        </w:rPr>
      </w:pPr>
    </w:p>
    <w:p>
      <w:pPr>
        <w:ind w:right="20"/>
        <w:spacing w:after="0" w:line="298" w:lineRule="auto"/>
        <w:rPr>
          <w:sz w:val="20"/>
          <w:szCs w:val="20"/>
          <w:color w:val="auto"/>
        </w:rPr>
      </w:pPr>
      <w:r>
        <w:rPr>
          <w:rFonts w:ascii="Arial" w:cs="Arial" w:eastAsia="Arial" w:hAnsi="Arial"/>
          <w:sz w:val="12"/>
          <w:szCs w:val="12"/>
          <w:color w:val="auto"/>
        </w:rPr>
        <w:t>Our motorhome RVs are produced in the states of Iowa and Indiana at five different assembly campuses. Our motorhome RV business utilizes vertically integrated supply streams, with the principal exceptions being chassis, engines, generators, and appliances that we purchase from multiple suppliers. Certain parts, especially motorhome RV chassis, are available from a small group of suppliers.</w:t>
      </w:r>
    </w:p>
    <w:p>
      <w:pPr>
        <w:spacing w:after="0" w:line="156" w:lineRule="exact"/>
        <w:rPr>
          <w:sz w:val="20"/>
          <w:szCs w:val="20"/>
          <w:color w:val="auto"/>
        </w:rPr>
      </w:pPr>
    </w:p>
    <w:p>
      <w:pPr>
        <w:ind w:right="180"/>
        <w:spacing w:after="0" w:line="257" w:lineRule="auto"/>
        <w:rPr>
          <w:sz w:val="20"/>
          <w:szCs w:val="20"/>
          <w:color w:val="auto"/>
        </w:rPr>
      </w:pPr>
      <w:r>
        <w:rPr>
          <w:rFonts w:ascii="Arial" w:cs="Arial" w:eastAsia="Arial" w:hAnsi="Arial"/>
          <w:sz w:val="13"/>
          <w:szCs w:val="13"/>
          <w:color w:val="auto"/>
        </w:rPr>
        <w:t>Our marine products are produced in the states of Indiana and Florida at two different assembly campuses. We manufacture certain components and purchase other components from suppliers and install them on the boat. Certain parts, especially motors, are available from a small group of suppliers.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03"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We strive to balance timely order fulfillment to our dealers with the lead times suppliers require to efficiently source materials and manage costs. Production facility constraints at peak periods also lead to fluctuations in backlog orders, which we manage closely. A more detailed description of our Towable RV, Motorhome RV, and Marine order backlog is included in Item 7 of Part II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 and Financing</w:t>
      </w:r>
    </w:p>
    <w:p>
      <w:pPr>
        <w:spacing w:after="0" w:line="92"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Foreign sales accounted for less than 10% of net revenues during each of the past three fiscal years.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As of August 26, 2023, our RV and marine dealer network in the U.S. and Canada included approximately 750 physical dealer locations, many of which carry more than one of our brands. None of our dealer organizations accounted for more than 10% of our net revenues during each of the past three fiscal years.</w:t>
      </w:r>
    </w:p>
    <w:p>
      <w:pPr>
        <w:spacing w:after="0" w:line="166"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auto"/>
        </w:rPr>
        <w:t>We have sales and service agreements with most dealers, which are subject to annual review. Many of the dealers are also engaged in other areas of business, including the sale of automobiles, trailers, or boats, and most dealers carry one or more competitive lines of products.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169" w:lineRule="exact"/>
        <w:rPr>
          <w:sz w:val="20"/>
          <w:szCs w:val="20"/>
          <w:color w:val="auto"/>
        </w:rPr>
      </w:pPr>
    </w:p>
    <w:p>
      <w:pPr>
        <w:ind w:right="100"/>
        <w:spacing w:after="0" w:line="317" w:lineRule="auto"/>
        <w:rPr>
          <w:sz w:val="20"/>
          <w:szCs w:val="20"/>
          <w:color w:val="auto"/>
        </w:rPr>
      </w:pPr>
      <w:r>
        <w:rPr>
          <w:rFonts w:ascii="Arial" w:cs="Arial" w:eastAsia="Arial" w:hAnsi="Arial"/>
          <w:sz w:val="12"/>
          <w:szCs w:val="12"/>
          <w:color w:val="auto"/>
        </w:rPr>
        <w:t>We advertise and promote our products through national trade magazines,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spacing w:after="0" w:line="134"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the industries we serve,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can vary significantly, depending upon the level of dealer inventory, general economic conditions, demand for our products, dealer location, and access to and the cost of financing. See Note 12 in the Notes to Consolidated Financial Statements, included in Item 8 of Part II in this Annual Report on Form 10-K, for more information.</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92"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industries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92"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The primary use of RVs and marine products for leisure travel and outdoor recreation has historically led to a peak retail selling season concentrated in the spring and summer months and lower sales during fall and winter months. Our sales are generally influenced by this pattern in retail sales, but sales can also be impacted by the level of dealer inventory. As a result, our sales are historically lowest during our second fiscal quarter, which ends in February.</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Governmental Regulations</w:t>
      </w:r>
    </w:p>
    <w:p>
      <w:pPr>
        <w:spacing w:after="0" w:line="9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w:t>
      </w:r>
    </w:p>
    <w:p>
      <w:pPr>
        <w:spacing w:after="0" w:line="173" w:lineRule="exact"/>
        <w:rPr>
          <w:sz w:val="20"/>
          <w:szCs w:val="20"/>
          <w:color w:val="auto"/>
        </w:rPr>
      </w:pPr>
    </w:p>
    <w:p>
      <w:pPr>
        <w:jc w:val="both"/>
        <w:ind w:right="160"/>
        <w:spacing w:after="0" w:line="287" w:lineRule="auto"/>
        <w:rPr>
          <w:sz w:val="20"/>
          <w:szCs w:val="20"/>
          <w:color w:val="auto"/>
        </w:rPr>
      </w:pPr>
      <w:r>
        <w:rPr>
          <w:rFonts w:ascii="Arial" w:cs="Arial" w:eastAsia="Arial" w:hAnsi="Arial"/>
          <w:sz w:val="12"/>
          <w:szCs w:val="12"/>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63" w:lineRule="exact"/>
        <w:rPr>
          <w:sz w:val="20"/>
          <w:szCs w:val="20"/>
          <w:color w:val="auto"/>
        </w:rPr>
      </w:pPr>
    </w:p>
    <w:p>
      <w:pPr>
        <w:ind w:right="480"/>
        <w:spacing w:after="0" w:line="257" w:lineRule="auto"/>
        <w:rPr>
          <w:sz w:val="20"/>
          <w:szCs w:val="20"/>
          <w:color w:val="auto"/>
        </w:rPr>
      </w:pPr>
      <w:r>
        <w:rPr>
          <w:rFonts w:ascii="Arial" w:cs="Arial" w:eastAsia="Arial" w:hAnsi="Arial"/>
          <w:sz w:val="13"/>
          <w:szCs w:val="13"/>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Trademarks</w:t>
      </w:r>
    </w:p>
    <w:p>
      <w:pPr>
        <w:spacing w:after="0" w:line="10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Our products are marketed under a variety of valuable trademarks. Some of the more important trademarks used in our business include Winnebago, Grand Design, Newmar, Chris-Craft, Barletta and Lithionics. We protect these trademarks as appropriate through registrations in the U.S. and other jurisdictions. Depending on jurisdiction, trademarks are generally valid as long as they are in use or their registrations are properly maintained and they have not been found to have become generic. Registrations of trademarks can also generally be renewed indefinitely for as long as the trademarks are in use.</w:t>
      </w:r>
    </w:p>
    <w:p>
      <w:pPr>
        <w:spacing w:after="0" w:line="173"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We continue our focus on developing and marketing innovative, proprietary products, many of which use proprietary expertise, trade secrets, and know-how. We consider the collective rights under our various patents, which expire from time to time, a valuable asset, but we do not believe that our businesses are materially dependent upon any single patent or group of related patents.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Capital Management</w:t>
      </w:r>
    </w:p>
    <w:p>
      <w:pPr>
        <w:spacing w:after="0" w:line="103"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Our employees are our greatest strength and we are committed to providing a safe, inclusive, high-performance culture where our people thrive. We strive to recruit, develop, engage and protect our workforce. The following are key human capital measures and objectives that we currently focus 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Experience – Leadership and Culture Development</w:t>
      </w:r>
    </w:p>
    <w:p>
      <w:pPr>
        <w:spacing w:after="0" w:line="9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believe our future success depends on our people. Attracting, engaging, retaining and developing diverse talent is a key priority. We strive to grow and develop all of our teams and bolster our talent pipeline. Our leadership expectations provide a shared understanding of the skills our teams develop through continuous learning opportunities and training. Our Code of Conduct and our human rights policy include shared values and guide relationships with our people and our stakeholders. To build and attract the next generation of leaders, we have developed external partnerships, introducing high school and first-generation college students to potential career opportunities in the RV and marine industries. To increase the pipeline of diverse talent in the outdoor industry, we provided founding support to the Leaders from The Future of Work Internship Program in partnership with nonprofit partner Camber Outdoors. This innovative, diversity, equity, and inclusive ("DEI") focused internship program engages Black, Latino, Asian American and Pacific Islander, and Native/Indigenous students in meaningful paid summer internships. We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also collaborate with regional education and workforce development partners to connect job seekers with on-the-job training and leadership development.</w:t>
      </w:r>
    </w:p>
    <w:p>
      <w:pPr>
        <w:spacing w:after="0" w:line="190"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Team members respond regularly to an engagement survey, administered at least every two years, that evaluates our employees’ thoughts about their experience working at Winnebago Industries. Responses are reviewed by team leaders and used to help build specific action plans to continually improve our employee engagement, satisfaction, and retention. We engage employees through community volunteerism, team-building, and employee resource groups. We strive to continually improve our employee experience, develop and grow our teams, and create a culture of inclusion and belonging.</w:t>
      </w:r>
    </w:p>
    <w:p>
      <w:pPr>
        <w:spacing w:after="0" w:line="169" w:lineRule="exact"/>
        <w:rPr>
          <w:sz w:val="20"/>
          <w:szCs w:val="20"/>
          <w:color w:val="auto"/>
        </w:rPr>
      </w:pPr>
    </w:p>
    <w:p>
      <w:pPr>
        <w:ind w:right="220"/>
        <w:spacing w:after="0" w:line="298" w:lineRule="auto"/>
        <w:rPr>
          <w:sz w:val="20"/>
          <w:szCs w:val="20"/>
          <w:color w:val="auto"/>
        </w:rPr>
      </w:pPr>
      <w:r>
        <w:rPr>
          <w:rFonts w:ascii="Arial" w:cs="Arial" w:eastAsia="Arial" w:hAnsi="Arial"/>
          <w:sz w:val="12"/>
          <w:szCs w:val="12"/>
          <w:color w:val="auto"/>
        </w:rPr>
        <w:t>As of August 26, 2023, we employed approximately 6,250 persons, of which approximately 28% and 72% were non-production and production workers, respectively. In addition, approximately 18% and 82% were salaried and hourly employees, respectively. None of our employees are covered under a collective bargaining agreement. We believe our relations with our employees are good.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Commitment to Inclusion, Diversity, Equity, and Action ("IDEA")</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We believe in the value of building a company and community where every person feels welcome, is treated fairly, and has an equal opportunity to succeed while bringing their authentic self to work. In our second year of implementing our “All In, Outdoors” roadmap, we continued to center creating a better sense of belonging in our workplace, our communities, and the outdoors. We advanced our strategy by listening and learning, including by establishing an IDEA Speaker series, where subject matter experts provide inspiration, tools, and resources to create an inclusive culture. In addition, our Courageous Conversations program helps build connections with employees through conversations that provide awareness and understanding around community and cultural sensitivities that can be difficult in the workplace. We launched our first employee resource group in 2022, the Women’s Inclusion Network ("WIN"), whose mission is to support the professional development of women by encouraging access to learning, mentoring, and networking. WIN’s goal is to provide programming and tools, increase women’s sense of belonging, and the percentage of women in leadership roles within our businesses. We remain involved with partners who help advance our goals including CEO Action for Diversity &amp; Inclusion, Society of Women Engineers, Women in Manufacturing, RV Women’s Alliance, and more.</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We are committed to increasing inclusion across our industry and beyond. Approximately 24% of our executive and senior leadership team members are women and 11% are racially or ethnically diverse. We continue to expand our partnerships with nonprofit organizations led by and for communities of color and women and organizations helping to diversify the talent pipeline including Camber Outdoors and the Society of Women Engineers.</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We also recognize the importance of having diverse perspectives on our Board of Directors and aspire to promote diversity as we build and refresh our Board of Directors. Our IDEA framework, which serves as a roadmap to guide us forward on our inclusion journey, includes the Board of Directors, leadership development, and engagement. As of August 26, 2023, 22% of our Board of Directors were women, and 22% were racially or ethnically diverse.</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We believe our company and our brands should reflect the diversity of outdoor enthusiasts. We also believe we thrive and are more successful when we empower, value, and respect our employees and our communities. We are committed to continuing to build a stronger, more inclusive culture and workplace.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 and Safety</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Winnebago Industries is committed to designing, operating, and maintaining safe, controlled working conditions and a zero-harm culture. We operate under the principle that all workplace injuries and illnesses are predictable and preventable. We aspire to control all workplace exposures to risk on our road to zero-harm, and we embed safety as part of our DNA that guides our purpose, culture, and operations. With the mental, emotional, and physical well-being of our employees as a key focus, we have provided resources for employees to manage remote work and balance parental and other family responsibilities. In Fiscal 2023, our total recordable incident rate ("TRIR") was 4.93, a 16% improvement compared to 5.85 in Fiscal 2022. In Fiscal 2023, our days away restricted transfer rate ("DART") was 2.14, a 33% improvement compared to 3.20 in Fiscal 2022. We are an industry leader in workplace safety and our commitment to safety never stops.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164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620"/>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Information about our Executive Officers</w:t>
            </w:r>
          </w:p>
        </w:tc>
        <w:tc>
          <w:tcPr>
            <w:tcW w:w="7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7"/>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Office (Year First Elected an Officer)</w:t>
            </w:r>
          </w:p>
        </w:tc>
        <w:tc>
          <w:tcPr>
            <w:tcW w:w="7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Age</w:t>
            </w:r>
          </w:p>
        </w:tc>
      </w:tr>
      <w:tr>
        <w:trPr>
          <w:trHeight w:val="16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Michael J. Happe</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 (2016)</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52</w:t>
            </w:r>
          </w:p>
        </w:tc>
      </w:tr>
      <w:tr>
        <w:trPr>
          <w:trHeight w:val="168"/>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Ashis N. Bhattacharya</w:t>
            </w:r>
          </w:p>
        </w:tc>
        <w:tc>
          <w:tcPr>
            <w:tcW w:w="7820" w:type="dxa"/>
            <w:vAlign w:val="bottom"/>
          </w:tcPr>
          <w:p>
            <w:pPr>
              <w:ind w:left="140"/>
              <w:spacing w:after="0"/>
              <w:rPr>
                <w:sz w:val="20"/>
                <w:szCs w:val="20"/>
                <w:color w:val="auto"/>
              </w:rPr>
            </w:pPr>
            <w:r>
              <w:rPr>
                <w:rFonts w:ascii="Arial" w:cs="Arial" w:eastAsia="Arial" w:hAnsi="Arial"/>
                <w:sz w:val="13"/>
                <w:szCs w:val="13"/>
                <w:color w:val="auto"/>
              </w:rPr>
              <w:t>Senior Vice President, Business Development, Advanced Technology and Strategic Planning (2016)</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61</w:t>
            </w:r>
          </w:p>
        </w:tc>
      </w:tr>
      <w:tr>
        <w:trPr>
          <w:trHeight w:val="17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Stacy L. Bogart</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Vice President, General Counsel, Secretary and Corporate Responsibility President, Winnebago Industries Foundation (2018)</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60</w:t>
            </w:r>
          </w:p>
        </w:tc>
      </w:tr>
      <w:tr>
        <w:trPr>
          <w:trHeight w:val="168"/>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Huw S. Bower</w:t>
            </w:r>
          </w:p>
        </w:tc>
        <w:tc>
          <w:tcPr>
            <w:tcW w:w="7820" w:type="dxa"/>
            <w:vAlign w:val="bottom"/>
          </w:tcPr>
          <w:p>
            <w:pPr>
              <w:ind w:left="140"/>
              <w:spacing w:after="0"/>
              <w:rPr>
                <w:sz w:val="20"/>
                <w:szCs w:val="20"/>
                <w:color w:val="auto"/>
              </w:rPr>
            </w:pPr>
            <w:r>
              <w:rPr>
                <w:rFonts w:ascii="Arial" w:cs="Arial" w:eastAsia="Arial" w:hAnsi="Arial"/>
                <w:sz w:val="13"/>
                <w:szCs w:val="13"/>
                <w:color w:val="auto"/>
              </w:rPr>
              <w:t>President, Winnebago Outdoors (2020)</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49</w:t>
            </w:r>
          </w:p>
        </w:tc>
      </w:tr>
      <w:tr>
        <w:trPr>
          <w:trHeight w:val="17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Donald J. Clark</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Grand Design RV (2016)</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63</w:t>
            </w:r>
          </w:p>
        </w:tc>
      </w:tr>
      <w:tr>
        <w:trPr>
          <w:trHeight w:val="168"/>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Bryan L. Hughes</w:t>
            </w:r>
          </w:p>
        </w:tc>
        <w:tc>
          <w:tcPr>
            <w:tcW w:w="7820" w:type="dxa"/>
            <w:vAlign w:val="bottom"/>
          </w:tcPr>
          <w:p>
            <w:pPr>
              <w:ind w:left="140"/>
              <w:spacing w:after="0"/>
              <w:rPr>
                <w:sz w:val="20"/>
                <w:szCs w:val="20"/>
                <w:color w:val="auto"/>
              </w:rPr>
            </w:pPr>
            <w:r>
              <w:rPr>
                <w:rFonts w:ascii="Arial" w:cs="Arial" w:eastAsia="Arial" w:hAnsi="Arial"/>
                <w:sz w:val="13"/>
                <w:szCs w:val="13"/>
                <w:color w:val="auto"/>
              </w:rPr>
              <w:t>Chief Financial Officer; Senior Vice President, Finance, Investor Relations and Information Technology (2017)</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54</w:t>
            </w:r>
          </w:p>
        </w:tc>
      </w:tr>
      <w:tr>
        <w:trPr>
          <w:trHeight w:val="17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Casey J. Tubman</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Newmar Corporation (2022)</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51</w:t>
            </w:r>
          </w:p>
        </w:tc>
      </w:tr>
      <w:tr>
        <w:trPr>
          <w:trHeight w:val="168"/>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Christopher D. West</w:t>
            </w:r>
          </w:p>
        </w:tc>
        <w:tc>
          <w:tcPr>
            <w:tcW w:w="7820" w:type="dxa"/>
            <w:vAlign w:val="bottom"/>
          </w:tcPr>
          <w:p>
            <w:pPr>
              <w:ind w:left="140"/>
              <w:spacing w:after="0"/>
              <w:rPr>
                <w:sz w:val="20"/>
                <w:szCs w:val="20"/>
                <w:color w:val="auto"/>
              </w:rPr>
            </w:pPr>
            <w:r>
              <w:rPr>
                <w:rFonts w:ascii="Arial" w:cs="Arial" w:eastAsia="Arial" w:hAnsi="Arial"/>
                <w:sz w:val="13"/>
                <w:szCs w:val="13"/>
                <w:color w:val="auto"/>
              </w:rPr>
              <w:t>Senior Vice President, Enterprise Operations and Barletta Boats (2016)</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51</w:t>
            </w:r>
          </w:p>
        </w:tc>
      </w:tr>
      <w:tr>
        <w:trPr>
          <w:trHeight w:val="17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Bret A. Woodson</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Vice President, Human Resources and Corporate Relations (2015)</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53</w:t>
            </w:r>
          </w:p>
        </w:tc>
      </w:tr>
    </w:tbl>
    <w:p>
      <w:pPr>
        <w:spacing w:after="0" w:line="259" w:lineRule="exact"/>
        <w:rPr>
          <w:sz w:val="20"/>
          <w:szCs w:val="20"/>
          <w:color w:val="auto"/>
        </w:rPr>
      </w:pPr>
    </w:p>
    <w:p>
      <w:pPr>
        <w:ind w:right="380"/>
        <w:spacing w:after="0" w:line="257" w:lineRule="auto"/>
        <w:rPr>
          <w:sz w:val="20"/>
          <w:szCs w:val="20"/>
          <w:color w:val="auto"/>
        </w:rPr>
      </w:pPr>
      <w:r>
        <w:rPr>
          <w:rFonts w:ascii="Arial" w:cs="Arial" w:eastAsia="Arial" w:hAnsi="Arial"/>
          <w:sz w:val="13"/>
          <w:szCs w:val="13"/>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Mr. Happe joined Winnebago Industries in January 2016 as President and Chief Executive Officer. Prior to joining Winnebago,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Toro's Vice President, Residential and Landscape Contractor Businesses. Prior to that, he held a series of senior leadership positions throughout his career across a variety of Toro's domestic and international divisions.</w:t>
      </w:r>
    </w:p>
    <w:p>
      <w:pPr>
        <w:spacing w:after="0" w:line="173"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Mr. Bhattacharya joined Winnebago Industries in June 2016 as Vice President, Strategic Planning and Development. He became Vice President, Business Development, Specialty Vehicles, and Advanced Technology in 2019 and Senior Vice President, Business Development, Advanced Technology, and Enterprise Marketing in September 2020. Prior to joining Winnebago,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169" w:lineRule="exact"/>
        <w:rPr>
          <w:sz w:val="20"/>
          <w:szCs w:val="20"/>
          <w:color w:val="auto"/>
        </w:rPr>
      </w:pPr>
    </w:p>
    <w:p>
      <w:pPr>
        <w:ind w:right="340"/>
        <w:spacing w:after="0" w:line="250" w:lineRule="auto"/>
        <w:rPr>
          <w:sz w:val="20"/>
          <w:szCs w:val="20"/>
          <w:color w:val="auto"/>
        </w:rPr>
      </w:pPr>
      <w:r>
        <w:rPr>
          <w:rFonts w:ascii="Arial" w:cs="Arial" w:eastAsia="Arial" w:hAnsi="Arial"/>
          <w:sz w:val="13"/>
          <w:szCs w:val="13"/>
          <w:color w:val="auto"/>
        </w:rPr>
        <w:t>Ms. Bogart joined Winnebago Industries in January 2018 as Vice President, General Counsel and Secretary and was appointed Senior Vice President, General Counsel, Secretary and Corporate Responsibility and President, Winnebago Industries Foundation in October 2020.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183" w:lineRule="exact"/>
        <w:rPr>
          <w:sz w:val="20"/>
          <w:szCs w:val="20"/>
          <w:color w:val="auto"/>
        </w:rPr>
      </w:pPr>
    </w:p>
    <w:p>
      <w:pPr>
        <w:ind w:right="180"/>
        <w:spacing w:after="0" w:line="247" w:lineRule="auto"/>
        <w:rPr>
          <w:sz w:val="20"/>
          <w:szCs w:val="20"/>
          <w:color w:val="auto"/>
        </w:rPr>
      </w:pPr>
      <w:r>
        <w:rPr>
          <w:rFonts w:ascii="Arial" w:cs="Arial" w:eastAsia="Arial" w:hAnsi="Arial"/>
          <w:sz w:val="13"/>
          <w:szCs w:val="13"/>
          <w:color w:val="auto"/>
        </w:rPr>
        <w:t>Mr. Bower joined Winnebago Industries in October 2020 as President, Winnebago Outdoors. Prior to joining Winnebago Industries, he was President of the Boat Group at Brunswick Corporation, a developer and manufacturer of marine/boating products, from April 2016 to September 2020. Mr. Bower has over 15 years of general management, brand leadership and executive experience in the marine industry.</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Mr. Clark, President of Grand Design RV, became an officer of Winnebago Industries in November 2016 in accordance with the terms of the Grand Design acquisition. He co-founded Grand Design RV, LLC in 2012 and built the team at Grand Design RV. Mr. Clark has over 30 years of successful RV industry experience.</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Mr. Hughes joined Winnebago Industries as Vice President, Chief Financial Officer of the Company in May 2017 and was appointed Senior Vice President, Finance, Information Technology and Strategic Planning, and Chief Financial Officer, in October 2020. Mr. Hughes joined Winnebago Industries from Ecolab, Inc., a global sustainability leader offering water, hygiene and infection prevention solutions and services to customers in the food, healthcare, life sciences, hospitality and industrial markets, where he served as Senior Vice President and Corporate Controller from 2014 to 2017, Vice President of Finance from 2008 to 2014 and in various management positions from 1996 to 2008. Prior to his employment with Ecolab, he worked for Ernst &amp; Young, a public accounting firm.</w:t>
      </w:r>
    </w:p>
    <w:p>
      <w:pPr>
        <w:spacing w:after="0" w:line="173" w:lineRule="exact"/>
        <w:rPr>
          <w:sz w:val="20"/>
          <w:szCs w:val="20"/>
          <w:color w:val="auto"/>
        </w:rPr>
      </w:pPr>
    </w:p>
    <w:p>
      <w:pPr>
        <w:ind w:right="140"/>
        <w:spacing w:after="0" w:line="287" w:lineRule="auto"/>
        <w:rPr>
          <w:sz w:val="20"/>
          <w:szCs w:val="20"/>
          <w:color w:val="auto"/>
        </w:rPr>
      </w:pPr>
      <w:r>
        <w:rPr>
          <w:rFonts w:ascii="Arial" w:cs="Arial" w:eastAsia="Arial" w:hAnsi="Arial"/>
          <w:sz w:val="12"/>
          <w:szCs w:val="12"/>
          <w:color w:val="auto"/>
        </w:rPr>
        <w:t>Mr. Tubman joined Winnebago Industries in August 2022 as President of Newmar Corporation. Mr. Tubman joined Winnebago Industries from Whirlpool Corporation, a multinational manufacturer of home appliances, where he served in a variety of leadership and executive roles for over 25 years. Most recently, he served as Vice President and Global Platform Leader from February 2022 to July 2022. He also served as Vice President of Product Marketing from January 2020 to February 2022, and Vice President and General Manager from October 2015 to January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280"/>
        <w:spacing w:after="0" w:line="250" w:lineRule="auto"/>
        <w:rPr>
          <w:sz w:val="20"/>
          <w:szCs w:val="20"/>
          <w:color w:val="auto"/>
        </w:rPr>
      </w:pPr>
      <w:r>
        <w:rPr>
          <w:rFonts w:ascii="Arial" w:cs="Arial" w:eastAsia="Arial" w:hAnsi="Arial"/>
          <w:sz w:val="13"/>
          <w:szCs w:val="13"/>
          <w:color w:val="auto"/>
        </w:rPr>
        <w:t>Mr. West joined Winnebago Industries in September 2016 as Vice President, Operations and was appointed Senior Vice President, Enterprise Operations in October 2020. He previously was Vice President of Global Supply Chain for Joy Global, a worldwide mining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w:t>
      </w:r>
    </w:p>
    <w:p>
      <w:pPr>
        <w:spacing w:after="0" w:line="183"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Mr. Woodson joined Winnebago Industries in January 2015 as Vice President, Administration and was appointed Senior Vice President, Human Resources and Corporate Relations in October 2020. Prior to joining Winnebago, Mr. Woodson was Vice President of Human Resources at Corbion N.V., a food and biochemicals company, from 2007 to 2014 and Director, Human Resources at Sara Lee Corporation from 1999 to 2007. Mr. Woodson has over 25 years of business and human resources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Described below are certain risks that we believe apply to our business and the industries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Annual Report on Form 10-K are not exclusive and other risk factors that we may consider immaterial or do not anticipate may emerge as significant risks and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Macroeconomic Risks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may be sensitive to economic conditions, including those that impact consumer spending.</w:t>
      </w:r>
    </w:p>
    <w:p>
      <w:pPr>
        <w:spacing w:after="0" w:line="103"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and marine industries include:</w:t>
      </w:r>
    </w:p>
    <w:p>
      <w:pPr>
        <w:spacing w:after="0" w:line="173"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Overall consumer confidence and the level of discretionary consumer spending;</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Employment trends;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Fuel prices;</w:t>
      </w: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Inflationary pressures affecting disposable consumer income;</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Interest rate fluctuations;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adverse impact of global tensions on consumer spending and travel-related activities; and</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adverse impact on margins due to increases in raw material costs, which we are unable to pass on to customers without negatively affecting sales.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market deterioration and volatility may restrict the ability of our dealers and retail customers to finance the purchase of our products.</w:t>
      </w:r>
    </w:p>
    <w:p>
      <w:pPr>
        <w:spacing w:after="0" w:line="92"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Our business is affected by the availability and terms of the financing to dealers. Generally, RV and marine dealers finance their purchases of inventory with financing provided by lending institutions. One financial flooring institution held approximately 33% of our total financed dealer inventory dollars that were outstanding at August 26, 2023. In the event that this lending institution limits or discontinues dealer financing, we could experience a material adverse effect on our results of operations.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business is also affected by the availability and terms of financing to retail purchasers. Retail buyers purchasing one of our products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Industry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industries in which we operate are highly competitive. Failure to compete effectively against competitors could negatively impact our business and operating results.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markets for RVs and marine products are very competitive. Competitive factors in the industries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compete effectively with our competitors. These competitive pressures may have a material adverse effect on our results of operations.</w:t>
      </w:r>
    </w:p>
    <w:p>
      <w:pPr>
        <w:spacing w:after="0" w:line="182" w:lineRule="exact"/>
        <w:rPr>
          <w:sz w:val="20"/>
          <w:szCs w:val="20"/>
          <w:color w:val="auto"/>
        </w:rPr>
      </w:pPr>
    </w:p>
    <w:p>
      <w:pPr>
        <w:ind w:right="300"/>
        <w:spacing w:after="0" w:line="300" w:lineRule="auto"/>
        <w:rPr>
          <w:sz w:val="20"/>
          <w:szCs w:val="20"/>
          <w:color w:val="auto"/>
        </w:rPr>
      </w:pPr>
      <w:r>
        <w:rPr>
          <w:rFonts w:ascii="Arial" w:cs="Arial" w:eastAsia="Arial" w:hAnsi="Arial"/>
          <w:sz w:val="13"/>
          <w:szCs w:val="13"/>
          <w:b w:val="1"/>
          <w:bCs w:val="1"/>
          <w:color w:val="auto"/>
        </w:rPr>
        <w:t>If we are unable to continue to enhance existing products and develop and market new or enhanced products that respond to customer needs and preferences, we may experience a decrease in demand for our products and our business could suffer.</w:t>
      </w:r>
    </w:p>
    <w:p>
      <w:pPr>
        <w:spacing w:after="0" w:line="27"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are unable to properly forecast future demand of our products, our production levels may not meet demand, which could negatively impact our operating results.</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is both cyclical and seasonal and is subject to fluctuations in sales and net income.</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3"/>
          <w:szCs w:val="13"/>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68"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in some markets may impact demand.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depends on the performance of independent dealers.</w:t>
      </w:r>
    </w:p>
    <w:p>
      <w:pPr>
        <w:spacing w:after="0" w:line="103"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We rely on our dealers to develop and implement effective strategies to create retail demand for our products. If our independent dealers are unsuccessful in doing so, it could have an adverse effect on our results of operations.</w:t>
      </w:r>
    </w:p>
    <w:p>
      <w:pPr>
        <w:spacing w:after="0" w:line="186" w:lineRule="exact"/>
        <w:rPr>
          <w:sz w:val="20"/>
          <w:szCs w:val="20"/>
          <w:color w:val="auto"/>
        </w:rPr>
      </w:pPr>
    </w:p>
    <w:p>
      <w:pPr>
        <w:jc w:val="both"/>
        <w:ind w:right="80"/>
        <w:spacing w:after="0" w:line="256" w:lineRule="auto"/>
        <w:rPr>
          <w:sz w:val="20"/>
          <w:szCs w:val="20"/>
          <w:color w:val="auto"/>
        </w:rPr>
      </w:pPr>
      <w:r>
        <w:rPr>
          <w:rFonts w:ascii="Arial" w:cs="Arial" w:eastAsia="Arial" w:hAnsi="Arial"/>
          <w:sz w:val="13"/>
          <w:szCs w:val="13"/>
          <w:color w:val="auto"/>
        </w:rPr>
        <w:t>Our success is dependent on our ability to attract new dealers and maintain relationships with existing dealers. Our independent dealers maintain control over which products they carry and choose to sell, and they may promote other products, or terminate existing relationships if our products are not perceived as being desirable and profitable. Our results of operations can be adversely affected if we are unable to maintain and develop successful relationships with independent dealers.</w:t>
      </w:r>
    </w:p>
    <w:p>
      <w:pPr>
        <w:spacing w:after="0" w:line="169" w:lineRule="exact"/>
        <w:rPr>
          <w:sz w:val="20"/>
          <w:szCs w:val="20"/>
          <w:color w:val="auto"/>
        </w:rPr>
      </w:pPr>
    </w:p>
    <w:p>
      <w:pPr>
        <w:ind w:right="220"/>
        <w:spacing w:after="0" w:line="257" w:lineRule="auto"/>
        <w:rPr>
          <w:sz w:val="20"/>
          <w:szCs w:val="20"/>
          <w:color w:val="auto"/>
        </w:rPr>
      </w:pPr>
      <w:r>
        <w:rPr>
          <w:rFonts w:ascii="Arial" w:cs="Arial" w:eastAsia="Arial" w:hAnsi="Arial"/>
          <w:sz w:val="13"/>
          <w:szCs w:val="13"/>
          <w:color w:val="auto"/>
        </w:rPr>
        <w:t>The financial condition of independent dealers is affected in large part by conditions and events that are beyond our control. Significant deterioration in the financial condition of independent dealers could materially and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 increase in dealer consolidation or the loss of a significant dealer could have a material adverse effect on our business.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In recent periods there has been an increase in acquisitions and consolidation across the U.S. RV independent dealer network. Although none of our dealer organizations accounted for more than 10% of our net revenues during each of the past three fiscal years, continued consolidation of independent dealers could have a material adverse impact on our operating results and our exposure to repurchase obligations. In addition, the loss of a significant dealer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ind w:right="140"/>
        <w:spacing w:after="0" w:line="282" w:lineRule="auto"/>
        <w:rPr>
          <w:sz w:val="20"/>
          <w:szCs w:val="20"/>
          <w:color w:val="auto"/>
        </w:rPr>
      </w:pPr>
      <w:r>
        <w:rPr>
          <w:rFonts w:ascii="Arial" w:cs="Arial" w:eastAsia="Arial" w:hAnsi="Arial"/>
          <w:sz w:val="13"/>
          <w:szCs w:val="13"/>
          <w:b w:val="1"/>
          <w:bCs w:val="1"/>
          <w:color w:val="auto"/>
        </w:rPr>
        <w:t>If we are obligated to repurchase a substantially larger number of our products in the future than estimated due to dealer default, these purchases could result in adverse effects on our results of operations, financial condition, and cash flows.</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Operational Risks</w:t>
      </w:r>
    </w:p>
    <w:p>
      <w:pPr>
        <w:spacing w:after="0" w:line="95"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39"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Most of our RV and marine components are readily available from numerous sources. However, a few of our components are produced by a small group of suppliers. In Fiscal 2023, one of our suppliers individually accounted for approximately 15% of our consolidated raw material purchases. In the case of motorhome RV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 RVs rely on chassis supply and are affected by shortages, instability, or recalls from time to time. For example, in the first quarter of Fiscal 2023, the Mercedes-Benz Sprinter chassis became subject to a recall notice, which temporarily suspended all retail sales and wholesale shipments of our products built on this chassis until a recall remedy was implemented. The remedy was implemented in the second quarter of Fiscal 2023 in cooperation with Mercedes-Benz AG. Within our marine businesses, we purchase a significant portion of our motors from Mercury Marine</w:t>
      </w:r>
      <w:r>
        <w:rPr>
          <w:rFonts w:ascii="Arial" w:cs="Arial" w:eastAsia="Arial" w:hAnsi="Arial"/>
          <w:sz w:val="13"/>
          <w:szCs w:val="13"/>
          <w:color w:val="auto"/>
        </w:rPr>
        <w:t>,</w:t>
      </w:r>
      <w:r>
        <w:rPr>
          <w:rFonts w:ascii="Arial" w:cs="Arial" w:eastAsia="Arial" w:hAnsi="Arial"/>
          <w:sz w:val="12"/>
          <w:szCs w:val="12"/>
          <w:color w:val="auto"/>
        </w:rPr>
        <w:t xml:space="preserve"> which makes us reliant on them for the supply of these engines. If we experience delays and disruptions in obtaining these engines, we may be unable to fulfill orders and deliver our products to our customers in a timely manner. Furthermore, decisions by our suppliers to decrease production, production delays or work stoppages by the employees of such suppliers, or price increases could have a material adverse effect on our ability to produce our products and ultimately, on our results of operations, financial condition, and cash flows. For example, on September 15, 2023, the United Auto Workers Union ("UAW") announced targeted strikes impacting certain auto manufacturers from which we purchase chassis. While we do not expect immediate disruption from the strike, the situation remains dynamic, and the exact magnitude and duration is difficult to predict at this time. However, if the labor disputes are prolonged, there could be an adverse impact on our business, financial condition and results of operations.</w:t>
      </w:r>
    </w:p>
    <w:p>
      <w:pPr>
        <w:spacing w:after="0" w:line="159" w:lineRule="exact"/>
        <w:rPr>
          <w:sz w:val="20"/>
          <w:szCs w:val="20"/>
          <w:color w:val="auto"/>
        </w:rPr>
      </w:pPr>
    </w:p>
    <w:p>
      <w:pPr>
        <w:ind w:right="360"/>
        <w:spacing w:after="0" w:line="300" w:lineRule="auto"/>
        <w:rPr>
          <w:sz w:val="20"/>
          <w:szCs w:val="20"/>
          <w:color w:val="auto"/>
        </w:rPr>
      </w:pPr>
      <w:r>
        <w:rPr>
          <w:rFonts w:ascii="Arial" w:cs="Arial" w:eastAsia="Arial" w:hAnsi="Arial"/>
          <w:sz w:val="13"/>
          <w:szCs w:val="13"/>
          <w:b w:val="1"/>
          <w:bCs w:val="1"/>
          <w:color w:val="auto"/>
        </w:rPr>
        <w:t>Our operations are primarily centered in northern Iowa and northern Indiana. Any disruption or delay at our primary manufacturing facilities could adversely affect our business and operating results.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We currently manufacture most of our products in northern Iowa and northern Indiana. We also have relatively small manufacturing operations on the Gulf Coast of Florida.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Unanticipated changes to our dealer inventory levels could negatively impact our operating results.</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We sell many of our products through our independent dealer network and are subject to risks relating to their inventory management decisions and operational and sourcing practices. Our dealers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dealers are higher than they desire, they may postpone product purchases from us, which could cause our sales to be lower than the end-user retail demand for our products and negatively impact our inventory management and working capital goals as well as our operating results.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Increases in raw material, commodity, and transportation costs and shortages of certain raw materials could negatively impact our business.</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lumber, and others that are integrated into our end products. Our profitability is affected by significant fluctuations in the prices of the raw materials and the components and parts we use in our products. Additionally, there continues to be uncertainty with respect to the implementation of current trade regulations, future trade regulations and existing international trade agreements, which could continue to increase our cost of goods sold, both directly and as a result of price increases implemented by domestic suppliers, which we may not be able to pass on to our customers. The impact from these tariffs could also result in decreased demand for our products. All of these conditions could materially and adversely affect our results of operations and financial condition.</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Failure to effectively manage strategic acquisitions and alliances, joint ventures, or partnerships could have a negative impact on our business.</w:t>
      </w:r>
    </w:p>
    <w:p>
      <w:pPr>
        <w:spacing w:after="0" w:line="103"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173"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Diversion of management’s attention;</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Disruption to our existing operations and plans;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Inability to effectively manage our expanded operations;</w:t>
      </w:r>
    </w:p>
    <w:p>
      <w:pPr>
        <w:spacing w:after="0" w:line="4" w:lineRule="exact"/>
        <w:rPr>
          <w:rFonts w:ascii="Arial" w:cs="Arial" w:eastAsia="Arial" w:hAnsi="Arial"/>
          <w:sz w:val="13"/>
          <w:szCs w:val="13"/>
          <w:color w:val="auto"/>
        </w:rPr>
      </w:pPr>
    </w:p>
    <w:p>
      <w:pPr>
        <w:ind w:left="520" w:right="340" w:hanging="260"/>
        <w:spacing w:after="0" w:line="24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Inability to successfully integrate or develop a distribution channel for acquired product lines;</w:t>
      </w:r>
    </w:p>
    <w:p>
      <w:pPr>
        <w:ind w:left="520" w:right="40" w:hanging="260"/>
        <w:spacing w:after="0" w:line="24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Potential loss of key employees, customers, distributors, or dealers of the acquired businesses or adverse effects on existing business relationships with suppliers, customers, distributors, and dealers;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Adverse impact on overall profitability, if our expanded operations do not achieve the financial results projected in our valuation model;</w:t>
      </w:r>
    </w:p>
    <w:p>
      <w:pPr>
        <w:spacing w:after="0" w:line="3" w:lineRule="exact"/>
        <w:rPr>
          <w:rFonts w:ascii="Arial" w:cs="Arial" w:eastAsia="Arial" w:hAnsi="Arial"/>
          <w:sz w:val="13"/>
          <w:szCs w:val="13"/>
          <w:color w:val="auto"/>
        </w:rPr>
      </w:pPr>
    </w:p>
    <w:p>
      <w:pPr>
        <w:ind w:left="520" w:right="620" w:hanging="260"/>
        <w:spacing w:after="0" w:line="243"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520" w:right="60" w:hanging="260"/>
        <w:spacing w:after="0" w:line="261"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Incorrect estimates made in the accounting for acquisitions, occurrence of non-recurring charges, and write-off of significant amounts of goodwill or other assets that could adversely affect our operating results.</w:t>
      </w:r>
    </w:p>
    <w:p>
      <w:pPr>
        <w:spacing w:after="0" w:line="158" w:lineRule="exact"/>
        <w:rPr>
          <w:sz w:val="20"/>
          <w:szCs w:val="20"/>
          <w:color w:val="auto"/>
        </w:rPr>
      </w:pPr>
    </w:p>
    <w:p>
      <w:pPr>
        <w:ind w:right="440"/>
        <w:spacing w:after="0" w:line="300" w:lineRule="auto"/>
        <w:rPr>
          <w:sz w:val="20"/>
          <w:szCs w:val="20"/>
          <w:color w:val="auto"/>
        </w:rPr>
      </w:pPr>
      <w:r>
        <w:rPr>
          <w:rFonts w:ascii="Arial" w:cs="Arial" w:eastAsia="Arial" w:hAnsi="Arial"/>
          <w:sz w:val="13"/>
          <w:szCs w:val="13"/>
          <w:b w:val="1"/>
          <w:bCs w:val="1"/>
          <w:color w:val="auto"/>
        </w:rPr>
        <w:t>If we fail to identify, attract, and retain appropriately qualified employees, including employees in key positions, our operations and profitability may be harmed. Changes in market compensation rates may adversely affect our profitability.</w:t>
      </w:r>
    </w:p>
    <w:p>
      <w:pPr>
        <w:spacing w:after="0" w:line="2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ind w:right="400"/>
        <w:spacing w:after="0" w:line="282" w:lineRule="auto"/>
        <w:rPr>
          <w:sz w:val="20"/>
          <w:szCs w:val="20"/>
          <w:color w:val="auto"/>
        </w:rPr>
      </w:pPr>
      <w:r>
        <w:rPr>
          <w:rFonts w:ascii="Arial" w:cs="Arial" w:eastAsia="Arial" w:hAnsi="Arial"/>
          <w:sz w:val="13"/>
          <w:szCs w:val="13"/>
          <w:b w:val="1"/>
          <w:bCs w:val="1"/>
          <w:color w:val="auto"/>
        </w:rPr>
        <w:t>Significant product repair and/or replacement costs due to product warranty claims and product recalls could have a material adverse impact on our results of operations, financial condition, and cash flows.</w:t>
      </w:r>
    </w:p>
    <w:p>
      <w:pPr>
        <w:spacing w:after="0" w:line="49"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69" w:lineRule="exact"/>
        <w:rPr>
          <w:sz w:val="20"/>
          <w:szCs w:val="20"/>
          <w:color w:val="auto"/>
        </w:rPr>
      </w:pPr>
    </w:p>
    <w:p>
      <w:pPr>
        <w:ind w:right="400"/>
        <w:spacing w:after="0" w:line="256"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Systems, Legal and Regulatory Risks</w:t>
      </w:r>
    </w:p>
    <w:p>
      <w:pPr>
        <w:spacing w:after="0" w:line="95" w:lineRule="exact"/>
        <w:rPr>
          <w:sz w:val="20"/>
          <w:szCs w:val="20"/>
          <w:color w:val="auto"/>
        </w:rPr>
      </w:pPr>
    </w:p>
    <w:p>
      <w:pPr>
        <w:jc w:val="both"/>
        <w:ind w:right="340"/>
        <w:spacing w:after="0" w:line="260" w:lineRule="auto"/>
        <w:rPr>
          <w:sz w:val="20"/>
          <w:szCs w:val="20"/>
          <w:color w:val="auto"/>
        </w:rPr>
      </w:pPr>
      <w:r>
        <w:rPr>
          <w:rFonts w:ascii="Arial" w:cs="Arial" w:eastAsia="Arial" w:hAnsi="Arial"/>
          <w:sz w:val="13"/>
          <w:szCs w:val="13"/>
          <w:b w:val="1"/>
          <w:bCs w:val="1"/>
          <w:color w:val="auto"/>
        </w:rPr>
        <w:t>We may be subject to information technology system failures, inefficiencies associated with system implementations, network disruptions, and breaches in data security that could adversely affect our business. Failure to prevent or effectively respond to a breach or system failure could expose our customers', clients', or suppliers' confidential information and expose us to substantial costs and reputational damage as well as litigation and enforcement actions.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record and report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In addition, continued integration and development of new systems have resulted, and may in the future result in operational inefficiencies that adversely impact our results of operations. Further, 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Misuse, leakage, falsification, or breach of security of information could result in a violation of privacy laws and damage our reputation which could, in turn, have a negative impact on our results.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we fail to maintain or protect our information systems and web applications effectively, we could experience adverse consequences that could have a material effect on our business. Amongst other things, the impact could include interruptions or delays in our ability to access information, data loss, processing inefficiencies, lost revenues or other costs resulting from shutdowns,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w:t>
      </w:r>
    </w:p>
    <w:p>
      <w:pPr>
        <w:spacing w:after="0" w:line="159" w:lineRule="exact"/>
        <w:rPr>
          <w:sz w:val="20"/>
          <w:szCs w:val="20"/>
          <w:color w:val="auto"/>
        </w:rPr>
      </w:pPr>
    </w:p>
    <w:p>
      <w:pPr>
        <w:ind w:right="260"/>
        <w:spacing w:after="0" w:line="300" w:lineRule="auto"/>
        <w:rPr>
          <w:sz w:val="20"/>
          <w:szCs w:val="20"/>
          <w:color w:val="auto"/>
        </w:rPr>
      </w:pPr>
      <w:r>
        <w:rPr>
          <w:rFonts w:ascii="Arial" w:cs="Arial" w:eastAsia="Arial" w:hAnsi="Arial"/>
          <w:sz w:val="13"/>
          <w:szCs w:val="13"/>
          <w:b w:val="1"/>
          <w:bCs w:val="1"/>
          <w:color w:val="auto"/>
        </w:rPr>
        <w:t>Our continued success is dependent on positive perceptions of our brands which, if impaired, could adversely affect our results of operations or financial condition. In addition, if the frequency and size of product liability and other claims against us increase, our reputation and business may be harmed.</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169"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We are also subject, in the ordinary course of business, to litigation including a variety of warranty, "Lemon Law," and product liability claims typical in the RV and marine industries. Although we have an insurance policy covering product liability,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165" w:lineRule="exact"/>
        <w:rPr>
          <w:sz w:val="20"/>
          <w:szCs w:val="20"/>
          <w:color w:val="auto"/>
        </w:rPr>
      </w:pPr>
    </w:p>
    <w:p>
      <w:pPr>
        <w:ind w:right="100"/>
        <w:spacing w:after="0" w:line="300" w:lineRule="auto"/>
        <w:rPr>
          <w:sz w:val="20"/>
          <w:szCs w:val="20"/>
          <w:color w:val="auto"/>
        </w:rPr>
      </w:pPr>
      <w:r>
        <w:rPr>
          <w:rFonts w:ascii="Arial" w:cs="Arial" w:eastAsia="Arial" w:hAnsi="Arial"/>
          <w:sz w:val="13"/>
          <w:szCs w:val="13"/>
          <w:b w:val="1"/>
          <w:bCs w:val="1"/>
          <w:color w:val="auto"/>
        </w:rPr>
        <w:t>We are subject to certain government regulations that could have a material adverse impact on our business, including changing climate-related regulations that may require us to incur additional costs in order to be in compliance.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We are subject to numerous federal, state, and local regulations and the following summarizes some, but not all, of the laws and regulations that apply to us.</w:t>
      </w:r>
    </w:p>
    <w:p>
      <w:pPr>
        <w:spacing w:after="0" w:line="190"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173" w:lineRule="exact"/>
        <w:rPr>
          <w:sz w:val="20"/>
          <w:szCs w:val="20"/>
          <w:color w:val="auto"/>
        </w:rPr>
      </w:pPr>
    </w:p>
    <w:p>
      <w:pPr>
        <w:jc w:val="both"/>
        <w:ind w:right="60"/>
        <w:spacing w:after="0" w:line="256" w:lineRule="auto"/>
        <w:rPr>
          <w:sz w:val="20"/>
          <w:szCs w:val="20"/>
          <w:color w:val="auto"/>
        </w:rPr>
      </w:pPr>
      <w:r>
        <w:rPr>
          <w:rFonts w:ascii="Arial" w:cs="Arial" w:eastAsia="Arial" w:hAnsi="Arial"/>
          <w:sz w:val="13"/>
          <w:szCs w:val="13"/>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 RVs that may be operated in certain jurisdictions or on certain roadways. Certain jurisdictions also prohibit the sale of vehicles exceeding length restrictions.</w:t>
      </w:r>
    </w:p>
    <w:p>
      <w:pPr>
        <w:spacing w:after="0" w:line="179" w:lineRule="exact"/>
        <w:rPr>
          <w:sz w:val="20"/>
          <w:szCs w:val="20"/>
          <w:color w:val="auto"/>
        </w:rPr>
      </w:pPr>
    </w:p>
    <w:p>
      <w:pPr>
        <w:ind w:right="600"/>
        <w:spacing w:after="0" w:line="257" w:lineRule="auto"/>
        <w:rPr>
          <w:sz w:val="20"/>
          <w:szCs w:val="20"/>
          <w:color w:val="auto"/>
        </w:rPr>
      </w:pPr>
      <w:r>
        <w:rPr>
          <w:rFonts w:ascii="Arial" w:cs="Arial" w:eastAsia="Arial" w:hAnsi="Arial"/>
          <w:sz w:val="13"/>
          <w:szCs w:val="13"/>
          <w:color w:val="auto"/>
        </w:rPr>
        <w:t>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w:t>
      </w:r>
    </w:p>
    <w:p>
      <w:pPr>
        <w:spacing w:after="0" w:line="168"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We are subject to income and other tax laws and regulations in the U.S. and various foreign jurisdictions. In addition, we could be impacted by adjustments proposed by taxing authorities in connection with examinations, depending on their timing, nature and scope. Increases in tax rates, changes in tax laws or unfavorable resolution of tax matters could have a material impact on our financial results.</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Finally, federal and state authorities also have various environmental control standards relating to air, water, noise pollution, greenhouse gases ("GHG"),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 In addition,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153" w:lineRule="exact"/>
        <w:rPr>
          <w:sz w:val="20"/>
          <w:szCs w:val="20"/>
          <w:color w:val="auto"/>
        </w:rPr>
      </w:pPr>
    </w:p>
    <w:p>
      <w:pPr>
        <w:ind w:right="400"/>
        <w:spacing w:after="0" w:line="265" w:lineRule="auto"/>
        <w:rPr>
          <w:sz w:val="20"/>
          <w:szCs w:val="20"/>
          <w:color w:val="auto"/>
        </w:rPr>
      </w:pPr>
      <w:r>
        <w:rPr>
          <w:rFonts w:ascii="Arial" w:cs="Arial" w:eastAsia="Arial" w:hAnsi="Arial"/>
          <w:sz w:val="13"/>
          <w:szCs w:val="13"/>
          <w:b w:val="1"/>
          <w:bCs w:val="1"/>
          <w:color w:val="auto"/>
        </w:rPr>
        <w:t>Our ESG commitments may impact our reputation, expose us to additional costs, or have other impacts which could adversely affect our business, financial condition, or results of operations.</w:t>
      </w:r>
    </w:p>
    <w:p>
      <w:pPr>
        <w:spacing w:after="0" w:line="60"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There has been an increased focus from regulators, investors, employees, consumers, and other stakeholders relating to ESG practices. We periodically communicate our ESG initiatives, which include prioritizing ethics and integrity, safety, people, diversity, equity and inclusion, community, waste, emissions, and product stewardship. Failure to meet our commitments, respond to regulatory requirements, or advance our initiatives could adversely impact our reputation, as well as the demand for our products. In addition, achieving these initiatives may result in increased costs, which could have a material adverse impact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 impairment in the carrying value of goodwill and trade names could negatively impact our consolidated results of operations.</w:t>
      </w:r>
    </w:p>
    <w:p>
      <w:pPr>
        <w:spacing w:after="0" w:line="92"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Goodwill and indefinite-lived intangible assets, such as our trade names in certain instances,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Significant and unanticipated changes in circumstances, such as significant and long-term adverse changes in business climate, unanticipated competition, and/or changes in technology or markets, could require a provision for impairment in a future period that could negatively impact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terms of our notes and other debt instruments could adversely affect our operating flexibility and pose risks of default.</w:t>
      </w:r>
    </w:p>
    <w:p>
      <w:pPr>
        <w:spacing w:after="0" w:line="92" w:lineRule="exact"/>
        <w:rPr>
          <w:sz w:val="20"/>
          <w:szCs w:val="20"/>
          <w:color w:val="auto"/>
        </w:rPr>
      </w:pPr>
    </w:p>
    <w:p>
      <w:pPr>
        <w:ind w:right="360"/>
        <w:spacing w:after="0" w:line="250" w:lineRule="auto"/>
        <w:rPr>
          <w:sz w:val="20"/>
          <w:szCs w:val="20"/>
          <w:color w:val="auto"/>
        </w:rPr>
      </w:pPr>
      <w:r>
        <w:rPr>
          <w:rFonts w:ascii="Arial" w:cs="Arial" w:eastAsia="Arial" w:hAnsi="Arial"/>
          <w:sz w:val="13"/>
          <w:szCs w:val="13"/>
          <w:color w:val="auto"/>
        </w:rPr>
        <w:t>We incurred substantial indebtedness to finance the acquisitions of Grand Design and Newmar Corporation ("Newmar"). Our asset based revolving credit facility ("ABL Credit Facility") and Senior Secured Notes (as described in Note 9 in the Notes to Consolidated Financial Statements, included in Item 8 of Part II in this Annual Report on Form 10-K) are secured by substantially all of our assets, including cash, inventory, accounts receivable, and certain machinery and equipment. We also issued unsecured Convertible Notes (as described in Note 9 in the Notes to Consolidated Financial Statements, included in Item 8 of Part II in this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140"/>
        <w:spacing w:after="0" w:line="250" w:lineRule="auto"/>
        <w:rPr>
          <w:sz w:val="20"/>
          <w:szCs w:val="20"/>
          <w:color w:val="auto"/>
        </w:rPr>
      </w:pPr>
      <w:r>
        <w:rPr>
          <w:rFonts w:ascii="Arial" w:cs="Arial" w:eastAsia="Arial" w:hAnsi="Arial"/>
          <w:sz w:val="13"/>
          <w:szCs w:val="13"/>
          <w:color w:val="auto"/>
        </w:rPr>
        <w:t>Annual Report on Form 10-K) to finance the acquisition of Newmar. If a default of payment occurs, the lenders in our ABL Credit Facility or holders of our Senior Secured and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83" w:lineRule="exact"/>
        <w:rPr>
          <w:sz w:val="20"/>
          <w:szCs w:val="20"/>
          <w:color w:val="auto"/>
        </w:rPr>
      </w:pPr>
    </w:p>
    <w:p>
      <w:pPr>
        <w:ind w:right="260"/>
        <w:spacing w:after="0" w:line="257" w:lineRule="auto"/>
        <w:rPr>
          <w:sz w:val="20"/>
          <w:szCs w:val="20"/>
          <w:color w:val="auto"/>
        </w:rPr>
      </w:pPr>
      <w:r>
        <w:rPr>
          <w:rFonts w:ascii="Arial" w:cs="Arial" w:eastAsia="Arial" w:hAnsi="Arial"/>
          <w:sz w:val="13"/>
          <w:szCs w:val="13"/>
          <w:color w:val="auto"/>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spacing w:after="0" w:line="168"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color w:val="auto"/>
        </w:rPr>
        <w:t>In addition, the Senior Secured Notes contain certain occurrence-based covenants that could restrict our ability to undertake certain types of transactions. If we enter into a transaction that falls under the occurrence-based covenants, we will calculate the ratios and covenant buckets we have available to us to ensure we are in compliance. Likewise, the indenture related to the Convertible Notes issued to help finance the acquisition of Newmar includes certain limited covenants that could impact our ability to operate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In addition, our indebtedness could:</w:t>
      </w:r>
    </w:p>
    <w:p>
      <w:pPr>
        <w:spacing w:after="0" w:line="6"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Make us more vulnerable to general adverse economic, regulatory, and industry conditions;</w:t>
      </w: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and opportunities in the markets in which we compete;</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Place us at a competitive disadvantage compared to our competitors that have less debt or could require us to dedicate a substantial portion of our cash flow to service our debt;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Restrict us from making strategic acquisitions or exploiting other business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The principal facilities used in our operations are in the following locations: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Segment</w:t>
            </w:r>
          </w:p>
        </w:tc>
        <w:tc>
          <w:tcPr>
            <w:tcW w:w="254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Location</w:t>
            </w: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Status</w:t>
            </w:r>
          </w:p>
        </w:tc>
        <w:tc>
          <w:tcPr>
            <w:tcW w:w="53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Primary Use</w:t>
            </w:r>
          </w:p>
        </w:tc>
      </w:tr>
      <w:tr>
        <w:trPr>
          <w:trHeight w:val="16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Elkhart,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61"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tcPr>
          <w:p>
            <w:pPr>
              <w:ind w:left="500"/>
              <w:spacing w:after="0"/>
              <w:rPr>
                <w:sz w:val="20"/>
                <w:szCs w:val="20"/>
                <w:color w:val="auto"/>
              </w:rPr>
            </w:pPr>
            <w:r>
              <w:rPr>
                <w:rFonts w:ascii="Arial" w:cs="Arial" w:eastAsia="Arial" w:hAnsi="Arial"/>
                <w:sz w:val="13"/>
                <w:szCs w:val="13"/>
                <w:color w:val="auto"/>
              </w:rPr>
              <w:t>Middlebury, Indiana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Middlebury,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tcPr>
          <w:p>
            <w:pPr>
              <w:ind w:left="500"/>
              <w:spacing w:after="0"/>
              <w:rPr>
                <w:sz w:val="20"/>
                <w:szCs w:val="20"/>
                <w:color w:val="auto"/>
              </w:rPr>
            </w:pPr>
            <w:r>
              <w:rPr>
                <w:rFonts w:ascii="Arial" w:cs="Arial" w:eastAsia="Arial" w:hAnsi="Arial"/>
                <w:sz w:val="13"/>
                <w:szCs w:val="13"/>
                <w:color w:val="auto"/>
              </w:rPr>
              <w:t>White Pigeon, Michigan</w:t>
            </w:r>
          </w:p>
        </w:tc>
        <w:tc>
          <w:tcPr>
            <w:tcW w:w="1760" w:type="dxa"/>
            <w:vAlign w:val="bottom"/>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Charles City, Iowa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tcPr>
          <w:p>
            <w:pPr>
              <w:ind w:left="500"/>
              <w:spacing w:after="0"/>
              <w:rPr>
                <w:sz w:val="20"/>
                <w:szCs w:val="20"/>
                <w:color w:val="auto"/>
              </w:rPr>
            </w:pPr>
            <w:r>
              <w:rPr>
                <w:rFonts w:ascii="Arial" w:cs="Arial" w:eastAsia="Arial" w:hAnsi="Arial"/>
                <w:sz w:val="13"/>
                <w:szCs w:val="13"/>
                <w:color w:val="auto"/>
              </w:rPr>
              <w:t>Forest City, Iowa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Lake Mills, Iowa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tcPr>
          <w:p>
            <w:pPr>
              <w:ind w:left="500"/>
              <w:spacing w:after="0"/>
              <w:rPr>
                <w:sz w:val="20"/>
                <w:szCs w:val="20"/>
                <w:color w:val="auto"/>
              </w:rPr>
            </w:pPr>
            <w:r>
              <w:rPr>
                <w:rFonts w:ascii="Arial" w:cs="Arial" w:eastAsia="Arial" w:hAnsi="Arial"/>
                <w:sz w:val="13"/>
                <w:szCs w:val="13"/>
                <w:color w:val="auto"/>
              </w:rPr>
              <w:t>Nappanee, Indiana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Nappanee,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tcPr>
          <w:p>
            <w:pPr>
              <w:ind w:left="500"/>
              <w:spacing w:after="0"/>
              <w:rPr>
                <w:sz w:val="20"/>
                <w:szCs w:val="20"/>
                <w:color w:val="auto"/>
              </w:rPr>
            </w:pPr>
            <w:r>
              <w:rPr>
                <w:rFonts w:ascii="Arial" w:cs="Arial" w:eastAsia="Arial" w:hAnsi="Arial"/>
                <w:sz w:val="13"/>
                <w:szCs w:val="13"/>
                <w:color w:val="auto"/>
              </w:rPr>
              <w:t>Waverly, Iowa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Bristol,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Marine</w:t>
            </w:r>
          </w:p>
        </w:tc>
        <w:tc>
          <w:tcPr>
            <w:tcW w:w="2540" w:type="dxa"/>
            <w:vAlign w:val="bottom"/>
          </w:tcPr>
          <w:p>
            <w:pPr>
              <w:ind w:left="500"/>
              <w:spacing w:after="0"/>
              <w:rPr>
                <w:sz w:val="20"/>
                <w:szCs w:val="20"/>
                <w:color w:val="auto"/>
              </w:rPr>
            </w:pPr>
            <w:r>
              <w:rPr>
                <w:rFonts w:ascii="Arial" w:cs="Arial" w:eastAsia="Arial" w:hAnsi="Arial"/>
                <w:sz w:val="13"/>
                <w:szCs w:val="13"/>
                <w:color w:val="auto"/>
              </w:rPr>
              <w:t>Bristol, Indiana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Sarasota, Florida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tcPr>
          <w:p>
            <w:pPr>
              <w:ind w:left="500"/>
              <w:spacing w:after="0"/>
              <w:rPr>
                <w:sz w:val="20"/>
                <w:szCs w:val="20"/>
                <w:color w:val="auto"/>
              </w:rPr>
            </w:pPr>
            <w:r>
              <w:rPr>
                <w:rFonts w:ascii="Arial" w:cs="Arial" w:eastAsia="Arial" w:hAnsi="Arial"/>
                <w:sz w:val="13"/>
                <w:szCs w:val="13"/>
                <w:color w:val="auto"/>
              </w:rPr>
              <w:t>Clearwater, Florida</w:t>
            </w:r>
          </w:p>
        </w:tc>
        <w:tc>
          <w:tcPr>
            <w:tcW w:w="1760" w:type="dxa"/>
            <w:vAlign w:val="bottom"/>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Eden Prairie, Minnesota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Office space</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tcPr>
          <w:p>
            <w:pPr>
              <w:ind w:left="500"/>
              <w:spacing w:after="0"/>
              <w:rPr>
                <w:sz w:val="20"/>
                <w:szCs w:val="20"/>
                <w:color w:val="auto"/>
              </w:rPr>
            </w:pPr>
            <w:r>
              <w:rPr>
                <w:rFonts w:ascii="Arial" w:cs="Arial" w:eastAsia="Arial" w:hAnsi="Arial"/>
                <w:sz w:val="13"/>
                <w:szCs w:val="13"/>
                <w:color w:val="auto"/>
              </w:rPr>
              <w:t>Forest City, Iowa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Savage, Minnesota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Research and development, and office space</w:t>
            </w:r>
          </w:p>
        </w:tc>
      </w:tr>
    </w:tbl>
    <w:p>
      <w:pPr>
        <w:spacing w:after="0" w:line="104"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7"/>
          <w:szCs w:val="17"/>
          <w:color w:val="auto"/>
          <w:vertAlign w:val="superscript"/>
        </w:rPr>
      </w:pPr>
      <w:r>
        <w:rPr>
          <w:rFonts w:ascii="Arial" w:cs="Arial" w:eastAsia="Arial" w:hAnsi="Arial"/>
          <w:sz w:val="11"/>
          <w:szCs w:val="11"/>
          <w:color w:val="auto"/>
        </w:rPr>
        <w:t>Manufacturing includes production, warehouse, maintenance, and service center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Most of our buildings are of steel or steel and concrete construction and are protected from fire with high-pressure sprinkler systems, dust collector systems, automatic fire doors, and alarm systems.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All facilities are in good operating condition, suitable for their respective uses and adequate for current needs.</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Under our Senior Secured Notes and ABL Credit Facility, we have encumbered substantially all of our real property for the benefit of the lenders thereunder. For additional information, see Note 9 in the Notes to Consolidated Financial Statements, included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Item 8 of Part II in this Annual Report on Form 10-K. Also see Note 10 in the Notes to Consolidated Financial Statements included in Item 8 of Part II in this Annual Report on Form 10-K for more information regarding our leased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For a description of our legal proceedings, see Note 12 in the Notes to Consolidated Financial Statements, included in Item 8 of Part II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40"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33" w:right="699" w:bottom="1440" w:gutter="0" w:footer="0" w:header="0"/>
        </w:sectPr>
      </w:pPr>
    </w:p>
    <w:bookmarkStart w:id="18" w:name="page19"/>
    <w:bookmarkEnd w:id="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the Registrant's Common Equity, Related Shareholder Matters and Issuer Purchases of Equity Securities.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New York Stock Exchange under the ticker symbol of WGO. As of October 12, 2023, there were 2,050 shareholders of record.</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On August 16, 2023, our Board of Directors declared a quarterly cash dividend of $0.31 per share, totaling $9.2 million, to be paid on September 27, 2023 to common shareholders of record at the close of business on September 13, 2023. Dividends are generally declared each quarter, and the Board of Directors currently intends to continue to pay quarterly cash dividends; however, declaration of future dividends, if any, will be based on several factors including our financial performance, outlook, and liquidity.</w:t>
      </w:r>
    </w:p>
    <w:p>
      <w:pPr>
        <w:spacing w:after="0" w:line="169"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Our outstanding notes, as further described in Note 9 in the Notes to Consolidated Financial Statements, included in Item 8 of Part II in this Annual Report on Form 10-K, contains restrictions that may limit our ability to pay dividends.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2"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color w:val="auto"/>
        </w:rPr>
        <w:t>Our ABL Credit Facility contains restrictions that may limit our ability to make distributions or payments with respect to purchases of our common stock without consent from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Credit Facility and our Senior Secured Notes in Note 9 in the Notes to Consolidated Financial Statements, included in Item 8 of Part II in this Annual Report on Form 10-K.</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13"/>
          <w:szCs w:val="13"/>
          <w:color w:val="auto"/>
        </w:rPr>
        <w:t>On August 17, 2022, our Board of Directors authorized a share repurchase program in the amount of $350.0 million with no time restriction on the authorization. This share repurchase program was effective immediately and replaced the prior program that was fully depleted in the fourth quarter of Fiscal 2022.</w:t>
      </w:r>
    </w:p>
    <w:p>
      <w:pPr>
        <w:spacing w:after="0" w:line="178" w:lineRule="exact"/>
        <w:rPr>
          <w:sz w:val="20"/>
          <w:szCs w:val="20"/>
          <w:color w:val="auto"/>
        </w:rPr>
      </w:pPr>
    </w:p>
    <w:p>
      <w:pPr>
        <w:ind w:right="180"/>
        <w:spacing w:after="0" w:line="250" w:lineRule="auto"/>
        <w:rPr>
          <w:sz w:val="20"/>
          <w:szCs w:val="20"/>
          <w:color w:val="auto"/>
        </w:rPr>
      </w:pPr>
      <w:r>
        <w:rPr>
          <w:rFonts w:ascii="Arial" w:cs="Arial" w:eastAsia="Arial" w:hAnsi="Arial"/>
          <w:sz w:val="13"/>
          <w:szCs w:val="13"/>
          <w:color w:val="auto"/>
        </w:rPr>
        <w:t>During Fiscal 2023, we repurchased approximately 795,000 shares of our common stock at a cost of $50.0 million, and approximately 90,000 shares of our common stock at a cost of $5.1 million to satisfy tax obligations on employee equity awards as they vested. We continually evaluate if share repurchases reflect a prudent use of our capital and, subject to compliance with our ABL Credit Facility and outstanding Senior Secured Notes, we may purchase shares in the future. As of August 26, 2023, we have $300.0 million remaining on our Board of Directors approved repurchase authorization.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Purchases of our common stock during each fiscal month of the fourth quarter of Fiscal 2023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 Shares</w:t>
            </w:r>
          </w:p>
        </w:tc>
        <w:tc>
          <w:tcPr>
            <w:tcW w:w="13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Average Price Paid</w:t>
            </w:r>
          </w:p>
        </w:tc>
        <w:tc>
          <w:tcPr>
            <w:tcW w:w="27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Number of Shares Purchased as Part of</w:t>
            </w:r>
          </w:p>
        </w:tc>
        <w:tc>
          <w:tcPr>
            <w:tcW w:w="2880" w:type="dxa"/>
            <w:vAlign w:val="bottom"/>
            <w:gridSpan w:val="2"/>
          </w:tcPr>
          <w:p>
            <w:pPr>
              <w:ind w:left="120"/>
              <w:spacing w:after="0"/>
              <w:rPr>
                <w:sz w:val="20"/>
                <w:szCs w:val="20"/>
                <w:color w:val="auto"/>
              </w:rPr>
            </w:pPr>
            <w:r>
              <w:rPr>
                <w:rFonts w:ascii="Arial" w:cs="Arial" w:eastAsia="Arial" w:hAnsi="Arial"/>
                <w:sz w:val="13"/>
                <w:szCs w:val="13"/>
                <w:b w:val="1"/>
                <w:bCs w:val="1"/>
                <w:color w:val="auto"/>
                <w:w w:val="97"/>
              </w:rPr>
              <w:t>Approximate Dollar Value of Shares That May</w:t>
            </w:r>
          </w:p>
        </w:tc>
        <w:tc>
          <w:tcPr>
            <w:tcW w:w="0" w:type="dxa"/>
            <w:vAlign w:val="bottom"/>
          </w:tcPr>
          <w:p>
            <w:pPr>
              <w:spacing w:after="0"/>
              <w:rPr>
                <w:sz w:val="1"/>
                <w:szCs w:val="1"/>
                <w:color w:val="auto"/>
              </w:rPr>
            </w:pPr>
          </w:p>
        </w:tc>
      </w:tr>
      <w:tr>
        <w:trPr>
          <w:trHeight w:val="127"/>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5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2880" w:type="dxa"/>
            <w:vAlign w:val="bottom"/>
            <w:gridSpan w:val="2"/>
          </w:tcPr>
          <w:p>
            <w:pPr>
              <w:jc w:val="right"/>
              <w:ind w:right="196"/>
              <w:spacing w:after="0" w:line="128" w:lineRule="exact"/>
              <w:rPr>
                <w:sz w:val="20"/>
                <w:szCs w:val="20"/>
                <w:color w:val="auto"/>
              </w:rPr>
            </w:pPr>
            <w:r>
              <w:rPr>
                <w:rFonts w:ascii="Arial" w:cs="Arial" w:eastAsia="Arial" w:hAnsi="Arial"/>
                <w:sz w:val="13"/>
                <w:szCs w:val="13"/>
                <w:b w:val="1"/>
                <w:bCs w:val="1"/>
                <w:color w:val="auto"/>
              </w:rPr>
              <w:t>Yet Be Purchased Under the Plans or</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right"/>
              <w:ind w:right="296"/>
              <w:spacing w:after="0" w:line="170"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6"/>
                <w:szCs w:val="16"/>
                <w:b w:val="1"/>
                <w:bCs w:val="1"/>
                <w:color w:val="auto"/>
                <w:vertAlign w:val="superscript"/>
              </w:rPr>
              <w:t>(1,2)</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per Share</w:t>
            </w:r>
          </w:p>
        </w:tc>
        <w:tc>
          <w:tcPr>
            <w:tcW w:w="2760" w:type="dxa"/>
            <w:vAlign w:val="bottom"/>
            <w:tcBorders>
              <w:bottom w:val="single" w:sz="8" w:color="auto"/>
            </w:tcBorders>
          </w:tcPr>
          <w:p>
            <w:pPr>
              <w:jc w:val="right"/>
              <w:ind w:right="36"/>
              <w:spacing w:after="0" w:line="170" w:lineRule="exact"/>
              <w:rPr>
                <w:sz w:val="20"/>
                <w:szCs w:val="20"/>
                <w:color w:val="auto"/>
              </w:rPr>
            </w:pPr>
            <w:r>
              <w:rPr>
                <w:rFonts w:ascii="Arial" w:cs="Arial" w:eastAsia="Arial" w:hAnsi="Arial"/>
                <w:sz w:val="13"/>
                <w:szCs w:val="13"/>
                <w:b w:val="1"/>
                <w:bCs w:val="1"/>
                <w:color w:val="auto"/>
                <w:w w:val="99"/>
              </w:rPr>
              <w:t>Publicly Announced Plans or Programs</w:t>
            </w:r>
            <w:r>
              <w:rPr>
                <w:rFonts w:ascii="Arial" w:cs="Arial" w:eastAsia="Arial" w:hAnsi="Arial"/>
                <w:sz w:val="16"/>
                <w:szCs w:val="16"/>
                <w:b w:val="1"/>
                <w:bCs w:val="1"/>
                <w:color w:val="auto"/>
                <w:w w:val="99"/>
                <w:vertAlign w:val="superscript"/>
              </w:rPr>
              <w:t>(1,2)</w:t>
            </w:r>
          </w:p>
        </w:tc>
        <w:tc>
          <w:tcPr>
            <w:tcW w:w="1520" w:type="dxa"/>
            <w:vAlign w:val="bottom"/>
            <w:tcBorders>
              <w:bottom w:val="single" w:sz="8" w:color="auto"/>
            </w:tcBorders>
          </w:tcPr>
          <w:p>
            <w:pPr>
              <w:ind w:left="800"/>
              <w:spacing w:after="0" w:line="170" w:lineRule="exact"/>
              <w:rPr>
                <w:sz w:val="20"/>
                <w:szCs w:val="20"/>
                <w:color w:val="auto"/>
              </w:rPr>
            </w:pPr>
            <w:r>
              <w:rPr>
                <w:rFonts w:ascii="Arial" w:cs="Arial" w:eastAsia="Arial" w:hAnsi="Arial"/>
                <w:sz w:val="13"/>
                <w:szCs w:val="13"/>
                <w:b w:val="1"/>
                <w:bCs w:val="1"/>
                <w:color w:val="auto"/>
                <w:w w:val="94"/>
              </w:rPr>
              <w:t>Programs</w:t>
            </w:r>
            <w:r>
              <w:rPr>
                <w:rFonts w:ascii="Arial" w:cs="Arial" w:eastAsia="Arial" w:hAnsi="Arial"/>
                <w:sz w:val="16"/>
                <w:szCs w:val="16"/>
                <w:b w:val="1"/>
                <w:bCs w:val="1"/>
                <w:color w:val="auto"/>
                <w:w w:val="94"/>
                <w:vertAlign w:val="superscript"/>
              </w:rPr>
              <w:t>(3)</w:t>
            </w:r>
          </w:p>
        </w:tc>
        <w:tc>
          <w:tcPr>
            <w:tcW w:w="13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w w:val="97"/>
              </w:rPr>
              <w:t>(in millions)</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05/28/23 - 07/01/23</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93,729</w:t>
            </w:r>
          </w:p>
        </w:tc>
        <w:tc>
          <w:tcPr>
            <w:tcW w:w="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64.09</w:t>
            </w:r>
          </w:p>
        </w:tc>
        <w:tc>
          <w:tcPr>
            <w:tcW w:w="2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93,606</w:t>
            </w:r>
          </w:p>
        </w:tc>
        <w:tc>
          <w:tcPr>
            <w:tcW w:w="1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324.0</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07/02/23 - 07/29/23</w:t>
            </w:r>
          </w:p>
        </w:tc>
        <w:tc>
          <w:tcPr>
            <w:tcW w:w="1560" w:type="dxa"/>
            <w:vAlign w:val="bottom"/>
          </w:tcPr>
          <w:p>
            <w:pPr>
              <w:jc w:val="right"/>
              <w:spacing w:after="0"/>
              <w:rPr>
                <w:sz w:val="20"/>
                <w:szCs w:val="20"/>
                <w:color w:val="auto"/>
              </w:rPr>
            </w:pPr>
            <w:r>
              <w:rPr>
                <w:rFonts w:ascii="Arial" w:cs="Arial" w:eastAsia="Arial" w:hAnsi="Arial"/>
                <w:sz w:val="13"/>
                <w:szCs w:val="13"/>
                <w:color w:val="auto"/>
              </w:rPr>
              <w:t>281,394</w:t>
            </w: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67.56</w:t>
            </w:r>
          </w:p>
        </w:tc>
        <w:tc>
          <w:tcPr>
            <w:tcW w:w="2760" w:type="dxa"/>
            <w:vAlign w:val="bottom"/>
          </w:tcPr>
          <w:p>
            <w:pPr>
              <w:jc w:val="right"/>
              <w:spacing w:after="0"/>
              <w:rPr>
                <w:sz w:val="20"/>
                <w:szCs w:val="20"/>
                <w:color w:val="auto"/>
              </w:rPr>
            </w:pPr>
            <w:r>
              <w:rPr>
                <w:rFonts w:ascii="Arial" w:cs="Arial" w:eastAsia="Arial" w:hAnsi="Arial"/>
                <w:sz w:val="13"/>
                <w:szCs w:val="13"/>
                <w:color w:val="auto"/>
              </w:rPr>
              <w:t>281,209</w:t>
            </w:r>
          </w:p>
        </w:tc>
        <w:tc>
          <w:tcPr>
            <w:tcW w:w="15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305.0</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07/30/23 - 08/26/23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76,011</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68.12</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73,407</w:t>
            </w:r>
          </w:p>
        </w:tc>
        <w:tc>
          <w:tcPr>
            <w:tcW w:w="15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63"/>
        </w:trPr>
        <w:tc>
          <w:tcPr>
            <w:tcW w:w="2660" w:type="dxa"/>
            <w:vAlign w:val="bottom"/>
          </w:tcPr>
          <w:p>
            <w:pPr>
              <w:ind w:left="120"/>
              <w:spacing w:after="0"/>
              <w:rPr>
                <w:sz w:val="20"/>
                <w:szCs w:val="20"/>
                <w:color w:val="auto"/>
              </w:rPr>
            </w:pPr>
            <w:r>
              <w:rPr>
                <w:rFonts w:ascii="Arial" w:cs="Arial" w:eastAsia="Arial" w:hAnsi="Arial"/>
                <w:sz w:val="13"/>
                <w:szCs w:val="13"/>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451,134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66.93</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448,222</w:t>
            </w:r>
          </w:p>
        </w:tc>
        <w:tc>
          <w:tcPr>
            <w:tcW w:w="1520" w:type="dxa"/>
            <w:vAlign w:val="bottom"/>
          </w:tcPr>
          <w:p>
            <w:pPr>
              <w:ind w:left="12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 w:lineRule="exact"/>
        <w:rPr>
          <w:rFonts w:ascii="Arial" w:cs="Arial" w:eastAsia="Arial" w:hAnsi="Arial"/>
          <w:sz w:val="17"/>
          <w:szCs w:val="17"/>
          <w:color w:val="auto"/>
          <w:vertAlign w:val="superscript"/>
        </w:rPr>
      </w:pPr>
    </w:p>
    <w:p>
      <w:pPr>
        <w:ind w:left="240" w:hanging="235"/>
        <w:spacing w:after="0" w:line="203" w:lineRule="auto"/>
        <w:tabs>
          <w:tab w:leader="none" w:pos="240" w:val="left"/>
        </w:tabs>
        <w:numPr>
          <w:ilvl w:val="0"/>
          <w:numId w:val="8"/>
        </w:numPr>
        <w:rPr>
          <w:rFonts w:ascii="Arial" w:cs="Arial" w:eastAsia="Arial" w:hAnsi="Arial"/>
          <w:sz w:val="14"/>
          <w:szCs w:val="14"/>
          <w:color w:val="auto"/>
          <w:vertAlign w:val="superscript"/>
        </w:rPr>
      </w:pPr>
      <w:r>
        <w:rPr>
          <w:rFonts w:ascii="Arial" w:cs="Arial" w:eastAsia="Arial" w:hAnsi="Arial"/>
          <w:sz w:val="10"/>
          <w:szCs w:val="10"/>
          <w:color w:val="auto"/>
        </w:rPr>
        <w:t>Shares not purchased as part of a publicly announced program were repurchased from employees who vested in Company shares and elected to pay their payroll tax via the value of shares delivered as opposed to cash.</w:t>
      </w:r>
    </w:p>
    <w:p>
      <w:pPr>
        <w:spacing w:after="0" w:line="1" w:lineRule="exact"/>
        <w:rPr>
          <w:rFonts w:ascii="Arial" w:cs="Arial" w:eastAsia="Arial" w:hAnsi="Arial"/>
          <w:sz w:val="14"/>
          <w:szCs w:val="14"/>
          <w:color w:val="auto"/>
          <w:vertAlign w:val="superscript"/>
        </w:rPr>
      </w:pPr>
    </w:p>
    <w:p>
      <w:pPr>
        <w:ind w:left="200" w:hanging="195"/>
        <w:spacing w:after="0" w:line="203" w:lineRule="auto"/>
        <w:tabs>
          <w:tab w:leader="none" w:pos="200" w:val="left"/>
        </w:tabs>
        <w:numPr>
          <w:ilvl w:val="0"/>
          <w:numId w:val="8"/>
        </w:numPr>
        <w:rPr>
          <w:rFonts w:ascii="Arial" w:cs="Arial" w:eastAsia="Arial" w:hAnsi="Arial"/>
          <w:sz w:val="14"/>
          <w:szCs w:val="14"/>
          <w:color w:val="auto"/>
          <w:vertAlign w:val="superscript"/>
        </w:rPr>
      </w:pPr>
      <w:r>
        <w:rPr>
          <w:rFonts w:ascii="Arial" w:cs="Arial" w:eastAsia="Arial" w:hAnsi="Arial"/>
          <w:sz w:val="10"/>
          <w:szCs w:val="10"/>
          <w:color w:val="auto"/>
        </w:rPr>
        <w:t>Pursuant to a $350.0 million share repurchase program authorized by our Board of Directors on August 17, 2022. There is no time restriction on this authorization.</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9" w:name="page20"/>
    <w:bookmarkEnd w:id="1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Performance Graph</w:t>
      </w:r>
    </w:p>
    <w:p>
      <w:pPr>
        <w:spacing w:after="0" w:line="92"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The following graph compares our five-year cumulative total shareholder return (including reinvestment of dividends) with the cumulative total return on the Standard &amp; Poor's 500 Index, the Russell 3000 Recreational Vehicles and Boats Subsector Index, and the peer group used in previously filings, consisting of THOR Industries, Inc., Polaris Inc., and Brunswick Corporation. The Russell 3000 Recreational Vehicles and Boats Subsector Index replaces the peer group in this analysis and going forward, as it is a widely utilized industry index that is representative of our current busin</w:t>
      </w:r>
      <w:r>
        <w:rPr>
          <w:rFonts w:ascii="Arial" w:cs="Arial" w:eastAsia="Arial" w:hAnsi="Arial"/>
          <w:sz w:val="14"/>
          <w:szCs w:val="14"/>
          <w:color w:val="auto"/>
        </w:rPr>
        <w:t>ess.</w:t>
      </w:r>
      <w:r>
        <w:rPr>
          <w:rFonts w:ascii="Arial" w:cs="Arial" w:eastAsia="Arial" w:hAnsi="Arial"/>
          <w:sz w:val="13"/>
          <w:szCs w:val="13"/>
          <w:color w:val="auto"/>
        </w:rPr>
        <w:t xml:space="preserve"> It is assumed in the graph that $100 was invested in our common stock, in the Standard &amp; Poor's 500 Index and in the stocks of the peer group companies on August 25, 2018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88840" cy="2816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88840" cy="281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Base Period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Company/Index</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6"/>
              <w:spacing w:after="0" w:line="118" w:lineRule="exact"/>
              <w:rPr>
                <w:sz w:val="20"/>
                <w:szCs w:val="20"/>
                <w:color w:val="auto"/>
              </w:rPr>
            </w:pPr>
            <w:r>
              <w:rPr>
                <w:rFonts w:ascii="Arial" w:cs="Arial" w:eastAsia="Arial" w:hAnsi="Arial"/>
                <w:sz w:val="13"/>
                <w:szCs w:val="13"/>
                <w:b w:val="1"/>
                <w:bCs w:val="1"/>
                <w:color w:val="auto"/>
                <w:w w:val="99"/>
              </w:rPr>
              <w:t>August 25,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31,</w:t>
            </w:r>
          </w:p>
        </w:tc>
        <w:tc>
          <w:tcPr>
            <w:tcW w:w="200" w:type="dxa"/>
            <w:vAlign w:val="bottom"/>
          </w:tcPr>
          <w:p>
            <w:pPr>
              <w:spacing w:after="0"/>
              <w:rPr>
                <w:sz w:val="10"/>
                <w:szCs w:val="10"/>
                <w:color w:val="auto"/>
              </w:rPr>
            </w:pPr>
          </w:p>
        </w:tc>
        <w:tc>
          <w:tcPr>
            <w:tcW w:w="118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29,</w:t>
            </w:r>
          </w:p>
        </w:tc>
        <w:tc>
          <w:tcPr>
            <w:tcW w:w="20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28,</w:t>
            </w:r>
          </w:p>
        </w:tc>
        <w:tc>
          <w:tcPr>
            <w:tcW w:w="20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27,</w:t>
            </w:r>
          </w:p>
        </w:tc>
        <w:tc>
          <w:tcPr>
            <w:tcW w:w="220" w:type="dxa"/>
            <w:vAlign w:val="bottom"/>
          </w:tcPr>
          <w:p>
            <w:pPr>
              <w:spacing w:after="0"/>
              <w:rPr>
                <w:sz w:val="10"/>
                <w:szCs w:val="10"/>
                <w:color w:val="auto"/>
              </w:rPr>
            </w:pPr>
          </w:p>
        </w:tc>
        <w:tc>
          <w:tcPr>
            <w:tcW w:w="1080" w:type="dxa"/>
            <w:vAlign w:val="bottom"/>
          </w:tcPr>
          <w:p>
            <w:pPr>
              <w:jc w:val="right"/>
              <w:ind w:right="256"/>
              <w:spacing w:after="0" w:line="118" w:lineRule="exact"/>
              <w:rPr>
                <w:sz w:val="20"/>
                <w:szCs w:val="20"/>
                <w:color w:val="auto"/>
              </w:rPr>
            </w:pPr>
            <w:r>
              <w:rPr>
                <w:rFonts w:ascii="Arial" w:cs="Arial" w:eastAsia="Arial" w:hAnsi="Arial"/>
                <w:sz w:val="13"/>
                <w:szCs w:val="13"/>
                <w:b w:val="1"/>
                <w:bCs w:val="1"/>
                <w:color w:val="auto"/>
              </w:rPr>
              <w:t>August 26,</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6"/>
              </w:rPr>
              <w:t>2018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Winnebago Industries, Inc.</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181.21</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rPr>
                <w:sz w:val="20"/>
                <w:szCs w:val="20"/>
                <w:color w:val="auto"/>
              </w:rPr>
            </w:pPr>
            <w:r>
              <w:rPr>
                <w:rFonts w:ascii="Arial" w:cs="Arial" w:eastAsia="Arial" w:hAnsi="Arial"/>
                <w:sz w:val="13"/>
                <w:szCs w:val="13"/>
                <w:color w:val="auto"/>
              </w:rPr>
              <w:t>S&amp;P 500 Index</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165.71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151.34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167.15</w:t>
            </w:r>
          </w:p>
        </w:tc>
        <w:tc>
          <w:tcPr>
            <w:tcW w:w="0" w:type="dxa"/>
            <w:vAlign w:val="bottom"/>
          </w:tcPr>
          <w:p>
            <w:pPr>
              <w:spacing w:after="0"/>
              <w:rPr>
                <w:sz w:val="1"/>
                <w:szCs w:val="1"/>
                <w:color w:val="auto"/>
              </w:rPr>
            </w:pPr>
          </w:p>
        </w:tc>
      </w:tr>
      <w:tr>
        <w:trPr>
          <w:trHeight w:val="134"/>
        </w:trPr>
        <w:tc>
          <w:tcPr>
            <w:tcW w:w="31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Russell 3000 Recreational Vehicles and Boats</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72.24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105.12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134.70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121.12</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120.10</w:t>
            </w:r>
          </w:p>
        </w:tc>
        <w:tc>
          <w:tcPr>
            <w:tcW w:w="0" w:type="dxa"/>
            <w:vAlign w:val="bottom"/>
          </w:tcPr>
          <w:p>
            <w:pPr>
              <w:spacing w:after="0"/>
              <w:rPr>
                <w:sz w:val="1"/>
                <w:szCs w:val="1"/>
                <w:color w:val="auto"/>
              </w:rPr>
            </w:pPr>
          </w:p>
        </w:tc>
      </w:tr>
      <w:tr>
        <w:trPr>
          <w:trHeight w:val="166"/>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Subsector Index</w:t>
            </w:r>
          </w:p>
        </w:tc>
        <w:tc>
          <w:tcPr>
            <w:tcW w:w="18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rPr>
                <w:sz w:val="20"/>
                <w:szCs w:val="20"/>
                <w:color w:val="auto"/>
              </w:rPr>
            </w:pPr>
            <w:r>
              <w:rPr>
                <w:rFonts w:ascii="Arial" w:cs="Arial" w:eastAsia="Arial" w:hAnsi="Arial"/>
                <w:sz w:val="13"/>
                <w:szCs w:val="13"/>
                <w:color w:val="auto"/>
              </w:rPr>
              <w:t>Peer Group</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139.25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115.72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123.13</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Source: Zacks Investment Research, Inc.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[Reserved].</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45" w:lineRule="exact"/>
        <w:rPr>
          <w:sz w:val="20"/>
          <w:szCs w:val="20"/>
          <w:color w:val="auto"/>
        </w:rPr>
      </w:pPr>
    </w:p>
    <w:p>
      <w:pPr>
        <w:jc w:val="both"/>
        <w:ind w:right="160"/>
        <w:spacing w:after="0" w:line="256" w:lineRule="auto"/>
        <w:rPr>
          <w:sz w:val="20"/>
          <w:szCs w:val="20"/>
          <w:color w:val="auto"/>
        </w:rPr>
      </w:pPr>
      <w:r>
        <w:rPr>
          <w:rFonts w:ascii="Arial" w:cs="Arial" w:eastAsia="Arial" w:hAnsi="Arial"/>
          <w:sz w:val="13"/>
          <w:szCs w:val="13"/>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five sections:</w:t>
      </w:r>
    </w:p>
    <w:p>
      <w:pPr>
        <w:spacing w:after="0" w:line="105"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Overview</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Results of Operations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Analysis of Financial Condition, Liquidity, and Capital Resources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Critical Accounting Policies and Estimates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New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Our MD&amp;A should be read in conjunction with the Consolidated Financial Statements and related Notes included in Item 8 of Part II in this Annual Report on Form 10-K.</w:t>
      </w:r>
    </w:p>
    <w:p>
      <w:pPr>
        <w:spacing w:after="0" w:line="190" w:lineRule="exact"/>
        <w:rPr>
          <w:sz w:val="20"/>
          <w:szCs w:val="20"/>
          <w:color w:val="auto"/>
        </w:rPr>
      </w:pPr>
    </w:p>
    <w:p>
      <w:pPr>
        <w:spacing w:after="0" w:line="317" w:lineRule="auto"/>
        <w:rPr>
          <w:sz w:val="20"/>
          <w:szCs w:val="20"/>
          <w:color w:val="auto"/>
        </w:rPr>
      </w:pPr>
      <w:r>
        <w:rPr>
          <w:rFonts w:ascii="Arial" w:cs="Arial" w:eastAsia="Arial" w:hAnsi="Arial"/>
          <w:sz w:val="12"/>
          <w:szCs w:val="12"/>
          <w:color w:val="auto"/>
        </w:rPr>
        <w:t>The year-over-year comparisons in this MD&amp;A are as of and for the fiscal years ended August 26, 2023 and August 27, 2022, unless stated otherwise. The discussion of Fiscal 2021 results and related year-over-year comparisons as of and for the fiscal years ended August 27, 2022 and August 28, 2021 are found in Item 7 of Part II of our Form 10-K for the fiscal year ended August 27, 2022.</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We produce our motorhome RV units in Iowa and Indiana; our towable RV units in Indiana; and our marine units in Indiana and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in Presentation</w:t>
      </w:r>
    </w:p>
    <w:p>
      <w:pPr>
        <w:spacing w:after="0" w:line="103"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In the first quarter of Fiscal 2023, we changed our presentation in tables from thousands to millions, unless otherwise designated. As a result, certain rounding adjustments have been made to prior period disclosed amounts in order to conform to the current year presentation. In addition, certain prior period amounts may not recalculate due to rounding. These changes were not significant, and no other updates were made to previously reported financial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Known Trends and Uncertainties</w:t>
      </w:r>
    </w:p>
    <w:p>
      <w:pPr>
        <w:spacing w:after="0" w:line="92"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Our business continues to be challenged by macroeconomic conditions impacting retail consumers, such as inflation and rising interest rates. These factors have contributed to lower consumer spending and reduced short-term demand for large discretionary products such as RVs and marine products. In the fourth quarter of 2023, these trends resulted in decreased sales due to declines in unit volume associated with the retail market conditions and a cautious dealer network. In response, we are working closely with dealer partners across all our segments to align field inventory levels to meet end consumer demand. We anticipate that as field inventory levels further normalize and consumer demand stabilizes, dealers will exhibit a growing willingness to replenish inventories in the second half of Fiscal 2024. We continue to produce and ship in accordance with dealer demand as evidenced and requested by dealer orders.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Despite the current economic uncertainty, we believe in the long-term health of consumer demand for RV and marine products.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92" w:lineRule="exact"/>
        <w:rPr>
          <w:sz w:val="20"/>
          <w:szCs w:val="20"/>
          <w:color w:val="auto"/>
        </w:rPr>
      </w:pPr>
    </w:p>
    <w:p>
      <w:pPr>
        <w:ind w:right="60"/>
        <w:spacing w:after="0" w:line="317" w:lineRule="auto"/>
        <w:rPr>
          <w:sz w:val="20"/>
          <w:szCs w:val="20"/>
          <w:color w:val="auto"/>
        </w:rPr>
      </w:pPr>
      <w:r>
        <w:rPr>
          <w:rFonts w:ascii="Arial" w:cs="Arial" w:eastAsia="Arial" w:hAnsi="Arial"/>
          <w:sz w:val="12"/>
          <w:szCs w:val="12"/>
          <w:color w:val="auto"/>
        </w:rPr>
        <w:t xml:space="preserve">On September 15, 2023, the UAW announced targeted strikes impacting certain auto manufacturers from which we purchase chassis. While we do not expect immediate disruption from the strike, the situation remains dynamic, and the exact magnitude and duration is difficult to predict at this time. Refer to Item 1A —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in this Annual Report on Form 10-K for additional information.</w:t>
      </w:r>
    </w:p>
    <w:p>
      <w:pPr>
        <w:spacing w:after="0" w:line="28"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auto"/>
        </w:rPr>
        <w:t>In the first quarter of Fiscal 2023, Mercedes-Benz AG issued a global recall related to an electronic parking brake defect affecting 2019 through 2022 Sprinter chassis. As a result, all retail sales and wholesale shipments of our products built on this chassis were temporarily suspended until a recall remedy was implemented. During the second quarter of Fiscal 2023, the recall remedy was implemented in cooperation with Mercedes-Benz AG. This recall impacted our Motorhome RV segment net sales and profitability in Fiscal 2023.</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92" w:lineRule="exact"/>
        <w:rPr>
          <w:sz w:val="20"/>
          <w:szCs w:val="20"/>
          <w:color w:val="auto"/>
        </w:rPr>
      </w:pPr>
    </w:p>
    <w:p>
      <w:pPr>
        <w:ind w:right="160"/>
        <w:spacing w:after="0" w:line="287" w:lineRule="auto"/>
        <w:rPr>
          <w:sz w:val="20"/>
          <w:szCs w:val="20"/>
          <w:color w:val="auto"/>
        </w:rPr>
      </w:pPr>
      <w:r>
        <w:rPr>
          <w:rFonts w:ascii="Arial" w:cs="Arial" w:eastAsia="Arial" w:hAnsi="Arial"/>
          <w:sz w:val="12"/>
          <w:szCs w:val="12"/>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86"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Included in "Results of Operations - Fiscal 2023 Compared to Fiscal 2022" is a reconciliation of EBITDA and Adjusted EBITDA from net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restructuring expenses, gain or loss on property, plant, and equipment, contingent consideration fair value adjustment, and non-operating income or loss.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Management uses these non-GAAP financial measures (a) to evaluate our historical and prospective financial performance and trends as well as our performance relative to competitors and peers;</w:t>
      </w:r>
    </w:p>
    <w:p>
      <w:pPr>
        <w:spacing w:after="0" w:line="7" w:lineRule="exact"/>
        <w:rPr>
          <w:sz w:val="20"/>
          <w:szCs w:val="20"/>
          <w:color w:val="auto"/>
        </w:rPr>
      </w:pPr>
    </w:p>
    <w:p>
      <w:pPr>
        <w:ind w:right="60" w:firstLine="5"/>
        <w:spacing w:after="0" w:line="273" w:lineRule="auto"/>
        <w:tabs>
          <w:tab w:leader="none" w:pos="191"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9 in the Notes to Consolidated Financial Statements, included in Item 8 of Part II in this Annual Report on Form 10-K. We believe these non-GAAP financial measures are frequently used by securities analysts, investors and other interested parties to evaluate companies in the industry.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Fiscal 2023 Compared to Fiscal 2022</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changes in key items included in the statements of operations for the fiscal year ended August 26, 2023 compared to the fiscal year ended August 27,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ind w:left="20"/>
              <w:spacing w:after="0"/>
              <w:rPr>
                <w:sz w:val="20"/>
                <w:szCs w:val="20"/>
                <w:color w:val="auto"/>
              </w:rPr>
            </w:pPr>
            <w:r>
              <w:rPr>
                <w:rFonts w:ascii="Arial" w:cs="Arial" w:eastAsia="Arial" w:hAnsi="Arial"/>
                <w:sz w:val="11"/>
                <w:szCs w:val="11"/>
                <w:color w:val="auto"/>
              </w:rPr>
              <w:t>(in millions, except per share data)</w:t>
            </w:r>
          </w:p>
        </w:tc>
        <w:tc>
          <w:tcPr>
            <w:tcW w:w="280" w:type="dxa"/>
            <w:vAlign w:val="bottom"/>
          </w:tcPr>
          <w:p>
            <w:pPr>
              <w:spacing w:after="0"/>
              <w:rPr>
                <w:sz w:val="16"/>
                <w:szCs w:val="16"/>
                <w:color w:val="auto"/>
              </w:rPr>
            </w:pPr>
          </w:p>
        </w:tc>
        <w:tc>
          <w:tcPr>
            <w:tcW w:w="9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18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c>
          <w:tcPr>
            <w:tcW w:w="1360" w:type="dxa"/>
            <w:vAlign w:val="bottom"/>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6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3,490.7</w:t>
            </w:r>
          </w:p>
        </w:tc>
        <w:tc>
          <w:tcPr>
            <w:tcW w:w="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4,957.7</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(1,467.1)</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goods sold</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2,904.6</w:t>
            </w: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83.2 %</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4,028.4</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(1,123.8)</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929.3</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(343.3)</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11"/>
        </w:trPr>
        <w:tc>
          <w:tcPr>
            <w:tcW w:w="3020" w:type="dxa"/>
            <w:vAlign w:val="bottom"/>
          </w:tcPr>
          <w:p>
            <w:pPr>
              <w:ind w:left="20"/>
              <w:spacing w:after="0" w:line="111" w:lineRule="exact"/>
              <w:rPr>
                <w:sz w:val="20"/>
                <w:szCs w:val="20"/>
                <w:color w:val="auto"/>
              </w:rPr>
            </w:pPr>
            <w:r>
              <w:rPr>
                <w:rFonts w:ascii="Arial" w:cs="Arial" w:eastAsia="Arial" w:hAnsi="Arial"/>
                <w:sz w:val="12"/>
                <w:szCs w:val="12"/>
                <w:color w:val="auto"/>
              </w:rPr>
              <w:t>Selling, general, and administrative expenses</w:t>
            </w:r>
          </w:p>
        </w:tc>
        <w:tc>
          <w:tcPr>
            <w:tcW w:w="2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267.7</w:t>
            </w:r>
          </w:p>
        </w:tc>
        <w:tc>
          <w:tcPr>
            <w:tcW w:w="60" w:type="dxa"/>
            <w:vAlign w:val="bottom"/>
          </w:tcPr>
          <w:p>
            <w:pPr>
              <w:spacing w:after="0"/>
              <w:rPr>
                <w:sz w:val="9"/>
                <w:szCs w:val="9"/>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7.7 %</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316.4</w:t>
            </w:r>
          </w:p>
        </w:tc>
        <w:tc>
          <w:tcPr>
            <w:tcW w:w="80" w:type="dxa"/>
            <w:vAlign w:val="bottom"/>
          </w:tcPr>
          <w:p>
            <w:pPr>
              <w:spacing w:after="0"/>
              <w:rPr>
                <w:sz w:val="9"/>
                <w:szCs w:val="9"/>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6.4 %</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(48.7)</w:t>
            </w:r>
          </w:p>
        </w:tc>
        <w:tc>
          <w:tcPr>
            <w:tcW w:w="8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3"/>
        </w:trPr>
        <w:tc>
          <w:tcPr>
            <w:tcW w:w="3020" w:type="dxa"/>
            <w:vAlign w:val="bottom"/>
          </w:tcPr>
          <w:p>
            <w:pPr>
              <w:ind w:left="20"/>
              <w:spacing w:after="0"/>
              <w:rPr>
                <w:sz w:val="20"/>
                <w:szCs w:val="20"/>
                <w:color w:val="auto"/>
              </w:rPr>
            </w:pPr>
            <w:r>
              <w:rPr>
                <w:rFonts w:ascii="Arial" w:cs="Arial" w:eastAsia="Arial" w:hAnsi="Arial"/>
                <w:sz w:val="13"/>
                <w:szCs w:val="13"/>
                <w:color w:val="auto"/>
              </w:rPr>
              <w:t>("SG&amp;A")</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5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285.4</w:t>
            </w:r>
          </w:p>
        </w:tc>
        <w:tc>
          <w:tcPr>
            <w:tcW w:w="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8.2 %</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345.8</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Arial" w:cs="Arial" w:eastAsia="Arial" w:hAnsi="Arial"/>
                <w:sz w:val="13"/>
                <w:szCs w:val="13"/>
                <w:color w:val="auto"/>
              </w:rPr>
              <w:t>Interest expense, net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0.6 %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41.3</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Non-operating loss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0" w:type="dxa"/>
            <w:vAlign w:val="bottom"/>
          </w:tcPr>
          <w:p>
            <w:pPr>
              <w:spacing w:after="0"/>
              <w:rPr>
                <w:sz w:val="1"/>
                <w:szCs w:val="1"/>
                <w:color w:val="auto"/>
              </w:rPr>
            </w:pPr>
          </w:p>
        </w:tc>
      </w:tr>
      <w:tr>
        <w:trPr>
          <w:trHeight w:val="158"/>
        </w:trPr>
        <w:tc>
          <w:tcPr>
            <w:tcW w:w="302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279.2</w:t>
            </w:r>
          </w:p>
        </w:tc>
        <w:tc>
          <w:tcPr>
            <w:tcW w:w="6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8.0 %</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514.7</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10.4 %</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(235.6)</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63"/>
        </w:trPr>
        <w:tc>
          <w:tcPr>
            <w:tcW w:w="30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215.9</w:t>
            </w:r>
          </w:p>
        </w:tc>
        <w:tc>
          <w:tcPr>
            <w:tcW w:w="6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6.2 %</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390.6</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7.9 %</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(174.8)</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Arial" w:cs="Arial" w:eastAsia="Arial" w:hAnsi="Arial"/>
                <w:sz w:val="13"/>
                <w:szCs w:val="13"/>
                <w:color w:val="auto"/>
              </w:rPr>
              <w:t>Diluted earnings per share</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6.23</w:t>
            </w: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11.84</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(5.61)</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weighted average shares outstanding</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40" w:hanging="235"/>
        <w:spacing w:after="0"/>
        <w:tabs>
          <w:tab w:leader="none" w:pos="24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 In addition, percentages may not add in total due to rounding.</w:t>
      </w:r>
    </w:p>
    <w:p>
      <w:pPr>
        <w:spacing w:after="0" w:line="200" w:lineRule="exact"/>
        <w:rPr>
          <w:rFonts w:ascii="Arial" w:cs="Arial" w:eastAsia="Arial" w:hAnsi="Arial"/>
          <w:sz w:val="17"/>
          <w:szCs w:val="17"/>
          <w:color w:val="auto"/>
          <w:vertAlign w:val="superscript"/>
        </w:rPr>
      </w:pPr>
    </w:p>
    <w:p>
      <w:pPr>
        <w:spacing w:after="0" w:line="279" w:lineRule="exact"/>
        <w:rPr>
          <w:rFonts w:ascii="Arial" w:cs="Arial" w:eastAsia="Arial" w:hAnsi="Arial"/>
          <w:sz w:val="17"/>
          <w:szCs w:val="17"/>
          <w:color w:val="auto"/>
          <w:vertAlign w:val="superscript"/>
        </w:rPr>
      </w:pPr>
    </w:p>
    <w:p>
      <w:pPr>
        <w:ind w:left="5580"/>
        <w:spacing w:after="0"/>
        <w:rPr>
          <w:rFonts w:ascii="Arial" w:cs="Arial" w:eastAsia="Arial" w:hAnsi="Arial"/>
          <w:sz w:val="17"/>
          <w:szCs w:val="17"/>
          <w:color w:val="auto"/>
          <w:vertAlign w:val="superscript"/>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auto"/>
        </w:rPr>
        <w:t>Net revenues decreased primarily due to lower unit sales related to retail market conditions and higher discounts and allowances compared to prior year, partially offset by carryover price increases.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Gross profit as a percentage of revenue decreased primarily due to volume deleverage and higher discounts and allowances compared to prior year.</w:t>
      </w:r>
    </w:p>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Operating expenses decreased primarily due to lower incentive and volume-based compensation related to performance, lower amortization related to Barletta intangible assets, lower legal settlement expenses, and other cost reduction efforts, partially offset by strategic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Non-operating loss decreased due to a lower contingent consideration fair value adjustment related to the earnout from the acquisition of Barletta.</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decreased primarily due to both an increase in tax credits year-over-year over decreased income in the current year and favorable return to provision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Non-GAAP Reconciliation</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Fiscal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r>
      <w:tr>
        <w:trPr>
          <w:trHeight w:val="16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Interest expense, net</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58"/>
        </w:trPr>
        <w:tc>
          <w:tcPr>
            <w:tcW w:w="7720" w:type="dxa"/>
            <w:vAlign w:val="bottom"/>
          </w:tcPr>
          <w:p>
            <w:pPr>
              <w:ind w:left="120"/>
              <w:spacing w:after="0"/>
              <w:rPr>
                <w:sz w:val="20"/>
                <w:szCs w:val="20"/>
                <w:color w:val="auto"/>
              </w:rPr>
            </w:pPr>
            <w:r>
              <w:rPr>
                <w:rFonts w:ascii="Arial" w:cs="Arial" w:eastAsia="Arial" w:hAnsi="Arial"/>
                <w:sz w:val="13"/>
                <w:szCs w:val="13"/>
                <w:color w:val="auto"/>
              </w:rPr>
              <w:t>EBITDA</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609.6</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Litigation reserves</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fair value adjustment</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Non-operating loss (income)</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88"/>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Adjusted EBITDA</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 Performance Summary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 RV</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RV segment for Fiscal 2023 and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5"/>
              </w:rPr>
              <w:t xml:space="preserve">% of Revenues </w:t>
            </w:r>
            <w:r>
              <w:rPr>
                <w:rFonts w:ascii="Arial" w:cs="Arial" w:eastAsia="Arial" w:hAnsi="Arial"/>
                <w:sz w:val="16"/>
                <w:szCs w:val="16"/>
                <w:b w:val="1"/>
                <w:bCs w:val="1"/>
                <w:color w:val="auto"/>
                <w:w w:val="95"/>
                <w:vertAlign w:val="superscript"/>
              </w:rPr>
              <w:t>(1)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xml:space="preserve">% of Revenues </w:t>
            </w:r>
            <w:r>
              <w:rPr>
                <w:rFonts w:ascii="Arial" w:cs="Arial" w:eastAsia="Arial" w:hAnsi="Arial"/>
                <w:sz w:val="16"/>
                <w:szCs w:val="16"/>
                <w:b w:val="1"/>
                <w:bCs w:val="1"/>
                <w:color w:val="auto"/>
                <w:w w:val="95"/>
                <w:vertAlign w:val="superscript"/>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2,597.4</w:t>
            </w:r>
          </w:p>
        </w:tc>
        <w:tc>
          <w:tcPr>
            <w:tcW w:w="8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(1,182.1)</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r>
      <w:tr>
        <w:trPr>
          <w:trHeight w:val="168"/>
        </w:trPr>
        <w:tc>
          <w:tcPr>
            <w:tcW w:w="30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12.2 %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383.6</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(211.5)</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(55.1)%</w:t>
            </w:r>
          </w:p>
        </w:tc>
      </w:tr>
      <w:tr>
        <w:trPr>
          <w:trHeight w:val="172"/>
        </w:trPr>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1"/>
        </w:trPr>
        <w:tc>
          <w:tcPr>
            <w:tcW w:w="3020" w:type="dxa"/>
            <w:vAlign w:val="bottom"/>
          </w:tcPr>
          <w:p>
            <w:pPr>
              <w:ind w:left="20"/>
              <w:spacing w:after="0"/>
              <w:rPr>
                <w:sz w:val="20"/>
                <w:szCs w:val="20"/>
                <w:color w:val="auto"/>
              </w:rPr>
            </w:pPr>
            <w:r>
              <w:rPr>
                <w:rFonts w:ascii="Arial" w:cs="Arial" w:eastAsia="Arial" w:hAnsi="Arial"/>
                <w:sz w:val="13"/>
                <w:szCs w:val="13"/>
                <w:color w:val="auto"/>
              </w:rPr>
              <w:t>Average Selling Price ("ASP")</w:t>
            </w:r>
            <w:r>
              <w:rPr>
                <w:rFonts w:ascii="Arial" w:cs="Arial" w:eastAsia="Arial" w:hAnsi="Arial"/>
                <w:sz w:val="16"/>
                <w:szCs w:val="16"/>
                <w:color w:val="auto"/>
                <w:vertAlign w:val="superscript"/>
              </w:rPr>
              <w:t>(2)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43,038</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2,530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5.9 %</w:t>
            </w:r>
          </w:p>
        </w:tc>
      </w:tr>
      <w:tr>
        <w:trPr>
          <w:trHeight w:val="288"/>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Unit deliveries</w:t>
            </w:r>
          </w:p>
        </w:tc>
        <w:tc>
          <w:tcPr>
            <w:tcW w:w="120" w:type="dxa"/>
            <w:vAlign w:val="bottom"/>
          </w:tcPr>
          <w:p>
            <w:pPr>
              <w:spacing w:after="0"/>
              <w:rPr>
                <w:sz w:val="24"/>
                <w:szCs w:val="2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Product Mix</w:t>
            </w:r>
            <w:r>
              <w:rPr>
                <w:rFonts w:ascii="Arial" w:cs="Arial" w:eastAsia="Arial" w:hAnsi="Arial"/>
                <w:sz w:val="16"/>
                <w:szCs w:val="16"/>
                <w:b w:val="1"/>
                <w:bCs w:val="1"/>
                <w:color w:val="auto"/>
                <w:w w:val="96"/>
                <w:vertAlign w:val="superscript"/>
              </w:rPr>
              <w:t>(3)</w:t>
            </w:r>
          </w:p>
        </w:tc>
        <w:tc>
          <w:tcPr>
            <w:tcW w:w="220" w:type="dxa"/>
            <w:vAlign w:val="bottom"/>
          </w:tcPr>
          <w:p>
            <w:pPr>
              <w:spacing w:after="0"/>
              <w:rPr>
                <w:sz w:val="24"/>
                <w:szCs w:val="24"/>
                <w:color w:val="auto"/>
              </w:rPr>
            </w:pPr>
          </w:p>
        </w:tc>
        <w:tc>
          <w:tcPr>
            <w:tcW w:w="10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4"/>
                <w:szCs w:val="2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Product Mix</w:t>
            </w:r>
            <w:r>
              <w:rPr>
                <w:rFonts w:ascii="Arial" w:cs="Arial" w:eastAsia="Arial" w:hAnsi="Arial"/>
                <w:sz w:val="16"/>
                <w:szCs w:val="16"/>
                <w:b w:val="1"/>
                <w:bCs w:val="1"/>
                <w:color w:val="auto"/>
                <w:w w:val="96"/>
                <w:vertAlign w:val="superscript"/>
              </w:rPr>
              <w:t>(3)</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21,352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68.8 %</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40,739</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(19,387)</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w:t>
            </w:r>
          </w:p>
        </w:tc>
      </w:tr>
      <w:tr>
        <w:trPr>
          <w:trHeight w:val="16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Fifth wheel</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31.2 %</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19,125</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(9,424)</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w:t>
            </w:r>
          </w:p>
        </w:tc>
      </w:tr>
      <w:tr>
        <w:trPr>
          <w:trHeight w:val="188"/>
        </w:trPr>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Towable RV</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31,053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59,864</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(28,811)</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81"/>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26, 2023</w:t>
            </w: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August 27, 2022</w:t>
            </w:r>
          </w:p>
        </w:tc>
        <w:tc>
          <w:tcPr>
            <w:tcW w:w="22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6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30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(4)</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8"/>
        </w:trPr>
        <w:tc>
          <w:tcPr>
            <w:tcW w:w="3020" w:type="dxa"/>
            <w:vAlign w:val="bottom"/>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14,588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(9,477)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22,797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9" w:lineRule="exact"/>
        <w:rPr>
          <w:sz w:val="20"/>
          <w:szCs w:val="20"/>
          <w:color w:val="auto"/>
        </w:rPr>
      </w:pPr>
    </w:p>
    <w:p>
      <w:pPr>
        <w:ind w:left="200" w:hanging="195"/>
        <w:spacing w:after="0"/>
        <w:tabs>
          <w:tab w:leader="none" w:pos="20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spacing w:after="0" w:line="1" w:lineRule="exact"/>
        <w:rPr>
          <w:rFonts w:ascii="Arial" w:cs="Arial" w:eastAsia="Arial" w:hAnsi="Arial"/>
          <w:sz w:val="17"/>
          <w:szCs w:val="17"/>
          <w:color w:val="auto"/>
          <w:vertAlign w:val="superscript"/>
        </w:rPr>
      </w:pPr>
    </w:p>
    <w:p>
      <w:pPr>
        <w:ind w:left="200" w:hanging="195"/>
        <w:spacing w:after="0" w:line="189" w:lineRule="auto"/>
        <w:tabs>
          <w:tab w:leader="none" w:pos="200" w:val="left"/>
        </w:tabs>
        <w:numPr>
          <w:ilvl w:val="0"/>
          <w:numId w:val="12"/>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00" w:hanging="195"/>
        <w:spacing w:after="0" w:line="203" w:lineRule="auto"/>
        <w:tabs>
          <w:tab w:leader="none" w:pos="200" w:val="left"/>
        </w:tabs>
        <w:numPr>
          <w:ilvl w:val="0"/>
          <w:numId w:val="12"/>
        </w:numPr>
        <w:rPr>
          <w:rFonts w:ascii="Arial" w:cs="Arial" w:eastAsia="Arial" w:hAnsi="Arial"/>
          <w:sz w:val="14"/>
          <w:szCs w:val="14"/>
          <w:color w:val="auto"/>
          <w:vertAlign w:val="superscript"/>
        </w:rPr>
      </w:pPr>
      <w:r>
        <w:rPr>
          <w:rFonts w:ascii="Arial" w:cs="Arial" w:eastAsia="Arial" w:hAnsi="Arial"/>
          <w:sz w:val="10"/>
          <w:szCs w:val="10"/>
          <w:color w:val="auto"/>
        </w:rPr>
        <w:t>Percentages may not add due to rounding differences.</w:t>
      </w:r>
    </w:p>
    <w:p>
      <w:pPr>
        <w:spacing w:after="0" w:line="1" w:lineRule="exact"/>
        <w:rPr>
          <w:rFonts w:ascii="Arial" w:cs="Arial" w:eastAsia="Arial" w:hAnsi="Arial"/>
          <w:sz w:val="14"/>
          <w:szCs w:val="14"/>
          <w:color w:val="auto"/>
          <w:vertAlign w:val="superscript"/>
        </w:rPr>
      </w:pPr>
    </w:p>
    <w:p>
      <w:pPr>
        <w:ind w:left="200" w:right="120" w:hanging="195"/>
        <w:spacing w:after="0" w:line="204" w:lineRule="auto"/>
        <w:tabs>
          <w:tab w:leader="none" w:pos="202"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color w:val="auto"/>
        </w:rPr>
        <w:t>Net revenues decreased primarily due to a decline in unit volume associated with retail market conditions, a reduction in dealer inventories, and higher levels of discounts and allowances compared to prior year, partially offset by carryover price increases.</w:t>
      </w:r>
    </w:p>
    <w:p>
      <w:pPr>
        <w:spacing w:after="0" w:line="178" w:lineRule="exact"/>
        <w:rPr>
          <w:sz w:val="20"/>
          <w:szCs w:val="20"/>
          <w:color w:val="auto"/>
        </w:rPr>
      </w:pPr>
    </w:p>
    <w:p>
      <w:pPr>
        <w:ind w:right="500"/>
        <w:spacing w:after="0" w:line="257" w:lineRule="auto"/>
        <w:rPr>
          <w:sz w:val="20"/>
          <w:szCs w:val="20"/>
          <w:color w:val="auto"/>
        </w:rPr>
      </w:pPr>
      <w:r>
        <w:rPr>
          <w:rFonts w:ascii="Arial" w:cs="Arial" w:eastAsia="Arial" w:hAnsi="Arial"/>
          <w:sz w:val="13"/>
          <w:szCs w:val="13"/>
          <w:color w:val="auto"/>
        </w:rPr>
        <w:t>Adjusted EBITDA margin decreased primarily due to volume deleverage and higher discounts and allowances compared to prior year, partially offset by successful cost reduction initiatives and favorable warranty experience.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compared to the prior year due to continued softness in retail conditions and a cautious dealer network.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44"/>
        </w:trPr>
        <w:tc>
          <w:tcPr>
            <w:tcW w:w="3020" w:type="dxa"/>
            <w:vAlign w:val="bottom"/>
            <w:gridSpan w:val="2"/>
          </w:tcPr>
          <w:p>
            <w:pPr>
              <w:spacing w:after="0"/>
              <w:rPr>
                <w:sz w:val="20"/>
                <w:szCs w:val="20"/>
                <w:color w:val="auto"/>
              </w:rPr>
            </w:pPr>
            <w:r>
              <w:rPr>
                <w:rFonts w:ascii="Arial" w:cs="Arial" w:eastAsia="Arial" w:hAnsi="Arial"/>
                <w:sz w:val="13"/>
                <w:szCs w:val="13"/>
                <w:i w:val="1"/>
                <w:iCs w:val="1"/>
                <w:color w:val="auto"/>
              </w:rPr>
              <w:t>Motorhome RV</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5780" w:type="dxa"/>
            <w:vAlign w:val="bottom"/>
            <w:gridSpan w:val="8"/>
          </w:tcPr>
          <w:p>
            <w:pPr>
              <w:spacing w:after="0"/>
              <w:rPr>
                <w:sz w:val="20"/>
                <w:szCs w:val="20"/>
                <w:color w:val="auto"/>
              </w:rPr>
            </w:pPr>
            <w:r>
              <w:rPr>
                <w:rFonts w:ascii="Arial" w:cs="Arial" w:eastAsia="Arial" w:hAnsi="Arial"/>
                <w:sz w:val="13"/>
                <w:szCs w:val="13"/>
                <w:color w:val="auto"/>
                <w:w w:val="99"/>
              </w:rPr>
              <w:t>The following is an analysis of key changes in our Motorhome RV segment for Fiscal 2023 and 2022:</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 except ASP and units)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6"/>
              </w:rPr>
              <w:t>% of Revenues</w:t>
            </w:r>
            <w:r>
              <w:rPr>
                <w:rFonts w:ascii="Arial" w:cs="Arial" w:eastAsia="Arial" w:hAnsi="Arial"/>
                <w:sz w:val="16"/>
                <w:szCs w:val="16"/>
                <w:b w:val="1"/>
                <w:bCs w:val="1"/>
                <w:color w:val="auto"/>
                <w:w w:val="96"/>
                <w:vertAlign w:val="superscript"/>
              </w:rPr>
              <w:t>(1)</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1,911.2</w:t>
            </w:r>
          </w:p>
        </w:tc>
        <w:tc>
          <w:tcPr>
            <w:tcW w:w="8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(351.1)</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Adjusted EBITDA</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9.1 %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238.0</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(96.0)</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(40.3)%</w:t>
            </w:r>
          </w:p>
        </w:tc>
      </w:tr>
      <w:tr>
        <w:trPr>
          <w:trHeight w:val="172"/>
        </w:trPr>
        <w:tc>
          <w:tcPr>
            <w:tcW w:w="30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1"/>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185,514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156,917</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28,597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18.2 %</w:t>
            </w:r>
          </w:p>
        </w:tc>
      </w:tr>
      <w:tr>
        <w:trPr>
          <w:trHeight w:val="288"/>
        </w:trPr>
        <w:tc>
          <w:tcPr>
            <w:tcW w:w="3020" w:type="dxa"/>
            <w:vAlign w:val="bottom"/>
            <w:gridSpan w:val="2"/>
          </w:tcPr>
          <w:p>
            <w:pPr>
              <w:ind w:left="20"/>
              <w:spacing w:after="0"/>
              <w:rPr>
                <w:sz w:val="20"/>
                <w:szCs w:val="20"/>
                <w:color w:val="auto"/>
              </w:rPr>
            </w:pPr>
            <w:r>
              <w:rPr>
                <w:rFonts w:ascii="Arial" w:cs="Arial" w:eastAsia="Arial" w:hAnsi="Arial"/>
                <w:sz w:val="13"/>
                <w:szCs w:val="13"/>
                <w:b w:val="1"/>
                <w:bCs w:val="1"/>
                <w:color w:val="auto"/>
              </w:rPr>
              <w:t>Unit deliveries</w:t>
            </w:r>
          </w:p>
        </w:tc>
        <w:tc>
          <w:tcPr>
            <w:tcW w:w="120" w:type="dxa"/>
            <w:vAlign w:val="bottom"/>
          </w:tcPr>
          <w:p>
            <w:pPr>
              <w:spacing w:after="0"/>
              <w:rPr>
                <w:sz w:val="24"/>
                <w:szCs w:val="24"/>
                <w:color w:val="auto"/>
              </w:rPr>
            </w:pPr>
          </w:p>
        </w:tc>
        <w:tc>
          <w:tcPr>
            <w:tcW w:w="1140" w:type="dxa"/>
            <w:vAlign w:val="bottom"/>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220" w:type="dxa"/>
            <w:vAlign w:val="bottom"/>
          </w:tcPr>
          <w:p>
            <w:pPr>
              <w:spacing w:after="0"/>
              <w:rPr>
                <w:sz w:val="24"/>
                <w:szCs w:val="24"/>
                <w:color w:val="auto"/>
              </w:rPr>
            </w:pPr>
          </w:p>
        </w:tc>
        <w:tc>
          <w:tcPr>
            <w:tcW w:w="10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4"/>
                <w:szCs w:val="24"/>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3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2,640</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Class B</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3,845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45.8 %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6,748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56.0 %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(2,903)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(43.0)%</w:t>
            </w:r>
          </w:p>
        </w:tc>
      </w:tr>
      <w:tr>
        <w:trPr>
          <w:trHeight w:val="17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28.7 %</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2,670</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22.1 %</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63"/>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Total Motorhome RV</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8,394</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12,058</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(3,664)</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w:t>
            </w:r>
          </w:p>
        </w:tc>
      </w:tr>
      <w:tr>
        <w:trPr>
          <w:trHeight w:val="20"/>
        </w:trPr>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1"/>
        </w:trPr>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26, 2023</w:t>
            </w:r>
          </w:p>
        </w:tc>
        <w:tc>
          <w:tcPr>
            <w:tcW w:w="14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August 27, 2022</w:t>
            </w: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302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(4)</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8"/>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12,024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(8,196)</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1,687.6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gridSpan w:val="2"/>
          </w:tcPr>
          <w:p>
            <w:pPr>
              <w:ind w:left="20"/>
              <w:spacing w:after="0"/>
              <w:rPr>
                <w:sz w:val="20"/>
                <w:szCs w:val="20"/>
                <w:color w:val="auto"/>
              </w:rPr>
            </w:pPr>
            <w:r>
              <w:rPr>
                <w:rFonts w:ascii="Arial" w:cs="Arial" w:eastAsia="Arial" w:hAnsi="Arial"/>
                <w:sz w:val="13"/>
                <w:szCs w:val="13"/>
                <w:b w:val="1"/>
                <w:bCs w:val="1"/>
                <w:color w:val="auto"/>
              </w:rPr>
              <w:t>Dealer Inventory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3,824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8" w:lineRule="exact"/>
        <w:rPr>
          <w:sz w:val="20"/>
          <w:szCs w:val="20"/>
          <w:color w:val="auto"/>
        </w:rPr>
      </w:pPr>
    </w:p>
    <w:p>
      <w:pPr>
        <w:ind w:left="200" w:hanging="195"/>
        <w:spacing w:after="0"/>
        <w:tabs>
          <w:tab w:leader="none" w:pos="200"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spacing w:after="0" w:line="1" w:lineRule="exact"/>
        <w:rPr>
          <w:rFonts w:ascii="Arial" w:cs="Arial" w:eastAsia="Arial" w:hAnsi="Arial"/>
          <w:sz w:val="17"/>
          <w:szCs w:val="17"/>
          <w:color w:val="auto"/>
          <w:vertAlign w:val="superscript"/>
        </w:rPr>
      </w:pPr>
    </w:p>
    <w:p>
      <w:pPr>
        <w:ind w:left="240" w:hanging="235"/>
        <w:spacing w:after="0" w:line="203" w:lineRule="auto"/>
        <w:tabs>
          <w:tab w:leader="none" w:pos="240"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spacing w:after="0" w:line="1" w:lineRule="exact"/>
        <w:rPr>
          <w:rFonts w:ascii="Arial" w:cs="Arial" w:eastAsia="Arial" w:hAnsi="Arial"/>
          <w:sz w:val="14"/>
          <w:szCs w:val="14"/>
          <w:color w:val="auto"/>
          <w:vertAlign w:val="superscript"/>
        </w:rPr>
      </w:pPr>
    </w:p>
    <w:p>
      <w:pPr>
        <w:ind w:left="240" w:hanging="235"/>
        <w:spacing w:after="0" w:line="203" w:lineRule="auto"/>
        <w:tabs>
          <w:tab w:leader="none" w:pos="240"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Percentages may not add due to rounding differences.</w:t>
      </w:r>
    </w:p>
    <w:p>
      <w:pPr>
        <w:spacing w:after="0" w:line="1" w:lineRule="exact"/>
        <w:rPr>
          <w:rFonts w:ascii="Arial" w:cs="Arial" w:eastAsia="Arial" w:hAnsi="Arial"/>
          <w:sz w:val="14"/>
          <w:szCs w:val="14"/>
          <w:color w:val="auto"/>
          <w:vertAlign w:val="superscript"/>
        </w:rPr>
      </w:pPr>
    </w:p>
    <w:p>
      <w:pPr>
        <w:ind w:left="200" w:right="240" w:hanging="195"/>
        <w:spacing w:after="0" w:line="204" w:lineRule="auto"/>
        <w:tabs>
          <w:tab w:leader="none" w:pos="236"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172" w:lineRule="exact"/>
        <w:rPr>
          <w:sz w:val="20"/>
          <w:szCs w:val="20"/>
          <w:color w:val="auto"/>
        </w:rPr>
      </w:pPr>
    </w:p>
    <w:p>
      <w:pPr>
        <w:ind w:right="440"/>
        <w:spacing w:after="0" w:line="274" w:lineRule="auto"/>
        <w:rPr>
          <w:sz w:val="20"/>
          <w:szCs w:val="20"/>
          <w:color w:val="auto"/>
        </w:rPr>
      </w:pPr>
      <w:r>
        <w:rPr>
          <w:rFonts w:ascii="Arial" w:cs="Arial" w:eastAsia="Arial" w:hAnsi="Arial"/>
          <w:sz w:val="13"/>
          <w:szCs w:val="13"/>
          <w:color w:val="auto"/>
        </w:rPr>
        <w:t>Net revenues decreased primarily due to a decline in unit volume related to retail market conditions and higher levels of discounts and allowances compared to prior year, partially offset by price increases related to higher chassis costs.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due to volume deleverage, higher discounts and allowances, and operational efficiency challenges.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due to continued softness in retail conditions and a cautious dealer network.</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44"/>
        </w:trPr>
        <w:tc>
          <w:tcPr>
            <w:tcW w:w="3000" w:type="dxa"/>
            <w:vAlign w:val="bottom"/>
            <w:gridSpan w:val="2"/>
          </w:tcPr>
          <w:p>
            <w:pPr>
              <w:spacing w:after="0"/>
              <w:rPr>
                <w:sz w:val="20"/>
                <w:szCs w:val="20"/>
                <w:color w:val="auto"/>
              </w:rPr>
            </w:pPr>
            <w:r>
              <w:rPr>
                <w:rFonts w:ascii="Arial" w:cs="Arial" w:eastAsia="Arial" w:hAnsi="Arial"/>
                <w:sz w:val="13"/>
                <w:szCs w:val="13"/>
                <w:i w:val="1"/>
                <w:iCs w:val="1"/>
                <w:color w:val="auto"/>
              </w:rPr>
              <w:t>Marine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5780" w:type="dxa"/>
            <w:vAlign w:val="bottom"/>
            <w:gridSpan w:val="8"/>
          </w:tcPr>
          <w:p>
            <w:pPr>
              <w:spacing w:after="0"/>
              <w:rPr>
                <w:sz w:val="20"/>
                <w:szCs w:val="20"/>
                <w:color w:val="auto"/>
              </w:rPr>
            </w:pPr>
            <w:r>
              <w:rPr>
                <w:rFonts w:ascii="Arial" w:cs="Arial" w:eastAsia="Arial" w:hAnsi="Arial"/>
                <w:sz w:val="13"/>
                <w:szCs w:val="13"/>
                <w:color w:val="auto"/>
              </w:rPr>
              <w:t>The following is an analysis of key changes in our Marine segment for Fiscal 2023 and 2022: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 except ASP and units)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w:t>
            </w:r>
          </w:p>
        </w:tc>
        <w:tc>
          <w:tcPr>
            <w:tcW w:w="8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10.5 %</w:t>
            </w:r>
          </w:p>
        </w:tc>
      </w:tr>
      <w:tr>
        <w:trPr>
          <w:trHeight w:val="168"/>
        </w:trPr>
        <w:tc>
          <w:tcPr>
            <w:tcW w:w="3000" w:type="dxa"/>
            <w:vAlign w:val="bottom"/>
            <w:gridSpan w:val="2"/>
          </w:tcPr>
          <w:p>
            <w:pPr>
              <w:ind w:left="20"/>
              <w:spacing w:after="0"/>
              <w:rPr>
                <w:sz w:val="20"/>
                <w:szCs w:val="20"/>
                <w:color w:val="auto"/>
              </w:rPr>
            </w:pPr>
            <w:r>
              <w:rPr>
                <w:rFonts w:ascii="Arial" w:cs="Arial" w:eastAsia="Arial" w:hAnsi="Arial"/>
                <w:sz w:val="13"/>
                <w:szCs w:val="13"/>
                <w:color w:val="auto"/>
              </w:rPr>
              <w:t>Adjusted EBITDA</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12.9 %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2"/>
        </w:trPr>
        <w:tc>
          <w:tcPr>
            <w:tcW w:w="30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334"/>
        </w:trPr>
        <w:tc>
          <w:tcPr>
            <w:tcW w:w="3000" w:type="dxa"/>
            <w:vAlign w:val="bottom"/>
            <w:gridSpan w:val="2"/>
          </w:tcPr>
          <w:p>
            <w:pPr>
              <w:ind w:left="20"/>
              <w:spacing w:after="0"/>
              <w:rPr>
                <w:sz w:val="20"/>
                <w:szCs w:val="20"/>
                <w:color w:val="auto"/>
              </w:rPr>
            </w:pPr>
            <w:r>
              <w:rPr>
                <w:rFonts w:ascii="Arial" w:cs="Arial" w:eastAsia="Arial" w:hAnsi="Arial"/>
                <w:sz w:val="25"/>
                <w:szCs w:val="25"/>
                <w:color w:val="auto"/>
                <w:vertAlign w:val="subscript"/>
              </w:rPr>
              <w:t>ASP</w:t>
            </w:r>
            <w:r>
              <w:rPr>
                <w:rFonts w:ascii="Arial" w:cs="Arial" w:eastAsia="Arial" w:hAnsi="Arial"/>
                <w:sz w:val="8"/>
                <w:szCs w:val="8"/>
                <w:color w:val="auto"/>
              </w:rPr>
              <w:t>(2)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83,060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75,023</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8,037</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10.7 %</w:t>
            </w:r>
          </w:p>
        </w:tc>
      </w:tr>
      <w:tr>
        <w:trPr>
          <w:trHeight w:val="175"/>
        </w:trPr>
        <w:tc>
          <w:tcPr>
            <w:tcW w:w="3000" w:type="dxa"/>
            <w:vAlign w:val="bottom"/>
            <w:gridSpan w:val="2"/>
          </w:tcPr>
          <w:p>
            <w:pPr>
              <w:ind w:left="20"/>
              <w:spacing w:after="0"/>
              <w:rPr>
                <w:sz w:val="20"/>
                <w:szCs w:val="20"/>
                <w:color w:val="auto"/>
              </w:rPr>
            </w:pPr>
            <w:r>
              <w:rPr>
                <w:rFonts w:ascii="Arial" w:cs="Arial" w:eastAsia="Arial" w:hAnsi="Arial"/>
                <w:sz w:val="13"/>
                <w:szCs w:val="13"/>
                <w:b w:val="1"/>
                <w:bCs w:val="1"/>
                <w:color w:val="auto"/>
              </w:rPr>
              <w:t>Unit deliveries</w:t>
            </w:r>
          </w:p>
        </w:tc>
        <w:tc>
          <w:tcPr>
            <w:tcW w:w="120" w:type="dxa"/>
            <w:vAlign w:val="bottom"/>
          </w:tcPr>
          <w:p>
            <w:pPr>
              <w:spacing w:after="0"/>
              <w:rPr>
                <w:sz w:val="15"/>
                <w:szCs w:val="15"/>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76"/>
              <w:spacing w:after="0"/>
              <w:rPr>
                <w:sz w:val="20"/>
                <w:szCs w:val="20"/>
                <w:color w:val="auto"/>
              </w:rPr>
            </w:pPr>
            <w:r>
              <w:rPr>
                <w:rFonts w:ascii="Arial" w:cs="Arial" w:eastAsia="Arial" w:hAnsi="Arial"/>
                <w:sz w:val="13"/>
                <w:szCs w:val="13"/>
                <w:b w:val="1"/>
                <w:bCs w:val="1"/>
                <w:color w:val="auto"/>
                <w:w w:val="96"/>
              </w:rPr>
              <w:t>2022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Unit Change</w:t>
            </w:r>
          </w:p>
        </w:tc>
        <w:tc>
          <w:tcPr>
            <w:tcW w:w="16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8"/>
              </w:rPr>
              <w:t>% Change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5"/>
        </w:trPr>
        <w:tc>
          <w:tcPr>
            <w:tcW w:w="30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Boats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5,692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1"/>
        </w:trPr>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26, 2023</w:t>
            </w: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August 27, 2022</w:t>
            </w:r>
          </w:p>
        </w:tc>
        <w:tc>
          <w:tcPr>
            <w:tcW w:w="1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Change</w:t>
            </w:r>
            <w:r>
              <w:rPr>
                <w:rFonts w:ascii="Arial" w:cs="Arial" w:eastAsia="Arial" w:hAnsi="Arial"/>
                <w:sz w:val="16"/>
                <w:szCs w:val="16"/>
                <w:b w:val="1"/>
                <w:bCs w:val="1"/>
                <w:color w:val="auto"/>
                <w:w w:val="92"/>
                <w:vertAlign w:val="superscript"/>
              </w:rPr>
              <w:t>(1)</w:t>
            </w:r>
          </w:p>
        </w:tc>
        <w:tc>
          <w:tcPr>
            <w:tcW w:w="16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300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(3)</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8"/>
        </w:trPr>
        <w:tc>
          <w:tcPr>
            <w:tcW w:w="3000" w:type="dxa"/>
            <w:vAlign w:val="bottom"/>
            <w:gridSpan w:val="2"/>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3,595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(1,050)</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314.7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0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Dealer Inventory</w:t>
            </w:r>
            <w:r>
              <w:rPr>
                <w:rFonts w:ascii="Arial" w:cs="Arial" w:eastAsia="Arial" w:hAnsi="Arial"/>
                <w:sz w:val="16"/>
                <w:szCs w:val="16"/>
                <w:b w:val="1"/>
                <w:bCs w:val="1"/>
                <w:color w:val="auto"/>
                <w:vertAlign w:val="superscript"/>
              </w:rPr>
              <w:t>(4)</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2,077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62.5 %</w:t>
            </w:r>
          </w:p>
        </w:tc>
        <w:tc>
          <w:tcPr>
            <w:tcW w:w="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8"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spacing w:after="0" w:line="1" w:lineRule="exact"/>
        <w:rPr>
          <w:rFonts w:ascii="Arial" w:cs="Arial" w:eastAsia="Arial" w:hAnsi="Arial"/>
          <w:sz w:val="17"/>
          <w:szCs w:val="17"/>
          <w:color w:val="auto"/>
          <w:vertAlign w:val="superscript"/>
        </w:rPr>
      </w:pPr>
    </w:p>
    <w:p>
      <w:pPr>
        <w:ind w:left="200" w:hanging="195"/>
        <w:spacing w:after="0" w:line="203" w:lineRule="auto"/>
        <w:tabs>
          <w:tab w:leader="none" w:pos="200" w:val="left"/>
        </w:tabs>
        <w:numPr>
          <w:ilvl w:val="0"/>
          <w:numId w:val="14"/>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spacing w:after="0" w:line="1" w:lineRule="exact"/>
        <w:rPr>
          <w:rFonts w:ascii="Arial" w:cs="Arial" w:eastAsia="Arial" w:hAnsi="Arial"/>
          <w:sz w:val="14"/>
          <w:szCs w:val="14"/>
          <w:color w:val="auto"/>
          <w:vertAlign w:val="superscript"/>
        </w:rPr>
      </w:pPr>
    </w:p>
    <w:p>
      <w:pPr>
        <w:ind w:left="200" w:right="80" w:hanging="195"/>
        <w:spacing w:after="0" w:line="204" w:lineRule="auto"/>
        <w:tabs>
          <w:tab w:leader="none" w:pos="236"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00" w:hanging="195"/>
        <w:spacing w:after="0" w:line="188" w:lineRule="auto"/>
        <w:tabs>
          <w:tab w:leader="none" w:pos="200" w:val="left"/>
        </w:tabs>
        <w:numPr>
          <w:ilvl w:val="0"/>
          <w:numId w:val="14"/>
        </w:numPr>
        <w:rPr>
          <w:rFonts w:ascii="Arial" w:cs="Arial" w:eastAsia="Arial" w:hAnsi="Arial"/>
          <w:sz w:val="14"/>
          <w:szCs w:val="14"/>
          <w:color w:val="auto"/>
          <w:vertAlign w:val="superscript"/>
        </w:rPr>
      </w:pPr>
      <w:r>
        <w:rPr>
          <w:rFonts w:ascii="Arial" w:cs="Arial" w:eastAsia="Arial" w:hAnsi="Arial"/>
          <w:sz w:val="10"/>
          <w:szCs w:val="10"/>
          <w:color w:val="auto"/>
        </w:rPr>
        <w:t>Due to the nature of the Marine industry, this amount includes a higher proportion of retail sold units than our other segments.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Net revenues increased primarily due to price increases, partially offset by higher discounts and allowances.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due to higher discounts and allowances compared to prior year.</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primarily driven by cautious dealer sentiment related to rising inventory levels.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Analysis of Financial Condition, Liquidity, and Capital Resources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cash flows from total operations for Fiscal 2023 and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r>
      <w:tr>
        <w:trPr>
          <w:trHeight w:val="16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cash provided by (used in):</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68"/>
        </w:trPr>
        <w:tc>
          <w:tcPr>
            <w:tcW w:w="7540" w:type="dxa"/>
            <w:vAlign w:val="bottom"/>
          </w:tcPr>
          <w:p>
            <w:pPr>
              <w:ind w:left="120"/>
              <w:spacing w:after="0"/>
              <w:rPr>
                <w:sz w:val="20"/>
                <w:szCs w:val="20"/>
                <w:color w:val="auto"/>
              </w:rPr>
            </w:pPr>
            <w:r>
              <w:rPr>
                <w:rFonts w:ascii="Arial" w:cs="Arial" w:eastAsia="Arial" w:hAnsi="Arial"/>
                <w:sz w:val="13"/>
                <w:szCs w:val="13"/>
                <w:color w:val="auto"/>
              </w:rPr>
              <w:t>Operating activities</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294.5</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center"/>
              <w:ind w:left="896"/>
              <w:spacing w:after="0"/>
              <w:rPr>
                <w:sz w:val="20"/>
                <w:szCs w:val="20"/>
                <w:color w:val="auto"/>
              </w:rPr>
            </w:pPr>
            <w:r>
              <w:rPr>
                <w:rFonts w:ascii="Arial" w:cs="Arial" w:eastAsia="Arial" w:hAnsi="Arial"/>
                <w:sz w:val="13"/>
                <w:szCs w:val="13"/>
                <w:color w:val="auto"/>
                <w:w w:val="98"/>
              </w:rPr>
              <w:t>400.6</w:t>
            </w:r>
          </w:p>
        </w:tc>
      </w:tr>
      <w:tr>
        <w:trPr>
          <w:trHeight w:val="172"/>
        </w:trPr>
        <w:tc>
          <w:tcPr>
            <w:tcW w:w="7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Investing activities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left="896"/>
              <w:spacing w:after="0"/>
              <w:rPr>
                <w:sz w:val="20"/>
                <w:szCs w:val="20"/>
                <w:color w:val="auto"/>
              </w:rPr>
            </w:pPr>
            <w:r>
              <w:rPr>
                <w:rFonts w:ascii="Arial" w:cs="Arial" w:eastAsia="Arial" w:hAnsi="Arial"/>
                <w:sz w:val="13"/>
                <w:szCs w:val="13"/>
                <w:color w:val="auto"/>
                <w:w w:val="97"/>
              </w:rPr>
              <w:t>(315.7)</w:t>
            </w:r>
          </w:p>
        </w:tc>
      </w:tr>
      <w:tr>
        <w:trPr>
          <w:trHeight w:val="168"/>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Financing activities</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896"/>
              <w:spacing w:after="0"/>
              <w:rPr>
                <w:sz w:val="20"/>
                <w:szCs w:val="20"/>
                <w:color w:val="auto"/>
              </w:rPr>
            </w:pPr>
            <w:r>
              <w:rPr>
                <w:rFonts w:ascii="Arial" w:cs="Arial" w:eastAsia="Arial" w:hAnsi="Arial"/>
                <w:sz w:val="13"/>
                <w:szCs w:val="13"/>
                <w:color w:val="auto"/>
                <w:w w:val="97"/>
              </w:rPr>
              <w:t>(237.3)</w:t>
            </w:r>
          </w:p>
        </w:tc>
      </w:tr>
      <w:tr>
        <w:trPr>
          <w:trHeight w:val="188"/>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increase (decrease) in cash and cash equivalents</w:t>
            </w: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center"/>
              <w:ind w:left="896"/>
              <w:spacing w:after="0"/>
              <w:rPr>
                <w:sz w:val="20"/>
                <w:szCs w:val="20"/>
                <w:color w:val="auto"/>
              </w:rPr>
            </w:pPr>
            <w:r>
              <w:rPr>
                <w:rFonts w:ascii="Arial" w:cs="Arial" w:eastAsia="Arial" w:hAnsi="Arial"/>
                <w:sz w:val="13"/>
                <w:szCs w:val="13"/>
                <w:color w:val="auto"/>
                <w:w w:val="97"/>
              </w:rPr>
              <w:t>(152.4)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88"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color w:val="auto"/>
        </w:rPr>
        <w:t>During Fiscal 2023, cash provided by operating activities was $294.5 million compared to $400.6 million in Fiscal 2022. The decrease is primarily driven by lower profitability adjusted for non-cash items, partially offset by net favorable changes in operating assets and liabilities. The favorable impact of operating assets and liabilities is primarily due to changes in accounts receivable due to lower sales and timing of invoicing/collections, and changes in inventory due to elevated purchases in Fiscal 2022 to support customer demand, partially offset by a decrease in accounts payable due to lower purchasing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88" w:lineRule="exact"/>
        <w:rPr>
          <w:sz w:val="20"/>
          <w:szCs w:val="20"/>
          <w:color w:val="auto"/>
        </w:rPr>
      </w:pPr>
    </w:p>
    <w:p>
      <w:pPr>
        <w:ind w:right="380"/>
        <w:spacing w:after="0" w:line="274" w:lineRule="auto"/>
        <w:rPr>
          <w:sz w:val="20"/>
          <w:szCs w:val="20"/>
          <w:color w:val="auto"/>
        </w:rPr>
      </w:pPr>
      <w:r>
        <w:rPr>
          <w:rFonts w:ascii="Arial" w:cs="Arial" w:eastAsia="Arial" w:hAnsi="Arial"/>
          <w:sz w:val="13"/>
          <w:szCs w:val="13"/>
          <w:color w:val="auto"/>
        </w:rPr>
        <w:t>Cash used in investing activities decreased in Fiscal 2023 compared to Fiscal 2022 primarily due to our acquisition of Barletta during the first quarter of Fiscal 2022 compared to the acquisition of Lithionics during the third quarter of Fiscal 2023.</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Cash used in financing activities decreased in Fiscal 2023 compared to Fiscal 2022 primarily due to a decrease in share repurchases in Fiscal 2023.</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and Capital</w:t>
      </w:r>
    </w:p>
    <w:p>
      <w:pPr>
        <w:spacing w:after="0" w:line="92" w:lineRule="exact"/>
        <w:rPr>
          <w:sz w:val="20"/>
          <w:szCs w:val="20"/>
          <w:color w:val="auto"/>
        </w:rPr>
      </w:pPr>
    </w:p>
    <w:p>
      <w:pPr>
        <w:ind w:right="280"/>
        <w:spacing w:after="0" w:line="256" w:lineRule="auto"/>
        <w:rPr>
          <w:sz w:val="20"/>
          <w:szCs w:val="20"/>
          <w:color w:val="auto"/>
        </w:rPr>
      </w:pPr>
      <w:r>
        <w:rPr>
          <w:rFonts w:ascii="Arial" w:cs="Arial" w:eastAsia="Arial" w:hAnsi="Arial"/>
          <w:sz w:val="13"/>
          <w:szCs w:val="13"/>
          <w:color w:val="auto"/>
        </w:rPr>
        <w:t>We maintain a $350.0 million asset-based revolving credit facility ("ABL Credit Facility") with a maturity date of July 15, 2027 subject to certain factors which may accelerate the maturity date. As of August 26, 2023, we had $309.9 million in cash and cash equivalents and no borrowings against the ABL Credit Facility. Our cash and cash equivalent balances consist of high quality, short-term money market instruments.</w:t>
      </w:r>
    </w:p>
    <w:p>
      <w:pPr>
        <w:spacing w:after="0" w:line="169" w:lineRule="exact"/>
        <w:rPr>
          <w:sz w:val="20"/>
          <w:szCs w:val="20"/>
          <w:color w:val="auto"/>
        </w:rPr>
      </w:pPr>
    </w:p>
    <w:p>
      <w:pPr>
        <w:ind w:right="360"/>
        <w:spacing w:after="0" w:line="274" w:lineRule="auto"/>
        <w:rPr>
          <w:sz w:val="20"/>
          <w:szCs w:val="20"/>
          <w:color w:val="auto"/>
        </w:rPr>
      </w:pPr>
      <w:r>
        <w:rPr>
          <w:rFonts w:ascii="Arial" w:cs="Arial" w:eastAsia="Arial" w:hAnsi="Arial"/>
          <w:sz w:val="13"/>
          <w:szCs w:val="13"/>
          <w:color w:val="auto"/>
        </w:rPr>
        <w:t>On July 8, 2020, we closed our private offering (the “Senior Secured Notes Offering”) of $300.0 million aggregate principal amount of 6.25% Senior Secured Notes due 2028 (the “Senior Secured Notes”).</w:t>
      </w:r>
    </w:p>
    <w:p>
      <w:pPr>
        <w:spacing w:after="0" w:line="157" w:lineRule="exact"/>
        <w:rPr>
          <w:sz w:val="20"/>
          <w:szCs w:val="20"/>
          <w:color w:val="auto"/>
        </w:rPr>
      </w:pPr>
    </w:p>
    <w:p>
      <w:pPr>
        <w:ind w:right="400"/>
        <w:spacing w:after="0" w:line="257" w:lineRule="auto"/>
        <w:rPr>
          <w:sz w:val="20"/>
          <w:szCs w:val="20"/>
          <w:color w:val="auto"/>
        </w:rPr>
      </w:pPr>
      <w:r>
        <w:rPr>
          <w:rFonts w:ascii="Arial" w:cs="Arial" w:eastAsia="Arial" w:hAnsi="Arial"/>
          <w:sz w:val="13"/>
          <w:szCs w:val="13"/>
          <w:color w:val="auto"/>
        </w:rPr>
        <w:t>On November 1, 2019, we issued $300.0 million in aggregate principal amount of 1.5% unsecured Convertible Senior Notes due 2025 (“Convertible Notes”), which were used to partially fund the Newmar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evaluate the financial stability of the counterparties and counterparty risk for the Convertible Notes, the Senior Secured Notes, and the ABL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Refer to Note 9 in the Notes to Consolidated Financial Statements, included in Item 8 of Part II in this Annual Report on Form 10-K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Financial Measures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Working capital as of August 26, 2023 and August 27, 2022 was $600.7 million and $571.7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Expenditures</w:t>
      </w:r>
    </w:p>
    <w:p>
      <w:pPr>
        <w:spacing w:after="0" w:line="103" w:lineRule="exact"/>
        <w:rPr>
          <w:sz w:val="20"/>
          <w:szCs w:val="20"/>
          <w:color w:val="auto"/>
        </w:rPr>
      </w:pPr>
    </w:p>
    <w:p>
      <w:pPr>
        <w:ind w:right="200"/>
        <w:spacing w:after="0" w:line="256" w:lineRule="auto"/>
        <w:rPr>
          <w:sz w:val="20"/>
          <w:szCs w:val="20"/>
          <w:color w:val="auto"/>
        </w:rPr>
      </w:pPr>
      <w:r>
        <w:rPr>
          <w:rFonts w:ascii="Arial" w:cs="Arial" w:eastAsia="Arial" w:hAnsi="Arial"/>
          <w:sz w:val="13"/>
          <w:szCs w:val="13"/>
          <w:color w:val="auto"/>
        </w:rPr>
        <w:t>We anticipate capital expenditures in Fiscal 2024 of approximately $60.0 million to $80.0 million. We will continue to support organic growth through facility improvements to benefit a safer operating environment, operational improvements, and investments in software and our digital capabilities. We believe cash on hand, funds generated from operations, and the borrowing capacity available under our ABL Credit Facility and other debt instruments will be sufficient to support our capital expenditures for the foreseeable future.</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Repurchases and Dividends</w:t>
      </w:r>
    </w:p>
    <w:p>
      <w:pPr>
        <w:spacing w:after="0" w:line="92" w:lineRule="exact"/>
        <w:rPr>
          <w:sz w:val="20"/>
          <w:szCs w:val="20"/>
          <w:color w:val="auto"/>
        </w:rPr>
      </w:pPr>
    </w:p>
    <w:p>
      <w:pPr>
        <w:ind w:right="180"/>
        <w:spacing w:after="0" w:line="317" w:lineRule="auto"/>
        <w:rPr>
          <w:sz w:val="20"/>
          <w:szCs w:val="20"/>
          <w:color w:val="auto"/>
        </w:rPr>
      </w:pPr>
      <w:r>
        <w:rPr>
          <w:rFonts w:ascii="Arial" w:cs="Arial" w:eastAsia="Arial" w:hAnsi="Arial"/>
          <w:sz w:val="12"/>
          <w:szCs w:val="12"/>
          <w:color w:val="auto"/>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industries we compete in, and then return excess cash over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180"/>
        <w:spacing w:after="0" w:line="257" w:lineRule="auto"/>
        <w:rPr>
          <w:sz w:val="20"/>
          <w:szCs w:val="20"/>
          <w:color w:val="auto"/>
        </w:rPr>
      </w:pPr>
      <w:r>
        <w:rPr>
          <w:rFonts w:ascii="Arial" w:cs="Arial" w:eastAsia="Arial" w:hAnsi="Arial"/>
          <w:sz w:val="13"/>
          <w:szCs w:val="13"/>
          <w:color w:val="auto"/>
        </w:rPr>
        <w:t>to shareholders through dividends and share repurchases. Refer to Item 5 of Part II of this Annual Report on Form 10-K for discussion about our share repurchase program and dividend declared on August 16, 2023.</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Our cash requirements within the next twelve months include accounts payable, accrued expenses, purchase commitments and other current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Our cash requirements greater than twelve months from various contractual obligations and commitments include: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Debt Obligations and Interest Payments</w:t>
      </w:r>
    </w:p>
    <w:p>
      <w:pPr>
        <w:spacing w:after="0" w:line="88"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color w:val="auto"/>
        </w:rPr>
        <w:t>Refer to Note 9 in the Notes to Consolidated Financial Statements, included in Item 8 of Part II in this Annual Report on Form 10-K for information regarding our debt and the timing of expected future principal and interest payments. Interest payments are based on fixed interest rates for the Senior Secured Notes and Convertible Notes.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and Finance Leases</w:t>
      </w:r>
    </w:p>
    <w:p>
      <w:pPr>
        <w:spacing w:after="0" w:line="99" w:lineRule="exact"/>
        <w:rPr>
          <w:sz w:val="20"/>
          <w:szCs w:val="20"/>
          <w:color w:val="auto"/>
        </w:rPr>
      </w:pPr>
    </w:p>
    <w:p>
      <w:pPr>
        <w:ind w:right="260"/>
        <w:spacing w:after="0" w:line="257" w:lineRule="auto"/>
        <w:rPr>
          <w:sz w:val="20"/>
          <w:szCs w:val="20"/>
          <w:color w:val="auto"/>
        </w:rPr>
      </w:pPr>
      <w:r>
        <w:rPr>
          <w:rFonts w:ascii="Arial" w:cs="Arial" w:eastAsia="Arial" w:hAnsi="Arial"/>
          <w:sz w:val="13"/>
          <w:szCs w:val="13"/>
          <w:color w:val="auto"/>
        </w:rPr>
        <w:t>Refer to Note 10 in the Notes to Consolidated Financial Statements, included in Item 8 of Part II in this Annual Report on Form 10-K for information regarding our lease obligations and the timing of expected future payments.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Deferred Compensation Obligations</w:t>
      </w:r>
    </w:p>
    <w:p>
      <w:pPr>
        <w:spacing w:after="0" w:line="99" w:lineRule="exact"/>
        <w:rPr>
          <w:sz w:val="20"/>
          <w:szCs w:val="20"/>
          <w:color w:val="auto"/>
        </w:rPr>
      </w:pPr>
    </w:p>
    <w:p>
      <w:pPr>
        <w:ind w:right="300"/>
        <w:spacing w:after="0" w:line="257" w:lineRule="auto"/>
        <w:rPr>
          <w:sz w:val="20"/>
          <w:szCs w:val="20"/>
          <w:color w:val="auto"/>
        </w:rPr>
      </w:pPr>
      <w:r>
        <w:rPr>
          <w:rFonts w:ascii="Arial" w:cs="Arial" w:eastAsia="Arial" w:hAnsi="Arial"/>
          <w:sz w:val="13"/>
          <w:szCs w:val="13"/>
          <w:color w:val="auto"/>
        </w:rPr>
        <w:t>Refer to Note 11 in the Notes to Consolidated Financial Statements, included in Item 8 of Part II in this Annual Report on Form 10-K for information regarding our deferred compensation plans. We expect to pay $1.8 million in the next 12 months and $7.9 million beyond 12 months.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Contracted Services</w:t>
      </w:r>
    </w:p>
    <w:p>
      <w:pPr>
        <w:spacing w:after="0" w:line="99" w:lineRule="exact"/>
        <w:rPr>
          <w:sz w:val="20"/>
          <w:szCs w:val="20"/>
          <w:color w:val="auto"/>
        </w:rPr>
      </w:pPr>
    </w:p>
    <w:p>
      <w:pPr>
        <w:ind w:right="100"/>
        <w:spacing w:after="0" w:line="257" w:lineRule="auto"/>
        <w:rPr>
          <w:sz w:val="20"/>
          <w:szCs w:val="20"/>
          <w:color w:val="auto"/>
        </w:rPr>
      </w:pPr>
      <w:r>
        <w:rPr>
          <w:rFonts w:ascii="Arial" w:cs="Arial" w:eastAsia="Arial" w:hAnsi="Arial"/>
          <w:sz w:val="13"/>
          <w:szCs w:val="13"/>
          <w:color w:val="auto"/>
        </w:rPr>
        <w:t>Contracted services include agreements with third-party service providers primarily for software, payroll services, and equipment maintenance services for periods up to Fiscal 2026. We expect to pay approximately $16.8 million in the next 12 months and approximately $26.2 million beyond 12 months.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Contingent Repurchase Obligations</w:t>
      </w:r>
    </w:p>
    <w:p>
      <w:pPr>
        <w:spacing w:after="0" w:line="88" w:lineRule="exact"/>
        <w:rPr>
          <w:sz w:val="20"/>
          <w:szCs w:val="20"/>
          <w:color w:val="auto"/>
        </w:rPr>
      </w:pPr>
    </w:p>
    <w:p>
      <w:pPr>
        <w:ind w:right="200"/>
        <w:spacing w:after="0" w:line="257" w:lineRule="auto"/>
        <w:rPr>
          <w:sz w:val="20"/>
          <w:szCs w:val="20"/>
          <w:color w:val="auto"/>
        </w:rPr>
      </w:pPr>
      <w:r>
        <w:rPr>
          <w:rFonts w:ascii="Arial" w:cs="Arial" w:eastAsia="Arial" w:hAnsi="Arial"/>
          <w:sz w:val="13"/>
          <w:szCs w:val="13"/>
          <w:color w:val="auto"/>
        </w:rPr>
        <w:t>Refer to Note 12 in the Notes to Consolidated Financial Statements, included in Item 8 of Part II in this Annual Report on Form 10-K for information regarding our contingent repurchase commitment and estimated obligation, most of which we expect to expire within one year.</w:t>
      </w:r>
    </w:p>
    <w:p>
      <w:pPr>
        <w:spacing w:after="0" w:line="178" w:lineRule="exact"/>
        <w:rPr>
          <w:sz w:val="20"/>
          <w:szCs w:val="20"/>
          <w:color w:val="auto"/>
        </w:rPr>
      </w:pPr>
    </w:p>
    <w:p>
      <w:pPr>
        <w:ind w:right="320"/>
        <w:spacing w:after="0" w:line="257" w:lineRule="auto"/>
        <w:rPr>
          <w:sz w:val="20"/>
          <w:szCs w:val="20"/>
          <w:color w:val="auto"/>
        </w:rPr>
      </w:pPr>
      <w:r>
        <w:rPr>
          <w:rFonts w:ascii="Arial" w:cs="Arial" w:eastAsia="Arial" w:hAnsi="Arial"/>
          <w:sz w:val="13"/>
          <w:szCs w:val="13"/>
          <w:color w:val="auto"/>
        </w:rPr>
        <w:t>We expect to satisfy our short-term and long-term obligations through a combination of cash on hand, funds generated from operations, and the borrowing capacity available under our ABL Credit Facility and other debt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92"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the consolidated financial statements are prepared. Because future events and their effects cannot be determined with certainty, actual results could differ from our assumptions and estimates, and such differences could be material.</w:t>
      </w:r>
    </w:p>
    <w:p>
      <w:pPr>
        <w:spacing w:after="0" w:line="183"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Our critical accounting policies are discussed in Note 1 in the Notes to Consolidated Financial Statements, included in Item 8 of Part II in this Annual Report on Form 10-K. We believe that the following accounting policies and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policies and estimates and related disclosures with the Audit Committee of our Board of Directors.</w:t>
      </w:r>
    </w:p>
    <w:p>
      <w:pPr>
        <w:spacing w:after="0" w:line="173"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We have not made any material changes during the past three fiscal years, nor do we believe there is a reasonable likelihood of a material future change to the accounting methodologies for the areas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for Business Combinations</w:t>
      </w:r>
    </w:p>
    <w:p>
      <w:pPr>
        <w:spacing w:after="0" w:line="88"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flows, discount rates, royalty rates and asset lives, among other items.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fair value of the trade names.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 and Indefinite-lived Intangible Assets</w:t>
      </w:r>
    </w:p>
    <w:p>
      <w:pPr>
        <w:spacing w:after="0" w:line="88"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We test goodwill and other indefinite-lived intangible assets (trade names in certain instances)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157" w:lineRule="exact"/>
        <w:rPr>
          <w:sz w:val="20"/>
          <w:szCs w:val="20"/>
          <w:color w:val="auto"/>
        </w:rPr>
      </w:pPr>
    </w:p>
    <w:p>
      <w:pPr>
        <w:ind w:left="520" w:right="20" w:hanging="260"/>
        <w:spacing w:after="0" w:line="250"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Qualitative evaluation - Performed to determine whether it is more likely than not that the carrying value of goodwill or the indefinite-lived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the goodwill or indefinite-lived trade name exceeds the fair value, we perform the quantitative test to determine the amount of the impairment.</w:t>
      </w:r>
    </w:p>
    <w:p>
      <w:pPr>
        <w:spacing w:after="0" w:line="183" w:lineRule="exact"/>
        <w:rPr>
          <w:rFonts w:ascii="Arial" w:cs="Arial" w:eastAsia="Arial" w:hAnsi="Arial"/>
          <w:sz w:val="13"/>
          <w:szCs w:val="13"/>
          <w:color w:val="auto"/>
        </w:rPr>
      </w:pPr>
    </w:p>
    <w:p>
      <w:pPr>
        <w:ind w:left="520" w:right="180" w:hanging="260"/>
        <w:spacing w:after="0" w:line="273" w:lineRule="auto"/>
        <w:tabs>
          <w:tab w:leader="none" w:pos="511" w:val="left"/>
        </w:tabs>
        <w:numPr>
          <w:ilvl w:val="0"/>
          <w:numId w:val="15"/>
        </w:numPr>
        <w:rPr>
          <w:rFonts w:ascii="Arial" w:cs="Arial" w:eastAsia="Arial" w:hAnsi="Arial"/>
          <w:sz w:val="12"/>
          <w:szCs w:val="12"/>
          <w:color w:val="auto"/>
        </w:rPr>
      </w:pPr>
      <w:r>
        <w:rPr>
          <w:rFonts w:ascii="Arial" w:cs="Arial" w:eastAsia="Arial" w:hAnsi="Arial"/>
          <w:sz w:val="12"/>
          <w:szCs w:val="12"/>
          <w:color w:val="auto"/>
        </w:rPr>
        <w:t>Quantitative test - Used to calculate the fair value of goodwill or the indefinite-lived trade name. If the carrying value of the reporting unit or indefinite-lived trade name exceeds the fair value,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indefinite-lived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3"/>
          <w:szCs w:val="13"/>
          <w:color w:val="auto"/>
        </w:rPr>
        <w:t>Actual results may differ from assumed and estimated amounts. No impairments were recorded in Fiscal 2023, 2022, and 2021. For further information regarding goodwill and intangible assets, see Note 7 in the Notes to Consolidated Financial Statements, included in Item 8 of Part II in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Warranty</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We provide certain service and warranty on our products. Estimated costs related to product warranty are accrued at the time of sale and are based upon past warranty claims and unit sales history.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Estimates are adjusted as needed to reflect actual costs incurred as information becomes available.</w:t>
      </w:r>
    </w:p>
    <w:p>
      <w:pPr>
        <w:spacing w:after="0" w:line="193" w:lineRule="exact"/>
        <w:rPr>
          <w:sz w:val="20"/>
          <w:szCs w:val="20"/>
          <w:color w:val="auto"/>
        </w:rPr>
      </w:pPr>
    </w:p>
    <w:p>
      <w:pPr>
        <w:ind w:right="400"/>
        <w:spacing w:after="0" w:line="247"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26, 2023 would not have a material effect on our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For a summary of new applicable accounting pronouncements, see Note 1 in the Notes to Consolidated Financial Statements, included in Item 8 of Part II in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ABL Credit Facility is our only floating rate debt instrument, which remains undrawn as of August 26, 2023.</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45"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The Company's internal control over financial reporting is supported by written policies and procedures that:</w:t>
      </w:r>
    </w:p>
    <w:p>
      <w:pPr>
        <w:spacing w:after="0" w:line="137"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Company's assets;</w:t>
      </w:r>
    </w:p>
    <w:p>
      <w:pPr>
        <w:spacing w:after="0" w:line="126" w:lineRule="exact"/>
        <w:rPr>
          <w:rFonts w:ascii="Arial" w:cs="Arial" w:eastAsia="Arial" w:hAnsi="Arial"/>
          <w:sz w:val="13"/>
          <w:szCs w:val="13"/>
          <w:color w:val="auto"/>
        </w:rPr>
      </w:pPr>
    </w:p>
    <w:p>
      <w:pPr>
        <w:ind w:left="520" w:right="120" w:hanging="260"/>
        <w:spacing w:after="0" w:line="274"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93"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15" w:lineRule="exact"/>
        <w:rPr>
          <w:sz w:val="20"/>
          <w:szCs w:val="20"/>
          <w:color w:val="auto"/>
        </w:rPr>
      </w:pPr>
    </w:p>
    <w:p>
      <w:pPr>
        <w:jc w:val="both"/>
        <w:ind w:right="180"/>
        <w:spacing w:after="0" w:line="298" w:lineRule="auto"/>
        <w:rPr>
          <w:sz w:val="20"/>
          <w:szCs w:val="20"/>
          <w:color w:val="auto"/>
        </w:rPr>
      </w:pPr>
      <w:r>
        <w:rPr>
          <w:rFonts w:ascii="Arial" w:cs="Arial" w:eastAsia="Arial" w:hAnsi="Arial"/>
          <w:sz w:val="12"/>
          <w:szCs w:val="12"/>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82"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ind w:right="100"/>
        <w:spacing w:after="0" w:line="250" w:lineRule="auto"/>
        <w:rPr>
          <w:sz w:val="20"/>
          <w:szCs w:val="20"/>
          <w:color w:val="auto"/>
        </w:rPr>
      </w:pPr>
      <w:r>
        <w:rPr>
          <w:rFonts w:ascii="Arial" w:cs="Arial" w:eastAsia="Arial" w:hAnsi="Arial"/>
          <w:sz w:val="13"/>
          <w:szCs w:val="13"/>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Based on its assessment, management has concluded that the Company's internal control over financial reporting was effective as of August 26, 2023.</w:t>
      </w:r>
    </w:p>
    <w:p>
      <w:pPr>
        <w:spacing w:after="0" w:line="126" w:lineRule="exact"/>
        <w:rPr>
          <w:sz w:val="20"/>
          <w:szCs w:val="20"/>
          <w:color w:val="auto"/>
        </w:rPr>
      </w:pPr>
    </w:p>
    <w:p>
      <w:pPr>
        <w:ind w:right="240"/>
        <w:spacing w:after="0" w:line="274" w:lineRule="auto"/>
        <w:rPr>
          <w:sz w:val="20"/>
          <w:szCs w:val="20"/>
          <w:color w:val="auto"/>
        </w:rPr>
      </w:pPr>
      <w:r>
        <w:rPr>
          <w:rFonts w:ascii="Arial" w:cs="Arial" w:eastAsia="Arial" w:hAnsi="Arial"/>
          <w:sz w:val="13"/>
          <w:szCs w:val="13"/>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c>
          <w:tcPr>
            <w:tcW w:w="1460" w:type="dxa"/>
            <w:vAlign w:val="bottom"/>
          </w:tcPr>
          <w:p>
            <w:pPr>
              <w:spacing w:after="0"/>
              <w:rPr>
                <w:sz w:val="14"/>
                <w:szCs w:val="14"/>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58"/>
        </w:trPr>
        <w:tc>
          <w:tcPr>
            <w:tcW w:w="4820" w:type="dxa"/>
            <w:vAlign w:val="bottom"/>
          </w:tcPr>
          <w:p>
            <w:pPr>
              <w:ind w:left="20"/>
              <w:spacing w:after="0"/>
              <w:rPr>
                <w:sz w:val="20"/>
                <w:szCs w:val="20"/>
                <w:color w:val="auto"/>
              </w:rPr>
            </w:pPr>
            <w:r>
              <w:rPr>
                <w:rFonts w:ascii="Arial" w:cs="Arial" w:eastAsia="Arial" w:hAnsi="Arial"/>
                <w:sz w:val="13"/>
                <w:szCs w:val="13"/>
                <w:color w:val="auto"/>
              </w:rPr>
              <w:t>Michael J. Happe</w:t>
            </w:r>
          </w:p>
        </w:tc>
        <w:tc>
          <w:tcPr>
            <w:tcW w:w="1460" w:type="dxa"/>
            <w:vAlign w:val="bottom"/>
          </w:tcPr>
          <w:p>
            <w:pPr>
              <w:spacing w:after="0"/>
              <w:rPr>
                <w:sz w:val="13"/>
                <w:szCs w:val="13"/>
                <w:color w:val="auto"/>
              </w:rPr>
            </w:pPr>
          </w:p>
        </w:tc>
        <w:tc>
          <w:tcPr>
            <w:tcW w:w="500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170"/>
        </w:trPr>
        <w:tc>
          <w:tcPr>
            <w:tcW w:w="4820" w:type="dxa"/>
            <w:vAlign w:val="bottom"/>
          </w:tcPr>
          <w:p>
            <w:pPr>
              <w:ind w:left="20"/>
              <w:spacing w:after="0"/>
              <w:rPr>
                <w:sz w:val="20"/>
                <w:szCs w:val="20"/>
                <w:color w:val="auto"/>
              </w:rPr>
            </w:pPr>
            <w:r>
              <w:rPr>
                <w:rFonts w:ascii="Arial" w:cs="Arial" w:eastAsia="Arial" w:hAnsi="Arial"/>
                <w:sz w:val="13"/>
                <w:szCs w:val="13"/>
                <w:color w:val="auto"/>
              </w:rPr>
              <w:t>President, Chief Executive Officer</w:t>
            </w:r>
          </w:p>
        </w:tc>
        <w:tc>
          <w:tcPr>
            <w:tcW w:w="1460" w:type="dxa"/>
            <w:vAlign w:val="bottom"/>
          </w:tcPr>
          <w:p>
            <w:pPr>
              <w:spacing w:after="0"/>
              <w:rPr>
                <w:sz w:val="14"/>
                <w:szCs w:val="14"/>
                <w:color w:val="auto"/>
              </w:rPr>
            </w:pPr>
          </w:p>
        </w:tc>
        <w:tc>
          <w:tcPr>
            <w:tcW w:w="5000" w:type="dxa"/>
            <w:vAlign w:val="bottom"/>
          </w:tcPr>
          <w:p>
            <w:pPr>
              <w:ind w:left="20"/>
              <w:spacing w:after="0"/>
              <w:rPr>
                <w:sz w:val="20"/>
                <w:szCs w:val="20"/>
                <w:color w:val="auto"/>
              </w:rPr>
            </w:pPr>
            <w:r>
              <w:rPr>
                <w:rFonts w:ascii="Arial" w:cs="Arial" w:eastAsia="Arial" w:hAnsi="Arial"/>
                <w:sz w:val="13"/>
                <w:szCs w:val="13"/>
                <w:color w:val="auto"/>
              </w:rPr>
              <w:t>Senior Vice President, Chief Financial Officer</w:t>
            </w:r>
          </w:p>
        </w:tc>
      </w:tr>
      <w:tr>
        <w:trPr>
          <w:trHeight w:val="340"/>
        </w:trPr>
        <w:tc>
          <w:tcPr>
            <w:tcW w:w="4820" w:type="dxa"/>
            <w:vAlign w:val="bottom"/>
          </w:tcPr>
          <w:p>
            <w:pPr>
              <w:ind w:left="20"/>
              <w:spacing w:after="0"/>
              <w:rPr>
                <w:sz w:val="20"/>
                <w:szCs w:val="20"/>
                <w:color w:val="auto"/>
              </w:rPr>
            </w:pPr>
            <w:r>
              <w:rPr>
                <w:rFonts w:ascii="Arial" w:cs="Arial" w:eastAsia="Arial" w:hAnsi="Arial"/>
                <w:sz w:val="13"/>
                <w:szCs w:val="13"/>
                <w:color w:val="auto"/>
              </w:rPr>
              <w:t>October 18, 2023</w:t>
            </w:r>
          </w:p>
        </w:tc>
        <w:tc>
          <w:tcPr>
            <w:tcW w:w="146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3"/>
                <w:szCs w:val="13"/>
                <w:color w:val="auto"/>
              </w:rPr>
              <w:t>October 18, 2023</w:t>
            </w:r>
          </w:p>
        </w:tc>
      </w:tr>
      <w:tr>
        <w:trPr>
          <w:trHeight w:val="902"/>
        </w:trPr>
        <w:tc>
          <w:tcPr>
            <w:tcW w:w="4820" w:type="dxa"/>
            <w:vAlign w:val="bottom"/>
          </w:tcPr>
          <w:p>
            <w:pPr>
              <w:spacing w:after="0"/>
              <w:rPr>
                <w:sz w:val="24"/>
                <w:szCs w:val="24"/>
                <w:color w:val="auto"/>
              </w:rPr>
            </w:pP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30</w:t>
            </w:r>
          </w:p>
        </w:tc>
        <w:tc>
          <w:tcPr>
            <w:tcW w:w="5000" w:type="dxa"/>
            <w:vAlign w:val="bottom"/>
          </w:tcPr>
          <w:p>
            <w:pPr>
              <w:spacing w:after="0"/>
              <w:rPr>
                <w:sz w:val="24"/>
                <w:szCs w:val="24"/>
                <w:color w:val="auto"/>
              </w:rPr>
            </w:pPr>
          </w:p>
        </w:tc>
      </w:tr>
      <w:tr>
        <w:trPr>
          <w:trHeight w:val="91"/>
        </w:trPr>
        <w:tc>
          <w:tcPr>
            <w:tcW w:w="48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Winnebago Industries, Inc.</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have audited the accompanying consolidated balance sheets of Winnebago Industries, Inc. and subsidiaries (the "Company") as of August 26, 2023, and August 27, 2022, the related consolidated statements of income, changes in shareholders' equity, and cash flows, for each of the three years in the period ended August 26, 2023, and the related notes (collectively referred to as the "financial statements"). In our opinion, the financial statements present fairly, in all material respects, the financial position of the Company as of August 26, 2023, and August 27, 2022, and the results of its operations and its cash flows for each of the three years in the period ended August 26, 2023, in conformity with accounting principles generally accepted in the United States of America.</w:t>
      </w:r>
    </w:p>
    <w:p>
      <w:pPr>
        <w:spacing w:after="0" w:line="168" w:lineRule="exact"/>
        <w:rPr>
          <w:sz w:val="20"/>
          <w:szCs w:val="20"/>
          <w:color w:val="auto"/>
        </w:rPr>
      </w:pPr>
    </w:p>
    <w:p>
      <w:pPr>
        <w:ind w:right="180"/>
        <w:spacing w:after="0" w:line="239" w:lineRule="auto"/>
        <w:rPr>
          <w:sz w:val="20"/>
          <w:szCs w:val="20"/>
          <w:color w:val="auto"/>
        </w:rPr>
      </w:pPr>
      <w:r>
        <w:rPr>
          <w:rFonts w:ascii="Arial" w:cs="Arial" w:eastAsia="Arial" w:hAnsi="Arial"/>
          <w:sz w:val="13"/>
          <w:szCs w:val="13"/>
          <w:color w:val="auto"/>
        </w:rPr>
        <w:t xml:space="preserve">We have also audited, in accordance with the standards of the Public Company Accounting Oversight Board (United States) (PCAOB), the Company's internal control over financial reporting as of August 26, 2023,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and our report dated October 18, 2023, expressed an unqualified opinion on the Company's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9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w:t>
      </w:r>
    </w:p>
    <w:p>
      <w:pPr>
        <w:spacing w:after="0" w:line="92"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Warranties – Grand Design – Refer to Note 8 to the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Critical Audit Matter Description</w:t>
      </w:r>
    </w:p>
    <w:p>
      <w:pPr>
        <w:spacing w:after="0" w:line="88" w:lineRule="exact"/>
        <w:rPr>
          <w:sz w:val="20"/>
          <w:szCs w:val="20"/>
          <w:color w:val="auto"/>
        </w:rPr>
      </w:pPr>
    </w:p>
    <w:p>
      <w:pPr>
        <w:ind w:right="40"/>
        <w:spacing w:after="0" w:line="233" w:lineRule="auto"/>
        <w:rPr>
          <w:sz w:val="20"/>
          <w:szCs w:val="20"/>
          <w:color w:val="auto"/>
        </w:rPr>
      </w:pPr>
      <w:r>
        <w:rPr>
          <w:rFonts w:ascii="Arial" w:cs="Arial" w:eastAsia="Arial" w:hAnsi="Arial"/>
          <w:sz w:val="13"/>
          <w:szCs w:val="13"/>
          <w:color w:val="auto"/>
        </w:rPr>
        <w:t>The Company provides certain service and warranty on its products. Estimated costs related to product warranty are accrued at month-end based upon historical warranty claims and unit sales history. Estimates are adjusted as needed to reflect actual costs incurred as information becomes available. Grand Design RV, LLC (“Grand Design”) was founded in 2013 and acquired by the Company in November 2016 and makes up the majority of the Company’s $98 million product warranty accrual as of August 26, 2023.</w:t>
      </w:r>
    </w:p>
    <w:p>
      <w:pPr>
        <w:spacing w:after="0" w:line="180" w:lineRule="exact"/>
        <w:rPr>
          <w:sz w:val="20"/>
          <w:szCs w:val="20"/>
          <w:color w:val="auto"/>
        </w:rPr>
      </w:pPr>
    </w:p>
    <w:p>
      <w:pPr>
        <w:ind w:right="120"/>
        <w:spacing w:after="0" w:line="235" w:lineRule="auto"/>
        <w:rPr>
          <w:sz w:val="20"/>
          <w:szCs w:val="20"/>
          <w:color w:val="auto"/>
        </w:rPr>
      </w:pPr>
      <w:r>
        <w:rPr>
          <w:rFonts w:ascii="Arial" w:cs="Arial" w:eastAsia="Arial" w:hAnsi="Arial"/>
          <w:sz w:val="13"/>
          <w:szCs w:val="13"/>
          <w:color w:val="auto"/>
        </w:rPr>
        <w:t>We identified the product warranty accrual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paid, specifically due to Grand Design’s significant growth since inception, introduction of new product lines, and relatively short history of warranty claims paid from which to develop product warranty estimates.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How the Critical Audit Matter Was Addressed in the Audit</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related to the product warranty for the Grand Design component included the following, among others:</w:t>
      </w:r>
    </w:p>
    <w:p>
      <w:pPr>
        <w:spacing w:after="0" w:line="84" w:lineRule="exact"/>
        <w:rPr>
          <w:sz w:val="20"/>
          <w:szCs w:val="20"/>
          <w:color w:val="auto"/>
        </w:rPr>
      </w:pPr>
    </w:p>
    <w:p>
      <w:pPr>
        <w:ind w:left="520" w:right="120" w:hanging="260"/>
        <w:spacing w:after="0" w:line="236"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evaluated the operating effectiveness of controls over management’s estimation of the product warranty accrual, including those over historical product warranty claim data and projected future product warranty claims.</w:t>
      </w:r>
    </w:p>
    <w:p>
      <w:pPr>
        <w:ind w:left="500" w:hanging="240"/>
        <w:spacing w:after="0" w:line="221" w:lineRule="auto"/>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evaluated the accuracy and relevance of the historical product warranty claims as an input to management’s product warranty accrual calculation.</w:t>
      </w:r>
    </w:p>
    <w:p>
      <w:pPr>
        <w:ind w:left="520" w:right="460" w:hanging="260"/>
        <w:spacing w:after="0" w:line="229"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w:t>
      </w:r>
    </w:p>
    <w:p>
      <w:pPr>
        <w:spacing w:after="0" w:line="1" w:lineRule="exact"/>
        <w:rPr>
          <w:rFonts w:ascii="Arial" w:cs="Arial" w:eastAsia="Arial" w:hAnsi="Arial"/>
          <w:sz w:val="13"/>
          <w:szCs w:val="13"/>
          <w:color w:val="auto"/>
        </w:rPr>
      </w:pPr>
    </w:p>
    <w:p>
      <w:pPr>
        <w:ind w:left="520" w:right="580" w:hanging="260"/>
        <w:spacing w:after="0" w:line="233"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evaluated management’s ability to accurately estimate the warranty accrual by comparing the product warranty accrual in prior years to the actual product warranty claims paid in subsequent years.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assessed management’s methodology and tested the valuation of the product warranty accrual by developing an expectation for the accrual based on changes in units in warranty and warranty claims paid and compared our expectation to the amount recorded by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rPr>
          <w:sz w:val="20"/>
          <w:szCs w:val="20"/>
          <w:color w:val="auto"/>
        </w:rPr>
      </w:pPr>
      <w:r>
        <w:rPr>
          <w:rFonts w:ascii="Arial" w:cs="Arial" w:eastAsia="Arial" w:hAnsi="Arial"/>
          <w:sz w:val="13"/>
          <w:szCs w:val="13"/>
          <w:color w:val="auto"/>
        </w:rPr>
        <w:t>October 18, 2023</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fiscal 1986.</w:t>
      </w: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33" w:right="579" w:bottom="1440" w:gutter="0" w:footer="0" w:header="0"/>
        </w:sectPr>
      </w:pPr>
    </w:p>
    <w:bookmarkStart w:id="32" w:name="page33"/>
    <w:bookmarkEnd w:id="3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Winnebago Industries, Inc.</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77" w:lineRule="exact"/>
        <w:rPr>
          <w:sz w:val="20"/>
          <w:szCs w:val="20"/>
          <w:color w:val="auto"/>
        </w:rPr>
      </w:pPr>
    </w:p>
    <w:p>
      <w:pPr>
        <w:jc w:val="both"/>
        <w:ind w:right="120"/>
        <w:spacing w:after="0" w:line="242" w:lineRule="auto"/>
        <w:rPr>
          <w:sz w:val="20"/>
          <w:szCs w:val="20"/>
          <w:color w:val="auto"/>
        </w:rPr>
      </w:pPr>
      <w:r>
        <w:rPr>
          <w:rFonts w:ascii="Arial" w:cs="Arial" w:eastAsia="Arial" w:hAnsi="Arial"/>
          <w:sz w:val="13"/>
          <w:szCs w:val="13"/>
          <w:color w:val="auto"/>
        </w:rPr>
        <w:t xml:space="preserve">We have audited the internal control over financial reporting of Winnebago Industries, Inc. and subsidiaries (the “Company”) as of August 26, 2023,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(2013) </w:t>
      </w:r>
      <w:r>
        <w:rPr>
          <w:rFonts w:ascii="Arial" w:cs="Arial" w:eastAsia="Arial" w:hAnsi="Arial"/>
          <w:sz w:val="13"/>
          <w:szCs w:val="13"/>
          <w:color w:val="auto"/>
        </w:rPr>
        <w:t>issued by the Committee of Sponsoring Organizations of the Treadway Commission (COSO). In our opinion, the Company maintained, in all material respects,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internal control over financial reporting as of August 26, 2023,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COSO.</w:t>
      </w:r>
    </w:p>
    <w:p>
      <w:pPr>
        <w:spacing w:after="0" w:line="167" w:lineRule="exact"/>
        <w:rPr>
          <w:sz w:val="20"/>
          <w:szCs w:val="20"/>
          <w:color w:val="auto"/>
        </w:rPr>
      </w:pPr>
    </w:p>
    <w:p>
      <w:pPr>
        <w:ind w:right="320"/>
        <w:spacing w:after="0" w:line="257"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August 26, 2023, of the Company and our report dated October 18, 2023, expressed an unqualified opinion on those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October 18, 2023</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623"/>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7"/>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Income</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5"/>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For the fiscal year ended</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27, 2022</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28, 2021</w:t>
            </w:r>
          </w:p>
        </w:tc>
      </w:tr>
      <w:tr>
        <w:trPr>
          <w:trHeight w:val="160"/>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3,629.8</w:t>
            </w:r>
          </w:p>
        </w:tc>
      </w:tr>
      <w:tr>
        <w:trPr>
          <w:trHeight w:val="168"/>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goods sold</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2,904.6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4,028.4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2,979.4</w:t>
            </w:r>
          </w:p>
        </w:tc>
      </w:tr>
      <w:tr>
        <w:trPr>
          <w:trHeight w:val="16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650.4</w:t>
            </w:r>
          </w:p>
        </w:tc>
      </w:tr>
      <w:tr>
        <w:trPr>
          <w:trHeight w:val="158"/>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267.7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316.4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228.6</w:t>
            </w:r>
          </w:p>
        </w:tc>
      </w:tr>
      <w:tr>
        <w:trPr>
          <w:trHeight w:val="17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58"/>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243.0</w:t>
            </w:r>
          </w:p>
        </w:tc>
      </w:tr>
      <w:tr>
        <w:trPr>
          <w:trHeight w:val="16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407.4</w:t>
            </w:r>
          </w:p>
        </w:tc>
      </w:tr>
      <w:tr>
        <w:trPr>
          <w:trHeight w:val="168"/>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Interest expense, net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40.4</w:t>
            </w:r>
          </w:p>
        </w:tc>
      </w:tr>
      <w:tr>
        <w:trPr>
          <w:trHeight w:val="17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Non-operating loss (income)</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58"/>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Income before income taxes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279.2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514.7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367.5</w:t>
            </w:r>
          </w:p>
        </w:tc>
      </w:tr>
      <w:tr>
        <w:trPr>
          <w:trHeight w:val="17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w:t>
            </w:r>
          </w:p>
        </w:tc>
      </w:tr>
      <w:tr>
        <w:trPr>
          <w:trHeight w:val="163"/>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281.9</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Earnings per common share:</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r>
      <w:tr>
        <w:trPr>
          <w:trHeight w:val="168"/>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Diluted</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6.23</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8.28</w:t>
            </w:r>
          </w:p>
        </w:tc>
      </w:tr>
      <w:tr>
        <w:trPr>
          <w:trHeight w:val="204"/>
        </w:trPr>
        <w:tc>
          <w:tcPr>
            <w:tcW w:w="59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68"/>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165"/>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34.1</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623"/>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7"/>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Consolidated Balance Sheets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1"/>
        </w:trPr>
        <w:tc>
          <w:tcPr>
            <w:tcW w:w="77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5"/>
        </w:trPr>
        <w:tc>
          <w:tcPr>
            <w:tcW w:w="10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27, 2022</w:t>
            </w:r>
          </w:p>
        </w:tc>
      </w:tr>
      <w:tr>
        <w:trPr>
          <w:trHeight w:val="160"/>
        </w:trPr>
        <w:tc>
          <w:tcPr>
            <w:tcW w:w="7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r>
      <w:tr>
        <w:trPr>
          <w:trHeight w:val="168"/>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282.2</w:t>
            </w: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Receivables, less allowance for doubtful accounts ($0.4 and $0.6, respectively)</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254.1</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Inventories, net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525.8</w:t>
            </w:r>
          </w:p>
        </w:tc>
      </w:tr>
      <w:tr>
        <w:trPr>
          <w:trHeight w:val="168"/>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r>
      <w:tr>
        <w:trPr>
          <w:trHeight w:val="16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1,093.8</w:t>
            </w:r>
          </w:p>
        </w:tc>
      </w:tr>
      <w:tr>
        <w:trPr>
          <w:trHeight w:val="158"/>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276.2</w:t>
            </w:r>
          </w:p>
        </w:tc>
      </w:tr>
      <w:tr>
        <w:trPr>
          <w:trHeight w:val="172"/>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w:t>
            </w:r>
          </w:p>
        </w:tc>
      </w:tr>
      <w:tr>
        <w:trPr>
          <w:trHeight w:val="168"/>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Other intangible assets, net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472.4</w:t>
            </w:r>
          </w:p>
        </w:tc>
      </w:tr>
      <w:tr>
        <w:trPr>
          <w:trHeight w:val="172"/>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in life insurance</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168"/>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Operating lease assets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41.1</w:t>
            </w:r>
          </w:p>
        </w:tc>
      </w:tr>
      <w:tr>
        <w:trPr>
          <w:trHeight w:val="1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long-term assets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3"/>
        </w:trPr>
        <w:tc>
          <w:tcPr>
            <w:tcW w:w="772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2,432.4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2,416.7</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31"/>
        </w:trPr>
        <w:tc>
          <w:tcPr>
            <w:tcW w:w="1000" w:type="dxa"/>
            <w:vAlign w:val="bottom"/>
            <w:shd w:val="clear" w:color="auto" w:fill="CCEEFF"/>
          </w:tcPr>
          <w:p>
            <w:pPr>
              <w:spacing w:after="0"/>
              <w:rPr>
                <w:sz w:val="11"/>
                <w:szCs w:val="11"/>
                <w:color w:val="auto"/>
              </w:rPr>
            </w:pPr>
          </w:p>
        </w:tc>
        <w:tc>
          <w:tcPr>
            <w:tcW w:w="6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70"/>
        </w:trPr>
        <w:tc>
          <w:tcPr>
            <w:tcW w:w="77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 and Shareholders' Equity</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146.9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217.5</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 taxes payable</w:t>
            </w: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Accrued expenses: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Accrued compensation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r>
      <w:tr>
        <w:trPr>
          <w:trHeight w:val="168"/>
        </w:trPr>
        <w:tc>
          <w:tcPr>
            <w:tcW w:w="7720" w:type="dxa"/>
            <w:vAlign w:val="bottom"/>
            <w:gridSpan w:val="2"/>
          </w:tcPr>
          <w:p>
            <w:pPr>
              <w:ind w:left="180"/>
              <w:spacing w:after="0"/>
              <w:rPr>
                <w:sz w:val="20"/>
                <w:szCs w:val="20"/>
                <w:color w:val="auto"/>
              </w:rPr>
            </w:pPr>
            <w:r>
              <w:rPr>
                <w:rFonts w:ascii="Arial" w:cs="Arial" w:eastAsia="Arial" w:hAnsi="Arial"/>
                <w:sz w:val="13"/>
                <w:szCs w:val="13"/>
                <w:color w:val="auto"/>
              </w:rPr>
              <w:t>Product warranties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127.9</w:t>
            </w:r>
          </w:p>
        </w:tc>
      </w:tr>
      <w:tr>
        <w:trPr>
          <w:trHeight w:val="172"/>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Self-insurance</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168"/>
        </w:trPr>
        <w:tc>
          <w:tcPr>
            <w:tcW w:w="7720" w:type="dxa"/>
            <w:vAlign w:val="bottom"/>
            <w:gridSpan w:val="2"/>
          </w:tcPr>
          <w:p>
            <w:pPr>
              <w:ind w:left="180"/>
              <w:spacing w:after="0"/>
              <w:rPr>
                <w:sz w:val="20"/>
                <w:szCs w:val="20"/>
                <w:color w:val="auto"/>
              </w:rPr>
            </w:pPr>
            <w:r>
              <w:rPr>
                <w:rFonts w:ascii="Arial" w:cs="Arial" w:eastAsia="Arial" w:hAnsi="Arial"/>
                <w:sz w:val="13"/>
                <w:szCs w:val="13"/>
                <w:color w:val="auto"/>
              </w:rPr>
              <w:t>Promotional</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21.5</w:t>
            </w:r>
          </w:p>
        </w:tc>
      </w:tr>
      <w:tr>
        <w:trPr>
          <w:trHeight w:val="172"/>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Accrued interest and dividends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168"/>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r>
      <w:tr>
        <w:trPr>
          <w:trHeight w:val="16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522.1</w:t>
            </w:r>
          </w:p>
        </w:tc>
      </w:tr>
      <w:tr>
        <w:trPr>
          <w:trHeight w:val="168"/>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Non-current liabilities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Long-term debt, net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545.9</w:t>
            </w: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Deferred income tax liabilities, net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Unrecognized tax benefits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Long-term operating lease liabilities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40.4</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compensation benefits, net of current portion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68"/>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long-term liabilities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w:t>
            </w:r>
          </w:p>
        </w:tc>
      </w:tr>
      <w:tr>
        <w:trPr>
          <w:trHeight w:val="16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1,064.3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1,153.7</w:t>
            </w:r>
          </w:p>
        </w:tc>
      </w:tr>
      <w:tr>
        <w:trPr>
          <w:trHeight w:val="148"/>
        </w:trPr>
        <w:tc>
          <w:tcPr>
            <w:tcW w:w="77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Contingent liabilities and commitments (Note 12)</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2"/>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Preferred stock, par value $0.01: 10.0 shares authorized; zero shares issued and outstanding</w:t>
            </w:r>
          </w:p>
        </w:tc>
        <w:tc>
          <w:tcPr>
            <w:tcW w:w="2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Common stock, par value $0.50: 120.0 shares authorized; 51.8 shares issued</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256.3</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1,537.5</w:t>
            </w:r>
          </w:p>
        </w:tc>
      </w:tr>
      <w:tr>
        <w:trPr>
          <w:trHeight w:val="168"/>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72"/>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Treasury stock, at cost: 22.0 and 21.5 shares, respectively</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(556.2)</w:t>
            </w:r>
          </w:p>
        </w:tc>
      </w:tr>
      <w:tr>
        <w:trPr>
          <w:trHeight w:val="160"/>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b w:val="1"/>
                <w:bCs w:val="1"/>
                <w:color w:val="auto"/>
              </w:rPr>
              <w:t>Total shareholders' equity</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1,368.1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1,263.0</w:t>
            </w:r>
          </w:p>
        </w:tc>
      </w:tr>
      <w:tr>
        <w:trPr>
          <w:trHeight w:val="18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2,432.4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2,416.7</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4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3"/>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Cash Flows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20"/>
              <w:spacing w:after="0"/>
              <w:rPr>
                <w:sz w:val="20"/>
                <w:szCs w:val="20"/>
                <w:color w:val="auto"/>
              </w:rPr>
            </w:pPr>
            <w:r>
              <w:rPr>
                <w:rFonts w:ascii="Arial" w:cs="Arial" w:eastAsia="Arial" w:hAnsi="Arial"/>
                <w:sz w:val="13"/>
                <w:szCs w:val="13"/>
                <w:color w:val="auto"/>
              </w:rPr>
              <w:t>For the fiscal year ended</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27, 2022</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28, 2021</w:t>
            </w:r>
          </w:p>
        </w:tc>
        <w:tc>
          <w:tcPr>
            <w:tcW w:w="0" w:type="dxa"/>
            <w:vAlign w:val="bottom"/>
          </w:tcPr>
          <w:p>
            <w:pPr>
              <w:spacing w:after="0"/>
              <w:rPr>
                <w:sz w:val="1"/>
                <w:szCs w:val="1"/>
                <w:color w:val="auto"/>
              </w:rPr>
            </w:pPr>
          </w:p>
        </w:tc>
      </w:tr>
      <w:tr>
        <w:trPr>
          <w:trHeight w:val="160"/>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8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0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215.9</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390.6</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281.9</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Depreciation</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Amortization</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Non-cash interest expense, net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Amortization of debt issuance costs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Last in, first-out ("LIFO") expense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Stock-based compensation</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Deferred income taxes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Deferred compensation expense</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Contingent consideration fair value adjustment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Payments of earnout liability above acquisition-date fair value</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Other, net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Change in operating assets and liabilities, net of assets and liabilities acquired</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Receivables, net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Inventories, net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Prepaid expenses and other assets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Accounts payable</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168"/>
        </w:trPr>
        <w:tc>
          <w:tcPr>
            <w:tcW w:w="5100" w:type="dxa"/>
            <w:vAlign w:val="bottom"/>
            <w:gridSpan w:val="2"/>
          </w:tcPr>
          <w:p>
            <w:pPr>
              <w:ind w:left="200"/>
              <w:spacing w:after="0"/>
              <w:rPr>
                <w:sz w:val="20"/>
                <w:szCs w:val="20"/>
                <w:color w:val="auto"/>
              </w:rPr>
            </w:pPr>
            <w:r>
              <w:rPr>
                <w:rFonts w:ascii="Arial" w:cs="Arial" w:eastAsia="Arial" w:hAnsi="Arial"/>
                <w:sz w:val="13"/>
                <w:szCs w:val="13"/>
                <w:color w:val="auto"/>
              </w:rPr>
              <w:t>Income taxes and unrecognized tax benefits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Accrued expenses and other liabilities</w:t>
            </w:r>
          </w:p>
        </w:tc>
        <w:tc>
          <w:tcPr>
            <w:tcW w:w="8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8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294.5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400.6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237.3</w:t>
            </w: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0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Purchases of property, plant, and equipment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68"/>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Acquisition of business, net of cash acquired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the sale of property, plant, and equipment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net</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8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(170.0)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(315.7)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(33.0)</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Borrowings on long-term debt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3,718.0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4,735.6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3,627.6</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Repayments on long-term debt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(3,718.0)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(3,627.6)</w:t>
            </w:r>
          </w:p>
        </w:tc>
        <w:tc>
          <w:tcPr>
            <w:tcW w:w="0" w:type="dxa"/>
            <w:vAlign w:val="bottom"/>
          </w:tcPr>
          <w:p>
            <w:pPr>
              <w:spacing w:after="0"/>
              <w:rPr>
                <w:sz w:val="1"/>
                <w:szCs w:val="1"/>
                <w:color w:val="auto"/>
              </w:rPr>
            </w:pPr>
          </w:p>
        </w:tc>
      </w:tr>
      <w:tr>
        <w:trPr>
          <w:trHeight w:val="168"/>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Payments of cash dividends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Payments for repurchases of common stock</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68"/>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Payments of earnout liability up to acquisition-date fair value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Payments of debt issuance costs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net</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8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(237.3)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(62.3)</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increase/(decrease) in cash and cash equivalents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292.6</w:t>
            </w:r>
          </w:p>
        </w:tc>
        <w:tc>
          <w:tcPr>
            <w:tcW w:w="0" w:type="dxa"/>
            <w:vAlign w:val="bottom"/>
          </w:tcPr>
          <w:p>
            <w:pPr>
              <w:spacing w:after="0"/>
              <w:rPr>
                <w:sz w:val="1"/>
                <w:szCs w:val="1"/>
                <w:color w:val="auto"/>
              </w:rPr>
            </w:pPr>
          </w:p>
        </w:tc>
      </w:tr>
      <w:tr>
        <w:trPr>
          <w:trHeight w:val="18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434.6</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16"/>
              <w:spacing w:after="0"/>
              <w:rPr>
                <w:sz w:val="20"/>
                <w:szCs w:val="20"/>
                <w:color w:val="auto"/>
              </w:rPr>
            </w:pPr>
            <w:r>
              <w:rPr>
                <w:rFonts w:ascii="Arial" w:cs="Arial" w:eastAsia="Arial" w:hAnsi="Arial"/>
                <w:sz w:val="13"/>
                <w:szCs w:val="13"/>
                <w:color w:val="auto"/>
              </w:rPr>
              <w:t>36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1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00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6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510"/>
        </w:trPr>
        <w:tc>
          <w:tcPr>
            <w:tcW w:w="468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4680" w:type="dxa"/>
            <w:vAlign w:val="bottom"/>
            <w:gridSpan w:val="2"/>
          </w:tcPr>
          <w:p>
            <w:pPr>
              <w:ind w:left="120"/>
              <w:spacing w:after="0"/>
              <w:rPr>
                <w:sz w:val="20"/>
                <w:szCs w:val="20"/>
                <w:color w:val="auto"/>
              </w:rPr>
            </w:pPr>
            <w:r>
              <w:rPr>
                <w:rFonts w:ascii="Arial" w:cs="Arial" w:eastAsia="Arial" w:hAnsi="Arial"/>
                <w:sz w:val="13"/>
                <w:szCs w:val="13"/>
                <w:color w:val="auto"/>
              </w:rPr>
              <w:t>Income taxes paid, net</w:t>
            </w:r>
          </w:p>
        </w:tc>
        <w:tc>
          <w:tcPr>
            <w:tcW w:w="19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57.8</w:t>
            </w:r>
          </w:p>
        </w:tc>
        <w:tc>
          <w:tcPr>
            <w:tcW w:w="78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139.7</w:t>
            </w:r>
          </w:p>
        </w:tc>
        <w:tc>
          <w:tcPr>
            <w:tcW w:w="820" w:type="dxa"/>
            <w:vAlign w:val="bottom"/>
          </w:tcPr>
          <w:p>
            <w:pPr>
              <w:jc w:val="right"/>
              <w:ind w:right="59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88.7</w:t>
            </w:r>
          </w:p>
        </w:tc>
      </w:tr>
      <w:tr>
        <w:trPr>
          <w:trHeight w:val="172"/>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paid</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24.2</w:t>
            </w: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23.8</w:t>
            </w: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r>
      <w:tr>
        <w:trPr>
          <w:trHeight w:val="202"/>
        </w:trPr>
        <w:tc>
          <w:tcPr>
            <w:tcW w:w="468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4680" w:type="dxa"/>
            <w:vAlign w:val="bottom"/>
            <w:gridSpan w:val="2"/>
          </w:tcPr>
          <w:p>
            <w:pPr>
              <w:ind w:left="120"/>
              <w:spacing w:after="0"/>
              <w:rPr>
                <w:sz w:val="20"/>
                <w:szCs w:val="20"/>
                <w:color w:val="auto"/>
              </w:rPr>
            </w:pPr>
            <w:r>
              <w:rPr>
                <w:rFonts w:ascii="Arial" w:cs="Arial" w:eastAsia="Arial" w:hAnsi="Arial"/>
                <w:sz w:val="13"/>
                <w:szCs w:val="13"/>
                <w:color w:val="auto"/>
              </w:rPr>
              <w:t>Issuance of common stock for acquisition of business</w:t>
            </w:r>
          </w:p>
        </w:tc>
        <w:tc>
          <w:tcPr>
            <w:tcW w:w="19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22.0</w:t>
            </w:r>
          </w:p>
        </w:tc>
        <w:tc>
          <w:tcPr>
            <w:tcW w:w="820" w:type="dxa"/>
            <w:vAlign w:val="bottom"/>
          </w:tcPr>
          <w:p>
            <w:pPr>
              <w:jc w:val="right"/>
              <w:ind w:right="59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Issuance of common stock for settlement of earnout liability</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w:t>
            </w: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680" w:type="dxa"/>
            <w:vAlign w:val="bottom"/>
            <w:gridSpan w:val="2"/>
          </w:tcPr>
          <w:p>
            <w:pPr>
              <w:ind w:left="120"/>
              <w:spacing w:after="0"/>
              <w:rPr>
                <w:sz w:val="20"/>
                <w:szCs w:val="20"/>
                <w:color w:val="auto"/>
              </w:rPr>
            </w:pPr>
            <w:r>
              <w:rPr>
                <w:rFonts w:ascii="Arial" w:cs="Arial" w:eastAsia="Arial" w:hAnsi="Arial"/>
                <w:sz w:val="13"/>
                <w:szCs w:val="13"/>
                <w:color w:val="auto"/>
              </w:rPr>
              <w:t>Capital expenditures in accounts payable</w:t>
            </w:r>
          </w:p>
        </w:tc>
        <w:tc>
          <w:tcPr>
            <w:tcW w:w="198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3.0</w:t>
            </w:r>
          </w:p>
        </w:tc>
        <w:tc>
          <w:tcPr>
            <w:tcW w:w="7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6.8</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2"/>
        </w:trPr>
        <w:tc>
          <w:tcPr>
            <w:tcW w:w="46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Dividends declared not yet paid</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10.2</w:t>
            </w: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w:t>
            </w: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8"/>
        </w:trPr>
        <w:tc>
          <w:tcPr>
            <w:tcW w:w="4680" w:type="dxa"/>
            <w:vAlign w:val="bottom"/>
            <w:gridSpan w:val="2"/>
          </w:tcPr>
          <w:p>
            <w:pPr>
              <w:ind w:left="120"/>
              <w:spacing w:after="0"/>
              <w:rPr>
                <w:sz w:val="20"/>
                <w:szCs w:val="20"/>
                <w:color w:val="auto"/>
              </w:rPr>
            </w:pPr>
            <w:r>
              <w:rPr>
                <w:rFonts w:ascii="Arial" w:cs="Arial" w:eastAsia="Arial" w:hAnsi="Arial"/>
                <w:sz w:val="13"/>
                <w:szCs w:val="13"/>
                <w:color w:val="auto"/>
              </w:rPr>
              <w:t>Increase in lease assets in exchange for lease liabilities:</w:t>
            </w: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Operating leases</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w:t>
            </w: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17.2</w:t>
            </w: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5"/>
        </w:trPr>
        <w:tc>
          <w:tcPr>
            <w:tcW w:w="4680" w:type="dxa"/>
            <w:vAlign w:val="bottom"/>
            <w:gridSpan w:val="2"/>
          </w:tcPr>
          <w:p>
            <w:pPr>
              <w:ind w:left="200"/>
              <w:spacing w:after="0"/>
              <w:rPr>
                <w:sz w:val="20"/>
                <w:szCs w:val="20"/>
                <w:color w:val="auto"/>
              </w:rPr>
            </w:pPr>
            <w:r>
              <w:rPr>
                <w:rFonts w:ascii="Arial" w:cs="Arial" w:eastAsia="Arial" w:hAnsi="Arial"/>
                <w:sz w:val="13"/>
                <w:szCs w:val="13"/>
                <w:color w:val="auto"/>
              </w:rPr>
              <w:t>Financing leases</w:t>
            </w:r>
          </w:p>
        </w:tc>
        <w:tc>
          <w:tcPr>
            <w:tcW w:w="198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2.4</w:t>
            </w:r>
          </w:p>
        </w:tc>
        <w:tc>
          <w:tcPr>
            <w:tcW w:w="7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5" w:lineRule="exact"/>
        <w:rPr>
          <w:sz w:val="20"/>
          <w:szCs w:val="20"/>
          <w:color w:val="auto"/>
        </w:rPr>
      </w:pPr>
    </w:p>
    <w:p>
      <w:pPr>
        <w:ind w:right="520"/>
        <w:spacing w:after="0" w:line="261" w:lineRule="auto"/>
        <w:rPr>
          <w:sz w:val="20"/>
          <w:szCs w:val="20"/>
          <w:color w:val="auto"/>
        </w:rPr>
      </w:pPr>
      <w:r>
        <w:rPr>
          <w:rFonts w:ascii="Arial" w:cs="Arial" w:eastAsia="Arial" w:hAnsi="Arial"/>
          <w:sz w:val="13"/>
          <w:szCs w:val="13"/>
          <w:b w:val="1"/>
          <w:bCs w:val="1"/>
          <w:color w:val="auto"/>
        </w:rPr>
        <w:t xml:space="preserve">Consolidated Statements of Changes in Shareholders' Equity </w:t>
      </w:r>
      <w:r>
        <w:rPr>
          <w:rFonts w:ascii="Arial" w:cs="Arial" w:eastAsia="Arial" w:hAnsi="Arial"/>
          <w:sz w:val="13"/>
          <w:szCs w:val="13"/>
          <w:color w:val="auto"/>
        </w:rPr>
        <w:t>(in millions, except per share data)</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1"/>
          <w:szCs w:val="11"/>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20320</wp:posOffset>
            </wp:positionV>
            <wp:extent cx="115887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pacing w:after="0" w:line="23" w:lineRule="exact"/>
        <w:rPr>
          <w:sz w:val="20"/>
          <w:szCs w:val="20"/>
          <w:color w:val="auto"/>
        </w:rPr>
      </w:pPr>
    </w:p>
    <w:p>
      <w:pPr>
        <w:jc w:val="both"/>
        <w:ind w:left="2900"/>
        <w:spacing w:after="0"/>
        <w:tabs>
          <w:tab w:leader="none" w:pos="3780" w:val="left"/>
        </w:tabs>
        <w:rPr>
          <w:sz w:val="20"/>
          <w:szCs w:val="20"/>
          <w:color w:val="auto"/>
        </w:rPr>
      </w:pPr>
      <w:r>
        <w:rPr>
          <w:rFonts w:ascii="Arial" w:cs="Arial" w:eastAsia="Arial" w:hAnsi="Arial"/>
          <w:sz w:val="11"/>
          <w:szCs w:val="11"/>
          <w:b w:val="1"/>
          <w:bCs w:val="1"/>
          <w:color w:val="auto"/>
        </w:rPr>
        <w:t>Number</w:t>
      </w:r>
      <w:r>
        <w:rPr>
          <w:sz w:val="20"/>
          <w:szCs w:val="20"/>
          <w:color w:val="auto"/>
        </w:rPr>
        <w:tab/>
      </w:r>
      <w:r>
        <w:rPr>
          <w:rFonts w:ascii="Arial" w:cs="Arial" w:eastAsia="Arial" w:hAnsi="Arial"/>
          <w:sz w:val="11"/>
          <w:szCs w:val="11"/>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60" w:type="dxa"/>
            <w:vAlign w:val="bottom"/>
          </w:tcPr>
          <w:p>
            <w:pPr>
              <w:jc w:val="center"/>
              <w:ind w:left="3"/>
              <w:spacing w:after="0"/>
              <w:rPr>
                <w:sz w:val="20"/>
                <w:szCs w:val="20"/>
                <w:color w:val="auto"/>
              </w:rPr>
            </w:pPr>
            <w:r>
              <w:rPr>
                <w:rFonts w:ascii="Arial" w:cs="Arial" w:eastAsia="Arial" w:hAnsi="Arial"/>
                <w:sz w:val="11"/>
                <w:szCs w:val="11"/>
                <w:b w:val="1"/>
                <w:bCs w:val="1"/>
                <w:color w:val="auto"/>
              </w:rPr>
              <w:t>Accumulated Other</w:t>
            </w:r>
          </w:p>
        </w:tc>
        <w:tc>
          <w:tcPr>
            <w:tcW w:w="18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Treasury Stock</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20" w:type="dxa"/>
            <w:vAlign w:val="bottom"/>
          </w:tcPr>
          <w:p>
            <w:pPr>
              <w:jc w:val="center"/>
              <w:ind w:right="103"/>
              <w:spacing w:after="0" w:line="95" w:lineRule="exact"/>
              <w:rPr>
                <w:sz w:val="20"/>
                <w:szCs w:val="20"/>
                <w:color w:val="auto"/>
              </w:rPr>
            </w:pPr>
            <w:r>
              <w:rPr>
                <w:rFonts w:ascii="Arial" w:cs="Arial" w:eastAsia="Arial" w:hAnsi="Arial"/>
                <w:sz w:val="11"/>
                <w:szCs w:val="11"/>
                <w:b w:val="1"/>
                <w:bCs w:val="1"/>
                <w:color w:val="auto"/>
              </w:rPr>
              <w:t>Additional Paid-</w:t>
            </w:r>
          </w:p>
        </w:tc>
        <w:tc>
          <w:tcPr>
            <w:tcW w:w="820" w:type="dxa"/>
            <w:vAlign w:val="bottom"/>
          </w:tcPr>
          <w:p>
            <w:pPr>
              <w:ind w:left="160"/>
              <w:spacing w:after="0" w:line="95" w:lineRule="exact"/>
              <w:rPr>
                <w:sz w:val="20"/>
                <w:szCs w:val="20"/>
                <w:color w:val="auto"/>
              </w:rPr>
            </w:pPr>
            <w:r>
              <w:rPr>
                <w:rFonts w:ascii="Arial" w:cs="Arial" w:eastAsia="Arial" w:hAnsi="Arial"/>
                <w:sz w:val="11"/>
                <w:szCs w:val="11"/>
                <w:b w:val="1"/>
                <w:bCs w:val="1"/>
                <w:color w:val="auto"/>
              </w:rPr>
              <w:t>Retained</w:t>
            </w:r>
          </w:p>
        </w:tc>
        <w:tc>
          <w:tcPr>
            <w:tcW w:w="1560" w:type="dxa"/>
            <w:vAlign w:val="bottom"/>
          </w:tcPr>
          <w:p>
            <w:pPr>
              <w:jc w:val="center"/>
              <w:ind w:left="3"/>
              <w:spacing w:after="0" w:line="95" w:lineRule="exact"/>
              <w:rPr>
                <w:sz w:val="20"/>
                <w:szCs w:val="20"/>
                <w:color w:val="auto"/>
              </w:rPr>
            </w:pPr>
            <w:r>
              <w:rPr>
                <w:rFonts w:ascii="Arial" w:cs="Arial" w:eastAsia="Arial" w:hAnsi="Arial"/>
                <w:sz w:val="11"/>
                <w:szCs w:val="11"/>
                <w:b w:val="1"/>
                <w:bCs w:val="1"/>
                <w:color w:val="auto"/>
              </w:rPr>
              <w:t>Comprehensive Income</w:t>
            </w:r>
          </w:p>
        </w:tc>
        <w:tc>
          <w:tcPr>
            <w:tcW w:w="1820" w:type="dxa"/>
            <w:vAlign w:val="bottom"/>
            <w:tcBorders>
              <w:bottom w:val="single" w:sz="8" w:color="auto"/>
            </w:tcBorders>
            <w:gridSpan w:val="2"/>
            <w:vMerge w:val="continue"/>
          </w:tcPr>
          <w:p>
            <w:pPr>
              <w:spacing w:after="0"/>
              <w:rPr>
                <w:sz w:val="8"/>
                <w:szCs w:val="8"/>
                <w:color w:val="auto"/>
              </w:rPr>
            </w:pPr>
          </w:p>
        </w:tc>
        <w:tc>
          <w:tcPr>
            <w:tcW w:w="1240" w:type="dxa"/>
            <w:vAlign w:val="bottom"/>
          </w:tcPr>
          <w:p>
            <w:pPr>
              <w:jc w:val="center"/>
              <w:ind w:left="143"/>
              <w:spacing w:after="0" w:line="95" w:lineRule="exact"/>
              <w:rPr>
                <w:sz w:val="20"/>
                <w:szCs w:val="20"/>
                <w:color w:val="auto"/>
              </w:rPr>
            </w:pPr>
            <w:r>
              <w:rPr>
                <w:rFonts w:ascii="Arial" w:cs="Arial" w:eastAsia="Arial" w:hAnsi="Arial"/>
                <w:sz w:val="11"/>
                <w:szCs w:val="11"/>
                <w:b w:val="1"/>
                <w:bCs w:val="1"/>
                <w:color w:val="auto"/>
              </w:rPr>
              <w:t>Total Shareholders'</w:t>
            </w:r>
          </w:p>
        </w:tc>
        <w:tc>
          <w:tcPr>
            <w:tcW w:w="0" w:type="dxa"/>
            <w:vAlign w:val="bottom"/>
          </w:tcPr>
          <w:p>
            <w:pPr>
              <w:spacing w:after="0"/>
              <w:rPr>
                <w:sz w:val="1"/>
                <w:szCs w:val="1"/>
                <w:color w:val="auto"/>
              </w:rPr>
            </w:pPr>
          </w:p>
        </w:tc>
      </w:tr>
      <w:tr>
        <w:trPr>
          <w:trHeight w:val="150"/>
        </w:trPr>
        <w:tc>
          <w:tcPr>
            <w:tcW w:w="1020" w:type="dxa"/>
            <w:vAlign w:val="bottom"/>
          </w:tcPr>
          <w:p>
            <w:pPr>
              <w:jc w:val="center"/>
              <w:ind w:right="103"/>
              <w:spacing w:after="0"/>
              <w:rPr>
                <w:sz w:val="20"/>
                <w:szCs w:val="20"/>
                <w:color w:val="auto"/>
              </w:rPr>
            </w:pPr>
            <w:r>
              <w:rPr>
                <w:rFonts w:ascii="Arial" w:cs="Arial" w:eastAsia="Arial" w:hAnsi="Arial"/>
                <w:sz w:val="11"/>
                <w:szCs w:val="11"/>
                <w:b w:val="1"/>
                <w:bCs w:val="1"/>
                <w:color w:val="auto"/>
              </w:rPr>
              <w:t>In Capital</w:t>
            </w:r>
          </w:p>
        </w:tc>
        <w:tc>
          <w:tcPr>
            <w:tcW w:w="82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1560" w:type="dxa"/>
            <w:vAlign w:val="bottom"/>
          </w:tcPr>
          <w:p>
            <w:pPr>
              <w:jc w:val="center"/>
              <w:ind w:left="3"/>
              <w:spacing w:after="0"/>
              <w:rPr>
                <w:sz w:val="20"/>
                <w:szCs w:val="20"/>
                <w:color w:val="auto"/>
              </w:rPr>
            </w:pPr>
            <w:r>
              <w:rPr>
                <w:rFonts w:ascii="Arial" w:cs="Arial" w:eastAsia="Arial" w:hAnsi="Arial"/>
                <w:sz w:val="11"/>
                <w:szCs w:val="11"/>
                <w:b w:val="1"/>
                <w:bCs w:val="1"/>
                <w:color w:val="auto"/>
              </w:rPr>
              <w:t>(Loss)</w:t>
            </w:r>
          </w:p>
        </w:tc>
        <w:tc>
          <w:tcPr>
            <w:tcW w:w="860" w:type="dxa"/>
            <w:vAlign w:val="bottom"/>
          </w:tcPr>
          <w:p>
            <w:pPr>
              <w:ind w:left="200"/>
              <w:spacing w:after="0"/>
              <w:rPr>
                <w:sz w:val="20"/>
                <w:szCs w:val="20"/>
                <w:color w:val="auto"/>
              </w:rPr>
            </w:pPr>
            <w:r>
              <w:rPr>
                <w:rFonts w:ascii="Arial" w:cs="Arial" w:eastAsia="Arial" w:hAnsi="Arial"/>
                <w:sz w:val="11"/>
                <w:szCs w:val="11"/>
                <w:b w:val="1"/>
                <w:bCs w:val="1"/>
                <w:color w:val="auto"/>
              </w:rPr>
              <w:t>Number</w:t>
            </w:r>
          </w:p>
        </w:tc>
        <w:tc>
          <w:tcPr>
            <w:tcW w:w="960" w:type="dxa"/>
            <w:vAlign w:val="bottom"/>
          </w:tcPr>
          <w:p>
            <w:pPr>
              <w:ind w:left="260"/>
              <w:spacing w:after="0"/>
              <w:rPr>
                <w:sz w:val="20"/>
                <w:szCs w:val="20"/>
                <w:color w:val="auto"/>
              </w:rPr>
            </w:pPr>
            <w:r>
              <w:rPr>
                <w:rFonts w:ascii="Arial" w:cs="Arial" w:eastAsia="Arial" w:hAnsi="Arial"/>
                <w:sz w:val="11"/>
                <w:szCs w:val="11"/>
                <w:b w:val="1"/>
                <w:bCs w:val="1"/>
                <w:color w:val="auto"/>
              </w:rPr>
              <w:t>Amount</w:t>
            </w:r>
          </w:p>
        </w:tc>
        <w:tc>
          <w:tcPr>
            <w:tcW w:w="1240" w:type="dxa"/>
            <w:vAlign w:val="bottom"/>
          </w:tcPr>
          <w:p>
            <w:pPr>
              <w:jc w:val="center"/>
              <w:ind w:left="14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240" w:space="340"/>
            <w:col w:w="6660"/>
          </w:cols>
          <w:pgMar w:left="300" w:top="133" w:right="359" w:bottom="1440" w:gutter="0" w:footer="0" w:header="0"/>
        </w:sectPr>
      </w:pPr>
    </w:p>
    <w:tbl>
      <w:tblPr>
        <w:tblLayout w:type="fixed"/>
        <w:tblInd w:w="0" w:type="dxa"/>
        <w:tblCellMar>
          <w:top w:w="0" w:type="dxa"/>
          <w:left w:w="0" w:type="dxa"/>
          <w:bottom w:w="0" w:type="dxa"/>
          <w:right w:w="0" w:type="dxa"/>
        </w:tblCellMar>
      </w:tblPr>
      <w:tr>
        <w:trPr>
          <w:trHeight w:val="150"/>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Balances at August 29,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203.8</w:t>
            </w: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913.6</w:t>
            </w: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(0.5)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w:t>
            </w:r>
          </w:p>
        </w:tc>
        <w:tc>
          <w:tcPr>
            <w:tcW w:w="36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(315.3)</w:t>
            </w:r>
          </w:p>
        </w:tc>
        <w:tc>
          <w:tcPr>
            <w:tcW w:w="540" w:type="dxa"/>
            <w:vAlign w:val="bottom"/>
            <w:tcBorders>
              <w:top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827.5</w:t>
            </w: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15.3</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3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3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8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68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(0.8)</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(47.6)</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(47.6)</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declared; $0.66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0" w:type="dxa"/>
            <w:vAlign w:val="bottom"/>
          </w:tcPr>
          <w:p>
            <w:pPr>
              <w:spacing w:after="0"/>
              <w:rPr>
                <w:sz w:val="1"/>
                <w:szCs w:val="1"/>
                <w:color w:val="auto"/>
              </w:rPr>
            </w:pPr>
          </w:p>
        </w:tc>
      </w:tr>
      <w:tr>
        <w:trPr>
          <w:trHeight w:val="155"/>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281.9</w:t>
            </w: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281.9</w:t>
            </w:r>
          </w:p>
        </w:tc>
        <w:tc>
          <w:tcPr>
            <w:tcW w:w="0" w:type="dxa"/>
            <w:vAlign w:val="bottom"/>
          </w:tcPr>
          <w:p>
            <w:pPr>
              <w:spacing w:after="0"/>
              <w:rPr>
                <w:sz w:val="1"/>
                <w:szCs w:val="1"/>
                <w:color w:val="auto"/>
              </w:rPr>
            </w:pPr>
          </w:p>
        </w:tc>
      </w:tr>
      <w:tr>
        <w:trPr>
          <w:trHeight w:val="154"/>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at August 28, 2021</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218.5</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1,173.0</w:t>
            </w: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(0.5)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1,056.9</w:t>
            </w: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17.1</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3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3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8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68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Issuance of stock for acquisition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14.7</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0.4</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7.3</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 for settlement of earnout liability</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(3.6)</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(214.3)</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(214.3)</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declared; $0.81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Other</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0.7</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0.1</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390.6</w:t>
            </w:r>
          </w:p>
        </w:tc>
        <w:tc>
          <w:tcPr>
            <w:tcW w:w="6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390.6</w:t>
            </w:r>
          </w:p>
        </w:tc>
        <w:tc>
          <w:tcPr>
            <w:tcW w:w="0" w:type="dxa"/>
            <w:vAlign w:val="bottom"/>
          </w:tcPr>
          <w:p>
            <w:pPr>
              <w:spacing w:after="0"/>
              <w:rPr>
                <w:sz w:val="1"/>
                <w:szCs w:val="1"/>
                <w:color w:val="auto"/>
              </w:rPr>
            </w:pPr>
          </w:p>
        </w:tc>
      </w:tr>
      <w:tr>
        <w:trPr>
          <w:trHeight w:val="146"/>
        </w:trPr>
        <w:tc>
          <w:tcPr>
            <w:tcW w:w="2680" w:type="dxa"/>
            <w:vAlign w:val="bottom"/>
          </w:tcPr>
          <w:p>
            <w:pPr>
              <w:ind w:left="20"/>
              <w:spacing w:after="0"/>
              <w:rPr>
                <w:sz w:val="20"/>
                <w:szCs w:val="20"/>
                <w:color w:val="auto"/>
              </w:rPr>
            </w:pPr>
            <w:r>
              <w:rPr>
                <w:rFonts w:ascii="Arial" w:cs="Arial" w:eastAsia="Arial" w:hAnsi="Arial"/>
                <w:sz w:val="11"/>
                <w:szCs w:val="11"/>
                <w:color w:val="auto"/>
              </w:rPr>
              <w:t>Balances at August 27, 2022</w:t>
            </w:r>
          </w:p>
        </w:tc>
        <w:tc>
          <w:tcPr>
            <w:tcW w:w="820" w:type="dxa"/>
            <w:vAlign w:val="bottom"/>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256.3</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1,537.5</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03"/>
              <w:spacing w:after="0"/>
              <w:rPr>
                <w:sz w:val="20"/>
                <w:szCs w:val="20"/>
                <w:color w:val="auto"/>
              </w:rPr>
            </w:pPr>
            <w:r>
              <w:rPr>
                <w:rFonts w:ascii="Arial" w:cs="Arial" w:eastAsia="Arial" w:hAnsi="Arial"/>
                <w:sz w:val="11"/>
                <w:szCs w:val="11"/>
                <w:color w:val="auto"/>
              </w:rPr>
              <w:t>(0.5)</w:t>
            </w:r>
          </w:p>
        </w:tc>
        <w:tc>
          <w:tcPr>
            <w:tcW w:w="580" w:type="dxa"/>
            <w:vAlign w:val="bottom"/>
          </w:tcPr>
          <w:p>
            <w:pPr>
              <w:jc w:val="right"/>
              <w:spacing w:after="0"/>
              <w:rPr>
                <w:sz w:val="20"/>
                <w:szCs w:val="20"/>
                <w:color w:val="auto"/>
              </w:rPr>
            </w:pPr>
            <w:r>
              <w:rPr>
                <w:rFonts w:ascii="Arial" w:cs="Arial" w:eastAsia="Arial" w:hAnsi="Arial"/>
                <w:sz w:val="11"/>
                <w:szCs w:val="11"/>
                <w:color w:val="auto"/>
              </w:rPr>
              <w:t>(21.5)</w:t>
            </w: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(556.2)</w:t>
            </w: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1,263.0</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Adoption of Accounting Standards Update ("ASU")</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3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6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8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2020-06</w:t>
            </w:r>
          </w:p>
        </w:tc>
        <w:tc>
          <w:tcPr>
            <w:tcW w:w="8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68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10.9</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3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3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8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based awards, net</w:t>
            </w:r>
          </w:p>
        </w:tc>
        <w:tc>
          <w:tcPr>
            <w:tcW w:w="8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68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(0.3)</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(0.9)</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(55.1)</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(55.4)</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declared; $1.12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0.1</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215.9</w:t>
            </w:r>
          </w:p>
        </w:tc>
        <w:tc>
          <w:tcPr>
            <w:tcW w:w="6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215.9</w:t>
            </w:r>
          </w:p>
        </w:tc>
        <w:tc>
          <w:tcPr>
            <w:tcW w:w="0" w:type="dxa"/>
            <w:vAlign w:val="bottom"/>
          </w:tcPr>
          <w:p>
            <w:pPr>
              <w:spacing w:after="0"/>
              <w:rPr>
                <w:sz w:val="1"/>
                <w:szCs w:val="1"/>
                <w:color w:val="auto"/>
              </w:rPr>
            </w:pPr>
          </w:p>
        </w:tc>
      </w:tr>
      <w:tr>
        <w:trPr>
          <w:trHeight w:val="150"/>
        </w:trPr>
        <w:tc>
          <w:tcPr>
            <w:tcW w:w="2680" w:type="dxa"/>
            <w:vAlign w:val="bottom"/>
          </w:tcPr>
          <w:p>
            <w:pPr>
              <w:ind w:left="20"/>
              <w:spacing w:after="0"/>
              <w:rPr>
                <w:sz w:val="20"/>
                <w:szCs w:val="20"/>
                <w:color w:val="auto"/>
              </w:rPr>
            </w:pPr>
            <w:r>
              <w:rPr>
                <w:rFonts w:ascii="Arial" w:cs="Arial" w:eastAsia="Arial" w:hAnsi="Arial"/>
                <w:sz w:val="11"/>
                <w:szCs w:val="11"/>
                <w:color w:val="auto"/>
              </w:rPr>
              <w:t>Balances at August 26,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197.7</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1,747.8</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(602.9)</w:t>
            </w:r>
          </w:p>
        </w:tc>
        <w:tc>
          <w:tcPr>
            <w:tcW w:w="5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1,368.1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rPr>
          <w:sz w:val="20"/>
          <w:szCs w:val="20"/>
          <w:color w:val="auto"/>
        </w:rPr>
      </w:pPr>
      <w:r>
        <w:rPr>
          <w:rFonts w:ascii="Arial" w:cs="Arial" w:eastAsia="Arial" w:hAnsi="Arial"/>
          <w:sz w:val="13"/>
          <w:szCs w:val="13"/>
          <w:i w:val="1"/>
          <w:iCs w:val="1"/>
          <w:color w:val="auto"/>
        </w:rPr>
        <w:t>(All amounts are in millions, except share and per share data, unless otherwise designated)</w:t>
      </w:r>
    </w:p>
    <w:p>
      <w:pPr>
        <w:spacing w:after="0" w:line="174"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2"/>
          <w:szCs w:val="12"/>
          <w:b w:val="1"/>
          <w:bCs w:val="1"/>
          <w:color w:val="auto"/>
        </w:rPr>
        <w:t>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Nature of Operations</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Winnebago Industries, Inc. is one of the leading North American manufacturers of recreation vehicles ("RVs") and marine products with a diversified portfolio used primarily in leisure travel and outdoor recreational activities. We produce our motorhome RV units in Iowa and Indiana; our towable RV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Other products manufactured by us consist primarily of original equipment manufacturing parts for other manufacturers and commercial vehicles.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Consolidation</w:t>
      </w:r>
    </w:p>
    <w:p>
      <w:pPr>
        <w:spacing w:after="0" w:line="92"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The consolidated financial statements include the accounts of Winnebago Industries, Inc. and its wholly-owned subsidiaries. Intercompany account balances and transactions have been eliminated in consolidation. The use of the terms "Winnebago Industries," "Winnebago," "we," "our," and "us" in this Annual Report on Form 10-K, unless the context otherwise requires, refer to Winnebago Industries, Inc. and its wholly-owned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Period</w:t>
      </w:r>
    </w:p>
    <w:p>
      <w:pPr>
        <w:spacing w:after="0" w:line="92" w:lineRule="exact"/>
        <w:rPr>
          <w:sz w:val="20"/>
          <w:szCs w:val="20"/>
          <w:color w:val="auto"/>
        </w:rPr>
      </w:pPr>
    </w:p>
    <w:p>
      <w:pPr>
        <w:ind w:right="140"/>
        <w:spacing w:after="0" w:line="257" w:lineRule="auto"/>
        <w:rPr>
          <w:sz w:val="20"/>
          <w:szCs w:val="20"/>
          <w:color w:val="auto"/>
        </w:rPr>
      </w:pPr>
      <w:r>
        <w:rPr>
          <w:rFonts w:ascii="Arial" w:cs="Arial" w:eastAsia="Arial" w:hAnsi="Arial"/>
          <w:sz w:val="13"/>
          <w:szCs w:val="13"/>
          <w:color w:val="auto"/>
        </w:rPr>
        <w:t>We have a 5-4-4 quarterly accounting cycle with the fiscal year ending on the last Saturday in August. Fiscal 2023 refers to the fiscal year ended August 26, 2023, Fiscal 2022 refers to the fiscal year ended August 27, 2022, and Fiscal 2021 refers to the fiscal year ended August 28, 2021. The financial statements presented are all 52-week fiscal periods.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92" w:lineRule="exact"/>
        <w:rPr>
          <w:sz w:val="20"/>
          <w:szCs w:val="20"/>
          <w:color w:val="auto"/>
        </w:rPr>
      </w:pPr>
    </w:p>
    <w:p>
      <w:pPr>
        <w:jc w:val="both"/>
        <w:ind w:right="360"/>
        <w:spacing w:after="0" w:line="25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color w:val="auto"/>
        </w:rPr>
        <w:t>Cash and cash equivalents represent cash, demand deposits and highly liquid investments with original maturities of three months or less that are not legally restricted. Cash equivalents are recorded at cost, which approximates fair value.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Receivables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Receivables consist principally of amounts due from our dealer network for RVs and boats sold.</w:t>
      </w:r>
    </w:p>
    <w:p>
      <w:pPr>
        <w:spacing w:after="0" w:line="190"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We record an allowance using a model to reduce receivables by the expected credit loss and consider factors such as financial condition of the dealer, specific collection issues, current and expected economic conditions, and other factors that may impact our ability to collect. If there is a deterioration of a dealer's financial condition, if we become aware of additional information related to credit worthiness, or if future actual default rates on receivables differ from those currently anticipated, we may adjust the allowance for doubtful accounts, which would affect earnings in the period the adjustments are made.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92" w:lineRule="exact"/>
        <w:rPr>
          <w:sz w:val="20"/>
          <w:szCs w:val="20"/>
          <w:color w:val="auto"/>
        </w:rPr>
      </w:pPr>
    </w:p>
    <w:p>
      <w:pPr>
        <w:ind w:right="220"/>
        <w:spacing w:after="0" w:line="317" w:lineRule="auto"/>
        <w:rPr>
          <w:sz w:val="20"/>
          <w:szCs w:val="20"/>
          <w:color w:val="auto"/>
        </w:rPr>
      </w:pPr>
      <w:r>
        <w:rPr>
          <w:rFonts w:ascii="Arial" w:cs="Arial" w:eastAsia="Arial" w:hAnsi="Arial"/>
          <w:sz w:val="12"/>
          <w:szCs w:val="12"/>
          <w:color w:val="auto"/>
        </w:rPr>
        <w:t>Generally, inventories are stated at the lower of cost or net realizable value determined under the First-in, First-out basis ("FIFO"), except for the Winnebago Motorhome operating segment which is determined using the Last-in, First-out ("LIFO") basis. Manufacturing cost includes materials, labor, and overhead. Unallocated overhead and abnormal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and Equipment</w:t>
      </w:r>
    </w:p>
    <w:p>
      <w:pPr>
        <w:spacing w:after="0" w:line="92" w:lineRule="exact"/>
        <w:rPr>
          <w:sz w:val="20"/>
          <w:szCs w:val="20"/>
          <w:color w:val="auto"/>
        </w:rPr>
      </w:pPr>
    </w:p>
    <w:p>
      <w:pPr>
        <w:ind w:right="180"/>
        <w:spacing w:after="0" w:line="274" w:lineRule="auto"/>
        <w:rPr>
          <w:sz w:val="20"/>
          <w:szCs w:val="20"/>
          <w:color w:val="auto"/>
        </w:rPr>
      </w:pPr>
      <w:r>
        <w:rPr>
          <w:rFonts w:ascii="Arial" w:cs="Arial" w:eastAsia="Arial" w:hAnsi="Arial"/>
          <w:sz w:val="13"/>
          <w:szCs w:val="13"/>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 Class</w:t>
            </w:r>
          </w:p>
        </w:tc>
        <w:tc>
          <w:tcPr>
            <w:tcW w:w="48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Asset Life</w:t>
            </w:r>
          </w:p>
        </w:tc>
      </w:tr>
      <w:tr>
        <w:trPr>
          <w:trHeight w:val="16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 and improvements</w:t>
            </w: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 years</w:t>
            </w:r>
          </w:p>
        </w:tc>
      </w:tr>
      <w:tr>
        <w:trPr>
          <w:trHeight w:val="168"/>
        </w:trPr>
        <w:tc>
          <w:tcPr>
            <w:tcW w:w="6460" w:type="dxa"/>
            <w:vAlign w:val="bottom"/>
          </w:tcPr>
          <w:p>
            <w:pPr>
              <w:ind w:left="20"/>
              <w:spacing w:after="0"/>
              <w:rPr>
                <w:sz w:val="20"/>
                <w:szCs w:val="20"/>
                <w:color w:val="auto"/>
              </w:rPr>
            </w:pPr>
            <w:r>
              <w:rPr>
                <w:rFonts w:ascii="Arial" w:cs="Arial" w:eastAsia="Arial" w:hAnsi="Arial"/>
                <w:sz w:val="13"/>
                <w:szCs w:val="13"/>
                <w:color w:val="auto"/>
              </w:rPr>
              <w:t>Machinery and equipment</w:t>
            </w:r>
          </w:p>
        </w:tc>
        <w:tc>
          <w:tcPr>
            <w:tcW w:w="4820" w:type="dxa"/>
            <w:vAlign w:val="bottom"/>
          </w:tcPr>
          <w:p>
            <w:pPr>
              <w:jc w:val="right"/>
              <w:spacing w:after="0"/>
              <w:rPr>
                <w:sz w:val="20"/>
                <w:szCs w:val="20"/>
                <w:color w:val="auto"/>
              </w:rPr>
            </w:pPr>
            <w:r>
              <w:rPr>
                <w:rFonts w:ascii="Arial" w:cs="Arial" w:eastAsia="Arial" w:hAnsi="Arial"/>
                <w:sz w:val="13"/>
                <w:szCs w:val="13"/>
                <w:color w:val="auto"/>
              </w:rPr>
              <w:t>5-8 years</w:t>
            </w:r>
          </w:p>
        </w:tc>
      </w:tr>
      <w:tr>
        <w:trPr>
          <w:trHeight w:val="172"/>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 years</w:t>
            </w:r>
          </w:p>
        </w:tc>
      </w:tr>
      <w:tr>
        <w:trPr>
          <w:trHeight w:val="165"/>
        </w:trPr>
        <w:tc>
          <w:tcPr>
            <w:tcW w:w="6460" w:type="dxa"/>
            <w:vAlign w:val="bottom"/>
          </w:tcPr>
          <w:p>
            <w:pPr>
              <w:ind w:left="20"/>
              <w:spacing w:after="0"/>
              <w:rPr>
                <w:sz w:val="20"/>
                <w:szCs w:val="20"/>
                <w:color w:val="auto"/>
              </w:rPr>
            </w:pPr>
            <w:r>
              <w:rPr>
                <w:rFonts w:ascii="Arial" w:cs="Arial" w:eastAsia="Arial" w:hAnsi="Arial"/>
                <w:sz w:val="13"/>
                <w:szCs w:val="13"/>
                <w:color w:val="auto"/>
              </w:rPr>
              <w:t>Transportation equipment</w:t>
            </w:r>
          </w:p>
        </w:tc>
        <w:tc>
          <w:tcPr>
            <w:tcW w:w="4820" w:type="dxa"/>
            <w:vAlign w:val="bottom"/>
          </w:tcPr>
          <w:p>
            <w:pPr>
              <w:jc w:val="right"/>
              <w:spacing w:after="0"/>
              <w:rPr>
                <w:sz w:val="20"/>
                <w:szCs w:val="20"/>
                <w:color w:val="auto"/>
              </w:rPr>
            </w:pPr>
            <w:r>
              <w:rPr>
                <w:rFonts w:ascii="Arial" w:cs="Arial" w:eastAsia="Arial" w:hAnsi="Arial"/>
                <w:sz w:val="13"/>
                <w:szCs w:val="13"/>
                <w:color w:val="auto"/>
              </w:rPr>
              <w:t>5-6 years</w:t>
            </w:r>
          </w:p>
        </w:tc>
      </w:tr>
      <w:tr>
        <w:trPr>
          <w:trHeight w:val="432"/>
        </w:trPr>
        <w:tc>
          <w:tcPr>
            <w:tcW w:w="6460" w:type="dxa"/>
            <w:vAlign w:val="bottom"/>
          </w:tcPr>
          <w:p>
            <w:pPr>
              <w:spacing w:after="0"/>
              <w:rPr>
                <w:sz w:val="20"/>
                <w:szCs w:val="20"/>
                <w:color w:val="auto"/>
              </w:rPr>
            </w:pPr>
            <w:r>
              <w:rPr>
                <w:rFonts w:ascii="Arial" w:cs="Arial" w:eastAsia="Arial" w:hAnsi="Arial"/>
                <w:sz w:val="13"/>
                <w:szCs w:val="13"/>
                <w:b w:val="1"/>
                <w:bCs w:val="1"/>
                <w:color w:val="auto"/>
              </w:rPr>
              <w:t>Goodwill and Indefinite-Lived Intangible Assets</w:t>
            </w:r>
          </w:p>
        </w:tc>
        <w:tc>
          <w:tcPr>
            <w:tcW w:w="4820" w:type="dxa"/>
            <w:vAlign w:val="bottom"/>
          </w:tcPr>
          <w:p>
            <w:pPr>
              <w:spacing w:after="0"/>
              <w:rPr>
                <w:sz w:val="24"/>
                <w:szCs w:val="24"/>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3"/>
                <w:szCs w:val="13"/>
                <w:i w:val="1"/>
                <w:iCs w:val="1"/>
                <w:color w:val="auto"/>
              </w:rPr>
              <w:t>Goodwill</w:t>
            </w:r>
          </w:p>
        </w:tc>
        <w:tc>
          <w:tcPr>
            <w:tcW w:w="4820" w:type="dxa"/>
            <w:vAlign w:val="bottom"/>
          </w:tcPr>
          <w:p>
            <w:pPr>
              <w:spacing w:after="0"/>
              <w:rPr>
                <w:sz w:val="19"/>
                <w:szCs w:val="19"/>
                <w:color w:val="auto"/>
              </w:rPr>
            </w:pPr>
          </w:p>
        </w:tc>
      </w:tr>
    </w:tbl>
    <w:p>
      <w:pPr>
        <w:spacing w:after="0" w:line="83"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Goodwill is tested for impairment at least annually, during the fourth quarter and whenever events occur or circumstances change that would indicate the carrying value may not be recoverable. Impairment testing for goodwill is performed at a reporting unit level and all goodwill is assigned to a reporting unit. Our reporting units are the same as the operating segments as defined in Note 3 in the Notes to Consolidated Financial Statements, included in Item 8 of Part II in this Annual Report on Form 10-K.</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We have the option to first assess qualitative factors to determine whether the fair value of a reporting unit is “more likely than not” less than its carrying value. If it is more likely than not that an impairment has occurred, we then perform the quantitative goodwill impairment test. We also generally perform a quantitative impairment test of our reporting units at least once every five years. If we perform the quantitative test, the carrying value of the reporting unit is compared to an estimate of the reporting unit’s fair value to identify impairment. The estimate of the reporting unit’s fair value involves significant unobservable inputs (Level 3 inputs). The fair value is determined by a blend of the income approach (discounted future cash flow) and market approach (guideline public company) using current industry information. In determining the estimated future cash flow, we consider and apply certain estimates and judgments, including current and projected future levels of income based on management plans, business trends, prospects, market and economic conditions, and market-participant considerations. If the quantitative assessment of goodwill impairment fails, an impairment loss equal to the amount that a reporting unit's carrying value exceeds its fair value will be recognized.</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2"/>
          <w:szCs w:val="12"/>
          <w:color w:val="auto"/>
        </w:rPr>
        <w:t>During the fourth quarter of Fiscal 2023, we completed the annual goodwill impairment analysis. We elected to rely on a qualitative assessment for the Grand Design, Chris-Craft, Barletta, and Lithionics reporting units, and performed a quantitative analysis for the Newmar reporting unit. No impairment was identified for the years ended August 26, 2023, August 27, 2022, or August 28, 2021.</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names</w:t>
      </w:r>
    </w:p>
    <w:p>
      <w:pPr>
        <w:spacing w:after="0" w:line="99"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auto"/>
        </w:rPr>
        <w:t>We have indefinite-lived intangible assets related to the Newmar trade name within the Motorhome RV segment, the Grand Design trade name within the Towable RV segment, and the Chris-Craft and Barletta trade names within the Marine segment. We also have a finite-lived trade name intangible asset related to Lithionics within Corporate / All Other. Annually in the fourth quarter, or if conditions indicate an interim review is necessary, we test indefinite-lived trade names for impairment. We have the option to first assess qualitative factors to determine whether the fair value of a trade name is “more likely than not” less than its carrying value. If it is more likely than not that an impairment has occurred, we then perform the quantitative impairment test. If we perform the quantitative test, the carrying value of the asset is compared to an estimate of its fair value to identify impairment. The fair value is determined by the relief-from-royalty method, which requires significant judgment. Actual results may differ from assumed and estimated amounts utilized in the analysis. If we conclude an impairment exists, the asset's carrying value will be written down to its fair value.</w:t>
      </w:r>
    </w:p>
    <w:p>
      <w:pPr>
        <w:spacing w:after="0" w:line="162" w:lineRule="exact"/>
        <w:rPr>
          <w:sz w:val="20"/>
          <w:szCs w:val="20"/>
          <w:color w:val="auto"/>
        </w:rPr>
      </w:pPr>
    </w:p>
    <w:p>
      <w:pPr>
        <w:jc w:val="both"/>
        <w:ind w:right="80"/>
        <w:spacing w:after="0" w:line="256" w:lineRule="auto"/>
        <w:rPr>
          <w:sz w:val="20"/>
          <w:szCs w:val="20"/>
          <w:color w:val="auto"/>
        </w:rPr>
      </w:pPr>
      <w:r>
        <w:rPr>
          <w:rFonts w:ascii="Arial" w:cs="Arial" w:eastAsia="Arial" w:hAnsi="Arial"/>
          <w:sz w:val="13"/>
          <w:szCs w:val="13"/>
          <w:color w:val="auto"/>
        </w:rPr>
        <w:t>During the fourth quarter of Fiscal 2023, we completed the annual impairment analysis for indefinite-lived intangible assets. We elected to rely on a qualitative assessment for the Grand Design, Chris-Craft, and Barletta trade names, and performed a quantitative analysis for the Newmar trade name. No impairment was identified for the years ended August 26, 2023, August 27, 2022, or August 28, 2021.</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Long-Lived Assets</w:t>
      </w:r>
    </w:p>
    <w:p>
      <w:pPr>
        <w:spacing w:after="0" w:line="103"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Long-lived assets, which include property, plant and equipment, finite-lived intangible assets subject to amortization, and right-of-use assets are assessed for impairment whenever events or changes in circumstances such as asset utilization, physical change, legal factors or other matters indicate the carrying value of those assets may not be recoverable from future undiscounted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the asset and other long-lived assets is regularly evaluated.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No impairment loss of any long-lived asset was identified for the years ended August 26, 2023, August 27, 2022, or August 28,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Self-Insurance</w:t>
      </w:r>
    </w:p>
    <w:p>
      <w:pPr>
        <w:spacing w:after="0" w:line="103"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Generally, we self-insure a portion of health insurance, product liability claims, and workers' compensation. Under these plans, liabilities are recognized for claims incurred, including those incurred but not reported. We use third-party administrators and actuaries who use historical claims experience and various state statutes to assist in the determination of the accrued liability balance. We review the valuations provided by the third-party administrators and actuaries to determine the adequacy of the reserves. We have a $75.0 million insurance policy that includes a self-insured retention for product liability of $1.0 million per occurrence and $2.0 million in aggregate per policy year. Our self-insured health insurance policy includes an individual retention of $0.5 million per occurrence. We maintain excess liability insurance with outside insurance carriers to minimize the risks related to catastrophic claims in excess of self-insured positions for product liability, health insurance, and personal injury matters. Any material change in the aforementioned factors could have an adverse impact on operating results. Balances are included within self-insurance (accrued expenses)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92"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In preparing these financial statements, we are required to estimate the income taxes in each of the jurisdictions in which we operate. This process involves estimating the current tax exposure together with assessing temporary differences resulting from differing treatment of items for tax and accounting purposes. These temporary differences result in deferred tax assets and liabilities, which are included on the Consolidated Balance Sheets. We then assess the likelihood that the deferred tax assets will be realized based on future taxable income and, to the extent that recovery is not likely, a valuation allowance is established. To the extent we establish a valuation allowance or change this allowance in a period, an expense or a benefit is included within the tax provision on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Litigation expense, including estimated defense costs, is recorded when probable and reasonably estimable.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Our primary source of revenue is generated through the sale of non-motorized towable RV units, motorhome RV units, and marine units to our independent dealer network (customers). Unit revenue is recognized at a point-in-time when the performance obligation is satisfied and control of the promised goods or services is transferred to the customer, which generally occurs when the unit is shipped to or picked-up from the manufacturing facilities by the customer. Control refers to the ability of the customer to direct the use of, and obtain substantially all of, the remaining benefits from the goods or services. We recognize revenue based on an amount that reflects the transaction price consideration that we expect to receive in exchange for those goods or services. Our transaction price consideration is fixed, unless otherwise disclosed as variable consideration. The amount of consideration received and recorded to revenue can vary with changes in marketing incentives and discounts offered to customers. These marketing incentives and discounts are considered variable consideration. We adjust the estimate of revenue at the earlier of when the most likely amount of consideration expected to be received changes or when the consideration becomes fixed. Our payment terms are typically before or on delivery, and do not include a significant financing component.</w:t>
      </w:r>
    </w:p>
    <w:p>
      <w:pPr>
        <w:spacing w:after="0" w:line="172" w:lineRule="exact"/>
        <w:rPr>
          <w:sz w:val="20"/>
          <w:szCs w:val="20"/>
          <w:color w:val="auto"/>
        </w:rPr>
      </w:pPr>
    </w:p>
    <w:p>
      <w:pPr>
        <w:ind w:right="260"/>
        <w:spacing w:after="0" w:line="248" w:lineRule="auto"/>
        <w:rPr>
          <w:sz w:val="20"/>
          <w:szCs w:val="20"/>
          <w:color w:val="auto"/>
        </w:rPr>
      </w:pPr>
      <w:r>
        <w:rPr>
          <w:rFonts w:ascii="Arial" w:cs="Arial" w:eastAsia="Arial" w:hAnsi="Arial"/>
          <w:sz w:val="13"/>
          <w:szCs w:val="13"/>
          <w:color w:val="auto"/>
        </w:rPr>
        <w:t>Net revenue includes shipping and handling charges billed directly to customers, and we also generate income through the sale of certain parts and services, acting as the principal in these arrangements. We have made an accounting policy election to account for any shipping and handling costs that occur after the transfer of control as a fulfillment cost that is accrued when control is transferred. We also have made an accounting policy election to exclude from revenue sales and usage-based taxes collected.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185" w:lineRule="exact"/>
        <w:rPr>
          <w:sz w:val="20"/>
          <w:szCs w:val="20"/>
          <w:color w:val="auto"/>
        </w:rPr>
      </w:pPr>
    </w:p>
    <w:p>
      <w:pPr>
        <w:ind w:right="180"/>
        <w:spacing w:after="0" w:line="247" w:lineRule="auto"/>
        <w:rPr>
          <w:sz w:val="20"/>
          <w:szCs w:val="20"/>
          <w:color w:val="auto"/>
        </w:rPr>
      </w:pPr>
      <w:r>
        <w:rPr>
          <w:rFonts w:ascii="Arial" w:cs="Arial" w:eastAsia="Arial" w:hAnsi="Arial"/>
          <w:sz w:val="13"/>
          <w:szCs w:val="13"/>
          <w:color w:val="auto"/>
        </w:rPr>
        <w:t>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13 in the Notes to Consolidated Financial Statements, included in Item 8 of Part II in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Advertising</w:t>
      </w:r>
    </w:p>
    <w:p>
      <w:pPr>
        <w:spacing w:after="0" w:line="92" w:lineRule="exact"/>
        <w:rPr>
          <w:sz w:val="20"/>
          <w:szCs w:val="20"/>
          <w:color w:val="auto"/>
        </w:rPr>
      </w:pPr>
    </w:p>
    <w:p>
      <w:pPr>
        <w:ind w:right="360"/>
        <w:spacing w:after="0" w:line="274" w:lineRule="auto"/>
        <w:rPr>
          <w:sz w:val="20"/>
          <w:szCs w:val="20"/>
          <w:color w:val="auto"/>
        </w:rPr>
      </w:pPr>
      <w:r>
        <w:rPr>
          <w:rFonts w:ascii="Arial" w:cs="Arial" w:eastAsia="Arial" w:hAnsi="Arial"/>
          <w:sz w:val="13"/>
          <w:szCs w:val="13"/>
          <w:color w:val="auto"/>
        </w:rPr>
        <w:t>Advertising costs, which consist primarily of trade shows and online content, were $21.3 million, $23.3 million, and $11.6 million in Fiscal 2023, 2022, and 2021, respectively. Advertising costs are included in selling, general, and administrative expenses and are expensed as incurred on the Consolidated Statements of Income.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in Presentation</w:t>
      </w:r>
    </w:p>
    <w:p>
      <w:pPr>
        <w:spacing w:after="0" w:line="103"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 the first quarter of Fiscal 2023, we changed our presentation in tables from thousands to millions, unless otherwise designated. As a result, certain rounding adjustments have been made to prior period disclosed amounts in order to conform to the current year presentation. In addition, certain prior period amounts may not recalculate due to rounding. These changes were not significant, and no other updates were made to previously reported financial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Comprehensive Income</w:t>
      </w:r>
    </w:p>
    <w:p>
      <w:pPr>
        <w:spacing w:after="0" w:line="92" w:lineRule="exact"/>
        <w:rPr>
          <w:sz w:val="20"/>
          <w:szCs w:val="20"/>
          <w:color w:val="auto"/>
        </w:rPr>
      </w:pPr>
    </w:p>
    <w:p>
      <w:pPr>
        <w:ind w:right="700"/>
        <w:spacing w:after="0" w:line="274" w:lineRule="auto"/>
        <w:rPr>
          <w:sz w:val="20"/>
          <w:szCs w:val="20"/>
          <w:color w:val="auto"/>
        </w:rPr>
      </w:pPr>
      <w:r>
        <w:rPr>
          <w:rFonts w:ascii="Arial" w:cs="Arial" w:eastAsia="Arial" w:hAnsi="Arial"/>
          <w:sz w:val="13"/>
          <w:szCs w:val="13"/>
          <w:color w:val="auto"/>
        </w:rPr>
        <w:t>Comprehensive income represents the change in stockholders’ equity from transactions and other events and circumstances from sources other than shareholders. The difference between comprehensive income and net income was not material for the years ended August 26, 2023, August 27, 2022, and August 28, 2021.</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92" w:lineRule="exact"/>
        <w:rPr>
          <w:sz w:val="20"/>
          <w:szCs w:val="20"/>
          <w:color w:val="auto"/>
        </w:rPr>
      </w:pPr>
    </w:p>
    <w:p>
      <w:pPr>
        <w:ind w:right="480"/>
        <w:spacing w:after="0" w:line="274" w:lineRule="auto"/>
        <w:rPr>
          <w:sz w:val="20"/>
          <w:szCs w:val="20"/>
          <w:color w:val="auto"/>
        </w:rPr>
      </w:pPr>
      <w:r>
        <w:rPr>
          <w:rFonts w:ascii="Arial" w:cs="Arial" w:eastAsia="Arial" w:hAnsi="Arial"/>
          <w:sz w:val="13"/>
          <w:szCs w:val="13"/>
          <w:color w:val="auto"/>
        </w:rPr>
        <w:t>In preparing the accompanying consolidated financial statements, we have evaluated subsequent events for potential recognition and disclosure through the date of this filing noting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August 2020, the Financial Accounting Standards Board ("FASB") issued ASU 2020-06, </w:t>
      </w:r>
      <w:r>
        <w:rPr>
          <w:rFonts w:ascii="Arial" w:cs="Arial" w:eastAsia="Arial" w:hAnsi="Arial"/>
          <w:sz w:val="12"/>
          <w:szCs w:val="12"/>
          <w:i w:val="1"/>
          <w:iCs w:val="1"/>
          <w:color w:val="auto"/>
        </w:rPr>
        <w:t>Debt - Debt with Conversion and Other Options (Subtopic 470-20) and Derivatives and Hedging - Contracts</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2"/>
          <w:szCs w:val="12"/>
          <w:i w:val="1"/>
          <w:iCs w:val="1"/>
          <w:color w:val="auto"/>
        </w:rPr>
        <w:t xml:space="preserve">in Entity's Own Equity (Subtopic 815-40) </w:t>
      </w:r>
      <w:r>
        <w:rPr>
          <w:rFonts w:ascii="Arial" w:cs="Arial" w:eastAsia="Arial" w:hAnsi="Arial"/>
          <w:sz w:val="12"/>
          <w:szCs w:val="12"/>
          <w:color w:val="auto"/>
        </w:rPr>
        <w:t>which reduces the number of models used to account for convertible instruments, amends diluted earnings per share ("EPS") calculations for convertible</w:t>
      </w:r>
      <w:r>
        <w:rPr>
          <w:rFonts w:ascii="Arial" w:cs="Arial" w:eastAsia="Arial" w:hAnsi="Arial"/>
          <w:sz w:val="12"/>
          <w:szCs w:val="12"/>
          <w:i w:val="1"/>
          <w:iCs w:val="1"/>
          <w:color w:val="auto"/>
        </w:rPr>
        <w:t xml:space="preserve"> </w:t>
      </w:r>
      <w:r>
        <w:rPr>
          <w:rFonts w:ascii="Arial" w:cs="Arial" w:eastAsia="Arial" w:hAnsi="Arial"/>
          <w:sz w:val="12"/>
          <w:szCs w:val="12"/>
          <w:color w:val="auto"/>
        </w:rPr>
        <w:t>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must be used for including convertible instruments in diluted EPS as opposed to the treasury stock method. We adopted the new guidance in the first quarter of Fiscal 2023 using the modified retrospective approach, resulting in a decrease to additional paid-in capital of $62.0 million, an increase to long-term debt of $43.8 million, a decrease in the deferred income tax liability of $10.8 million, and an increase to beginning retained earnings of $29.0 million. In addition, the adoption of the amended guidance reduced our non-cash interest expense in Fiscal 2023 by $15.1 million (pre-tax). We will prospectively utilize the if-converted method to calculate the impact of our convertible instruments on diluted EPS. Under the if-converted method, the amount of shares underlying our convertible instruments are assumed to have been outstanding at the beginning of the reporting period, and any interest expense related to these instruments is excluded from the calculation of diluted EPS. Refer to Note 16 in the Notes to Consolidated Financial Statements included in Item 8 of Part II of this Annual Report on Form 10-K for more information on the change from the treasury stock method to the if-converted method.</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103" w:lineRule="exact"/>
        <w:rPr>
          <w:sz w:val="20"/>
          <w:szCs w:val="20"/>
          <w:color w:val="auto"/>
        </w:rPr>
      </w:pPr>
    </w:p>
    <w:p>
      <w:pPr>
        <w:ind w:right="420"/>
        <w:spacing w:after="0" w:line="257" w:lineRule="auto"/>
        <w:rPr>
          <w:sz w:val="20"/>
          <w:szCs w:val="20"/>
          <w:color w:val="auto"/>
        </w:rPr>
      </w:pPr>
      <w:r>
        <w:rPr>
          <w:rFonts w:ascii="Arial" w:cs="Arial" w:eastAsia="Arial" w:hAnsi="Arial"/>
          <w:sz w:val="13"/>
          <w:szCs w:val="13"/>
          <w:color w:val="auto"/>
        </w:rPr>
        <w:t>We have reviewed all recently issued accounting pronouncements and concluded that such standards were either not applicable or not expected to have a significant impact on our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Business Combinations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Lithionics Battery, LLC</w:t>
      </w:r>
    </w:p>
    <w:p>
      <w:pPr>
        <w:spacing w:after="0" w:line="92"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On April 28, 2023, we purchased 100% of the equity interests of Lithionics Battery, LLC and Lithionics LLC (collectively, "Lithionics"), a premier lithium-ion battery solutions provider to the recreational equipment and specialty vehicle markets. Refer to Note 7 in the Notes to Consolidated Financial Statements included in Item 8 of Part II of this Annual Report on Form 10-K for more information relating to the goodwill and other intangible assets acquired. Pro forma results of operations for this acquisition have not been presented as the impact on our consolidated financial statements was not material.</w:t>
      </w:r>
    </w:p>
    <w:p>
      <w:pPr>
        <w:spacing w:after="0" w:line="169" w:lineRule="exact"/>
        <w:rPr>
          <w:sz w:val="20"/>
          <w:szCs w:val="20"/>
          <w:color w:val="auto"/>
        </w:rPr>
      </w:pPr>
    </w:p>
    <w:p>
      <w:pPr>
        <w:ind w:right="280"/>
        <w:spacing w:after="0" w:line="257" w:lineRule="auto"/>
        <w:rPr>
          <w:sz w:val="20"/>
          <w:szCs w:val="20"/>
          <w:color w:val="auto"/>
        </w:rPr>
      </w:pPr>
      <w:r>
        <w:rPr>
          <w:rFonts w:ascii="Arial" w:cs="Arial" w:eastAsia="Arial" w:hAnsi="Arial"/>
          <w:sz w:val="13"/>
          <w:szCs w:val="13"/>
          <w:color w:val="auto"/>
        </w:rPr>
        <w:t>Total transaction costs related to the Lithionics acquisition of $3.1 million were expensed during the third quarter of Fiscal 2023. Transaction costs are included in selling, general and administrative expenses in the accompanying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Barletta Boat Company, LLC</w:t>
      </w:r>
    </w:p>
    <w:p>
      <w:pPr>
        <w:spacing w:after="0" w:line="92" w:lineRule="exact"/>
        <w:rPr>
          <w:sz w:val="20"/>
          <w:szCs w:val="20"/>
          <w:color w:val="auto"/>
        </w:rPr>
      </w:pPr>
    </w:p>
    <w:p>
      <w:pPr>
        <w:ind w:right="100"/>
        <w:spacing w:after="0" w:line="257" w:lineRule="auto"/>
        <w:rPr>
          <w:sz w:val="20"/>
          <w:szCs w:val="20"/>
          <w:color w:val="auto"/>
        </w:rPr>
      </w:pPr>
      <w:r>
        <w:rPr>
          <w:rFonts w:ascii="Arial" w:cs="Arial" w:eastAsia="Arial" w:hAnsi="Arial"/>
          <w:sz w:val="13"/>
          <w:szCs w:val="13"/>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over the next few years. The maximum payout under the earnout is $50.0 million in cash and $15.0 million in stock if all metrics are achieved. The fair value of the earnout as of August 31, 2021 was $24.2 million. As of August 26, 2023 and August 27, 2022, the fair value of the earnout was $18.4 million and $39.8 million, respectively. The portion of the earnout liability that will be settled within a year was included in other current liabilities on the Consolidated Balance Sheets, and the remaining earnout liability was included in other long-term liabilities on the Consolidated Balance Sheets. As of August 26, 2023, the entire $18.4 million was included in other current liabilities on the Consolidated Balance Sheets. Comparatively, as of August 27, 2022, $21.3 million was included in other current liabilities and $18.5 million was included in other long-term liabilities on the Consolidated Balance Sheets. In the third quarter of Fiscal 2023, we paid $22.0 million to settle earnout obligations associated with the 2022 cash consideration earnout period. In the third quarter of Fiscal 2022, we issued 0.2 million shares of common stock in connection with the settlement of the 2021 earnout period obligation.</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total purchase price was allocated to the acquired net tangible and intangible assets of Barletta, based on their preliminary fair values at the date of the acquisition. We finalized the allocation of the purchase price in the third quarter of Fiscal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20"/>
                <w:szCs w:val="20"/>
                <w:color w:val="auto"/>
              </w:rPr>
            </w:pPr>
            <w:r>
              <w:rPr>
                <w:rFonts w:ascii="Arial" w:cs="Arial" w:eastAsia="Arial" w:hAnsi="Arial"/>
                <w:sz w:val="13"/>
                <w:szCs w:val="13"/>
                <w:color w:val="auto"/>
              </w:rPr>
              <w:t>The following table summarizes the fair values assigned to the Barletta net assets acquired as of the date of acquisition:</w:t>
            </w: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76"/>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August 31, 2021</w:t>
            </w:r>
          </w:p>
        </w:tc>
      </w:tr>
      <w:tr>
        <w:trPr>
          <w:trHeight w:val="160"/>
        </w:trPr>
        <w:tc>
          <w:tcPr>
            <w:tcW w:w="9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168"/>
        </w:trPr>
        <w:tc>
          <w:tcPr>
            <w:tcW w:w="912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3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24.6</w:t>
            </w:r>
          </w:p>
        </w:tc>
      </w:tr>
      <w:tr>
        <w:trPr>
          <w:trHeight w:val="172"/>
        </w:trPr>
        <w:tc>
          <w:tcPr>
            <w:tcW w:w="9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3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r>
      <w:tr>
        <w:trPr>
          <w:trHeight w:val="168"/>
        </w:trPr>
        <w:tc>
          <w:tcPr>
            <w:tcW w:w="9120" w:type="dxa"/>
            <w:vAlign w:val="bottom"/>
          </w:tcPr>
          <w:p>
            <w:pPr>
              <w:ind w:left="20"/>
              <w:spacing w:after="0"/>
              <w:rPr>
                <w:sz w:val="20"/>
                <w:szCs w:val="20"/>
                <w:color w:val="auto"/>
              </w:rPr>
            </w:pPr>
            <w:r>
              <w:rPr>
                <w:rFonts w:ascii="Arial" w:cs="Arial" w:eastAsia="Arial" w:hAnsi="Arial"/>
                <w:sz w:val="13"/>
                <w:szCs w:val="13"/>
                <w:color w:val="auto"/>
              </w:rPr>
              <w:t>Goodwill</w:t>
            </w:r>
          </w:p>
        </w:tc>
        <w:tc>
          <w:tcPr>
            <w:tcW w:w="3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136.1</w:t>
            </w:r>
          </w:p>
        </w:tc>
      </w:tr>
      <w:tr>
        <w:trPr>
          <w:trHeight w:val="172"/>
        </w:trPr>
        <w:tc>
          <w:tcPr>
            <w:tcW w:w="9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3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111.4</w:t>
            </w:r>
          </w:p>
        </w:tc>
      </w:tr>
      <w:tr>
        <w:trPr>
          <w:trHeight w:val="158"/>
        </w:trPr>
        <w:tc>
          <w:tcPr>
            <w:tcW w:w="9120" w:type="dxa"/>
            <w:vAlign w:val="bottom"/>
          </w:tcPr>
          <w:p>
            <w:pPr>
              <w:ind w:left="180"/>
              <w:spacing w:after="0"/>
              <w:rPr>
                <w:sz w:val="20"/>
                <w:szCs w:val="20"/>
                <w:color w:val="auto"/>
              </w:rPr>
            </w:pPr>
            <w:r>
              <w:rPr>
                <w:rFonts w:ascii="Arial" w:cs="Arial" w:eastAsia="Arial" w:hAnsi="Arial"/>
                <w:sz w:val="13"/>
                <w:szCs w:val="13"/>
                <w:color w:val="auto"/>
              </w:rPr>
              <w:t>Total assets acquired</w:t>
            </w:r>
          </w:p>
        </w:tc>
        <w:tc>
          <w:tcPr>
            <w:tcW w:w="3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301.3</w:t>
            </w:r>
          </w:p>
        </w:tc>
      </w:tr>
      <w:tr>
        <w:trPr>
          <w:trHeight w:val="172"/>
        </w:trPr>
        <w:tc>
          <w:tcPr>
            <w:tcW w:w="9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8"/>
        </w:trPr>
        <w:tc>
          <w:tcPr>
            <w:tcW w:w="9120" w:type="dxa"/>
            <w:vAlign w:val="bottom"/>
          </w:tcPr>
          <w:p>
            <w:pPr>
              <w:ind w:left="20"/>
              <w:spacing w:after="0"/>
              <w:rPr>
                <w:sz w:val="20"/>
                <w:szCs w:val="20"/>
                <w:color w:val="auto"/>
              </w:rPr>
            </w:pPr>
            <w:r>
              <w:rPr>
                <w:rFonts w:ascii="Arial" w:cs="Arial" w:eastAsia="Arial" w:hAnsi="Arial"/>
                <w:sz w:val="13"/>
                <w:szCs w:val="13"/>
                <w:color w:val="auto"/>
              </w:rPr>
              <w:t>Product warranties</w:t>
            </w:r>
          </w:p>
        </w:tc>
        <w:tc>
          <w:tcPr>
            <w:tcW w:w="3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2"/>
        </w:trPr>
        <w:tc>
          <w:tcPr>
            <w:tcW w:w="9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58"/>
        </w:trPr>
        <w:tc>
          <w:tcPr>
            <w:tcW w:w="9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liabilities assumed</w:t>
            </w: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r>
      <w:tr>
        <w:trPr>
          <w:trHeight w:val="18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purchase price</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140"/>
        <w:spacing w:after="0" w:line="298" w:lineRule="auto"/>
        <w:rPr>
          <w:sz w:val="20"/>
          <w:szCs w:val="20"/>
          <w:color w:val="auto"/>
        </w:rPr>
      </w:pPr>
      <w:r>
        <w:rPr>
          <w:rFonts w:ascii="Arial" w:cs="Arial" w:eastAsia="Arial" w:hAnsi="Arial"/>
          <w:sz w:val="12"/>
          <w:szCs w:val="12"/>
          <w:color w:val="auto"/>
        </w:rPr>
        <w:t>Goodwill from the Barletta acquisition is recognized in our Marine segment. The other intangible assets acquired include a trade name, dealer network, and backlog. The trade name has an indefinite life, while the dealer network is being amortized on a straight line basis over 12 years. The backlog, which was being amortized over 10 months, was fully amortized as of August 27, 2022.</w:t>
      </w:r>
    </w:p>
    <w:p>
      <w:pPr>
        <w:spacing w:after="0" w:line="156"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Total transaction costs related to the Barletta acquisition were $3.1 million, of which $2.4 million were expensed during the first quarter of Fiscal 2022 and $0.7 million were expensed during the fourth quarter of Fiscal 2021. Transaction costs are included in selling, general and administrative expenses in the accompanying Consolidated Statements of Income.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Pro forma results of operations for this acquisition have not been presented as they were immaterial to the reported results.</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2"/>
          <w:szCs w:val="12"/>
          <w:b w:val="1"/>
          <w:bCs w:val="1"/>
          <w:color w:val="auto"/>
        </w:rPr>
        <w:t>Business Segments</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We have eight operating segments: 1) Grand Design towables, 2) Winnebago towables, 3) Winnebago motorhomes, 4) Newmar motorhomes, 5) Chris-Craft marine, 6) Barletta marine, 7) Winnebago specialty vehicles, and 8)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Our three reportable segments are: Towable RV (an aggregation of the Grand Design towables and the Winnebago towables operating segments), Motorhome RV (an aggregation of the Winnebago motorhomes and Newmar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260"/>
        <w:spacing w:after="0" w:line="257" w:lineRule="auto"/>
        <w:rPr>
          <w:sz w:val="20"/>
          <w:szCs w:val="20"/>
          <w:color w:val="auto"/>
        </w:rPr>
      </w:pPr>
      <w:r>
        <w:rPr>
          <w:rFonts w:ascii="Arial" w:cs="Arial" w:eastAsia="Arial" w:hAnsi="Arial"/>
          <w:sz w:val="13"/>
          <w:szCs w:val="13"/>
          <w:color w:val="auto"/>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in this Annual Report on Form 10-K.</w:t>
      </w:r>
    </w:p>
    <w:p>
      <w:pPr>
        <w:spacing w:after="0" w:line="186"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restructuring expenses, gain or loss on property, plant, and equipment, contingent consideration fair value adjustment, and non-operating income or loss.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Financial information by reportable segment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1,415.3</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2,597.4</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2,010.0</w:t>
            </w: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1,539.1</w:t>
            </w: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Marine</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469.7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425.3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163"/>
        </w:trPr>
        <w:tc>
          <w:tcPr>
            <w:tcW w:w="590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3,490.7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3,629.8</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0"/>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w:t>
            </w: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238.0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169.2</w:t>
            </w: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8"/>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 All Other</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r>
      <w:tr>
        <w:trPr>
          <w:trHeight w:val="188"/>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25.1</w:t>
            </w: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Marine</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590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5"/>
                <w:szCs w:val="15"/>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27, 2022</w:t>
            </w:r>
          </w:p>
        </w:tc>
        <w:tc>
          <w:tcPr>
            <w:tcW w:w="0" w:type="dxa"/>
            <w:vAlign w:val="bottom"/>
          </w:tcPr>
          <w:p>
            <w:pPr>
              <w:spacing w:after="0"/>
              <w:rPr>
                <w:sz w:val="1"/>
                <w:szCs w:val="1"/>
                <w:color w:val="auto"/>
              </w:rPr>
            </w:pPr>
          </w:p>
        </w:tc>
      </w:tr>
      <w:tr>
        <w:trPr>
          <w:trHeight w:val="160"/>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43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4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751.2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874.9</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4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823.4</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Arial" w:cs="Arial" w:eastAsia="Arial" w:hAnsi="Arial"/>
                <w:sz w:val="13"/>
                <w:szCs w:val="13"/>
                <w:color w:val="auto"/>
              </w:rPr>
              <w:t>Marine</w:t>
            </w:r>
          </w:p>
        </w:tc>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416.1</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43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302.3</w:t>
            </w:r>
          </w:p>
        </w:tc>
        <w:tc>
          <w:tcPr>
            <w:tcW w:w="0" w:type="dxa"/>
            <w:vAlign w:val="bottom"/>
          </w:tcPr>
          <w:p>
            <w:pPr>
              <w:spacing w:after="0"/>
              <w:rPr>
                <w:sz w:val="1"/>
                <w:szCs w:val="1"/>
                <w:color w:val="auto"/>
              </w:rPr>
            </w:pPr>
          </w:p>
        </w:tc>
      </w:tr>
      <w:tr>
        <w:trPr>
          <w:trHeight w:val="163"/>
        </w:trPr>
        <w:tc>
          <w:tcPr>
            <w:tcW w:w="338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4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2,432.4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2,416.7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340" w:type="dxa"/>
            <w:vAlign w:val="bottom"/>
            <w:vMerge w:val="restart"/>
          </w:tcPr>
          <w:p>
            <w:pPr>
              <w:jc w:val="right"/>
              <w:ind w:right="1936"/>
              <w:spacing w:after="0"/>
              <w:rPr>
                <w:sz w:val="20"/>
                <w:szCs w:val="20"/>
                <w:color w:val="auto"/>
              </w:rPr>
            </w:pPr>
            <w:r>
              <w:rPr>
                <w:rFonts w:ascii="Arial" w:cs="Arial" w:eastAsia="Arial" w:hAnsi="Arial"/>
                <w:sz w:val="13"/>
                <w:szCs w:val="13"/>
                <w:color w:val="auto"/>
              </w:rPr>
              <w:t>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3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38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Reconciliation of net income to consolidated Adjusted EBITDA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281.9</w:t>
            </w:r>
          </w:p>
        </w:tc>
        <w:tc>
          <w:tcPr>
            <w:tcW w:w="0" w:type="dxa"/>
            <w:vAlign w:val="bottom"/>
          </w:tcPr>
          <w:p>
            <w:pPr>
              <w:spacing w:after="0"/>
              <w:rPr>
                <w:sz w:val="1"/>
                <w:szCs w:val="1"/>
                <w:color w:val="auto"/>
              </w:rPr>
            </w:pP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income taxes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Depreciation</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58"/>
        </w:trPr>
        <w:tc>
          <w:tcPr>
            <w:tcW w:w="5900" w:type="dxa"/>
            <w:vAlign w:val="bottom"/>
          </w:tcPr>
          <w:p>
            <w:pPr>
              <w:ind w:left="20"/>
              <w:spacing w:after="0"/>
              <w:rPr>
                <w:sz w:val="20"/>
                <w:szCs w:val="20"/>
                <w:color w:val="auto"/>
              </w:rPr>
            </w:pPr>
            <w:r>
              <w:rPr>
                <w:rFonts w:ascii="Arial" w:cs="Arial" w:eastAsia="Arial" w:hAnsi="Arial"/>
                <w:sz w:val="13"/>
                <w:szCs w:val="13"/>
                <w:color w:val="auto"/>
              </w:rPr>
              <w:t>EBITDA</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346.6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609.6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440.5</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Acquisition-related costs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Litigation reserves</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Restructuring expenses</w:t>
            </w:r>
          </w:p>
        </w:tc>
        <w:tc>
          <w:tcPr>
            <w:tcW w:w="4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Gain on sale of property, plant and equipment</w:t>
            </w:r>
          </w:p>
        </w:tc>
        <w:tc>
          <w:tcPr>
            <w:tcW w:w="4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Contingent consideration fair value adjustment</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Non-operating loss (income)</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Net revenues by geography are as follows: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3,346.6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3,410.6</w:t>
            </w:r>
          </w:p>
        </w:tc>
        <w:tc>
          <w:tcPr>
            <w:tcW w:w="0" w:type="dxa"/>
            <w:vAlign w:val="bottom"/>
          </w:tcPr>
          <w:p>
            <w:pPr>
              <w:spacing w:after="0"/>
              <w:rPr>
                <w:sz w:val="1"/>
                <w:szCs w:val="1"/>
                <w:color w:val="auto"/>
              </w:rPr>
            </w:pPr>
          </w:p>
        </w:tc>
      </w:tr>
      <w:tr>
        <w:trPr>
          <w:trHeight w:val="168"/>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International</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w:t>
            </w:r>
          </w:p>
        </w:tc>
        <w:tc>
          <w:tcPr>
            <w:tcW w:w="0" w:type="dxa"/>
            <w:vAlign w:val="bottom"/>
          </w:tcPr>
          <w:p>
            <w:pPr>
              <w:spacing w:after="0"/>
              <w:rPr>
                <w:sz w:val="1"/>
                <w:szCs w:val="1"/>
                <w:color w:val="auto"/>
              </w:rPr>
            </w:pPr>
          </w:p>
        </w:tc>
      </w:tr>
      <w:tr>
        <w:trPr>
          <w:trHeight w:val="188"/>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revenues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3,629.8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4.</w:t>
      </w:r>
      <w:r>
        <w:rPr>
          <w:sz w:val="20"/>
          <w:szCs w:val="20"/>
          <w:color w:val="auto"/>
        </w:rPr>
        <w:tab/>
      </w:r>
      <w:r>
        <w:rPr>
          <w:rFonts w:ascii="Arial" w:cs="Arial" w:eastAsia="Arial" w:hAnsi="Arial"/>
          <w:sz w:val="12"/>
          <w:szCs w:val="12"/>
          <w:b w:val="1"/>
          <w:bCs w:val="1"/>
          <w:color w:val="auto"/>
        </w:rPr>
        <w:t>Investments and Fair Value Measurements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that are Measured at Fair Value on a Recurring Basis</w:t>
      </w:r>
    </w:p>
    <w:p>
      <w:pPr>
        <w:spacing w:after="0" w:line="103" w:lineRule="exact"/>
        <w:rPr>
          <w:sz w:val="20"/>
          <w:szCs w:val="20"/>
          <w:color w:val="auto"/>
        </w:rPr>
      </w:pPr>
    </w:p>
    <w:p>
      <w:pPr>
        <w:jc w:val="both"/>
        <w:ind w:right="100"/>
        <w:spacing w:after="0" w:line="256" w:lineRule="auto"/>
        <w:rPr>
          <w:sz w:val="20"/>
          <w:szCs w:val="20"/>
          <w:color w:val="auto"/>
        </w:rPr>
      </w:pPr>
      <w:r>
        <w:rPr>
          <w:rFonts w:ascii="Arial" w:cs="Arial" w:eastAsia="Arial" w:hAnsi="Arial"/>
          <w:sz w:val="13"/>
          <w:szCs w:val="13"/>
          <w:color w:val="auto"/>
        </w:rPr>
        <w:t>In determining the fair value of financial assets and liabilities, we utilize market data or other assumptions that we believe market participants would use in pricing the asset or liability in the principal or most advantageous market and adjusts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Unadjusted quoted prices which are available in active markets for identical assets or liabilities accessible at the measurement date.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quoted prices included in Level 1 inputs that are observable for the asset or liability, either directly or indirectly, for substantially the full term of the asset or liability.</w:t>
      </w:r>
    </w:p>
    <w:p>
      <w:pPr>
        <w:spacing w:after="0" w:line="212" w:lineRule="exact"/>
        <w:rPr>
          <w:sz w:val="20"/>
          <w:szCs w:val="20"/>
          <w:color w:val="auto"/>
        </w:rPr>
      </w:pPr>
    </w:p>
    <w:p>
      <w:pPr>
        <w:ind w:left="520" w:right="80"/>
        <w:spacing w:after="0" w:line="263"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for the asset or liability used to measure fair value to the extent that observable inputs are not available, thereby allowing for situations in which there is little, if</w:t>
      </w:r>
      <w:r>
        <w:rPr>
          <w:rFonts w:ascii="Arial" w:cs="Arial" w:eastAsia="Arial" w:hAnsi="Arial"/>
          <w:sz w:val="13"/>
          <w:szCs w:val="13"/>
          <w:i w:val="1"/>
          <w:iCs w:val="1"/>
          <w:color w:val="auto"/>
        </w:rPr>
        <w:t xml:space="preserve"> </w:t>
      </w:r>
      <w:r>
        <w:rPr>
          <w:rFonts w:ascii="Arial" w:cs="Arial" w:eastAsia="Arial" w:hAnsi="Arial"/>
          <w:sz w:val="13"/>
          <w:szCs w:val="13"/>
          <w:color w:val="auto"/>
        </w:rPr>
        <w:t>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52"/>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Assets and Liabilities that are Measured at Fair Value on a Recurring Basis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5"/>
        </w:trPr>
        <w:tc>
          <w:tcPr>
            <w:tcW w:w="5460" w:type="dxa"/>
            <w:vAlign w:val="bottom"/>
            <w:gridSpan w:val="3"/>
          </w:tcPr>
          <w:p>
            <w:pPr>
              <w:spacing w:after="0"/>
              <w:rPr>
                <w:sz w:val="20"/>
                <w:szCs w:val="20"/>
                <w:color w:val="auto"/>
              </w:rPr>
            </w:pPr>
            <w:r>
              <w:rPr>
                <w:rFonts w:ascii="Arial" w:cs="Arial" w:eastAsia="Arial" w:hAnsi="Arial"/>
                <w:sz w:val="13"/>
                <w:szCs w:val="13"/>
                <w:color w:val="auto"/>
              </w:rPr>
              <w:t>Financial assets and liabilities measured at fair value on a recurring basis are as follows: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5"/>
        </w:trPr>
        <w:tc>
          <w:tcPr>
            <w:tcW w:w="10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8"/>
              </w:rPr>
              <w:t>Fair Value at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Fair Value Hierarchy</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60"/>
        </w:trPr>
        <w:tc>
          <w:tcPr>
            <w:tcW w:w="408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6"/>
              </w:rPr>
              <w:t>August 26, 2023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Level 2</w:t>
            </w:r>
          </w:p>
        </w:tc>
        <w:tc>
          <w:tcPr>
            <w:tcW w:w="360" w:type="dxa"/>
            <w:vAlign w:val="bottom"/>
          </w:tcPr>
          <w:p>
            <w:pPr>
              <w:spacing w:after="0"/>
              <w:rPr>
                <w:sz w:val="13"/>
                <w:szCs w:val="13"/>
                <w:color w:val="auto"/>
              </w:rPr>
            </w:pPr>
          </w:p>
        </w:tc>
        <w:tc>
          <w:tcPr>
            <w:tcW w:w="1360" w:type="dxa"/>
            <w:vAlign w:val="bottom"/>
          </w:tcPr>
          <w:p>
            <w:pPr>
              <w:jc w:val="right"/>
              <w:ind w:right="576"/>
              <w:spacing w:after="0"/>
              <w:rPr>
                <w:sz w:val="20"/>
                <w:szCs w:val="20"/>
                <w:color w:val="auto"/>
              </w:rPr>
            </w:pPr>
            <w:r>
              <w:rPr>
                <w:rFonts w:ascii="Arial" w:cs="Arial" w:eastAsia="Arial" w:hAnsi="Arial"/>
                <w:sz w:val="13"/>
                <w:szCs w:val="13"/>
                <w:b w:val="1"/>
                <w:bCs w:val="1"/>
                <w:color w:val="auto"/>
              </w:rPr>
              <w:t>Level 3</w:t>
            </w:r>
          </w:p>
        </w:tc>
      </w:tr>
      <w:tr>
        <w:trPr>
          <w:trHeight w:val="160"/>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13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8"/>
        </w:trPr>
        <w:tc>
          <w:tcPr>
            <w:tcW w:w="4080" w:type="dxa"/>
            <w:vAlign w:val="bottom"/>
            <w:gridSpan w:val="2"/>
          </w:tcPr>
          <w:p>
            <w:pPr>
              <w:ind w:left="120"/>
              <w:spacing w:after="0"/>
              <w:rPr>
                <w:sz w:val="20"/>
                <w:szCs w:val="20"/>
                <w:color w:val="auto"/>
              </w:rPr>
            </w:pPr>
            <w:r>
              <w:rPr>
                <w:rFonts w:ascii="Arial" w:cs="Arial" w:eastAsia="Arial" w:hAnsi="Arial"/>
                <w:sz w:val="13"/>
                <w:szCs w:val="13"/>
                <w:color w:val="auto"/>
              </w:rPr>
              <w:t>Domestic equity funds</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International equity funds</w:t>
            </w:r>
          </w:p>
        </w:tc>
        <w:tc>
          <w:tcPr>
            <w:tcW w:w="13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 assets at fair value</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78"/>
        </w:trPr>
        <w:tc>
          <w:tcPr>
            <w:tcW w:w="1000" w:type="dxa"/>
            <w:vAlign w:val="bottom"/>
            <w:shd w:val="clear" w:color="auto" w:fill="CCEEFF"/>
          </w:tcPr>
          <w:p>
            <w:pPr>
              <w:spacing w:after="0"/>
              <w:rPr>
                <w:sz w:val="6"/>
                <w:szCs w:val="6"/>
                <w:color w:val="auto"/>
              </w:rPr>
            </w:pPr>
          </w:p>
        </w:tc>
        <w:tc>
          <w:tcPr>
            <w:tcW w:w="30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16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Contingent consideration</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Earnout liability</w:t>
            </w:r>
          </w:p>
        </w:tc>
        <w:tc>
          <w:tcPr>
            <w:tcW w:w="13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163"/>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 liabilities at fair value</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18.4</w:t>
            </w:r>
          </w:p>
        </w:tc>
      </w:tr>
      <w:tr>
        <w:trPr>
          <w:trHeight w:val="20"/>
        </w:trPr>
        <w:tc>
          <w:tcPr>
            <w:tcW w:w="1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8"/>
              </w:rPr>
              <w:t>Fair Value at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Fair Value Hierarchy</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60"/>
        </w:trPr>
        <w:tc>
          <w:tcPr>
            <w:tcW w:w="408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1820" w:type="dxa"/>
            <w:vAlign w:val="bottom"/>
            <w:gridSpan w:val="3"/>
          </w:tcPr>
          <w:p>
            <w:pPr>
              <w:ind w:left="740"/>
              <w:spacing w:after="0"/>
              <w:rPr>
                <w:sz w:val="20"/>
                <w:szCs w:val="20"/>
                <w:color w:val="auto"/>
              </w:rPr>
            </w:pPr>
            <w:r>
              <w:rPr>
                <w:rFonts w:ascii="Arial" w:cs="Arial" w:eastAsia="Arial" w:hAnsi="Arial"/>
                <w:sz w:val="13"/>
                <w:szCs w:val="13"/>
                <w:b w:val="1"/>
                <w:bCs w:val="1"/>
                <w:color w:val="auto"/>
              </w:rPr>
              <w:t>August 27, 2022</w:t>
            </w:r>
          </w:p>
        </w:tc>
        <w:tc>
          <w:tcPr>
            <w:tcW w:w="38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Level 2</w:t>
            </w:r>
          </w:p>
        </w:tc>
        <w:tc>
          <w:tcPr>
            <w:tcW w:w="360" w:type="dxa"/>
            <w:vAlign w:val="bottom"/>
          </w:tcPr>
          <w:p>
            <w:pPr>
              <w:spacing w:after="0"/>
              <w:rPr>
                <w:sz w:val="13"/>
                <w:szCs w:val="13"/>
                <w:color w:val="auto"/>
              </w:rPr>
            </w:pPr>
          </w:p>
        </w:tc>
        <w:tc>
          <w:tcPr>
            <w:tcW w:w="1360" w:type="dxa"/>
            <w:vAlign w:val="bottom"/>
          </w:tcPr>
          <w:p>
            <w:pPr>
              <w:jc w:val="right"/>
              <w:ind w:right="576"/>
              <w:spacing w:after="0"/>
              <w:rPr>
                <w:sz w:val="20"/>
                <w:szCs w:val="20"/>
                <w:color w:val="auto"/>
              </w:rPr>
            </w:pPr>
            <w:r>
              <w:rPr>
                <w:rFonts w:ascii="Arial" w:cs="Arial" w:eastAsia="Arial" w:hAnsi="Arial"/>
                <w:sz w:val="13"/>
                <w:szCs w:val="13"/>
                <w:b w:val="1"/>
                <w:bCs w:val="1"/>
                <w:color w:val="auto"/>
              </w:rPr>
              <w:t>Level 3</w:t>
            </w:r>
          </w:p>
        </w:tc>
      </w:tr>
      <w:tr>
        <w:trPr>
          <w:trHeight w:val="160"/>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13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8"/>
        </w:trPr>
        <w:tc>
          <w:tcPr>
            <w:tcW w:w="4080" w:type="dxa"/>
            <w:vAlign w:val="bottom"/>
            <w:gridSpan w:val="2"/>
          </w:tcPr>
          <w:p>
            <w:pPr>
              <w:ind w:left="120"/>
              <w:spacing w:after="0"/>
              <w:rPr>
                <w:sz w:val="20"/>
                <w:szCs w:val="20"/>
                <w:color w:val="auto"/>
              </w:rPr>
            </w:pPr>
            <w:r>
              <w:rPr>
                <w:rFonts w:ascii="Arial" w:cs="Arial" w:eastAsia="Arial" w:hAnsi="Arial"/>
                <w:sz w:val="13"/>
                <w:szCs w:val="13"/>
                <w:color w:val="auto"/>
              </w:rPr>
              <w:t>Domestic equity funds</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International equity funds</w:t>
            </w:r>
          </w:p>
        </w:tc>
        <w:tc>
          <w:tcPr>
            <w:tcW w:w="13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Fixed income funds</w:t>
            </w:r>
          </w:p>
        </w:tc>
        <w:tc>
          <w:tcPr>
            <w:tcW w:w="1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13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assets at fair value</w:t>
            </w:r>
          </w:p>
        </w:tc>
        <w:tc>
          <w:tcPr>
            <w:tcW w:w="1380" w:type="dxa"/>
            <w:vAlign w:val="bottom"/>
            <w:shd w:val="clear" w:color="auto" w:fill="CCEEFF"/>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1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Contingent consideration</w:t>
            </w:r>
          </w:p>
        </w:tc>
        <w:tc>
          <w:tcPr>
            <w:tcW w:w="1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8"/>
        </w:trPr>
        <w:tc>
          <w:tcPr>
            <w:tcW w:w="4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Earnout liability</w:t>
            </w:r>
          </w:p>
        </w:tc>
        <w:tc>
          <w:tcPr>
            <w:tcW w:w="1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13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w:t>
            </w:r>
          </w:p>
        </w:tc>
      </w:tr>
      <w:tr>
        <w:trPr>
          <w:trHeight w:val="18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liabilities at fair value</w:t>
            </w:r>
          </w:p>
        </w:tc>
        <w:tc>
          <w:tcPr>
            <w:tcW w:w="1380" w:type="dxa"/>
            <w:vAlign w:val="bottom"/>
            <w:shd w:val="clear" w:color="auto" w:fill="CCEEFF"/>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Assets that Fund Deferred Compensation</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3"/>
          <w:szCs w:val="13"/>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in this Annual Report on Form 10-K for additional information regarding this plan.</w:t>
      </w:r>
    </w:p>
    <w:p>
      <w:pPr>
        <w:spacing w:after="0" w:line="179" w:lineRule="exact"/>
        <w:rPr>
          <w:sz w:val="20"/>
          <w:szCs w:val="20"/>
          <w:color w:val="auto"/>
        </w:rPr>
      </w:pPr>
    </w:p>
    <w:p>
      <w:pPr>
        <w:ind w:right="360"/>
        <w:spacing w:after="0" w:line="257" w:lineRule="auto"/>
        <w:rPr>
          <w:sz w:val="20"/>
          <w:szCs w:val="20"/>
          <w:color w:val="auto"/>
        </w:rPr>
      </w:pPr>
      <w:r>
        <w:rPr>
          <w:rFonts w:ascii="Arial" w:cs="Arial" w:eastAsia="Arial" w:hAnsi="Arial"/>
          <w:sz w:val="13"/>
          <w:szCs w:val="13"/>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Contingent Consideration</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20"/>
                <w:szCs w:val="20"/>
                <w:color w:val="auto"/>
              </w:rPr>
            </w:pPr>
            <w:r>
              <w:rPr>
                <w:rFonts w:ascii="Arial" w:cs="Arial" w:eastAsia="Arial" w:hAnsi="Arial"/>
                <w:sz w:val="13"/>
                <w:szCs w:val="13"/>
                <w:color w:val="auto"/>
              </w:rPr>
              <w:t>The following table provides a reconciliation of the beginning and ending balances of the contingent consideration:</w:t>
            </w: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3"/>
        </w:trPr>
        <w:tc>
          <w:tcPr>
            <w:tcW w:w="772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Arial" w:cs="Arial" w:eastAsia="Arial" w:hAnsi="Arial"/>
                <w:sz w:val="13"/>
                <w:szCs w:val="13"/>
                <w:b w:val="1"/>
                <w:bCs w:val="1"/>
                <w:color w:val="auto"/>
              </w:rPr>
              <w:t>August 26,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476"/>
              <w:spacing w:after="0"/>
              <w:rPr>
                <w:sz w:val="20"/>
                <w:szCs w:val="20"/>
                <w:color w:val="auto"/>
              </w:rPr>
            </w:pPr>
            <w:r>
              <w:rPr>
                <w:rFonts w:ascii="Arial" w:cs="Arial" w:eastAsia="Arial" w:hAnsi="Arial"/>
                <w:sz w:val="13"/>
                <w:szCs w:val="13"/>
                <w:b w:val="1"/>
                <w:bCs w:val="1"/>
                <w:color w:val="auto"/>
              </w:rPr>
              <w:t>August 27,</w:t>
            </w:r>
          </w:p>
        </w:tc>
      </w:tr>
      <w:tr>
        <w:trPr>
          <w:trHeight w:val="170"/>
        </w:trPr>
        <w:tc>
          <w:tcPr>
            <w:tcW w:w="7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r>
      <w:tr>
        <w:trPr>
          <w:trHeight w:val="16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fair value - contingent consideration</w:t>
            </w:r>
          </w:p>
        </w:tc>
        <w:tc>
          <w:tcPr>
            <w:tcW w:w="130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720" w:type="dxa"/>
            <w:vAlign w:val="bottom"/>
          </w:tcPr>
          <w:p>
            <w:pPr>
              <w:ind w:left="180"/>
              <w:spacing w:after="0"/>
              <w:rPr>
                <w:sz w:val="20"/>
                <w:szCs w:val="20"/>
                <w:color w:val="auto"/>
              </w:rPr>
            </w:pPr>
            <w:r>
              <w:rPr>
                <w:rFonts w:ascii="Arial" w:cs="Arial" w:eastAsia="Arial" w:hAnsi="Arial"/>
                <w:sz w:val="13"/>
                <w:szCs w:val="13"/>
                <w:color w:val="auto"/>
              </w:rPr>
              <w:t>Additions</w:t>
            </w:r>
          </w:p>
        </w:tc>
        <w:tc>
          <w:tcPr>
            <w:tcW w:w="13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172"/>
        </w:trPr>
        <w:tc>
          <w:tcPr>
            <w:tcW w:w="7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Fair value adjustments</w:t>
            </w: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8"/>
        </w:trPr>
        <w:tc>
          <w:tcPr>
            <w:tcW w:w="7720" w:type="dxa"/>
            <w:vAlign w:val="bottom"/>
          </w:tcPr>
          <w:p>
            <w:pPr>
              <w:ind w:left="180"/>
              <w:spacing w:after="0"/>
              <w:rPr>
                <w:sz w:val="20"/>
                <w:szCs w:val="20"/>
                <w:color w:val="auto"/>
              </w:rPr>
            </w:pPr>
            <w:r>
              <w:rPr>
                <w:rFonts w:ascii="Arial" w:cs="Arial" w:eastAsia="Arial" w:hAnsi="Arial"/>
                <w:sz w:val="13"/>
                <w:szCs w:val="13"/>
                <w:color w:val="auto"/>
              </w:rPr>
              <w:t>Settlements</w:t>
            </w:r>
          </w:p>
        </w:tc>
        <w:tc>
          <w:tcPr>
            <w:tcW w:w="1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70"/>
        </w:trPr>
        <w:tc>
          <w:tcPr>
            <w:tcW w:w="7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3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63"/>
        </w:trPr>
        <w:tc>
          <w:tcPr>
            <w:tcW w:w="7720" w:type="dxa"/>
            <w:vAlign w:val="bottom"/>
          </w:tcPr>
          <w:p>
            <w:pPr>
              <w:ind w:left="20"/>
              <w:spacing w:after="0"/>
              <w:rPr>
                <w:sz w:val="20"/>
                <w:szCs w:val="20"/>
                <w:color w:val="auto"/>
              </w:rPr>
            </w:pPr>
            <w:r>
              <w:rPr>
                <w:rFonts w:ascii="Arial" w:cs="Arial" w:eastAsia="Arial" w:hAnsi="Arial"/>
                <w:sz w:val="13"/>
                <w:szCs w:val="13"/>
                <w:color w:val="auto"/>
              </w:rPr>
              <w:t>Ending fair value - contingent consideration</w:t>
            </w:r>
          </w:p>
        </w:tc>
        <w:tc>
          <w:tcPr>
            <w:tcW w:w="1300" w:type="dxa"/>
            <w:vAlign w:val="bottom"/>
            <w:tcBorders>
              <w:top w:val="single" w:sz="8" w:color="auto"/>
              <w:bottom w:val="single" w:sz="8" w:color="auto"/>
            </w:tcBorders>
          </w:tcPr>
          <w:p>
            <w:pPr>
              <w:jc w:val="right"/>
              <w:ind w:right="113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w:t>
            </w:r>
          </w:p>
        </w:tc>
      </w:tr>
      <w:tr>
        <w:trPr>
          <w:trHeight w:val="20"/>
        </w:trPr>
        <w:tc>
          <w:tcPr>
            <w:tcW w:w="7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140"/>
        <w:spacing w:after="0" w:line="257" w:lineRule="auto"/>
        <w:rPr>
          <w:sz w:val="20"/>
          <w:szCs w:val="20"/>
          <w:color w:val="auto"/>
        </w:rPr>
      </w:pPr>
      <w:r>
        <w:rPr>
          <w:rFonts w:ascii="Arial" w:cs="Arial" w:eastAsia="Arial" w:hAnsi="Arial"/>
          <w:sz w:val="13"/>
          <w:szCs w:val="13"/>
          <w:color w:val="auto"/>
        </w:rPr>
        <w:t>The fair value of the earnout liability that will be settled within a year is included in other current liabilities on the Consolidated Balance Sheets. The remaining earnout liability is included in other long-term liabilities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Measured at Fair Value on a Nonrecurring Basis</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Fiscal 2023,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Not Measured at Fair Value</w:t>
      </w:r>
    </w:p>
    <w:p>
      <w:pPr>
        <w:spacing w:after="0" w:line="92" w:lineRule="exact"/>
        <w:rPr>
          <w:sz w:val="20"/>
          <w:szCs w:val="20"/>
          <w:color w:val="auto"/>
        </w:rPr>
      </w:pPr>
    </w:p>
    <w:p>
      <w:pPr>
        <w:jc w:val="both"/>
        <w:ind w:right="220"/>
        <w:spacing w:after="0" w:line="256" w:lineRule="auto"/>
        <w:rPr>
          <w:sz w:val="20"/>
          <w:szCs w:val="20"/>
          <w:color w:val="auto"/>
        </w:rPr>
      </w:pPr>
      <w:r>
        <w:rPr>
          <w:rFonts w:ascii="Arial" w:cs="Arial" w:eastAsia="Arial" w:hAnsi="Arial"/>
          <w:sz w:val="13"/>
          <w:szCs w:val="13"/>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69"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color w:val="auto"/>
        </w:rPr>
        <w:t>Long-term debt is recorded at amortized cost but measured at fair value for disclosure purposes. The fair value of our long-term debt was determined using current quoted prices in active markets for our publicly traded debt obligations, which is classified as Level 1 in the fair value hierarchy. See Note 9 in the Notes to Consolidated Financial Statements included in Item 8 of Part II of this Annual Report on Form 10-K for information about the fair value of our long-term debt.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20"/>
                <w:szCs w:val="20"/>
                <w:color w:val="auto"/>
              </w:rPr>
            </w:pPr>
            <w:r>
              <w:rPr>
                <w:rFonts w:ascii="Arial" w:cs="Arial" w:eastAsia="Arial" w:hAnsi="Arial"/>
                <w:sz w:val="13"/>
                <w:szCs w:val="13"/>
                <w:b w:val="1"/>
                <w:bCs w:val="1"/>
                <w:color w:val="auto"/>
              </w:rPr>
              <w:t>Note 5. Inventories</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7720" w:type="dxa"/>
            <w:vAlign w:val="bottom"/>
          </w:tcPr>
          <w:p>
            <w:pPr>
              <w:spacing w:after="0"/>
              <w:rPr>
                <w:sz w:val="20"/>
                <w:szCs w:val="20"/>
                <w:color w:val="auto"/>
              </w:rPr>
            </w:pPr>
            <w:r>
              <w:rPr>
                <w:rFonts w:ascii="Arial" w:cs="Arial" w:eastAsia="Arial" w:hAnsi="Arial"/>
                <w:sz w:val="13"/>
                <w:szCs w:val="13"/>
                <w:color w:val="auto"/>
              </w:rPr>
              <w:t>Inventories consist of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27, 2022</w:t>
            </w:r>
          </w:p>
        </w:tc>
        <w:tc>
          <w:tcPr>
            <w:tcW w:w="0" w:type="dxa"/>
            <w:vAlign w:val="bottom"/>
          </w:tcPr>
          <w:p>
            <w:pPr>
              <w:spacing w:after="0"/>
              <w:rPr>
                <w:sz w:val="1"/>
                <w:szCs w:val="1"/>
                <w:color w:val="auto"/>
              </w:rPr>
            </w:pP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Work-in-process ("WIP")</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198.9</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315.0</w:t>
            </w:r>
          </w:p>
        </w:tc>
        <w:tc>
          <w:tcPr>
            <w:tcW w:w="0" w:type="dxa"/>
            <w:vAlign w:val="bottom"/>
          </w:tcPr>
          <w:p>
            <w:pPr>
              <w:spacing w:after="0"/>
              <w:rPr>
                <w:sz w:val="1"/>
                <w:szCs w:val="1"/>
                <w:color w:val="auto"/>
              </w:rPr>
            </w:pPr>
          </w:p>
        </w:tc>
      </w:tr>
      <w:tr>
        <w:trPr>
          <w:trHeight w:val="158"/>
        </w:trPr>
        <w:tc>
          <w:tcPr>
            <w:tcW w:w="7720" w:type="dxa"/>
            <w:vAlign w:val="bottom"/>
          </w:tcPr>
          <w:p>
            <w:pPr>
              <w:ind w:left="12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518.5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573.2</w:t>
            </w:r>
          </w:p>
        </w:tc>
        <w:tc>
          <w:tcPr>
            <w:tcW w:w="0" w:type="dxa"/>
            <w:vAlign w:val="bottom"/>
          </w:tcPr>
          <w:p>
            <w:pPr>
              <w:spacing w:after="0"/>
              <w:rPr>
                <w:sz w:val="1"/>
                <w:szCs w:val="1"/>
                <w:color w:val="auto"/>
              </w:rPr>
            </w:pP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Excess of FIFO over LIFO cost</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63"/>
        </w:trPr>
        <w:tc>
          <w:tcPr>
            <w:tcW w:w="7720" w:type="dxa"/>
            <w:vAlign w:val="bottom"/>
          </w:tcPr>
          <w:p>
            <w:pPr>
              <w:ind w:left="120"/>
              <w:spacing w:after="0"/>
              <w:rPr>
                <w:sz w:val="20"/>
                <w:szCs w:val="20"/>
                <w:color w:val="auto"/>
              </w:rPr>
            </w:pPr>
            <w:r>
              <w:rPr>
                <w:rFonts w:ascii="Arial" w:cs="Arial" w:eastAsia="Arial" w:hAnsi="Arial"/>
                <w:sz w:val="13"/>
                <w:szCs w:val="13"/>
                <w:color w:val="auto"/>
              </w:rPr>
              <w:t>Inventories, net</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Inventory valuation methods consist of the following:</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27, 2022</w:t>
            </w:r>
          </w:p>
        </w:tc>
        <w:tc>
          <w:tcPr>
            <w:tcW w:w="0" w:type="dxa"/>
            <w:vAlign w:val="bottom"/>
          </w:tcPr>
          <w:p>
            <w:pPr>
              <w:spacing w:after="0"/>
              <w:rPr>
                <w:sz w:val="1"/>
                <w:szCs w:val="1"/>
                <w:color w:val="auto"/>
              </w:rPr>
            </w:pP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LIFO basis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212.3</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FIFO basis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360.9</w:t>
            </w: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The above value of inventories,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5"/>
              </w:rPr>
              <w:t>Table of Contents</w:t>
            </w: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3"/>
        </w:trPr>
        <w:tc>
          <w:tcPr>
            <w:tcW w:w="540" w:type="dxa"/>
            <w:vAlign w:val="bottom"/>
          </w:tcPr>
          <w:p>
            <w:pPr>
              <w:spacing w:after="0"/>
              <w:rPr>
                <w:sz w:val="20"/>
                <w:szCs w:val="20"/>
                <w:color w:val="auto"/>
              </w:rPr>
            </w:pPr>
            <w:r>
              <w:rPr>
                <w:rFonts w:ascii="Arial" w:cs="Arial" w:eastAsia="Arial" w:hAnsi="Arial"/>
                <w:sz w:val="13"/>
                <w:szCs w:val="13"/>
                <w:b w:val="1"/>
                <w:bCs w:val="1"/>
                <w:color w:val="auto"/>
              </w:rPr>
              <w:t>Note 6.</w:t>
            </w:r>
          </w:p>
        </w:tc>
        <w:tc>
          <w:tcPr>
            <w:tcW w:w="7180" w:type="dxa"/>
            <w:vAlign w:val="bottom"/>
            <w:gridSpan w:val="2"/>
          </w:tcPr>
          <w:p>
            <w:pPr>
              <w:ind w:left="60"/>
              <w:spacing w:after="0"/>
              <w:rPr>
                <w:sz w:val="20"/>
                <w:szCs w:val="20"/>
                <w:color w:val="auto"/>
              </w:rPr>
            </w:pPr>
            <w:r>
              <w:rPr>
                <w:rFonts w:ascii="Arial" w:cs="Arial" w:eastAsia="Arial" w:hAnsi="Arial"/>
                <w:sz w:val="13"/>
                <w:szCs w:val="13"/>
                <w:b w:val="1"/>
                <w:bCs w:val="1"/>
                <w:color w:val="auto"/>
              </w:rPr>
              <w:t>Property, Plant, and Equipment</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720" w:type="dxa"/>
            <w:vAlign w:val="bottom"/>
            <w:gridSpan w:val="3"/>
          </w:tcPr>
          <w:p>
            <w:pPr>
              <w:spacing w:after="0"/>
              <w:rPr>
                <w:sz w:val="20"/>
                <w:szCs w:val="20"/>
                <w:color w:val="auto"/>
              </w:rPr>
            </w:pPr>
            <w:r>
              <w:rPr>
                <w:rFonts w:ascii="Arial" w:cs="Arial" w:eastAsia="Arial" w:hAnsi="Arial"/>
                <w:sz w:val="13"/>
                <w:szCs w:val="13"/>
                <w:color w:val="auto"/>
              </w:rPr>
              <w:t>Property, plant, and equipment is stated at cost, net of accumulated depreciation and consists of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72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27, 2022</w:t>
            </w:r>
          </w:p>
        </w:tc>
        <w:tc>
          <w:tcPr>
            <w:tcW w:w="0" w:type="dxa"/>
            <w:vAlign w:val="bottom"/>
          </w:tcPr>
          <w:p>
            <w:pPr>
              <w:spacing w:after="0"/>
              <w:rPr>
                <w:sz w:val="1"/>
                <w:szCs w:val="1"/>
                <w:color w:val="auto"/>
              </w:rPr>
            </w:pPr>
          </w:p>
        </w:tc>
      </w:tr>
      <w:tr>
        <w:trPr>
          <w:trHeight w:val="160"/>
        </w:trPr>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460" w:type="dxa"/>
            <w:vAlign w:val="bottom"/>
            <w:tcBorders>
              <w:top w:val="single" w:sz="8" w:color="auto"/>
            </w:tcBorders>
            <w:shd w:val="clear" w:color="auto" w:fill="CCEEFF"/>
          </w:tcPr>
          <w:p>
            <w:pPr>
              <w:spacing w:after="0"/>
              <w:rPr>
                <w:sz w:val="13"/>
                <w:szCs w:val="13"/>
                <w:color w:val="auto"/>
              </w:rPr>
            </w:pPr>
          </w:p>
        </w:tc>
        <w:tc>
          <w:tcPr>
            <w:tcW w:w="6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8"/>
        </w:trPr>
        <w:tc>
          <w:tcPr>
            <w:tcW w:w="7720" w:type="dxa"/>
            <w:vAlign w:val="bottom"/>
            <w:gridSpan w:val="3"/>
          </w:tcPr>
          <w:p>
            <w:pPr>
              <w:ind w:left="20"/>
              <w:spacing w:after="0"/>
              <w:rPr>
                <w:sz w:val="20"/>
                <w:szCs w:val="20"/>
                <w:color w:val="auto"/>
              </w:rPr>
            </w:pPr>
            <w:r>
              <w:rPr>
                <w:rFonts w:ascii="Arial" w:cs="Arial" w:eastAsia="Arial" w:hAnsi="Arial"/>
                <w:sz w:val="13"/>
                <w:szCs w:val="13"/>
                <w:color w:val="auto"/>
              </w:rPr>
              <w:t>Buildings and building improvements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171.0</w:t>
            </w:r>
          </w:p>
        </w:tc>
        <w:tc>
          <w:tcPr>
            <w:tcW w:w="0" w:type="dxa"/>
            <w:vAlign w:val="bottom"/>
          </w:tcPr>
          <w:p>
            <w:pPr>
              <w:spacing w:after="0"/>
              <w:rPr>
                <w:sz w:val="1"/>
                <w:szCs w:val="1"/>
                <w:color w:val="auto"/>
              </w:rPr>
            </w:pPr>
          </w:p>
        </w:tc>
      </w:tr>
      <w:tr>
        <w:trPr>
          <w:trHeight w:val="172"/>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Machinery and equipment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0" w:type="dxa"/>
            <w:vAlign w:val="bottom"/>
          </w:tcPr>
          <w:p>
            <w:pPr>
              <w:spacing w:after="0"/>
              <w:rPr>
                <w:sz w:val="1"/>
                <w:szCs w:val="1"/>
                <w:color w:val="auto"/>
              </w:rPr>
            </w:pPr>
          </w:p>
        </w:tc>
      </w:tr>
      <w:tr>
        <w:trPr>
          <w:trHeight w:val="168"/>
        </w:trPr>
        <w:tc>
          <w:tcPr>
            <w:tcW w:w="540" w:type="dxa"/>
            <w:vAlign w:val="bottom"/>
          </w:tcPr>
          <w:p>
            <w:pPr>
              <w:ind w:left="20"/>
              <w:spacing w:after="0"/>
              <w:rPr>
                <w:sz w:val="20"/>
                <w:szCs w:val="20"/>
                <w:color w:val="auto"/>
              </w:rPr>
            </w:pPr>
            <w:r>
              <w:rPr>
                <w:rFonts w:ascii="Arial" w:cs="Arial" w:eastAsia="Arial" w:hAnsi="Arial"/>
                <w:sz w:val="13"/>
                <w:szCs w:val="13"/>
                <w:color w:val="auto"/>
                <w:w w:val="97"/>
              </w:rPr>
              <w:t>Software</w:t>
            </w:r>
          </w:p>
        </w:tc>
        <w:tc>
          <w:tcPr>
            <w:tcW w:w="4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72"/>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Transportation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Construction in progress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63"/>
        </w:trPr>
        <w:tc>
          <w:tcPr>
            <w:tcW w:w="77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Property, plant, and equipment, gross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455.3</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Less: Accumulated depreciation</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color w:val="auto"/>
              </w:rPr>
              <w:t>Depreciation expense was $29.2 million, $24.2 million, and $18.2 million for Fiscal 2023, 2022, and 2021, respectively.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0" w:type="dxa"/>
            <w:vAlign w:val="bottom"/>
          </w:tcPr>
          <w:p>
            <w:pPr>
              <w:spacing w:after="0"/>
              <w:rPr>
                <w:sz w:val="20"/>
                <w:szCs w:val="20"/>
                <w:color w:val="auto"/>
              </w:rPr>
            </w:pPr>
            <w:r>
              <w:rPr>
                <w:rFonts w:ascii="Arial" w:cs="Arial" w:eastAsia="Arial" w:hAnsi="Arial"/>
                <w:sz w:val="13"/>
                <w:szCs w:val="13"/>
                <w:b w:val="1"/>
                <w:bCs w:val="1"/>
                <w:color w:val="auto"/>
              </w:rPr>
              <w:t>Note 7.</w:t>
            </w:r>
          </w:p>
        </w:tc>
        <w:tc>
          <w:tcPr>
            <w:tcW w:w="7180" w:type="dxa"/>
            <w:vAlign w:val="bottom"/>
            <w:gridSpan w:val="2"/>
          </w:tcPr>
          <w:p>
            <w:pPr>
              <w:ind w:left="40"/>
              <w:spacing w:after="0"/>
              <w:rPr>
                <w:sz w:val="20"/>
                <w:szCs w:val="20"/>
                <w:color w:val="auto"/>
              </w:rPr>
            </w:pPr>
            <w:r>
              <w:rPr>
                <w:rFonts w:ascii="Arial" w:cs="Arial" w:eastAsia="Arial" w:hAnsi="Arial"/>
                <w:sz w:val="13"/>
                <w:szCs w:val="13"/>
                <w:b w:val="1"/>
                <w:bCs w:val="1"/>
                <w:color w:val="auto"/>
              </w:rPr>
              <w:t>Goodwill and Intangible Assets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carrying value of goodwill by reportable segment, with no accumulated impairment losses, for Fiscal 2023, 2022, and 2021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b w:val="1"/>
                <w:bCs w:val="1"/>
                <w:color w:val="auto"/>
              </w:rPr>
              <w:t>Towable</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Motorhome</w:t>
            </w:r>
          </w:p>
        </w:tc>
        <w:tc>
          <w:tcPr>
            <w:tcW w:w="320" w:type="dxa"/>
            <w:vAlign w:val="bottom"/>
          </w:tcPr>
          <w:p>
            <w:pPr>
              <w:spacing w:after="0"/>
              <w:rPr>
                <w:sz w:val="13"/>
                <w:szCs w:val="13"/>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Marine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Corporate / All Other</w:t>
            </w:r>
          </w:p>
        </w:tc>
        <w:tc>
          <w:tcPr>
            <w:tcW w:w="360" w:type="dxa"/>
            <w:vAlign w:val="bottom"/>
          </w:tcPr>
          <w:p>
            <w:pPr>
              <w:spacing w:after="0"/>
              <w:rPr>
                <w:sz w:val="13"/>
                <w:szCs w:val="13"/>
                <w:color w:val="auto"/>
              </w:rPr>
            </w:pPr>
          </w:p>
        </w:tc>
        <w:tc>
          <w:tcPr>
            <w:tcW w:w="1180" w:type="dxa"/>
            <w:vAlign w:val="bottom"/>
            <w:vMerge w:val="restart"/>
          </w:tcPr>
          <w:p>
            <w:pPr>
              <w:jc w:val="right"/>
              <w:ind w:right="5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33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08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RV</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vMerge w:val="restart"/>
          </w:tcPr>
          <w:p>
            <w:pPr>
              <w:jc w:val="right"/>
              <w:ind w:right="616"/>
              <w:spacing w:after="0"/>
              <w:rPr>
                <w:sz w:val="20"/>
                <w:szCs w:val="20"/>
                <w:color w:val="auto"/>
              </w:rPr>
            </w:pPr>
            <w:r>
              <w:rPr>
                <w:rFonts w:ascii="Arial" w:cs="Arial" w:eastAsia="Arial" w:hAnsi="Arial"/>
                <w:sz w:val="13"/>
                <w:szCs w:val="13"/>
                <w:b w:val="1"/>
                <w:bCs w:val="1"/>
                <w:color w:val="auto"/>
              </w:rPr>
              <w:t>RV</w:t>
            </w:r>
          </w:p>
        </w:tc>
        <w:tc>
          <w:tcPr>
            <w:tcW w:w="8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3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August 28, 2021</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348.1</w:t>
            </w:r>
          </w:p>
        </w:tc>
        <w:tc>
          <w:tcPr>
            <w:tcW w:w="0" w:type="dxa"/>
            <w:vAlign w:val="bottom"/>
          </w:tcPr>
          <w:p>
            <w:pPr>
              <w:spacing w:after="0"/>
              <w:rPr>
                <w:sz w:val="1"/>
                <w:szCs w:val="1"/>
                <w:color w:val="auto"/>
              </w:rPr>
            </w:pPr>
          </w:p>
        </w:tc>
      </w:tr>
      <w:tr>
        <w:trPr>
          <w:trHeight w:val="170"/>
        </w:trPr>
        <w:tc>
          <w:tcPr>
            <w:tcW w:w="330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3"/>
                <w:szCs w:val="13"/>
                <w:color w:val="auto"/>
              </w:rPr>
              <w:t>Acquisition of Barletta</w:t>
            </w:r>
            <w:r>
              <w:rPr>
                <w:rFonts w:ascii="Arial" w:cs="Arial" w:eastAsia="Arial" w:hAnsi="Arial"/>
                <w:sz w:val="16"/>
                <w:szCs w:val="16"/>
                <w:color w:val="auto"/>
                <w:vertAlign w:val="superscript"/>
              </w:rPr>
              <w:t>(1)</w:t>
            </w: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August 27, 2022</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w:t>
            </w:r>
          </w:p>
        </w:tc>
        <w:tc>
          <w:tcPr>
            <w:tcW w:w="0" w:type="dxa"/>
            <w:vAlign w:val="bottom"/>
          </w:tcPr>
          <w:p>
            <w:pPr>
              <w:spacing w:after="0"/>
              <w:rPr>
                <w:sz w:val="1"/>
                <w:szCs w:val="1"/>
                <w:color w:val="auto"/>
              </w:rPr>
            </w:pPr>
          </w:p>
        </w:tc>
      </w:tr>
      <w:tr>
        <w:trPr>
          <w:trHeight w:val="170"/>
        </w:trPr>
        <w:tc>
          <w:tcPr>
            <w:tcW w:w="3300" w:type="dxa"/>
            <w:vAlign w:val="bottom"/>
          </w:tcPr>
          <w:p>
            <w:pPr>
              <w:ind w:left="120"/>
              <w:spacing w:after="0" w:line="170" w:lineRule="exact"/>
              <w:rPr>
                <w:sz w:val="20"/>
                <w:szCs w:val="20"/>
                <w:color w:val="auto"/>
              </w:rPr>
            </w:pPr>
            <w:r>
              <w:rPr>
                <w:rFonts w:ascii="Arial" w:cs="Arial" w:eastAsia="Arial" w:hAnsi="Arial"/>
                <w:sz w:val="13"/>
                <w:szCs w:val="13"/>
                <w:color w:val="auto"/>
              </w:rPr>
              <w:t>Acquisition of Lithionics</w:t>
            </w:r>
            <w:r>
              <w:rPr>
                <w:rFonts w:ascii="Arial" w:cs="Arial" w:eastAsia="Arial" w:hAnsi="Arial"/>
                <w:sz w:val="16"/>
                <w:szCs w:val="16"/>
                <w:color w:val="auto"/>
                <w:vertAlign w:val="superscript"/>
              </w:rPr>
              <w:t>(2)</w:t>
            </w:r>
          </w:p>
        </w:tc>
        <w:tc>
          <w:tcPr>
            <w:tcW w:w="10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30.3</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8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August 26, 2023</w:t>
            </w:r>
          </w:p>
        </w:tc>
        <w:tc>
          <w:tcPr>
            <w:tcW w:w="108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00" w:right="180" w:hanging="195"/>
        <w:spacing w:after="0" w:line="210" w:lineRule="auto"/>
        <w:tabs>
          <w:tab w:leader="none" w:pos="225"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The change in marine activity is related to the acquisition of Barletta that occurred on August 31, 2021. See Note 2 in the Notes to Consolidated Financial Statements included in Item 8 of Part II of this Annual Report on Form 10-K.</w:t>
      </w:r>
    </w:p>
    <w:p>
      <w:pPr>
        <w:spacing w:after="0" w:line="36" w:lineRule="exact"/>
        <w:rPr>
          <w:rFonts w:ascii="Arial" w:cs="Arial" w:eastAsia="Arial" w:hAnsi="Arial"/>
          <w:sz w:val="17"/>
          <w:szCs w:val="17"/>
          <w:color w:val="auto"/>
          <w:vertAlign w:val="superscript"/>
        </w:rPr>
      </w:pPr>
    </w:p>
    <w:p>
      <w:pPr>
        <w:ind w:left="200" w:right="80" w:hanging="195"/>
        <w:spacing w:after="0" w:line="226" w:lineRule="auto"/>
        <w:tabs>
          <w:tab w:leader="none" w:pos="201" w:val="left"/>
        </w:tabs>
        <w:numPr>
          <w:ilvl w:val="0"/>
          <w:numId w:val="19"/>
        </w:numPr>
        <w:rPr>
          <w:rFonts w:ascii="Arial" w:cs="Arial" w:eastAsia="Arial" w:hAnsi="Arial"/>
          <w:sz w:val="15"/>
          <w:szCs w:val="15"/>
          <w:color w:val="auto"/>
          <w:vertAlign w:val="superscript"/>
        </w:rPr>
      </w:pPr>
      <w:r>
        <w:rPr>
          <w:rFonts w:ascii="Arial" w:cs="Arial" w:eastAsia="Arial" w:hAnsi="Arial"/>
          <w:sz w:val="11"/>
          <w:szCs w:val="11"/>
          <w:color w:val="auto"/>
        </w:rPr>
        <w:t>The change in Corporate / All Other activity is related to the acquisition of Lithionics that occurred on April 28, 2023. See Note 2 in the Notes to Consolidated Financial Statements included in Item 8 of Part II of this Annual Report on Form 10-K.</w:t>
      </w:r>
    </w:p>
    <w:p>
      <w:pPr>
        <w:spacing w:after="0" w:line="257" w:lineRule="exact"/>
        <w:rPr>
          <w:sz w:val="20"/>
          <w:szCs w:val="20"/>
          <w:color w:val="auto"/>
        </w:rPr>
      </w:pPr>
    </w:p>
    <w:p>
      <w:pPr>
        <w:jc w:val="both"/>
        <w:ind w:right="60"/>
        <w:spacing w:after="0" w:line="256" w:lineRule="auto"/>
        <w:rPr>
          <w:sz w:val="20"/>
          <w:szCs w:val="20"/>
          <w:color w:val="auto"/>
        </w:rPr>
      </w:pPr>
      <w:r>
        <w:rPr>
          <w:rFonts w:ascii="Arial" w:cs="Arial" w:eastAsia="Arial" w:hAnsi="Arial"/>
          <w:sz w:val="13"/>
          <w:szCs w:val="13"/>
          <w:color w:val="auto"/>
        </w:rPr>
        <w:t>The valuation used to test goodwill for impairment is dependent upon a number of significant estimates and assumptions, including macroeconomic conditions, growth rates, competitive activities, cost containment, margin expansion and our business plans. We believe these estimates and assumptions are reasonable. However, future changes in the judgments, assumptions and estimates that are used in our goodwill impairment analysis, including discount and tax rates or future cash flow projections, could result in significantly different estimates of the fair values.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644"/>
        </w:trPr>
        <w:tc>
          <w:tcPr>
            <w:tcW w:w="5880" w:type="dxa"/>
            <w:vAlign w:val="bottom"/>
            <w:gridSpan w:val="2"/>
          </w:tcPr>
          <w:p>
            <w:pPr>
              <w:spacing w:after="0"/>
              <w:rPr>
                <w:sz w:val="20"/>
                <w:szCs w:val="20"/>
                <w:color w:val="auto"/>
              </w:rPr>
            </w:pPr>
            <w:r>
              <w:rPr>
                <w:rFonts w:ascii="Arial" w:cs="Arial" w:eastAsia="Arial" w:hAnsi="Arial"/>
                <w:sz w:val="13"/>
                <w:szCs w:val="13"/>
                <w:color w:val="auto"/>
              </w:rPr>
              <w:t>Other intangible assets, net of accumulated amortization, consist of the following:</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5"/>
        </w:trPr>
        <w:tc>
          <w:tcPr>
            <w:tcW w:w="10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b w:val="1"/>
                <w:bCs w:val="1"/>
                <w:color w:val="auto"/>
                <w:w w:val="96"/>
              </w:rPr>
              <w:t>August 26, 2023</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60"/>
        </w:trPr>
        <w:tc>
          <w:tcPr>
            <w:tcW w:w="58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Gross Carrying Amount</w:t>
            </w: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Accumulated Amortization</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3"/>
                <w:szCs w:val="13"/>
                <w:b w:val="1"/>
                <w:bCs w:val="1"/>
                <w:color w:val="auto"/>
              </w:rPr>
              <w:t>Net Carrying Value</w:t>
            </w:r>
          </w:p>
        </w:tc>
      </w:tr>
      <w:tr>
        <w:trPr>
          <w:trHeight w:val="16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Indefinite-lived 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352.3</w:t>
            </w:r>
          </w:p>
        </w:tc>
      </w:tr>
      <w:tr>
        <w:trPr>
          <w:trHeight w:val="168"/>
        </w:trPr>
        <w:tc>
          <w:tcPr>
            <w:tcW w:w="5880" w:type="dxa"/>
            <w:vAlign w:val="bottom"/>
            <w:gridSpan w:val="2"/>
          </w:tcPr>
          <w:p>
            <w:pPr>
              <w:ind w:left="20"/>
              <w:spacing w:after="0"/>
              <w:rPr>
                <w:sz w:val="20"/>
                <w:szCs w:val="20"/>
                <w:color w:val="auto"/>
              </w:rPr>
            </w:pPr>
            <w:r>
              <w:rPr>
                <w:rFonts w:ascii="Arial" w:cs="Arial" w:eastAsia="Arial" w:hAnsi="Arial"/>
                <w:sz w:val="13"/>
                <w:szCs w:val="13"/>
                <w:color w:val="auto"/>
              </w:rPr>
              <w:t>Finite-lived trade name</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3.9</w:t>
            </w:r>
          </w:p>
        </w:tc>
      </w:tr>
      <w:tr>
        <w:trPr>
          <w:trHeight w:val="17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Dealer networks/customer relationships</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68"/>
        </w:trPr>
        <w:tc>
          <w:tcPr>
            <w:tcW w:w="5880" w:type="dxa"/>
            <w:vAlign w:val="bottom"/>
            <w:gridSpan w:val="2"/>
          </w:tcPr>
          <w:p>
            <w:pPr>
              <w:ind w:left="20"/>
              <w:spacing w:after="0"/>
              <w:rPr>
                <w:sz w:val="20"/>
                <w:szCs w:val="20"/>
                <w:color w:val="auto"/>
              </w:rPr>
            </w:pPr>
            <w:r>
              <w:rPr>
                <w:rFonts w:ascii="Arial" w:cs="Arial" w:eastAsia="Arial" w:hAnsi="Arial"/>
                <w:sz w:val="13"/>
                <w:szCs w:val="13"/>
                <w:color w:val="auto"/>
              </w:rPr>
              <w:t>Backlog</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7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36.5</w:t>
            </w:r>
          </w:p>
        </w:tc>
      </w:tr>
      <w:tr>
        <w:trPr>
          <w:trHeight w:val="168"/>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Non-compete agreements</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0.2</w:t>
            </w:r>
          </w:p>
        </w:tc>
      </w:tr>
      <w:tr>
        <w:trPr>
          <w:trHeight w:val="188"/>
        </w:trPr>
        <w:tc>
          <w:tcPr>
            <w:tcW w:w="5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628.5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502.0</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81"/>
        </w:trPr>
        <w:tc>
          <w:tcPr>
            <w:tcW w:w="10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b w:val="1"/>
                <w:bCs w:val="1"/>
                <w:color w:val="auto"/>
                <w:w w:val="96"/>
              </w:rPr>
              <w:t>August 27, 2022</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60"/>
        </w:trPr>
        <w:tc>
          <w:tcPr>
            <w:tcW w:w="58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Gross Carrying Amount</w:t>
            </w: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Accumulated Amortization</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3"/>
                <w:szCs w:val="13"/>
                <w:b w:val="1"/>
                <w:bCs w:val="1"/>
                <w:color w:val="auto"/>
              </w:rPr>
              <w:t>Net Carrying Value</w:t>
            </w:r>
          </w:p>
        </w:tc>
      </w:tr>
      <w:tr>
        <w:trPr>
          <w:trHeight w:val="16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Indefinite-lived 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352.3</w:t>
            </w:r>
          </w:p>
        </w:tc>
      </w:tr>
      <w:tr>
        <w:trPr>
          <w:trHeight w:val="168"/>
        </w:trPr>
        <w:tc>
          <w:tcPr>
            <w:tcW w:w="5880" w:type="dxa"/>
            <w:vAlign w:val="bottom"/>
            <w:gridSpan w:val="2"/>
          </w:tcPr>
          <w:p>
            <w:pPr>
              <w:ind w:left="20"/>
              <w:spacing w:after="0"/>
              <w:rPr>
                <w:sz w:val="20"/>
                <w:szCs w:val="20"/>
                <w:color w:val="auto"/>
              </w:rPr>
            </w:pPr>
            <w:r>
              <w:rPr>
                <w:rFonts w:ascii="Arial" w:cs="Arial" w:eastAsia="Arial" w:hAnsi="Arial"/>
                <w:sz w:val="13"/>
                <w:szCs w:val="13"/>
                <w:color w:val="auto"/>
              </w:rPr>
              <w:t>Dealer networks/customer relationships</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119.5</w:t>
            </w:r>
          </w:p>
        </w:tc>
      </w:tr>
      <w:tr>
        <w:trPr>
          <w:trHeight w:val="17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Backlog</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8"/>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Non-compete agreements</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0.6</w:t>
            </w:r>
          </w:p>
        </w:tc>
      </w:tr>
      <w:tr>
        <w:trPr>
          <w:trHeight w:val="188"/>
        </w:trPr>
        <w:tc>
          <w:tcPr>
            <w:tcW w:w="5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581.2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472.4</w:t>
            </w:r>
          </w:p>
        </w:tc>
      </w:tr>
      <w:tr>
        <w:trPr>
          <w:trHeight w:val="20"/>
        </w:trPr>
        <w:tc>
          <w:tcPr>
            <w:tcW w:w="588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382"/>
        </w:trPr>
        <w:tc>
          <w:tcPr>
            <w:tcW w:w="7980" w:type="dxa"/>
            <w:vAlign w:val="bottom"/>
            <w:gridSpan w:val="6"/>
          </w:tcPr>
          <w:p>
            <w:pPr>
              <w:spacing w:after="0"/>
              <w:rPr>
                <w:sz w:val="20"/>
                <w:szCs w:val="20"/>
                <w:color w:val="auto"/>
              </w:rPr>
            </w:pPr>
            <w:r>
              <w:rPr>
                <w:rFonts w:ascii="Arial" w:cs="Arial" w:eastAsia="Arial" w:hAnsi="Arial"/>
                <w:sz w:val="13"/>
                <w:szCs w:val="13"/>
                <w:color w:val="auto"/>
                <w:w w:val="99"/>
              </w:rPr>
              <w:t>The weighted average remaining amortization period for finite-lived intangible assets as of August 26, 2023 was approximately seven years.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5880" w:type="dxa"/>
            <w:vAlign w:val="bottom"/>
            <w:gridSpan w:val="2"/>
          </w:tcPr>
          <w:p>
            <w:pPr>
              <w:spacing w:after="0"/>
              <w:rPr>
                <w:sz w:val="20"/>
                <w:szCs w:val="20"/>
                <w:color w:val="auto"/>
              </w:rPr>
            </w:pPr>
            <w:r>
              <w:rPr>
                <w:rFonts w:ascii="Arial" w:cs="Arial" w:eastAsia="Arial" w:hAnsi="Arial"/>
                <w:sz w:val="13"/>
                <w:szCs w:val="13"/>
                <w:color w:val="auto"/>
              </w:rPr>
              <w:t>Estimated future amortization expense related to finite-lived intangible assets is as follows:</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616"/>
              <w:spacing w:after="0"/>
              <w:rPr>
                <w:sz w:val="20"/>
                <w:szCs w:val="20"/>
                <w:color w:val="auto"/>
              </w:rPr>
            </w:pPr>
            <w:r>
              <w:rPr>
                <w:rFonts w:ascii="Arial" w:cs="Arial" w:eastAsia="Arial" w:hAnsi="Arial"/>
                <w:sz w:val="13"/>
                <w:szCs w:val="13"/>
                <w:b w:val="1"/>
                <w:bCs w:val="1"/>
                <w:color w:val="auto"/>
              </w:rPr>
              <w:t>Amortization</w:t>
            </w:r>
          </w:p>
        </w:tc>
      </w:tr>
      <w:tr>
        <w:trPr>
          <w:trHeight w:val="160"/>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Fiscal 2024</w:t>
            </w: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00" w:type="dxa"/>
            <w:vAlign w:val="bottom"/>
          </w:tcPr>
          <w:p>
            <w:pPr>
              <w:spacing w:after="0"/>
              <w:rPr>
                <w:sz w:val="13"/>
                <w:szCs w:val="13"/>
                <w:color w:val="auto"/>
              </w:rPr>
            </w:pPr>
          </w:p>
        </w:tc>
      </w:tr>
      <w:tr>
        <w:trPr>
          <w:trHeight w:val="168"/>
        </w:trPr>
        <w:tc>
          <w:tcPr>
            <w:tcW w:w="5880" w:type="dxa"/>
            <w:vAlign w:val="bottom"/>
            <w:gridSpan w:val="2"/>
          </w:tcPr>
          <w:p>
            <w:pPr>
              <w:ind w:left="20"/>
              <w:spacing w:after="0"/>
              <w:rPr>
                <w:sz w:val="20"/>
                <w:szCs w:val="20"/>
                <w:color w:val="auto"/>
              </w:rPr>
            </w:pPr>
            <w:r>
              <w:rPr>
                <w:rFonts w:ascii="Arial" w:cs="Arial" w:eastAsia="Arial" w:hAnsi="Arial"/>
                <w:sz w:val="13"/>
                <w:szCs w:val="13"/>
                <w:color w:val="auto"/>
              </w:rPr>
              <w:t>Fiscal 2025</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22.1</w:t>
            </w:r>
          </w:p>
        </w:tc>
        <w:tc>
          <w:tcPr>
            <w:tcW w:w="200" w:type="dxa"/>
            <w:vAlign w:val="bottom"/>
          </w:tcPr>
          <w:p>
            <w:pPr>
              <w:spacing w:after="0"/>
              <w:rPr>
                <w:sz w:val="14"/>
                <w:szCs w:val="14"/>
                <w:color w:val="auto"/>
              </w:rPr>
            </w:pPr>
          </w:p>
        </w:tc>
      </w:tr>
      <w:tr>
        <w:trPr>
          <w:trHeight w:val="17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2026</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200" w:type="dxa"/>
            <w:vAlign w:val="bottom"/>
          </w:tcPr>
          <w:p>
            <w:pPr>
              <w:spacing w:after="0"/>
              <w:rPr>
                <w:sz w:val="14"/>
                <w:szCs w:val="14"/>
                <w:color w:val="auto"/>
              </w:rPr>
            </w:pPr>
          </w:p>
        </w:tc>
      </w:tr>
      <w:tr>
        <w:trPr>
          <w:trHeight w:val="168"/>
        </w:trPr>
        <w:tc>
          <w:tcPr>
            <w:tcW w:w="5880" w:type="dxa"/>
            <w:vAlign w:val="bottom"/>
            <w:gridSpan w:val="2"/>
          </w:tcPr>
          <w:p>
            <w:pPr>
              <w:ind w:left="20"/>
              <w:spacing w:after="0"/>
              <w:rPr>
                <w:sz w:val="20"/>
                <w:szCs w:val="20"/>
                <w:color w:val="auto"/>
              </w:rPr>
            </w:pPr>
            <w:r>
              <w:rPr>
                <w:rFonts w:ascii="Arial" w:cs="Arial" w:eastAsia="Arial" w:hAnsi="Arial"/>
                <w:sz w:val="13"/>
                <w:szCs w:val="13"/>
                <w:color w:val="auto"/>
              </w:rPr>
              <w:t>Fiscal 2027</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21.7</w:t>
            </w:r>
          </w:p>
        </w:tc>
        <w:tc>
          <w:tcPr>
            <w:tcW w:w="200" w:type="dxa"/>
            <w:vAlign w:val="bottom"/>
          </w:tcPr>
          <w:p>
            <w:pPr>
              <w:spacing w:after="0"/>
              <w:rPr>
                <w:sz w:val="14"/>
                <w:szCs w:val="14"/>
                <w:color w:val="auto"/>
              </w:rPr>
            </w:pPr>
          </w:p>
        </w:tc>
      </w:tr>
      <w:tr>
        <w:trPr>
          <w:trHeight w:val="17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2028</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0" w:type="dxa"/>
            <w:vAlign w:val="bottom"/>
          </w:tcPr>
          <w:p>
            <w:pPr>
              <w:spacing w:after="0"/>
              <w:rPr>
                <w:sz w:val="14"/>
                <w:szCs w:val="14"/>
                <w:color w:val="auto"/>
              </w:rPr>
            </w:pPr>
          </w:p>
        </w:tc>
      </w:tr>
      <w:tr>
        <w:trPr>
          <w:trHeight w:val="168"/>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200" w:type="dxa"/>
            <w:vAlign w:val="bottom"/>
          </w:tcPr>
          <w:p>
            <w:pPr>
              <w:spacing w:after="0"/>
              <w:rPr>
                <w:sz w:val="14"/>
                <w:szCs w:val="14"/>
                <w:color w:val="auto"/>
              </w:rPr>
            </w:pPr>
          </w:p>
        </w:tc>
      </w:tr>
      <w:tr>
        <w:trPr>
          <w:trHeight w:val="183"/>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amortization expense remaining</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200" w:type="dxa"/>
            <w:vAlign w:val="bottom"/>
          </w:tcPr>
          <w:p>
            <w:pPr>
              <w:spacing w:after="0"/>
              <w:rPr>
                <w:sz w:val="15"/>
                <w:szCs w:val="15"/>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Product Warranties</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69" w:lineRule="exact"/>
        <w:rPr>
          <w:sz w:val="20"/>
          <w:szCs w:val="20"/>
          <w:color w:val="auto"/>
        </w:rPr>
      </w:pPr>
    </w:p>
    <w:p>
      <w:pPr>
        <w:ind w:right="300"/>
        <w:spacing w:after="0" w:line="256" w:lineRule="auto"/>
        <w:rPr>
          <w:sz w:val="20"/>
          <w:szCs w:val="20"/>
          <w:color w:val="auto"/>
        </w:rPr>
      </w:pPr>
      <w:r>
        <w:rPr>
          <w:rFonts w:ascii="Arial" w:cs="Arial" w:eastAsia="Arial" w:hAnsi="Arial"/>
          <w:sz w:val="13"/>
          <w:szCs w:val="13"/>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product warranty liability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r>
      <w:tr>
        <w:trPr>
          <w:trHeight w:val="16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r>
      <w:tr>
        <w:trPr>
          <w:trHeight w:val="170"/>
        </w:trPr>
        <w:tc>
          <w:tcPr>
            <w:tcW w:w="5880" w:type="dxa"/>
            <w:vAlign w:val="bottom"/>
          </w:tcPr>
          <w:p>
            <w:pPr>
              <w:ind w:left="120"/>
              <w:spacing w:after="0" w:line="170" w:lineRule="exact"/>
              <w:rPr>
                <w:sz w:val="20"/>
                <w:szCs w:val="20"/>
                <w:color w:val="auto"/>
              </w:rPr>
            </w:pPr>
            <w:r>
              <w:rPr>
                <w:rFonts w:ascii="Arial" w:cs="Arial" w:eastAsia="Arial" w:hAnsi="Arial"/>
                <w:sz w:val="13"/>
                <w:szCs w:val="13"/>
                <w:color w:val="auto"/>
              </w:rPr>
              <w:t>Business acquisitions</w:t>
            </w:r>
            <w:r>
              <w:rPr>
                <w:rFonts w:ascii="Arial" w:cs="Arial" w:eastAsia="Arial" w:hAnsi="Arial"/>
                <w:sz w:val="16"/>
                <w:szCs w:val="16"/>
                <w:color w:val="auto"/>
                <w:vertAlign w:val="superscript"/>
              </w:rPr>
              <w:t>(1)</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Provision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r>
      <w:tr>
        <w:trPr>
          <w:trHeight w:val="168"/>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Claims paid</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w:t>
            </w:r>
          </w:p>
        </w:tc>
      </w:tr>
      <w:tr>
        <w:trPr>
          <w:trHeight w:val="18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00" w:right="120" w:hanging="195"/>
        <w:spacing w:after="0" w:line="210" w:lineRule="auto"/>
        <w:tabs>
          <w:tab w:leader="none" w:pos="236" w:val="left"/>
        </w:tabs>
        <w:numPr>
          <w:ilvl w:val="0"/>
          <w:numId w:val="20"/>
        </w:numPr>
        <w:rPr>
          <w:rFonts w:ascii="Arial" w:cs="Arial" w:eastAsia="Arial" w:hAnsi="Arial"/>
          <w:sz w:val="17"/>
          <w:szCs w:val="17"/>
          <w:color w:val="auto"/>
          <w:vertAlign w:val="superscript"/>
        </w:rPr>
      </w:pPr>
      <w:r>
        <w:rPr>
          <w:rFonts w:ascii="Arial" w:cs="Arial" w:eastAsia="Arial" w:hAnsi="Arial"/>
          <w:sz w:val="11"/>
          <w:szCs w:val="11"/>
          <w:color w:val="auto"/>
        </w:rPr>
        <w:t>Refer to Note 2 in the Notes to Consolidated Financial Statements included in Item 8 of Part II of this Annual Report on Form 10-K for more information on the acquisition of Lithionics on April 28, 2023 and the acquisition of Barletta on August 31, 2021.</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Long-Term Debt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On July 15, 2022, we amended and restated our asset-backed revolving credit agreement ("ABL Credit Facility") to, among other things, increase the commitments available from $192.5 million to</w:t>
      </w:r>
    </w:p>
    <w:p>
      <w:pPr>
        <w:spacing w:after="0" w:line="7"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the ABL Credit Facility borrowings is at a floating rate based upon our election, either term SOFR or REVSOFR30 (as defined in the credit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agreement.</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our existing and future assets (other than certain collateral under the ABL Credit Facility) and (ii) a second-priority lien on our present and future receivables, inventory and other related assets and proceeds that secure the ABL Credit Facility on a first-priority basis.</w:t>
      </w:r>
    </w:p>
    <w:p>
      <w:pPr>
        <w:spacing w:after="0" w:line="159"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The Indenture limits certain of our abilities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our restricted subsidiaries to pay dividends or make other inter-company distributions; engage in certain transactions with affiliates; designate subsidiaries as unrestricted subsidiaries; and consolidate, merge or transfer all or substantially all of our assets and the assets of our restricted subsidiaries.</w:t>
      </w:r>
    </w:p>
    <w:p>
      <w:pPr>
        <w:spacing w:after="0" w:line="183" w:lineRule="exact"/>
        <w:rPr>
          <w:sz w:val="20"/>
          <w:szCs w:val="20"/>
          <w:color w:val="auto"/>
        </w:rPr>
      </w:pPr>
    </w:p>
    <w:p>
      <w:pPr>
        <w:ind w:right="100"/>
        <w:spacing w:after="0" w:line="247" w:lineRule="auto"/>
        <w:rPr>
          <w:sz w:val="20"/>
          <w:szCs w:val="20"/>
          <w:color w:val="auto"/>
        </w:rPr>
      </w:pPr>
      <w:r>
        <w:rPr>
          <w:rFonts w:ascii="Arial" w:cs="Arial" w:eastAsia="Arial" w:hAnsi="Arial"/>
          <w:sz w:val="13"/>
          <w:szCs w:val="13"/>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Convertible Notes</w:t>
      </w:r>
    </w:p>
    <w:p>
      <w:pPr>
        <w:spacing w:after="0" w:line="92" w:lineRule="exact"/>
        <w:rPr>
          <w:sz w:val="20"/>
          <w:szCs w:val="20"/>
          <w:color w:val="auto"/>
        </w:rPr>
      </w:pPr>
    </w:p>
    <w:p>
      <w:pPr>
        <w:jc w:val="both"/>
        <w:ind w:right="40"/>
        <w:spacing w:after="0" w:line="256" w:lineRule="auto"/>
        <w:rPr>
          <w:sz w:val="20"/>
          <w:szCs w:val="20"/>
          <w:color w:val="auto"/>
        </w:rPr>
      </w:pPr>
      <w:r>
        <w:rPr>
          <w:rFonts w:ascii="Arial" w:cs="Arial" w:eastAsia="Arial" w:hAnsi="Arial"/>
          <w:sz w:val="13"/>
          <w:szCs w:val="13"/>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Convertible Notes will be convertible into cash, shares of our common stock or a combination thereof, at our election, at an initial conversion rate of 15.6906 shares of common stock</w:t>
      </w:r>
    </w:p>
    <w:p>
      <w:pPr>
        <w:spacing w:after="0" w:line="12"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per $1,000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The conversion rate of the Convertible Notes may be adjusted in certain circumstances, including in connection with a conversion of the Convertible Notes made following certain fundamental changes and under other circumstances set forth in the indenture. As of August 26, 2023, the conversion rate was 15.9395 shares of common stock per $1,000 principal amount of Convertible Notes, which is equivalent to a conversion price of approximately $62.74. The difference between the initial conversion rate and the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conversion rate as of August 26, 2023 is due to cash dividends that have been declared following the issuance of the Convertible Notes.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It is our current intent to settle all conversions of the Convertible Notes in cash. Our ability to cash settle may be limited depending on the stock price at the time of conversion.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October 1, 2024, the Convertible Notes will be convertible only under the following circumstances:</w:t>
      </w:r>
    </w:p>
    <w:p>
      <w:pPr>
        <w:spacing w:after="0" w:line="201" w:lineRule="exact"/>
        <w:rPr>
          <w:sz w:val="20"/>
          <w:szCs w:val="20"/>
          <w:color w:val="auto"/>
        </w:rPr>
      </w:pPr>
    </w:p>
    <w:p>
      <w:pPr>
        <w:ind w:left="520" w:right="80" w:hanging="260"/>
        <w:spacing w:after="0" w:line="247"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79" w:lineRule="exact"/>
        <w:rPr>
          <w:rFonts w:ascii="Arial" w:cs="Arial" w:eastAsia="Arial" w:hAnsi="Arial"/>
          <w:sz w:val="13"/>
          <w:szCs w:val="13"/>
          <w:color w:val="auto"/>
        </w:rPr>
      </w:pPr>
    </w:p>
    <w:p>
      <w:pPr>
        <w:ind w:left="520" w:right="20" w:hanging="260"/>
        <w:spacing w:after="0" w:line="256"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during the 5 consecutive business day period after any 5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62"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upon the occurrence of certain specified corporate events set forth in the Convertible Notes Indenture.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may not redeem the Convertible Notes at our option prior to the maturity date, and no sinking fund is provided for the Convertible Notes.</w:t>
      </w:r>
    </w:p>
    <w:p>
      <w:pPr>
        <w:spacing w:after="0" w:line="20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 and are expected generally to reduce the potential dilution and/or offset any cash payments we are required to make in excess of the principal amount due, as the case may be, upon conversion of the Convertible Notes in the event that the market price of our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186"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our common stock on October 29, 2019. The Warrant Transactions could have a dilutive effect to our shareholders to the extent that the market price per share of our common stock, as measured under the terms of the Warrant Transactions, exceeds the applicable strike price of the warrants.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We used $28.6 million of the net proceeds from the issuance of the Convertible Notes to pay the cost of the Call Spread Transactions.</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Treatment of the Convertible Notes and Related Hedge Transactions and Warrant Transactions</w:t>
      </w:r>
    </w:p>
    <w:p>
      <w:pPr>
        <w:spacing w:after="0" w:line="88" w:lineRule="exact"/>
        <w:rPr>
          <w:sz w:val="20"/>
          <w:szCs w:val="20"/>
          <w:color w:val="auto"/>
        </w:rPr>
      </w:pPr>
    </w:p>
    <w:p>
      <w:pPr>
        <w:ind w:right="300"/>
        <w:spacing w:after="0" w:line="257" w:lineRule="auto"/>
        <w:rPr>
          <w:sz w:val="20"/>
          <w:szCs w:val="20"/>
          <w:color w:val="auto"/>
        </w:rPr>
      </w:pPr>
      <w:r>
        <w:rPr>
          <w:rFonts w:ascii="Arial" w:cs="Arial" w:eastAsia="Arial" w:hAnsi="Arial"/>
          <w:sz w:val="13"/>
          <w:szCs w:val="13"/>
          <w:color w:val="auto"/>
        </w:rPr>
        <w:t>In the first quarter of Fiscal 2023, we adopted ASU 2020-06 using the modified retrospective approach. The new guidance simplifies the accounting for convertible instruments by removing certain separation models. As a result, more convertible debt instruments will be accounted for as a single liability measured at amortized cost.</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Prior to our adoption of ASU 2020-06,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represented the difference between the fair value of the initial $215.0 million in debt and the $300.0 million of gross proceeds. The initial debt discount of $85.0 million was being amortized over the life of the Convertible Notes as non-cash interest expense using the effective interest method. We recognized $15.1 million and $13.9 million of non-cash interest expense during Fiscal 2022 and Fiscal 2021, respectively. In addition, offering-related costs of $9.8 million were allocated to the liability and equity components in proportion to the allocation of proceeds.</w:t>
      </w:r>
    </w:p>
    <w:p>
      <w:pPr>
        <w:spacing w:after="0" w:line="173" w:lineRule="exact"/>
        <w:rPr>
          <w:sz w:val="20"/>
          <w:szCs w:val="20"/>
          <w:color w:val="auto"/>
        </w:rPr>
      </w:pPr>
    </w:p>
    <w:p>
      <w:pPr>
        <w:ind w:right="120"/>
        <w:spacing w:after="0" w:line="317" w:lineRule="auto"/>
        <w:rPr>
          <w:sz w:val="20"/>
          <w:szCs w:val="20"/>
          <w:color w:val="auto"/>
        </w:rPr>
      </w:pPr>
      <w:r>
        <w:rPr>
          <w:rFonts w:ascii="Arial" w:cs="Arial" w:eastAsia="Arial" w:hAnsi="Arial"/>
          <w:sz w:val="12"/>
          <w:szCs w:val="12"/>
          <w:color w:val="auto"/>
        </w:rPr>
        <w:t>In connection with our adoption of ASU 2020-06, we derecognized the remaining unamortized interest discount on the Convertible Notes and therefore recorded no non-cash interest expense related to the amortization of the debt discount in Fiscal 2023. As a result, the Convertible Notes are now accounted for as a single liability measured at amortized cost. Interest expense, representing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color w:val="auto"/>
        </w:rPr>
        <w:t>the amortization of the debt issuance costs as well as the contractual interest expense is amortized using an effective interest rate of 2.1% over the term of the Convertible Notes. We recorded interest expense of $6.3 million, $19.6 million, and $18.4 million for Fiscal 2023, 2022, and 2021, respectively.</w:t>
      </w:r>
    </w:p>
    <w:p>
      <w:pPr>
        <w:spacing w:after="0" w:line="178" w:lineRule="exact"/>
        <w:rPr>
          <w:sz w:val="20"/>
          <w:szCs w:val="20"/>
          <w:color w:val="auto"/>
        </w:rPr>
      </w:pPr>
    </w:p>
    <w:p>
      <w:pPr>
        <w:ind w:right="440"/>
        <w:spacing w:after="0" w:line="257" w:lineRule="auto"/>
        <w:rPr>
          <w:sz w:val="20"/>
          <w:szCs w:val="20"/>
          <w:color w:val="auto"/>
        </w:rPr>
      </w:pPr>
      <w:r>
        <w:rPr>
          <w:rFonts w:ascii="Arial" w:cs="Arial" w:eastAsia="Arial" w:hAnsi="Arial"/>
          <w:sz w:val="13"/>
          <w:szCs w:val="13"/>
          <w:color w:val="auto"/>
        </w:rPr>
        <w:t>Refer to Note 16 in the Notes to Consolidated Financial Statements included in Item 8 of Part II of this Annual Report on Form 10-K for more information related to the earnings per share impact associated with the Convertible Notes and our adoption of ASU-2020-06.</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net cost incurred in connection with the Call Spread Transactions was $11.2 million. These transactions are classified as equity and are not remeasured each reporting period.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20"/>
                <w:szCs w:val="20"/>
                <w:color w:val="auto"/>
              </w:rPr>
            </w:pPr>
            <w:r>
              <w:rPr>
                <w:rFonts w:ascii="Arial" w:cs="Arial" w:eastAsia="Arial" w:hAnsi="Arial"/>
                <w:sz w:val="13"/>
                <w:szCs w:val="13"/>
                <w:color w:val="auto"/>
              </w:rPr>
              <w:t>Long-term debt consists of the following:</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5"/>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26, 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27, 2022</w:t>
            </w:r>
          </w:p>
        </w:tc>
      </w:tr>
      <w:tr>
        <w:trPr>
          <w:trHeight w:val="16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ABL Credit Facility</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Senior Secured Notes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300.0</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w:t>
            </w:r>
          </w:p>
        </w:tc>
      </w:tr>
      <w:tr>
        <w:trPr>
          <w:trHeight w:val="158"/>
        </w:trPr>
        <w:tc>
          <w:tcPr>
            <w:tcW w:w="7720" w:type="dxa"/>
            <w:vAlign w:val="bottom"/>
          </w:tcPr>
          <w:p>
            <w:pPr>
              <w:ind w:left="120"/>
              <w:spacing w:after="0"/>
              <w:rPr>
                <w:sz w:val="20"/>
                <w:szCs w:val="20"/>
                <w:color w:val="auto"/>
              </w:rPr>
            </w:pPr>
            <w:r>
              <w:rPr>
                <w:rFonts w:ascii="Arial" w:cs="Arial" w:eastAsia="Arial" w:hAnsi="Arial"/>
                <w:sz w:val="13"/>
                <w:szCs w:val="13"/>
                <w:color w:val="auto"/>
              </w:rPr>
              <w:t>Long-term debt, gross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600.0</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 unamortized interest discount</w:t>
            </w: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Debt issuance cost, net</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r>
      <w:tr>
        <w:trPr>
          <w:trHeight w:val="188"/>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Long-term debt, net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and Future Maturities</w:t>
      </w:r>
    </w:p>
    <w:p>
      <w:pPr>
        <w:spacing w:after="0" w:line="198" w:lineRule="exact"/>
        <w:rPr>
          <w:sz w:val="20"/>
          <w:szCs w:val="20"/>
          <w:color w:val="auto"/>
        </w:rPr>
      </w:pPr>
    </w:p>
    <w:p>
      <w:pPr>
        <w:ind w:right="80"/>
        <w:spacing w:after="0" w:line="274" w:lineRule="auto"/>
        <w:rPr>
          <w:sz w:val="20"/>
          <w:szCs w:val="20"/>
          <w:color w:val="auto"/>
        </w:rPr>
      </w:pPr>
      <w:r>
        <w:rPr>
          <w:rFonts w:ascii="Arial" w:cs="Arial" w:eastAsia="Arial" w:hAnsi="Arial"/>
          <w:sz w:val="13"/>
          <w:szCs w:val="13"/>
          <w:color w:val="auto"/>
        </w:rPr>
        <w:t>As of August 26, 2023 and August 27, 2022, the fair value of long-term debt, gross, was $640.2 million and $634.2 million, respectively. The fair value of the Convertible Notes was $349.0 million as of August 26, 2023. We are in compliance with all of our financial debt covenants as of August 26, 2023.</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Aggregate contractual maturities of debt in future fiscal years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Amount</w:t>
            </w:r>
          </w:p>
        </w:tc>
      </w:tr>
      <w:tr>
        <w:trPr>
          <w:trHeight w:val="160"/>
        </w:trPr>
        <w:tc>
          <w:tcPr>
            <w:tcW w:w="9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2024</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560" w:type="dxa"/>
            <w:vAlign w:val="bottom"/>
          </w:tcPr>
          <w:p>
            <w:pPr>
              <w:ind w:left="20"/>
              <w:spacing w:after="0"/>
              <w:rPr>
                <w:sz w:val="20"/>
                <w:szCs w:val="20"/>
                <w:color w:val="auto"/>
              </w:rPr>
            </w:pPr>
            <w:r>
              <w:rPr>
                <w:rFonts w:ascii="Arial" w:cs="Arial" w:eastAsia="Arial" w:hAnsi="Arial"/>
                <w:sz w:val="13"/>
                <w:szCs w:val="13"/>
                <w:color w:val="auto"/>
              </w:rPr>
              <w:t>Fiscal 2025</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300.0</w:t>
            </w:r>
          </w:p>
        </w:tc>
      </w:tr>
      <w:tr>
        <w:trPr>
          <w:trHeight w:val="172"/>
        </w:trPr>
        <w:tc>
          <w:tcPr>
            <w:tcW w:w="9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2026</w:t>
            </w: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560" w:type="dxa"/>
            <w:vAlign w:val="bottom"/>
          </w:tcPr>
          <w:p>
            <w:pPr>
              <w:ind w:left="20"/>
              <w:spacing w:after="0"/>
              <w:rPr>
                <w:sz w:val="20"/>
                <w:szCs w:val="20"/>
                <w:color w:val="auto"/>
              </w:rPr>
            </w:pPr>
            <w:r>
              <w:rPr>
                <w:rFonts w:ascii="Arial" w:cs="Arial" w:eastAsia="Arial" w:hAnsi="Arial"/>
                <w:sz w:val="13"/>
                <w:szCs w:val="13"/>
                <w:color w:val="auto"/>
              </w:rPr>
              <w:t>Fiscal 2027</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9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2028</w:t>
            </w: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r>
      <w:tr>
        <w:trPr>
          <w:trHeight w:val="16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9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Long-term debt, gross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600.0</w:t>
            </w:r>
          </w:p>
        </w:tc>
      </w:tr>
      <w:tr>
        <w:trPr>
          <w:trHeight w:val="408"/>
        </w:trPr>
        <w:tc>
          <w:tcPr>
            <w:tcW w:w="9560" w:type="dxa"/>
            <w:vAlign w:val="bottom"/>
          </w:tcPr>
          <w:p>
            <w:pPr>
              <w:spacing w:after="0"/>
              <w:rPr>
                <w:sz w:val="20"/>
                <w:szCs w:val="20"/>
                <w:color w:val="auto"/>
              </w:rPr>
            </w:pPr>
            <w:r>
              <w:rPr>
                <w:rFonts w:ascii="Arial" w:cs="Arial" w:eastAsia="Arial" w:hAnsi="Arial"/>
                <w:sz w:val="13"/>
                <w:szCs w:val="13"/>
                <w:b w:val="1"/>
                <w:bCs w:val="1"/>
                <w:color w:val="auto"/>
              </w:rPr>
              <w:t>Note 10. Leases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2"/>
          <w:szCs w:val="12"/>
          <w:color w:val="auto"/>
        </w:rPr>
        <w:t>Our leases primarily include operating leases for equipment and real estate, including office space and manufacturing space. Financing leases are primarily for real estate and solar energy producing equipment. For any lease with an initial term in excess of 12 months, the related lease assets and liabilities are recognized on the Consolidated Balance Sheets as either operating or finance leases at the inception of an agreement when it is determined that a lease exists. We have lease agreements that contain both lease and non-lease components, and have elected to combine lease and non-lease components for all classes of assets. Leases with an initial term of 12 months or less are not recorded on the Consolidated Balance Sheets. We recognize lease expense for these leases on a straight-line basis over the lease term. When the terms of multiple lease agreements are materially consistent, we have elected the portfolio approach for our asset and liability calculations.</w:t>
      </w:r>
    </w:p>
    <w:p>
      <w:pPr>
        <w:spacing w:after="0" w:line="170"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The assumed lease terms generally do not include options to extend or terminate the lease unless it is reasonably certain that the option will be exercised.</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Some of our real estate operating leases require payment of real estate taxes, common area maintenance, and insurance. In addition, some of the leases are subject to annual changes in the consumer price index. These components comprise the majority of our variable lease cost and are excluded from the present value of the lease obligations. Fixed payments may contain predetermined fixed rent escalations. For operating leases, we recognize the related rent expense on a straight-line basis from the commencement date to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17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4"/>
        </w:trPr>
        <w:tc>
          <w:tcPr>
            <w:tcW w:w="5940" w:type="dxa"/>
            <w:vAlign w:val="bottom"/>
            <w:gridSpan w:val="3"/>
          </w:tcPr>
          <w:p>
            <w:pPr>
              <w:spacing w:after="0"/>
              <w:rPr>
                <w:sz w:val="20"/>
                <w:szCs w:val="20"/>
                <w:color w:val="auto"/>
              </w:rPr>
            </w:pPr>
            <w:r>
              <w:rPr>
                <w:rFonts w:ascii="Arial" w:cs="Arial" w:eastAsia="Arial" w:hAnsi="Arial"/>
                <w:sz w:val="13"/>
                <w:szCs w:val="13"/>
                <w:color w:val="auto"/>
              </w:rPr>
              <w:t>The supplemental balance sheet information related to our leases is as follows: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322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Classification</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August 26, 2023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August 27, 2022</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ind w:left="20"/>
              <w:spacing w:after="0"/>
              <w:rPr>
                <w:sz w:val="20"/>
                <w:szCs w:val="20"/>
                <w:color w:val="auto"/>
              </w:rPr>
            </w:pPr>
            <w:r>
              <w:rPr>
                <w:rFonts w:ascii="Arial" w:cs="Arial" w:eastAsia="Arial" w:hAnsi="Arial"/>
                <w:sz w:val="13"/>
                <w:szCs w:val="13"/>
                <w:color w:val="auto"/>
              </w:rPr>
              <w:t>Operating leases</w:t>
            </w:r>
          </w:p>
        </w:tc>
        <w:tc>
          <w:tcPr>
            <w:tcW w:w="3220" w:type="dxa"/>
            <w:vAlign w:val="bottom"/>
          </w:tcPr>
          <w:p>
            <w:pPr>
              <w:ind w:left="1520"/>
              <w:spacing w:after="0"/>
              <w:rPr>
                <w:sz w:val="20"/>
                <w:szCs w:val="20"/>
                <w:color w:val="auto"/>
              </w:rPr>
            </w:pPr>
            <w:r>
              <w:rPr>
                <w:rFonts w:ascii="Arial" w:cs="Arial" w:eastAsia="Arial" w:hAnsi="Arial"/>
                <w:sz w:val="13"/>
                <w:szCs w:val="13"/>
                <w:color w:val="auto"/>
              </w:rPr>
              <w:t>Operating lease assets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42.6</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Finance leases</w:t>
            </w:r>
          </w:p>
        </w:tc>
        <w:tc>
          <w:tcPr>
            <w:tcW w:w="3220" w:type="dxa"/>
            <w:vAlign w:val="bottom"/>
            <w:shd w:val="clear" w:color="auto" w:fill="CCEEFF"/>
          </w:tcPr>
          <w:p>
            <w:pPr>
              <w:ind w:left="1520"/>
              <w:spacing w:after="0"/>
              <w:rPr>
                <w:sz w:val="20"/>
                <w:szCs w:val="20"/>
                <w:color w:val="auto"/>
              </w:rPr>
            </w:pPr>
            <w:r>
              <w:rPr>
                <w:rFonts w:ascii="Arial" w:cs="Arial" w:eastAsia="Arial" w:hAnsi="Arial"/>
                <w:sz w:val="13"/>
                <w:szCs w:val="13"/>
                <w:color w:val="auto"/>
              </w:rPr>
              <w:t>Other long-term assets</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20"/>
              <w:spacing w:after="0"/>
              <w:rPr>
                <w:sz w:val="20"/>
                <w:szCs w:val="20"/>
                <w:color w:val="auto"/>
              </w:rPr>
            </w:pPr>
            <w:r>
              <w:rPr>
                <w:rFonts w:ascii="Arial" w:cs="Arial" w:eastAsia="Arial" w:hAnsi="Arial"/>
                <w:sz w:val="13"/>
                <w:szCs w:val="13"/>
                <w:color w:val="auto"/>
              </w:rPr>
              <w:t>Total lease assets</w:t>
            </w: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Operating leases</w:t>
            </w:r>
          </w:p>
        </w:tc>
        <w:tc>
          <w:tcPr>
            <w:tcW w:w="3220" w:type="dxa"/>
            <w:vAlign w:val="bottom"/>
            <w:shd w:val="clear" w:color="auto" w:fill="CCEEFF"/>
          </w:tcPr>
          <w:p>
            <w:pPr>
              <w:ind w:left="1520"/>
              <w:spacing w:after="0"/>
              <w:rPr>
                <w:sz w:val="20"/>
                <w:szCs w:val="20"/>
                <w:color w:val="auto"/>
              </w:rPr>
            </w:pPr>
            <w:r>
              <w:rPr>
                <w:rFonts w:ascii="Arial" w:cs="Arial" w:eastAsia="Arial" w:hAnsi="Arial"/>
                <w:sz w:val="13"/>
                <w:szCs w:val="13"/>
                <w:color w:val="auto"/>
              </w:rPr>
              <w:t>Other current liabilities</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8"/>
        </w:trPr>
        <w:tc>
          <w:tcPr>
            <w:tcW w:w="2720" w:type="dxa"/>
            <w:vAlign w:val="bottom"/>
            <w:gridSpan w:val="2"/>
          </w:tcPr>
          <w:p>
            <w:pPr>
              <w:ind w:left="20"/>
              <w:spacing w:after="0"/>
              <w:rPr>
                <w:sz w:val="20"/>
                <w:szCs w:val="20"/>
                <w:color w:val="auto"/>
              </w:rPr>
            </w:pPr>
            <w:r>
              <w:rPr>
                <w:rFonts w:ascii="Arial" w:cs="Arial" w:eastAsia="Arial" w:hAnsi="Arial"/>
                <w:sz w:val="13"/>
                <w:szCs w:val="13"/>
                <w:color w:val="auto"/>
              </w:rPr>
              <w:t>Current: Finance leases</w:t>
            </w:r>
          </w:p>
        </w:tc>
        <w:tc>
          <w:tcPr>
            <w:tcW w:w="3220" w:type="dxa"/>
            <w:vAlign w:val="bottom"/>
          </w:tcPr>
          <w:p>
            <w:pPr>
              <w:ind w:left="1520"/>
              <w:spacing w:after="0"/>
              <w:rPr>
                <w:sz w:val="20"/>
                <w:szCs w:val="20"/>
                <w:color w:val="auto"/>
              </w:rPr>
            </w:pPr>
            <w:r>
              <w:rPr>
                <w:rFonts w:ascii="Arial" w:cs="Arial" w:eastAsia="Arial" w:hAnsi="Arial"/>
                <w:sz w:val="13"/>
                <w:szCs w:val="13"/>
                <w:color w:val="auto"/>
              </w:rPr>
              <w:t>Other current liabilities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Non-Current: Operating leases</w:t>
            </w:r>
          </w:p>
        </w:tc>
        <w:tc>
          <w:tcPr>
            <w:tcW w:w="3740" w:type="dxa"/>
            <w:vAlign w:val="bottom"/>
            <w:gridSpan w:val="2"/>
            <w:shd w:val="clear" w:color="auto" w:fill="CCEEFF"/>
          </w:tcPr>
          <w:p>
            <w:pPr>
              <w:ind w:left="1520"/>
              <w:spacing w:after="0"/>
              <w:rPr>
                <w:sz w:val="20"/>
                <w:szCs w:val="20"/>
                <w:color w:val="auto"/>
              </w:rPr>
            </w:pPr>
            <w:r>
              <w:rPr>
                <w:rFonts w:ascii="Arial" w:cs="Arial" w:eastAsia="Arial" w:hAnsi="Arial"/>
                <w:sz w:val="13"/>
                <w:szCs w:val="13"/>
                <w:color w:val="auto"/>
              </w:rPr>
              <w:t>Long-term operating lease liabilities</w:t>
            </w: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Non-Current: Finance leases</w:t>
            </w:r>
          </w:p>
        </w:tc>
        <w:tc>
          <w:tcPr>
            <w:tcW w:w="3220" w:type="dxa"/>
            <w:vAlign w:val="bottom"/>
            <w:tcBorders>
              <w:bottom w:val="single" w:sz="8" w:color="CCEEFF"/>
            </w:tcBorders>
          </w:tcPr>
          <w:p>
            <w:pPr>
              <w:ind w:left="1520"/>
              <w:spacing w:after="0"/>
              <w:rPr>
                <w:sz w:val="20"/>
                <w:szCs w:val="20"/>
                <w:color w:val="auto"/>
              </w:rPr>
            </w:pPr>
            <w:r>
              <w:rPr>
                <w:rFonts w:ascii="Arial" w:cs="Arial" w:eastAsia="Arial" w:hAnsi="Arial"/>
                <w:sz w:val="13"/>
                <w:szCs w:val="13"/>
                <w:color w:val="auto"/>
              </w:rPr>
              <w:t>Other long-term liabilities</w:t>
            </w:r>
          </w:p>
        </w:tc>
        <w:tc>
          <w:tcPr>
            <w:tcW w:w="5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8"/>
        </w:trPr>
        <w:tc>
          <w:tcPr>
            <w:tcW w:w="2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lease liabilities</w:t>
            </w:r>
          </w:p>
        </w:tc>
        <w:tc>
          <w:tcPr>
            <w:tcW w:w="3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Operating lease costs incurred are as follows:</w:t>
            </w:r>
          </w:p>
        </w:tc>
        <w:tc>
          <w:tcPr>
            <w:tcW w:w="3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720" w:type="dxa"/>
            <w:vAlign w:val="bottom"/>
            <w:gridSpan w:val="2"/>
            <w:vMerge w:val="continue"/>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Classification</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3"/>
                <w:szCs w:val="13"/>
                <w:color w:val="auto"/>
              </w:rPr>
              <w:t>Operating lease expense</w:t>
            </w:r>
            <w:r>
              <w:rPr>
                <w:rFonts w:ascii="Arial" w:cs="Arial" w:eastAsia="Arial" w:hAnsi="Arial"/>
                <w:sz w:val="16"/>
                <w:szCs w:val="16"/>
                <w:color w:val="auto"/>
                <w:vertAlign w:val="superscript"/>
              </w:rPr>
              <w:t>(1)</w:t>
            </w: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 of goods sold and SG&amp;A</w:t>
            </w: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8"/>
        </w:trPr>
        <w:tc>
          <w:tcPr>
            <w:tcW w:w="2720" w:type="dxa"/>
            <w:vAlign w:val="bottom"/>
            <w:gridSpan w:val="2"/>
          </w:tcPr>
          <w:p>
            <w:pPr>
              <w:ind w:left="20"/>
              <w:spacing w:after="0"/>
              <w:rPr>
                <w:sz w:val="20"/>
                <w:szCs w:val="20"/>
                <w:color w:val="auto"/>
              </w:rPr>
            </w:pPr>
            <w:r>
              <w:rPr>
                <w:rFonts w:ascii="Arial" w:cs="Arial" w:eastAsia="Arial" w:hAnsi="Arial"/>
                <w:sz w:val="13"/>
                <w:szCs w:val="13"/>
                <w:color w:val="auto"/>
              </w:rPr>
              <w:t>Finance lease cost:</w:t>
            </w: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of lease assets</w:t>
            </w: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 of goods sold and SG&amp;A</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Interest on lease liabilities</w:t>
            </w:r>
          </w:p>
        </w:tc>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Interest expense, net</w:t>
            </w: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3"/>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lease cost</w:t>
            </w:r>
          </w:p>
        </w:tc>
        <w:tc>
          <w:tcPr>
            <w:tcW w:w="3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20" w:hanging="115"/>
        <w:spacing w:after="0"/>
        <w:tabs>
          <w:tab w:leader="none" w:pos="120" w:val="left"/>
        </w:tabs>
        <w:numPr>
          <w:ilvl w:val="0"/>
          <w:numId w:val="22"/>
        </w:numPr>
        <w:rPr>
          <w:rFonts w:ascii="Arial" w:cs="Arial" w:eastAsia="Arial" w:hAnsi="Arial"/>
          <w:sz w:val="14"/>
          <w:szCs w:val="14"/>
          <w:color w:val="auto"/>
          <w:vertAlign w:val="superscript"/>
        </w:rPr>
      </w:pPr>
      <w:r>
        <w:rPr>
          <w:rFonts w:ascii="Arial" w:cs="Arial" w:eastAsia="Arial" w:hAnsi="Arial"/>
          <w:sz w:val="10"/>
          <w:szCs w:val="10"/>
          <w:color w:val="auto"/>
        </w:rPr>
        <w:t>Operating lease expense includes short-term leases and variable lease payments, which are immaterial.</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Our future lease commitments as of August 26, 2023 included the following related party and non-related party leases: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Operating Leases</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Financing Leases</w:t>
            </w:r>
          </w:p>
        </w:tc>
      </w:tr>
      <w:tr>
        <w:trPr>
          <w:trHeight w:val="16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Related Party Amount</w:t>
            </w: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Non-Related Party Amount</w:t>
            </w:r>
          </w:p>
        </w:tc>
        <w:tc>
          <w:tcPr>
            <w:tcW w:w="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Non-Related Party Amount</w:t>
            </w: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2024</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Fiscal 2025</w:t>
            </w:r>
          </w:p>
        </w:tc>
        <w:tc>
          <w:tcPr>
            <w:tcW w:w="1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6.6</w:t>
            </w:r>
          </w:p>
        </w:tc>
        <w:tc>
          <w:tcPr>
            <w:tcW w:w="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8.4</w:t>
            </w:r>
          </w:p>
        </w:tc>
        <w:tc>
          <w:tcPr>
            <w:tcW w:w="2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2026</w:t>
            </w: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Fiscal 2027</w:t>
            </w:r>
          </w:p>
        </w:tc>
        <w:tc>
          <w:tcPr>
            <w:tcW w:w="1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6.1</w:t>
            </w:r>
          </w:p>
        </w:tc>
        <w:tc>
          <w:tcPr>
            <w:tcW w:w="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2028</w:t>
            </w: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163"/>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future undiscounted lease payments</w:t>
            </w: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r>
      <w:tr>
        <w:trPr>
          <w:trHeight w:val="16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Interest</w:t>
            </w: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88"/>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reported lease liabilities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849"/>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ind w:right="1376"/>
              <w:spacing w:after="0"/>
              <w:rPr>
                <w:sz w:val="20"/>
                <w:szCs w:val="20"/>
                <w:color w:val="auto"/>
              </w:rPr>
            </w:pPr>
            <w:r>
              <w:rPr>
                <w:rFonts w:ascii="Arial" w:cs="Arial" w:eastAsia="Arial" w:hAnsi="Arial"/>
                <w:sz w:val="13"/>
                <w:szCs w:val="13"/>
                <w:color w:val="auto"/>
              </w:rPr>
              <w:t>53</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80"/>
        </w:trPr>
        <w:tc>
          <w:tcPr>
            <w:tcW w:w="3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644"/>
        </w:trPr>
        <w:tc>
          <w:tcPr>
            <w:tcW w:w="4660" w:type="dxa"/>
            <w:vAlign w:val="bottom"/>
            <w:gridSpan w:val="2"/>
          </w:tcPr>
          <w:p>
            <w:pPr>
              <w:spacing w:after="0"/>
              <w:rPr>
                <w:sz w:val="20"/>
                <w:szCs w:val="20"/>
                <w:color w:val="auto"/>
              </w:rPr>
            </w:pPr>
            <w:r>
              <w:rPr>
                <w:rFonts w:ascii="Arial" w:cs="Arial" w:eastAsia="Arial" w:hAnsi="Arial"/>
                <w:sz w:val="13"/>
                <w:szCs w:val="13"/>
                <w:color w:val="auto"/>
              </w:rPr>
              <w:t>Additional information related to our leases is as follows:</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10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2021</w:t>
            </w:r>
          </w:p>
        </w:tc>
      </w:tr>
      <w:tr>
        <w:trPr>
          <w:trHeight w:val="16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2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8"/>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Operating cash flows from operating leases</w:t>
            </w:r>
          </w:p>
        </w:tc>
        <w:tc>
          <w:tcPr>
            <w:tcW w:w="2020" w:type="dxa"/>
            <w:vAlign w:val="bottom"/>
          </w:tcPr>
          <w:p>
            <w:pPr>
              <w:jc w:val="right"/>
              <w:ind w:right="1236"/>
              <w:spacing w:after="0"/>
              <w:rPr>
                <w:sz w:val="20"/>
                <w:szCs w:val="20"/>
                <w:color w:val="auto"/>
              </w:rPr>
            </w:pPr>
            <w:r>
              <w:rPr>
                <w:rFonts w:ascii="Arial" w:cs="Arial" w:eastAsia="Arial" w:hAnsi="Arial"/>
                <w:sz w:val="13"/>
                <w:szCs w:val="13"/>
                <w:color w:val="auto"/>
              </w:rPr>
              <w:t>$</w:t>
            </w:r>
          </w:p>
        </w:tc>
        <w:tc>
          <w:tcPr>
            <w:tcW w:w="600" w:type="dxa"/>
            <w:vAlign w:val="bottom"/>
          </w:tcPr>
          <w:p>
            <w:pPr>
              <w:ind w:left="260"/>
              <w:spacing w:after="0"/>
              <w:rPr>
                <w:sz w:val="20"/>
                <w:szCs w:val="20"/>
                <w:color w:val="auto"/>
              </w:rPr>
            </w:pPr>
            <w:r>
              <w:rPr>
                <w:rFonts w:ascii="Arial" w:cs="Arial" w:eastAsia="Arial" w:hAnsi="Arial"/>
                <w:sz w:val="13"/>
                <w:szCs w:val="13"/>
                <w:color w:val="auto"/>
              </w:rPr>
              <w:t>5.0</w:t>
            </w: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24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Arial" w:cs="Arial" w:eastAsia="Arial" w:hAnsi="Arial"/>
                <w:sz w:val="13"/>
                <w:szCs w:val="13"/>
                <w:color w:val="auto"/>
              </w:rPr>
              <w:t>3.7</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160"/>
              <w:spacing w:after="0"/>
              <w:rPr>
                <w:sz w:val="20"/>
                <w:szCs w:val="20"/>
                <w:color w:val="auto"/>
              </w:rPr>
            </w:pPr>
            <w:r>
              <w:rPr>
                <w:rFonts w:ascii="Arial" w:cs="Arial" w:eastAsia="Arial" w:hAnsi="Arial"/>
                <w:sz w:val="13"/>
                <w:szCs w:val="13"/>
                <w:color w:val="auto"/>
              </w:rPr>
              <w:t>2.6</w:t>
            </w:r>
          </w:p>
        </w:tc>
      </w:tr>
      <w:tr>
        <w:trPr>
          <w:trHeight w:val="172"/>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cash flows from financing leases</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0.5</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3"/>
                <w:szCs w:val="13"/>
                <w:color w:val="auto"/>
              </w:rPr>
              <w:t>0.4</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0.3</w:t>
            </w:r>
          </w:p>
        </w:tc>
      </w:tr>
      <w:tr>
        <w:trPr>
          <w:trHeight w:val="168"/>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Financing cash flows from financing leases</w:t>
            </w:r>
          </w:p>
        </w:tc>
        <w:tc>
          <w:tcPr>
            <w:tcW w:w="20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rPr>
              <w:t>1.1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Arial" w:cs="Arial" w:eastAsia="Arial" w:hAnsi="Arial"/>
                <w:sz w:val="13"/>
                <w:szCs w:val="13"/>
                <w:color w:val="auto"/>
              </w:rPr>
              <w:t>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160"/>
              <w:spacing w:after="0"/>
              <w:rPr>
                <w:sz w:val="20"/>
                <w:szCs w:val="20"/>
                <w:color w:val="auto"/>
              </w:rPr>
            </w:pPr>
            <w:r>
              <w:rPr>
                <w:rFonts w:ascii="Arial" w:cs="Arial" w:eastAsia="Arial" w:hAnsi="Arial"/>
                <w:sz w:val="13"/>
                <w:szCs w:val="13"/>
                <w:color w:val="auto"/>
              </w:rPr>
              <w:t>0.6</w:t>
            </w:r>
          </w:p>
        </w:tc>
      </w:tr>
      <w:tr>
        <w:trPr>
          <w:trHeight w:val="17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remaining lease term:</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Operating leases</w:t>
            </w:r>
          </w:p>
        </w:tc>
        <w:tc>
          <w:tcPr>
            <w:tcW w:w="20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w w:val="88"/>
              </w:rPr>
              <w:t>7.3</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120"/>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2"/>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Finance leases</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w w:val="88"/>
              </w:rPr>
              <w:t>5.2</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8"/>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Weighted average discount rate:</w:t>
            </w: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leases</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6"/>
              </w:rPr>
              <w:t>6.2 %</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5.8 %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ind w:left="1160"/>
              <w:spacing w:after="0"/>
              <w:rPr>
                <w:sz w:val="20"/>
                <w:szCs w:val="20"/>
                <w:color w:val="auto"/>
              </w:rPr>
            </w:pPr>
            <w:r>
              <w:rPr>
                <w:rFonts w:ascii="Arial" w:cs="Arial" w:eastAsia="Arial" w:hAnsi="Arial"/>
                <w:sz w:val="13"/>
                <w:szCs w:val="13"/>
                <w:color w:val="auto"/>
                <w:w w:val="96"/>
              </w:rPr>
              <w:t>6.2 %</w:t>
            </w:r>
          </w:p>
        </w:tc>
      </w:tr>
      <w:tr>
        <w:trPr>
          <w:trHeight w:val="165"/>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Finance leases</w:t>
            </w:r>
          </w:p>
        </w:tc>
        <w:tc>
          <w:tcPr>
            <w:tcW w:w="20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w w:val="96"/>
              </w:rPr>
              <w:t>6.4 %</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980"/>
              <w:spacing w:after="0"/>
              <w:rPr>
                <w:sz w:val="20"/>
                <w:szCs w:val="20"/>
                <w:color w:val="auto"/>
              </w:rPr>
            </w:pPr>
            <w:r>
              <w:rPr>
                <w:rFonts w:ascii="Arial" w:cs="Arial" w:eastAsia="Arial" w:hAnsi="Arial"/>
                <w:sz w:val="13"/>
                <w:szCs w:val="13"/>
                <w:color w:val="auto"/>
              </w:rPr>
              <w:t>5.9 %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160"/>
              <w:spacing w:after="0"/>
              <w:rPr>
                <w:sz w:val="20"/>
                <w:szCs w:val="20"/>
                <w:color w:val="auto"/>
              </w:rPr>
            </w:pPr>
            <w:r>
              <w:rPr>
                <w:rFonts w:ascii="Arial" w:cs="Arial" w:eastAsia="Arial" w:hAnsi="Arial"/>
                <w:sz w:val="13"/>
                <w:szCs w:val="13"/>
                <w:color w:val="auto"/>
                <w:w w:val="96"/>
              </w:rPr>
              <w:t>6.3 %</w:t>
            </w:r>
          </w:p>
        </w:tc>
      </w:tr>
      <w:tr>
        <w:trPr>
          <w:trHeight w:val="666"/>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Note 11. Employee and Retiree Benefits</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2"/>
        </w:trPr>
        <w:tc>
          <w:tcPr>
            <w:tcW w:w="4660" w:type="dxa"/>
            <w:vAlign w:val="bottom"/>
            <w:gridSpan w:val="2"/>
          </w:tcPr>
          <w:p>
            <w:pPr>
              <w:spacing w:after="0"/>
              <w:rPr>
                <w:sz w:val="20"/>
                <w:szCs w:val="20"/>
                <w:color w:val="auto"/>
              </w:rPr>
            </w:pPr>
            <w:r>
              <w:rPr>
                <w:rFonts w:ascii="Arial" w:cs="Arial" w:eastAsia="Arial" w:hAnsi="Arial"/>
                <w:sz w:val="13"/>
                <w:szCs w:val="13"/>
                <w:color w:val="auto"/>
              </w:rPr>
              <w:t>Deferred compensation benefits are as follows:</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5"/>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August 26,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27, 2022</w:t>
            </w:r>
          </w:p>
        </w:tc>
      </w:tr>
      <w:tr>
        <w:trPr>
          <w:trHeight w:val="16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Non-qualified deferred compensation</w:t>
            </w:r>
          </w:p>
        </w:tc>
        <w:tc>
          <w:tcPr>
            <w:tcW w:w="2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68"/>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Supplemental executive retirement plan</w:t>
            </w: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9"/>
              </w:rPr>
              <w:t>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Executive deferred compensation plan</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1.8</w:t>
            </w: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8"/>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Total deferred compensation benefits</w:t>
            </w: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9"/>
              </w:rPr>
              <w:t>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10.7</w:t>
            </w:r>
          </w:p>
        </w:tc>
      </w:tr>
      <w:tr>
        <w:trPr>
          <w:trHeight w:val="172"/>
        </w:trPr>
        <w:tc>
          <w:tcPr>
            <w:tcW w:w="46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3"/>
                <w:szCs w:val="13"/>
                <w:color w:val="auto"/>
              </w:rPr>
              <w:t>Less current portion</w:t>
            </w:r>
            <w:r>
              <w:rPr>
                <w:rFonts w:ascii="Arial" w:cs="Arial" w:eastAsia="Arial" w:hAnsi="Arial"/>
                <w:sz w:val="16"/>
                <w:szCs w:val="16"/>
                <w:color w:val="auto"/>
                <w:vertAlign w:val="superscript"/>
              </w:rPr>
              <w:t>(1)</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1.8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0"/>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Deferred compensation benefits, net of current portion</w:t>
            </w: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9"/>
              </w:rPr>
              <w:t>7.9</w:t>
            </w:r>
          </w:p>
        </w:tc>
        <w:tc>
          <w:tcPr>
            <w:tcW w:w="10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20"/>
        </w:trPr>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vertAlign w:val="superscript"/>
        </w:rPr>
        <w:t>(1)</w:t>
      </w:r>
      <w:r>
        <w:rPr>
          <w:sz w:val="20"/>
          <w:szCs w:val="20"/>
          <w:color w:val="auto"/>
        </w:rPr>
        <w:tab/>
      </w:r>
      <w:r>
        <w:rPr>
          <w:rFonts w:ascii="Arial" w:cs="Arial" w:eastAsia="Arial" w:hAnsi="Arial"/>
          <w:sz w:val="11"/>
          <w:szCs w:val="11"/>
          <w:color w:val="auto"/>
        </w:rPr>
        <w:t>Included in accrued compensation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Compensation Benefits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Non-Qualified Deferred Compensation</w:t>
      </w:r>
    </w:p>
    <w:p>
      <w:pPr>
        <w:spacing w:after="0" w:line="88"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$0.5 million, $0.6 million, and $0.8 million in Fiscal 2023, 2022, and 2021,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Supplemental Executive Retirement Plan ("SERP")</w:t>
      </w:r>
    </w:p>
    <w:p>
      <w:pPr>
        <w:spacing w:after="0" w:line="88"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To assist in funding the deferred compensation and SERP liabilities, we have invested in COLI policies. The cash surrender value of these policies is presented in investment in life insurance in the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 and consists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5"/>
                <w:szCs w:val="15"/>
                <w:color w:val="auto"/>
              </w:rPr>
            </w:pPr>
          </w:p>
        </w:tc>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August 27, 2022</w:t>
            </w: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value</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center"/>
              <w:ind w:left="1076"/>
              <w:spacing w:after="0"/>
              <w:rPr>
                <w:sz w:val="20"/>
                <w:szCs w:val="20"/>
                <w:color w:val="auto"/>
              </w:rPr>
            </w:pPr>
            <w:r>
              <w:rPr>
                <w:rFonts w:ascii="Arial" w:cs="Arial" w:eastAsia="Arial" w:hAnsi="Arial"/>
                <w:sz w:val="13"/>
                <w:szCs w:val="13"/>
                <w:color w:val="auto"/>
                <w:w w:val="94"/>
              </w:rPr>
              <w:t>67.2</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Borrowings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1056"/>
              <w:spacing w:after="0"/>
              <w:rPr>
                <w:sz w:val="20"/>
                <w:szCs w:val="20"/>
                <w:color w:val="auto"/>
              </w:rPr>
            </w:pPr>
            <w:r>
              <w:rPr>
                <w:rFonts w:ascii="Arial" w:cs="Arial" w:eastAsia="Arial" w:hAnsi="Arial"/>
                <w:sz w:val="13"/>
                <w:szCs w:val="13"/>
                <w:color w:val="auto"/>
                <w:w w:val="99"/>
              </w:rPr>
              <w:t>(38.6)</w:t>
            </w:r>
          </w:p>
        </w:tc>
      </w:tr>
      <w:tr>
        <w:trPr>
          <w:trHeight w:val="188"/>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Investment in life insurance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center"/>
              <w:ind w:left="1076"/>
              <w:spacing w:after="0"/>
              <w:rPr>
                <w:sz w:val="20"/>
                <w:szCs w:val="20"/>
                <w:color w:val="auto"/>
              </w:rPr>
            </w:pPr>
            <w:r>
              <w:rPr>
                <w:rFonts w:ascii="Arial" w:cs="Arial" w:eastAsia="Arial" w:hAnsi="Arial"/>
                <w:sz w:val="13"/>
                <w:szCs w:val="13"/>
                <w:color w:val="auto"/>
                <w:w w:val="94"/>
              </w:rPr>
              <w:t>28.6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Deferred Compensation Plan</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long-term assets in the Consolidated Balance Sheets. Such assets on August 26, 2023 and August 27, 2022 were $1.8 million and $1.4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Profit Sharing Plan</w:t>
      </w:r>
    </w:p>
    <w:p>
      <w:pPr>
        <w:spacing w:after="0" w:line="92" w:lineRule="exact"/>
        <w:rPr>
          <w:sz w:val="20"/>
          <w:szCs w:val="20"/>
          <w:color w:val="auto"/>
        </w:rPr>
      </w:pPr>
    </w:p>
    <w:p>
      <w:pPr>
        <w:ind w:right="200"/>
        <w:spacing w:after="0" w:line="256" w:lineRule="auto"/>
        <w:rPr>
          <w:sz w:val="20"/>
          <w:szCs w:val="20"/>
          <w:color w:val="auto"/>
        </w:rPr>
      </w:pPr>
      <w:r>
        <w:rPr>
          <w:rFonts w:ascii="Arial" w:cs="Arial" w:eastAsia="Arial" w:hAnsi="Arial"/>
          <w:sz w:val="13"/>
          <w:szCs w:val="13"/>
          <w:color w:val="auto"/>
        </w:rPr>
        <w:t>We have a qualified profit sharing and contributory 401(k) plan for eligible employees. The plan provides matching contributions made by Winnebago Industries and discretionary contributions as approved by the Board of Directors. Matching contributions to the plan for Fiscal 2023, 2022, and 2021 were $13.4 million, $12.0 million, and $5.6 million, respectively. No discretionary contributions were approved in Fiscal 2023. Discretionary contributions of $12.1 million and $6.1 million were approved in Fiscal 2022 and Fiscal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Contingent Liabilities and Commitments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 Commitments</w:t>
      </w:r>
    </w:p>
    <w:p>
      <w:pPr>
        <w:spacing w:after="0" w:line="92" w:lineRule="exact"/>
        <w:rPr>
          <w:sz w:val="20"/>
          <w:szCs w:val="20"/>
          <w:color w:val="auto"/>
        </w:rPr>
      </w:pPr>
    </w:p>
    <w:p>
      <w:pPr>
        <w:jc w:val="both"/>
        <w:ind w:right="480"/>
        <w:spacing w:after="0" w:line="317" w:lineRule="auto"/>
        <w:rPr>
          <w:sz w:val="20"/>
          <w:szCs w:val="20"/>
          <w:color w:val="auto"/>
        </w:rPr>
      </w:pPr>
      <w:r>
        <w:rPr>
          <w:rFonts w:ascii="Arial" w:cs="Arial" w:eastAsia="Arial" w:hAnsi="Arial"/>
          <w:sz w:val="12"/>
          <w:szCs w:val="12"/>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34"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$1,816.7 million and $1,783.7 million as of August 26, 2023 and August 27, 2022, respectively.</w:t>
      </w:r>
    </w:p>
    <w:p>
      <w:pPr>
        <w:spacing w:after="0" w:line="173"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and $1.4 million as of August 26, 2023 and August 27, 2022,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There was no material activity related to repurchase agreements during Fiscal 2023, 2022, and 2021.</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92"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Revenue Recognition</w:t>
      </w:r>
    </w:p>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tbl>
      <w:tblPr>
        <w:tblLayout w:type="fixed"/>
        <w:tblInd w:w="0" w:type="dxa"/>
        <w:tblCellMar>
          <w:top w:w="0" w:type="dxa"/>
          <w:left w:w="0" w:type="dxa"/>
          <w:bottom w:w="0" w:type="dxa"/>
          <w:right w:w="0" w:type="dxa"/>
        </w:tblCellMar>
      </w:tblPr>
      <w:tr>
        <w:trPr>
          <w:trHeight w:val="17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2021</w:t>
            </w:r>
          </w:p>
        </w:tc>
      </w:tr>
      <w:tr>
        <w:trPr>
          <w:trHeight w:val="16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68"/>
        </w:trPr>
        <w:tc>
          <w:tcPr>
            <w:tcW w:w="58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Fifth Wheel</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1,024.4</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Travel Trailer</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658.2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1,296.6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959.7</w:t>
            </w:r>
          </w:p>
        </w:tc>
      </w:tr>
      <w:tr>
        <w:trPr>
          <w:trHeight w:val="172"/>
        </w:trPr>
        <w:tc>
          <w:tcPr>
            <w:tcW w:w="588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w:t>
            </w: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58"/>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Towable RV</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1,415.3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2,597.4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2,010.0</w:t>
            </w:r>
          </w:p>
        </w:tc>
      </w:tr>
      <w:tr>
        <w:trPr>
          <w:trHeight w:val="152"/>
        </w:trPr>
        <w:tc>
          <w:tcPr>
            <w:tcW w:w="58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Motorhome RV:</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Class A</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736.0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786.8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690.2</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B</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532.2</w:t>
            </w:r>
          </w:p>
        </w:tc>
      </w:tr>
      <w:tr>
        <w:trPr>
          <w:trHeight w:val="170"/>
        </w:trPr>
        <w:tc>
          <w:tcPr>
            <w:tcW w:w="588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3"/>
                <w:szCs w:val="13"/>
                <w:color w:val="auto"/>
              </w:rPr>
              <w:t>Class C and Other</w:t>
            </w:r>
            <w:r>
              <w:rPr>
                <w:rFonts w:ascii="Arial" w:cs="Arial" w:eastAsia="Arial" w:hAnsi="Arial"/>
                <w:sz w:val="16"/>
                <w:szCs w:val="16"/>
                <w:color w:val="auto"/>
                <w:vertAlign w:val="superscript"/>
              </w:rPr>
              <w:t>(1)</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w:t>
            </w:r>
          </w:p>
        </w:tc>
      </w:tr>
      <w:tr>
        <w:trPr>
          <w:trHeight w:val="160"/>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Motorhome RV</w:t>
            </w:r>
          </w:p>
        </w:tc>
        <w:tc>
          <w:tcPr>
            <w:tcW w:w="3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1,911.2</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1,539.1</w:t>
            </w:r>
          </w:p>
        </w:tc>
      </w:tr>
      <w:tr>
        <w:trPr>
          <w:trHeight w:val="158"/>
        </w:trPr>
        <w:tc>
          <w:tcPr>
            <w:tcW w:w="5880" w:type="dxa"/>
            <w:vAlign w:val="bottom"/>
          </w:tcPr>
          <w:p>
            <w:pPr>
              <w:ind w:left="20"/>
              <w:spacing w:after="0"/>
              <w:rPr>
                <w:sz w:val="20"/>
                <w:szCs w:val="20"/>
                <w:color w:val="auto"/>
              </w:rPr>
            </w:pPr>
            <w:r>
              <w:rPr>
                <w:rFonts w:ascii="Arial" w:cs="Arial" w:eastAsia="Arial" w:hAnsi="Arial"/>
                <w:sz w:val="13"/>
                <w:szCs w:val="13"/>
                <w:color w:val="auto"/>
              </w:rPr>
              <w:t>Marine</w:t>
            </w:r>
          </w:p>
        </w:tc>
        <w:tc>
          <w:tcPr>
            <w:tcW w:w="3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469.7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172"/>
        </w:trPr>
        <w:tc>
          <w:tcPr>
            <w:tcW w:w="588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Corporate / All Other</w:t>
            </w:r>
            <w:r>
              <w:rPr>
                <w:rFonts w:ascii="Arial" w:cs="Arial" w:eastAsia="Arial" w:hAnsi="Arial"/>
                <w:sz w:val="16"/>
                <w:szCs w:val="16"/>
                <w:color w:val="auto"/>
                <w:vertAlign w:val="superscript"/>
              </w:rPr>
              <w:t>(2)</w:t>
            </w: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160"/>
        </w:trPr>
        <w:tc>
          <w:tcPr>
            <w:tcW w:w="5880" w:type="dxa"/>
            <w:vAlign w:val="bottom"/>
          </w:tcPr>
          <w:p>
            <w:pPr>
              <w:ind w:left="280"/>
              <w:spacing w:after="0"/>
              <w:rPr>
                <w:sz w:val="20"/>
                <w:szCs w:val="20"/>
                <w:color w:val="auto"/>
              </w:rPr>
            </w:pPr>
            <w:r>
              <w:rPr>
                <w:rFonts w:ascii="Arial" w:cs="Arial" w:eastAsia="Arial" w:hAnsi="Arial"/>
                <w:sz w:val="13"/>
                <w:szCs w:val="13"/>
                <w:color w:val="auto"/>
              </w:rPr>
              <w:t>Consolidated</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3,490.7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4,957.7</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3,629.8</w:t>
            </w:r>
          </w:p>
        </w:tc>
      </w:tr>
      <w:tr>
        <w:trPr>
          <w:trHeight w:val="20"/>
        </w:trPr>
        <w:tc>
          <w:tcPr>
            <w:tcW w:w="5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40" w:hanging="235"/>
        <w:spacing w:after="0"/>
        <w:tabs>
          <w:tab w:leader="none" w:pos="240" w:val="left"/>
        </w:tabs>
        <w:numPr>
          <w:ilvl w:val="0"/>
          <w:numId w:val="23"/>
        </w:numPr>
        <w:rPr>
          <w:rFonts w:ascii="Arial" w:cs="Arial" w:eastAsia="Arial" w:hAnsi="Arial"/>
          <w:sz w:val="17"/>
          <w:szCs w:val="17"/>
          <w:color w:val="auto"/>
          <w:vertAlign w:val="superscript"/>
        </w:rPr>
      </w:pPr>
      <w:r>
        <w:rPr>
          <w:rFonts w:ascii="Arial" w:cs="Arial" w:eastAsia="Arial" w:hAnsi="Arial"/>
          <w:sz w:val="11"/>
          <w:szCs w:val="11"/>
          <w:color w:val="auto"/>
        </w:rPr>
        <w:t>Relates to parts, accessories, and services.</w:t>
      </w:r>
    </w:p>
    <w:p>
      <w:pPr>
        <w:spacing w:after="0" w:line="1" w:lineRule="exact"/>
        <w:rPr>
          <w:rFonts w:ascii="Arial" w:cs="Arial" w:eastAsia="Arial" w:hAnsi="Arial"/>
          <w:sz w:val="17"/>
          <w:szCs w:val="17"/>
          <w:color w:val="auto"/>
          <w:vertAlign w:val="superscript"/>
        </w:rPr>
      </w:pPr>
    </w:p>
    <w:p>
      <w:pPr>
        <w:ind w:left="200" w:right="160" w:hanging="195"/>
        <w:spacing w:after="0" w:line="196" w:lineRule="auto"/>
        <w:tabs>
          <w:tab w:leader="none" w:pos="236" w:val="left"/>
        </w:tabs>
        <w:numPr>
          <w:ilvl w:val="0"/>
          <w:numId w:val="23"/>
        </w:numPr>
        <w:rPr>
          <w:rFonts w:ascii="Arial" w:cs="Arial" w:eastAsia="Arial" w:hAnsi="Arial"/>
          <w:sz w:val="17"/>
          <w:szCs w:val="17"/>
          <w:color w:val="auto"/>
          <w:vertAlign w:val="superscript"/>
        </w:rPr>
      </w:pPr>
      <w:r>
        <w:rPr>
          <w:rFonts w:ascii="Arial" w:cs="Arial" w:eastAsia="Arial" w:hAnsi="Arial"/>
          <w:sz w:val="11"/>
          <w:szCs w:val="11"/>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material contract assets or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Risk</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No single dealer organization accounted for more than 10% of net revenues for Fiscal 2023, 2022, and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Stock-Based Compensation Plans</w:t>
      </w:r>
    </w:p>
    <w:p>
      <w:pPr>
        <w:spacing w:after="0" w:line="209" w:lineRule="exact"/>
        <w:rPr>
          <w:sz w:val="20"/>
          <w:szCs w:val="20"/>
          <w:color w:val="auto"/>
        </w:rPr>
      </w:pPr>
    </w:p>
    <w:p>
      <w:pPr>
        <w:ind w:right="100"/>
        <w:spacing w:after="0" w:line="247" w:lineRule="auto"/>
        <w:rPr>
          <w:sz w:val="20"/>
          <w:szCs w:val="20"/>
          <w:color w:val="auto"/>
        </w:rPr>
      </w:pPr>
      <w:r>
        <w:rPr>
          <w:rFonts w:ascii="Arial" w:cs="Arial" w:eastAsia="Arial" w:hAnsi="Arial"/>
          <w:sz w:val="13"/>
          <w:szCs w:val="13"/>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in the same manner as options, except for time-based share awards to directors, which vest one year from the grant date.</w:t>
      </w:r>
    </w:p>
    <w:p>
      <w:pPr>
        <w:spacing w:after="0" w:line="173" w:lineRule="exact"/>
        <w:rPr>
          <w:sz w:val="20"/>
          <w:szCs w:val="20"/>
          <w:color w:val="auto"/>
        </w:rPr>
      </w:pPr>
    </w:p>
    <w:p>
      <w:pPr>
        <w:jc w:val="both"/>
        <w:ind w:right="200"/>
        <w:spacing w:after="0" w:line="256" w:lineRule="auto"/>
        <w:rPr>
          <w:sz w:val="20"/>
          <w:szCs w:val="20"/>
          <w:color w:val="auto"/>
        </w:rPr>
      </w:pPr>
      <w:r>
        <w:rPr>
          <w:rFonts w:ascii="Arial" w:cs="Arial" w:eastAsia="Arial" w:hAnsi="Arial"/>
          <w:sz w:val="13"/>
          <w:szCs w:val="13"/>
          <w:color w:val="auto"/>
        </w:rPr>
        <w:t>Beginning with our annual grant of restricted stock units in October 2018, dividend equivalents are attached to restricted stock units equal to dividends payable on the same number of shares of our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169"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auto"/>
        </w:rPr>
        <w:t>Our Employee Stock Purchase Plan ("ESPP") permits employees to purchase Winnebago Industries, Inc. common stock at a 15% discount from the market price at the end of semi-annual purchase periods and is compensatory. In Fiscal 2023 and 2022, approximately 29,000 shares and 42,000 shares, respectively, were purchased through the ESPP. Plan participants had accumulated $0.5 million and $0.4 million as of August 26, 2023 and August 27, 2022, respectively, to purchase our common stock</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pursuant to this plan. As of August 26, 2023, 250,000 shares were authorized for issuance and approximately 34,000 shares remain available for future issuance.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Compensation expense associated with share-based awards is recognized over the requisite service or performance period of the award, unless accelerated by certain retirement eligibility provisions.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recorded when they occur. Total stock-based compensation expense for the past three fiscal years consisted of the following components: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awards: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8"/>
        </w:trPr>
        <w:tc>
          <w:tcPr>
            <w:tcW w:w="5900" w:type="dxa"/>
            <w:vAlign w:val="bottom"/>
          </w:tcPr>
          <w:p>
            <w:pPr>
              <w:ind w:left="120"/>
              <w:spacing w:after="0"/>
              <w:rPr>
                <w:sz w:val="20"/>
                <w:szCs w:val="20"/>
                <w:color w:val="auto"/>
              </w:rPr>
            </w:pPr>
            <w:r>
              <w:rPr>
                <w:rFonts w:ascii="Arial" w:cs="Arial" w:eastAsia="Arial" w:hAnsi="Arial"/>
                <w:sz w:val="13"/>
                <w:szCs w:val="13"/>
                <w:color w:val="auto"/>
              </w:rPr>
              <w:t>Time-based</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72"/>
        </w:trPr>
        <w:tc>
          <w:tcPr>
            <w:tcW w:w="5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Performance-based</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2"/>
        </w:trPr>
        <w:tc>
          <w:tcPr>
            <w:tcW w:w="590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0"/>
        </w:trPr>
        <w:tc>
          <w:tcPr>
            <w:tcW w:w="5900" w:type="dxa"/>
            <w:vAlign w:val="bottom"/>
          </w:tcPr>
          <w:p>
            <w:pPr>
              <w:ind w:left="120"/>
              <w:spacing w:after="0"/>
              <w:rPr>
                <w:sz w:val="20"/>
                <w:szCs w:val="20"/>
                <w:color w:val="auto"/>
              </w:rPr>
            </w:pPr>
            <w:r>
              <w:rPr>
                <w:rFonts w:ascii="Arial" w:cs="Arial" w:eastAsia="Arial" w:hAnsi="Arial"/>
                <w:sz w:val="13"/>
                <w:szCs w:val="13"/>
                <w:color w:val="auto"/>
              </w:rPr>
              <w:t>Total stock-based compensation expense</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00" w:right="140" w:hanging="195"/>
        <w:spacing w:after="0" w:line="210" w:lineRule="auto"/>
        <w:tabs>
          <w:tab w:leader="none" w:pos="236" w:val="left"/>
        </w:tabs>
        <w:numPr>
          <w:ilvl w:val="0"/>
          <w:numId w:val="24"/>
        </w:numPr>
        <w:rPr>
          <w:rFonts w:ascii="Arial" w:cs="Arial" w:eastAsia="Arial" w:hAnsi="Arial"/>
          <w:sz w:val="17"/>
          <w:szCs w:val="17"/>
          <w:color w:val="auto"/>
          <w:vertAlign w:val="superscript"/>
        </w:rPr>
      </w:pPr>
      <w:r>
        <w:rPr>
          <w:rFonts w:ascii="Arial" w:cs="Arial" w:eastAsia="Arial" w:hAnsi="Arial"/>
          <w:sz w:val="11"/>
          <w:szCs w:val="11"/>
          <w:color w:val="auto"/>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 - Time-Based</w:t>
      </w:r>
    </w:p>
    <w:p>
      <w:pPr>
        <w:spacing w:after="0" w:line="103"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The fair value of time-based restricted stock units is determined based on the closing market price of our stock on the date of grant. A summary of the status of nonvested time-based restricted stock units at August 26, 2023, and changes during Fiscal 2023,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w w:val="99"/>
              </w:rPr>
              <w:t>Shares</w:t>
            </w:r>
            <w:r>
              <w:rPr>
                <w:rFonts w:ascii="Arial" w:cs="Arial" w:eastAsia="Arial" w:hAnsi="Arial"/>
                <w:sz w:val="16"/>
                <w:szCs w:val="16"/>
                <w:b w:val="1"/>
                <w:bCs w:val="1"/>
                <w:color w:val="auto"/>
                <w:w w:val="99"/>
                <w:vertAlign w:val="superscript"/>
              </w:rPr>
              <w:t>(1)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Weighted Average Fair Value</w:t>
            </w:r>
          </w:p>
        </w:tc>
      </w:tr>
      <w:tr>
        <w:trPr>
          <w:trHeight w:val="16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27, 2022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328,838</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w:t>
            </w:r>
          </w:p>
        </w:tc>
      </w:tr>
      <w:tr>
        <w:trPr>
          <w:trHeight w:val="168"/>
        </w:trPr>
        <w:tc>
          <w:tcPr>
            <w:tcW w:w="874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221,777</w:t>
            </w:r>
          </w:p>
        </w:tc>
        <w:tc>
          <w:tcPr>
            <w:tcW w:w="860" w:type="dxa"/>
            <w:vAlign w:val="bottom"/>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56.13</w:t>
            </w:r>
          </w:p>
        </w:tc>
      </w:tr>
      <w:tr>
        <w:trPr>
          <w:trHeight w:val="172"/>
        </w:trPr>
        <w:tc>
          <w:tcPr>
            <w:tcW w:w="8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(153,806)</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53.49</w:t>
            </w:r>
          </w:p>
        </w:tc>
      </w:tr>
      <w:tr>
        <w:trPr>
          <w:trHeight w:val="168"/>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Forfeited/canceled</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(14,048)</w:t>
            </w:r>
          </w:p>
        </w:tc>
        <w:tc>
          <w:tcPr>
            <w:tcW w:w="860" w:type="dxa"/>
            <w:vAlign w:val="bottom"/>
            <w:tcBorders>
              <w:bottom w:val="single" w:sz="8" w:color="CCEEFF"/>
            </w:tcBorders>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59.88</w:t>
            </w:r>
          </w:p>
        </w:tc>
      </w:tr>
      <w:tr>
        <w:trPr>
          <w:trHeight w:val="18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26, 2023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382,761</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51" w:lineRule="exact"/>
        <w:rPr>
          <w:sz w:val="20"/>
          <w:szCs w:val="20"/>
          <w:color w:val="auto"/>
        </w:rPr>
      </w:pPr>
    </w:p>
    <w:p>
      <w:pPr>
        <w:ind w:left="240" w:hanging="235"/>
        <w:spacing w:after="0"/>
        <w:tabs>
          <w:tab w:leader="none" w:pos="240" w:val="left"/>
        </w:tabs>
        <w:numPr>
          <w:ilvl w:val="0"/>
          <w:numId w:val="25"/>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82" w:lineRule="exact"/>
        <w:rPr>
          <w:sz w:val="20"/>
          <w:szCs w:val="20"/>
          <w:color w:val="auto"/>
        </w:rPr>
      </w:pPr>
    </w:p>
    <w:p>
      <w:pPr>
        <w:ind w:right="380"/>
        <w:spacing w:after="0" w:line="257" w:lineRule="auto"/>
        <w:rPr>
          <w:sz w:val="20"/>
          <w:szCs w:val="20"/>
          <w:color w:val="auto"/>
        </w:rPr>
      </w:pPr>
      <w:r>
        <w:rPr>
          <w:rFonts w:ascii="Arial" w:cs="Arial" w:eastAsia="Arial" w:hAnsi="Arial"/>
          <w:sz w:val="13"/>
          <w:szCs w:val="13"/>
          <w:color w:val="auto"/>
        </w:rPr>
        <w:t>As of August 26, 2023, there was $10.1 million of unrecognized compensation expense related to nonvested time-based restricted stock units that are expected to be recognized over a weighted average period of 0.9 years. The total fair value of restricted stock units vested during Fiscal 2023, 2022, and 2021 was $8.8 million, $8.0 million, and $5.2 million, respectively.</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 - Performance-Based</w:t>
      </w:r>
    </w:p>
    <w:p>
      <w:pPr>
        <w:spacing w:after="0" w:line="92"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The fair value of performance-based restricted stock units is determined based on the closing market price of our stock on the date of grant. A summary of the status of our nonvested performance-based restricted stock units at August 26, 2023, and changes during Fiscal 2023, is as follows:</w:t>
      </w:r>
    </w:p>
    <w:tbl>
      <w:tblPr>
        <w:tblLayout w:type="fixed"/>
        <w:tblInd w:w="0" w:type="dxa"/>
        <w:tblCellMar>
          <w:top w:w="0" w:type="dxa"/>
          <w:left w:w="0" w:type="dxa"/>
          <w:bottom w:w="0" w:type="dxa"/>
          <w:right w:w="0" w:type="dxa"/>
        </w:tblCellMar>
      </w:tblPr>
      <w:tr>
        <w:trPr>
          <w:trHeight w:val="174"/>
        </w:trPr>
        <w:tc>
          <w:tcPr>
            <w:tcW w:w="7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640"/>
              <w:spacing w:after="0" w:line="174" w:lineRule="exact"/>
              <w:rPr>
                <w:sz w:val="20"/>
                <w:szCs w:val="20"/>
                <w:color w:val="auto"/>
              </w:rPr>
            </w:pPr>
            <w:r>
              <w:rPr>
                <w:rFonts w:ascii="Arial" w:cs="Arial" w:eastAsia="Arial" w:hAnsi="Arial"/>
                <w:sz w:val="13"/>
                <w:szCs w:val="13"/>
                <w:b w:val="1"/>
                <w:bCs w:val="1"/>
                <w:color w:val="auto"/>
                <w:w w:val="99"/>
              </w:rPr>
              <w:t>Shares</w:t>
            </w:r>
            <w:r>
              <w:rPr>
                <w:rFonts w:ascii="Arial" w:cs="Arial" w:eastAsia="Arial" w:hAnsi="Arial"/>
                <w:sz w:val="16"/>
                <w:szCs w:val="16"/>
                <w:b w:val="1"/>
                <w:bCs w:val="1"/>
                <w:color w:val="auto"/>
                <w:w w:val="99"/>
                <w:vertAlign w:val="superscript"/>
              </w:rPr>
              <w:t>(1)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Weighted Average Fair Value</w:t>
            </w:r>
          </w:p>
        </w:tc>
      </w:tr>
      <w:tr>
        <w:trPr>
          <w:trHeight w:val="16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27, 2022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198,206</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58.45</w:t>
            </w:r>
          </w:p>
        </w:tc>
      </w:tr>
      <w:tr>
        <w:trPr>
          <w:trHeight w:val="168"/>
        </w:trPr>
        <w:tc>
          <w:tcPr>
            <w:tcW w:w="874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149,962</w:t>
            </w:r>
          </w:p>
        </w:tc>
        <w:tc>
          <w:tcPr>
            <w:tcW w:w="860" w:type="dxa"/>
            <w:vAlign w:val="bottom"/>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53.11</w:t>
            </w:r>
          </w:p>
        </w:tc>
      </w:tr>
      <w:tr>
        <w:trPr>
          <w:trHeight w:val="172"/>
        </w:trPr>
        <w:tc>
          <w:tcPr>
            <w:tcW w:w="8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(135,520)</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49.18</w:t>
            </w:r>
          </w:p>
        </w:tc>
      </w:tr>
      <w:tr>
        <w:trPr>
          <w:trHeight w:val="168"/>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Forfeited/canceled</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26, 2023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212,648</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9" w:lineRule="exact"/>
        <w:rPr>
          <w:sz w:val="20"/>
          <w:szCs w:val="20"/>
          <w:color w:val="auto"/>
        </w:rPr>
      </w:pPr>
    </w:p>
    <w:p>
      <w:pPr>
        <w:ind w:left="240" w:hanging="235"/>
        <w:spacing w:after="0"/>
        <w:tabs>
          <w:tab w:leader="none" w:pos="240" w:val="left"/>
        </w:tabs>
        <w:numPr>
          <w:ilvl w:val="0"/>
          <w:numId w:val="26"/>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72" w:lineRule="exact"/>
        <w:rPr>
          <w:sz w:val="20"/>
          <w:szCs w:val="20"/>
          <w:color w:val="auto"/>
        </w:rPr>
      </w:pPr>
    </w:p>
    <w:p>
      <w:pPr>
        <w:ind w:right="360"/>
        <w:spacing w:after="0" w:line="256" w:lineRule="auto"/>
        <w:rPr>
          <w:sz w:val="20"/>
          <w:szCs w:val="20"/>
          <w:color w:val="auto"/>
        </w:rPr>
      </w:pPr>
      <w:r>
        <w:rPr>
          <w:rFonts w:ascii="Arial" w:cs="Arial" w:eastAsia="Arial" w:hAnsi="Arial"/>
          <w:sz w:val="13"/>
          <w:szCs w:val="13"/>
          <w:color w:val="auto"/>
        </w:rPr>
        <w:t>As of August 26, 2023, there was $4.9 million of unrecognized compensation expense related to nonvested performance-based restricted stock units that are expected to be recognized over a weighted average period of 1 year. The total fair value of performance-based restricted stock units vested during Fiscal 2023, Fiscal 2022, and Fiscal 2021 was $7.6 million, $5.8 million, and $1.4 million, respectively.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3"/>
        </w:trPr>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Stock Options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spacing w:after="0"/>
              <w:rPr>
                <w:sz w:val="20"/>
                <w:szCs w:val="20"/>
                <w:color w:val="auto"/>
              </w:rPr>
            </w:pPr>
            <w:r>
              <w:rPr>
                <w:rFonts w:ascii="Arial" w:cs="Arial" w:eastAsia="Arial" w:hAnsi="Arial"/>
                <w:sz w:val="13"/>
                <w:szCs w:val="13"/>
                <w:color w:val="auto"/>
              </w:rPr>
              <w:t>A summary of stock option activity for Fiscal 2023 is as follows: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Weighted Average Exercise</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Weighted Average</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50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Stock Options</w:t>
            </w:r>
            <w:r>
              <w:rPr>
                <w:rFonts w:ascii="Arial" w:cs="Arial" w:eastAsia="Arial" w:hAnsi="Arial"/>
                <w:sz w:val="16"/>
                <w:szCs w:val="16"/>
                <w:b w:val="1"/>
                <w:bCs w:val="1"/>
                <w:color w:val="auto"/>
                <w:vertAlign w:val="superscript"/>
              </w:rPr>
              <w:t>(1)</w:t>
            </w:r>
          </w:p>
        </w:tc>
        <w:tc>
          <w:tcPr>
            <w:tcW w:w="10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84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8"/>
              </w:rPr>
              <w:t>Remaining Contractual</w:t>
            </w:r>
          </w:p>
        </w:tc>
        <w:tc>
          <w:tcPr>
            <w:tcW w:w="80" w:type="dxa"/>
            <w:vAlign w:val="bottom"/>
          </w:tcPr>
          <w:p>
            <w:pPr>
              <w:spacing w:after="0"/>
              <w:rPr>
                <w:sz w:val="11"/>
                <w:szCs w:val="11"/>
                <w:color w:val="auto"/>
              </w:rPr>
            </w:pPr>
          </w:p>
        </w:tc>
        <w:tc>
          <w:tcPr>
            <w:tcW w:w="164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w w:val="96"/>
              </w:rPr>
              <w:t>Aggregate Intrinsic Value</w:t>
            </w:r>
          </w:p>
        </w:tc>
        <w:tc>
          <w:tcPr>
            <w:tcW w:w="0" w:type="dxa"/>
            <w:vAlign w:val="bottom"/>
          </w:tcPr>
          <w:p>
            <w:pPr>
              <w:spacing w:after="0"/>
              <w:rPr>
                <w:sz w:val="1"/>
                <w:szCs w:val="1"/>
                <w:color w:val="auto"/>
              </w:rPr>
            </w:pPr>
          </w:p>
        </w:tc>
      </w:tr>
      <w:tr>
        <w:trPr>
          <w:trHeight w:val="170"/>
        </w:trPr>
        <w:tc>
          <w:tcPr>
            <w:tcW w:w="10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Price Per Share</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Term (in years)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27, 2022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322,107</w:t>
            </w:r>
          </w:p>
        </w:tc>
        <w:tc>
          <w:tcPr>
            <w:tcW w:w="1440" w:type="dxa"/>
            <w:vAlign w:val="bottom"/>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44.75</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0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66,873</w:t>
            </w:r>
          </w:p>
        </w:tc>
        <w:tc>
          <w:tcPr>
            <w:tcW w:w="1440" w:type="dxa"/>
            <w:vAlign w:val="bottom"/>
            <w:gridSpan w:val="2"/>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56.09</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CCEEFF"/>
            </w:tcBorders>
            <w:gridSpan w:val="2"/>
          </w:tcPr>
          <w:p>
            <w:pPr>
              <w:jc w:val="right"/>
              <w:ind w:right="119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26,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388,980</w:t>
            </w:r>
          </w:p>
        </w:tc>
        <w:tc>
          <w:tcPr>
            <w:tcW w:w="1440" w:type="dxa"/>
            <w:vAlign w:val="bottom"/>
            <w:tcBorders>
              <w:bottom w:val="single" w:sz="8" w:color="CCEEFF"/>
            </w:tcBorders>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46.70</w:t>
            </w:r>
          </w:p>
        </w:tc>
        <w:tc>
          <w:tcPr>
            <w:tcW w:w="8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7,077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Exercisable at August 26, 2023</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278,339</w:t>
            </w:r>
          </w:p>
        </w:tc>
        <w:tc>
          <w:tcPr>
            <w:tcW w:w="1440" w:type="dxa"/>
            <w:vAlign w:val="bottom"/>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41.17</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6,417</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40" w:hanging="235"/>
        <w:spacing w:after="0"/>
        <w:tabs>
          <w:tab w:leader="none" w:pos="240" w:val="left"/>
        </w:tabs>
        <w:numPr>
          <w:ilvl w:val="0"/>
          <w:numId w:val="27"/>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As of August 26, 2023, there was $1.6 million of unrecognized compensation expense related to stock options that is expected to be recognized over a weighted average period of 0.9 years.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each stock option is estimated on the date of grant using the Black-Scholes option-pricing model with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Valuation Assumptions</w:t>
            </w:r>
            <w:r>
              <w:rPr>
                <w:rFonts w:ascii="Arial" w:cs="Arial" w:eastAsia="Arial" w:hAnsi="Arial"/>
                <w:sz w:val="16"/>
                <w:szCs w:val="16"/>
                <w:color w:val="auto"/>
                <w:vertAlign w:val="superscript"/>
              </w:rPr>
              <w:t>(1)</w:t>
            </w:r>
          </w:p>
        </w:tc>
        <w:tc>
          <w:tcPr>
            <w:tcW w:w="2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2021</w:t>
            </w:r>
          </w:p>
        </w:tc>
      </w:tr>
      <w:tr>
        <w:trPr>
          <w:trHeight w:val="160"/>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26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r>
      <w:tr>
        <w:trPr>
          <w:trHeight w:val="170"/>
        </w:trPr>
        <w:tc>
          <w:tcPr>
            <w:tcW w:w="4040" w:type="dxa"/>
            <w:vAlign w:val="bottom"/>
          </w:tcPr>
          <w:p>
            <w:pPr>
              <w:ind w:left="20"/>
              <w:spacing w:after="0" w:line="170" w:lineRule="exact"/>
              <w:rPr>
                <w:sz w:val="20"/>
                <w:szCs w:val="20"/>
                <w:color w:val="auto"/>
              </w:rPr>
            </w:pPr>
            <w:r>
              <w:rPr>
                <w:rFonts w:ascii="Arial" w:cs="Arial" w:eastAsia="Arial" w:hAnsi="Arial"/>
                <w:sz w:val="13"/>
                <w:szCs w:val="13"/>
                <w:color w:val="auto"/>
              </w:rPr>
              <w:t>Risk-free interest rate</w:t>
            </w:r>
            <w:r>
              <w:rPr>
                <w:rFonts w:ascii="Arial" w:cs="Arial" w:eastAsia="Arial" w:hAnsi="Arial"/>
                <w:sz w:val="16"/>
                <w:szCs w:val="16"/>
                <w:color w:val="auto"/>
                <w:vertAlign w:val="superscript"/>
              </w:rPr>
              <w:t>(2)</w:t>
            </w:r>
          </w:p>
        </w:tc>
        <w:tc>
          <w:tcPr>
            <w:tcW w:w="2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4.1 %</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0.3 %</w:t>
            </w:r>
          </w:p>
        </w:tc>
      </w:tr>
      <w:tr>
        <w:trPr>
          <w:trHeight w:val="170"/>
        </w:trPr>
        <w:tc>
          <w:tcPr>
            <w:tcW w:w="4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Expected life of stock options (in years)</w:t>
            </w:r>
            <w:r>
              <w:rPr>
                <w:rFonts w:ascii="Arial" w:cs="Arial" w:eastAsia="Arial" w:hAnsi="Arial"/>
                <w:sz w:val="16"/>
                <w:szCs w:val="16"/>
                <w:color w:val="auto"/>
                <w:vertAlign w:val="superscript"/>
              </w:rPr>
              <w:t>(3)</w:t>
            </w:r>
          </w:p>
        </w:tc>
        <w:tc>
          <w:tcPr>
            <w:tcW w:w="26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4040" w:type="dxa"/>
            <w:vAlign w:val="bottom"/>
          </w:tcPr>
          <w:p>
            <w:pPr>
              <w:ind w:left="20"/>
              <w:spacing w:after="0" w:line="170" w:lineRule="exact"/>
              <w:rPr>
                <w:sz w:val="20"/>
                <w:szCs w:val="20"/>
                <w:color w:val="auto"/>
              </w:rPr>
            </w:pPr>
            <w:r>
              <w:rPr>
                <w:rFonts w:ascii="Arial" w:cs="Arial" w:eastAsia="Arial" w:hAnsi="Arial"/>
                <w:sz w:val="13"/>
                <w:szCs w:val="13"/>
                <w:color w:val="auto"/>
              </w:rPr>
              <w:t>Expected stock price volatility</w:t>
            </w:r>
            <w:r>
              <w:rPr>
                <w:rFonts w:ascii="Arial" w:cs="Arial" w:eastAsia="Arial" w:hAnsi="Arial"/>
                <w:sz w:val="16"/>
                <w:szCs w:val="16"/>
                <w:color w:val="auto"/>
                <w:vertAlign w:val="superscript"/>
              </w:rPr>
              <w:t>(4)</w:t>
            </w:r>
          </w:p>
        </w:tc>
        <w:tc>
          <w:tcPr>
            <w:tcW w:w="2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50.8 %</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48.5 %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48.6 %</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fair value of options granted</w:t>
            </w:r>
          </w:p>
        </w:tc>
        <w:tc>
          <w:tcPr>
            <w:tcW w:w="260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23.94</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21.65</w:t>
            </w:r>
          </w:p>
        </w:tc>
      </w:tr>
    </w:tbl>
    <w:p>
      <w:pPr>
        <w:spacing w:after="0" w:line="10" w:lineRule="exact"/>
        <w:rPr>
          <w:sz w:val="20"/>
          <w:szCs w:val="20"/>
          <w:color w:val="auto"/>
        </w:rPr>
      </w:pPr>
    </w:p>
    <w:p>
      <w:pPr>
        <w:ind w:left="240" w:hanging="235"/>
        <w:spacing w:after="0"/>
        <w:tabs>
          <w:tab w:leader="none" w:pos="240" w:val="left"/>
        </w:tabs>
        <w:numPr>
          <w:ilvl w:val="0"/>
          <w:numId w:val="28"/>
        </w:numPr>
        <w:rPr>
          <w:rFonts w:ascii="Arial" w:cs="Arial" w:eastAsia="Arial" w:hAnsi="Arial"/>
          <w:sz w:val="17"/>
          <w:szCs w:val="17"/>
          <w:color w:val="auto"/>
          <w:vertAlign w:val="superscript"/>
        </w:rPr>
      </w:pPr>
      <w:r>
        <w:rPr>
          <w:rFonts w:ascii="Arial" w:cs="Arial" w:eastAsia="Arial" w:hAnsi="Arial"/>
          <w:sz w:val="11"/>
          <w:szCs w:val="11"/>
          <w:color w:val="auto"/>
        </w:rPr>
        <w:t>Forfeitures are recorded when they occur.</w:t>
      </w:r>
    </w:p>
    <w:p>
      <w:pPr>
        <w:ind w:left="240" w:hanging="235"/>
        <w:spacing w:after="0" w:line="203" w:lineRule="auto"/>
        <w:tabs>
          <w:tab w:leader="none" w:pos="240" w:val="left"/>
        </w:tabs>
        <w:numPr>
          <w:ilvl w:val="0"/>
          <w:numId w:val="28"/>
        </w:numPr>
        <w:rPr>
          <w:rFonts w:ascii="Arial" w:cs="Arial" w:eastAsia="Arial" w:hAnsi="Arial"/>
          <w:sz w:val="14"/>
          <w:szCs w:val="14"/>
          <w:color w:val="auto"/>
          <w:vertAlign w:val="superscript"/>
        </w:rPr>
      </w:pPr>
      <w:r>
        <w:rPr>
          <w:rFonts w:ascii="Arial" w:cs="Arial" w:eastAsia="Arial" w:hAnsi="Arial"/>
          <w:sz w:val="10"/>
          <w:szCs w:val="10"/>
          <w:color w:val="auto"/>
        </w:rPr>
        <w:t>Based on U.S. Treasury constant maturity interest rate whose term is consistent with the expected life of the stock options.</w:t>
      </w:r>
    </w:p>
    <w:p>
      <w:pPr>
        <w:spacing w:after="0" w:line="1" w:lineRule="exact"/>
        <w:rPr>
          <w:rFonts w:ascii="Arial" w:cs="Arial" w:eastAsia="Arial" w:hAnsi="Arial"/>
          <w:sz w:val="14"/>
          <w:szCs w:val="14"/>
          <w:color w:val="auto"/>
          <w:vertAlign w:val="superscript"/>
        </w:rPr>
      </w:pPr>
    </w:p>
    <w:p>
      <w:pPr>
        <w:ind w:left="240" w:hanging="235"/>
        <w:spacing w:after="0" w:line="203" w:lineRule="auto"/>
        <w:tabs>
          <w:tab w:leader="none" w:pos="240" w:val="left"/>
        </w:tabs>
        <w:numPr>
          <w:ilvl w:val="0"/>
          <w:numId w:val="28"/>
        </w:numPr>
        <w:rPr>
          <w:rFonts w:ascii="Arial" w:cs="Arial" w:eastAsia="Arial" w:hAnsi="Arial"/>
          <w:sz w:val="14"/>
          <w:szCs w:val="14"/>
          <w:color w:val="auto"/>
          <w:vertAlign w:val="superscript"/>
        </w:rPr>
      </w:pPr>
      <w:r>
        <w:rPr>
          <w:rFonts w:ascii="Arial" w:cs="Arial" w:eastAsia="Arial" w:hAnsi="Arial"/>
          <w:sz w:val="10"/>
          <w:szCs w:val="10"/>
          <w:color w:val="auto"/>
        </w:rPr>
        <w:t>Estimated based on historical experience.</w:t>
      </w:r>
    </w:p>
    <w:p>
      <w:pPr>
        <w:spacing w:after="0" w:line="1" w:lineRule="exact"/>
        <w:rPr>
          <w:rFonts w:ascii="Arial" w:cs="Arial" w:eastAsia="Arial" w:hAnsi="Arial"/>
          <w:sz w:val="14"/>
          <w:szCs w:val="14"/>
          <w:color w:val="auto"/>
          <w:vertAlign w:val="superscript"/>
        </w:rPr>
      </w:pPr>
    </w:p>
    <w:p>
      <w:pPr>
        <w:ind w:left="240" w:hanging="235"/>
        <w:spacing w:after="0" w:line="203" w:lineRule="auto"/>
        <w:tabs>
          <w:tab w:leader="none" w:pos="240" w:val="left"/>
        </w:tabs>
        <w:numPr>
          <w:ilvl w:val="0"/>
          <w:numId w:val="28"/>
        </w:numPr>
        <w:rPr>
          <w:rFonts w:ascii="Arial" w:cs="Arial" w:eastAsia="Arial" w:hAnsi="Arial"/>
          <w:sz w:val="14"/>
          <w:szCs w:val="14"/>
          <w:color w:val="auto"/>
          <w:vertAlign w:val="superscript"/>
        </w:rPr>
      </w:pPr>
      <w:r>
        <w:rPr>
          <w:rFonts w:ascii="Arial" w:cs="Arial" w:eastAsia="Arial" w:hAnsi="Arial"/>
          <w:sz w:val="10"/>
          <w:szCs w:val="10"/>
          <w:color w:val="auto"/>
        </w:rPr>
        <w:t>Based on historical experience over a term consistent with the expected life of the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r>
      <w:tr>
        <w:trPr>
          <w:trHeight w:val="160"/>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3540" w:type="dxa"/>
            <w:vAlign w:val="bottom"/>
          </w:tcPr>
          <w:p>
            <w:pPr>
              <w:ind w:left="120"/>
              <w:spacing w:after="0"/>
              <w:rPr>
                <w:sz w:val="20"/>
                <w:szCs w:val="20"/>
                <w:color w:val="auto"/>
              </w:rPr>
            </w:pPr>
            <w:r>
              <w:rPr>
                <w:rFonts w:ascii="Arial" w:cs="Arial" w:eastAsia="Arial" w:hAnsi="Arial"/>
                <w:sz w:val="13"/>
                <w:szCs w:val="13"/>
                <w:color w:val="auto"/>
              </w:rPr>
              <w:t>Federal</w:t>
            </w:r>
          </w:p>
        </w:tc>
        <w:tc>
          <w:tcPr>
            <w:tcW w:w="2500" w:type="dxa"/>
            <w:vAlign w:val="bottom"/>
            <w:gridSpan w:val="2"/>
          </w:tcPr>
          <w:p>
            <w:pPr>
              <w:ind w:left="204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71.6</w:t>
            </w:r>
          </w:p>
        </w:tc>
        <w:tc>
          <w:tcPr>
            <w:tcW w:w="40" w:type="dxa"/>
            <w:vAlign w:val="bottom"/>
          </w:tcPr>
          <w:p>
            <w:pPr>
              <w:spacing w:after="0"/>
              <w:rPr>
                <w:sz w:val="14"/>
                <w:szCs w:val="14"/>
                <w:color w:val="auto"/>
              </w:rPr>
            </w:pPr>
          </w:p>
        </w:tc>
      </w:tr>
      <w:tr>
        <w:trPr>
          <w:trHeight w:val="172"/>
        </w:trPr>
        <w:tc>
          <w:tcPr>
            <w:tcW w:w="3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40" w:type="dxa"/>
            <w:vAlign w:val="bottom"/>
          </w:tcPr>
          <w:p>
            <w:pPr>
              <w:spacing w:after="0"/>
              <w:rPr>
                <w:sz w:val="14"/>
                <w:szCs w:val="14"/>
                <w:color w:val="auto"/>
              </w:rPr>
            </w:pPr>
          </w:p>
        </w:tc>
      </w:tr>
      <w:tr>
        <w:trPr>
          <w:trHeight w:val="158"/>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w:t>
            </w:r>
          </w:p>
        </w:tc>
        <w:tc>
          <w:tcPr>
            <w:tcW w:w="20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w:t>
            </w:r>
          </w:p>
        </w:tc>
        <w:tc>
          <w:tcPr>
            <w:tcW w:w="40" w:type="dxa"/>
            <w:vAlign w:val="bottom"/>
          </w:tcPr>
          <w:p>
            <w:pPr>
              <w:spacing w:after="0"/>
              <w:rPr>
                <w:sz w:val="13"/>
                <w:szCs w:val="13"/>
                <w:color w:val="auto"/>
              </w:rPr>
            </w:pPr>
          </w:p>
        </w:tc>
      </w:tr>
      <w:tr>
        <w:trPr>
          <w:trHeight w:val="152"/>
        </w:trPr>
        <w:tc>
          <w:tcPr>
            <w:tcW w:w="3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w:t>
            </w:r>
          </w:p>
        </w:tc>
        <w:tc>
          <w:tcPr>
            <w:tcW w:w="2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3540" w:type="dxa"/>
            <w:vAlign w:val="bottom"/>
          </w:tcPr>
          <w:p>
            <w:pPr>
              <w:ind w:left="120"/>
              <w:spacing w:after="0"/>
              <w:rPr>
                <w:sz w:val="20"/>
                <w:szCs w:val="20"/>
                <w:color w:val="auto"/>
              </w:rPr>
            </w:pPr>
            <w:r>
              <w:rPr>
                <w:rFonts w:ascii="Arial" w:cs="Arial" w:eastAsia="Arial" w:hAnsi="Arial"/>
                <w:sz w:val="13"/>
                <w:szCs w:val="13"/>
                <w:color w:val="auto"/>
              </w:rPr>
              <w:t>Federal</w:t>
            </w: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0.7</w:t>
            </w:r>
          </w:p>
        </w:tc>
        <w:tc>
          <w:tcPr>
            <w:tcW w:w="40" w:type="dxa"/>
            <w:vAlign w:val="bottom"/>
          </w:tcPr>
          <w:p>
            <w:pPr>
              <w:spacing w:after="0"/>
              <w:rPr>
                <w:sz w:val="14"/>
                <w:szCs w:val="14"/>
                <w:color w:val="auto"/>
              </w:rPr>
            </w:pPr>
          </w:p>
        </w:tc>
      </w:tr>
      <w:tr>
        <w:trPr>
          <w:trHeight w:val="172"/>
        </w:trPr>
        <w:tc>
          <w:tcPr>
            <w:tcW w:w="3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r>
      <w:tr>
        <w:trPr>
          <w:trHeight w:val="158"/>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w:t>
            </w:r>
          </w:p>
        </w:tc>
        <w:tc>
          <w:tcPr>
            <w:tcW w:w="20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3"/>
                <w:szCs w:val="13"/>
                <w:color w:val="auto"/>
              </w:rPr>
            </w:pPr>
          </w:p>
        </w:tc>
      </w:tr>
      <w:tr>
        <w:trPr>
          <w:trHeight w:val="183"/>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500" w:type="dxa"/>
            <w:vAlign w:val="bottom"/>
            <w:gridSpan w:val="2"/>
            <w:shd w:val="clear" w:color="auto" w:fill="CCEEFF"/>
          </w:tcPr>
          <w:p>
            <w:pPr>
              <w:ind w:left="20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40" w:type="dxa"/>
            <w:vAlign w:val="bottom"/>
          </w:tcPr>
          <w:p>
            <w:pPr>
              <w:spacing w:after="0"/>
              <w:rPr>
                <w:sz w:val="15"/>
                <w:szCs w:val="15"/>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60"/>
        </w:trPr>
        <w:tc>
          <w:tcPr>
            <w:tcW w:w="3540" w:type="dxa"/>
            <w:vAlign w:val="bottom"/>
          </w:tcPr>
          <w:p>
            <w:pPr>
              <w:spacing w:after="0"/>
              <w:rPr>
                <w:sz w:val="24"/>
                <w:szCs w:val="24"/>
                <w:color w:val="auto"/>
              </w:rPr>
            </w:pPr>
          </w:p>
        </w:tc>
        <w:tc>
          <w:tcPr>
            <w:tcW w:w="2500" w:type="dxa"/>
            <w:vAlign w:val="bottom"/>
            <w:gridSpan w:val="2"/>
          </w:tcPr>
          <w:p>
            <w:pPr>
              <w:ind w:left="2040"/>
              <w:spacing w:after="0"/>
              <w:rPr>
                <w:sz w:val="20"/>
                <w:szCs w:val="20"/>
                <w:color w:val="auto"/>
              </w:rPr>
            </w:pPr>
            <w:r>
              <w:rPr>
                <w:rFonts w:ascii="Arial" w:cs="Arial" w:eastAsia="Arial" w:hAnsi="Arial"/>
                <w:sz w:val="13"/>
                <w:szCs w:val="13"/>
                <w:color w:val="auto"/>
              </w:rPr>
              <w:t>58</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354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320"/>
        <w:spacing w:after="0" w:line="257" w:lineRule="auto"/>
        <w:rPr>
          <w:sz w:val="20"/>
          <w:szCs w:val="20"/>
          <w:color w:val="auto"/>
        </w:rPr>
      </w:pPr>
      <w:r>
        <w:rPr>
          <w:rFonts w:ascii="Arial" w:cs="Arial" w:eastAsia="Arial" w:hAnsi="Arial"/>
          <w:sz w:val="13"/>
          <w:szCs w:val="13"/>
          <w:color w:val="auto"/>
        </w:rPr>
        <w:t>As of August 26, 2023, $10.7 million of U.S. federal income taxes receivable was included in prepaid expenses and other current assets on the Consolidated Balance Sheets. Comparatively, as of August 27, 2022, $0.7 million of U.S. federal income taxes payable was included in income taxes payable on the 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2"/>
          </w:tcPr>
          <w:p>
            <w:pPr>
              <w:spacing w:after="0"/>
              <w:rPr>
                <w:sz w:val="20"/>
                <w:szCs w:val="20"/>
                <w:color w:val="auto"/>
              </w:rPr>
            </w:pPr>
            <w:r>
              <w:rPr>
                <w:rFonts w:ascii="Arial" w:cs="Arial" w:eastAsia="Arial" w:hAnsi="Arial"/>
                <w:sz w:val="13"/>
                <w:szCs w:val="13"/>
                <w:color w:val="auto"/>
              </w:rPr>
              <w:t>A reconciliation of the U.S. statutory income tax rate to our effective income tax rate is as follows: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85"/>
        </w:trPr>
        <w:tc>
          <w:tcPr>
            <w:tcW w:w="6660" w:type="dxa"/>
            <w:vAlign w:val="bottom"/>
            <w:gridSpan w:val="2"/>
          </w:tcPr>
          <w:p>
            <w:pPr>
              <w:ind w:left="6200"/>
              <w:spacing w:after="0"/>
              <w:rPr>
                <w:sz w:val="20"/>
                <w:szCs w:val="20"/>
                <w:color w:val="auto"/>
              </w:rPr>
            </w:pPr>
            <w:r>
              <w:rPr>
                <w:rFonts w:ascii="Arial" w:cs="Arial" w:eastAsia="Arial" w:hAnsi="Arial"/>
                <w:sz w:val="13"/>
                <w:szCs w:val="13"/>
                <w:b w:val="1"/>
                <w:bCs w:val="1"/>
                <w:color w:val="auto"/>
              </w:rPr>
              <w:t>2023</w:t>
            </w:r>
          </w:p>
        </w:tc>
        <w:tc>
          <w:tcPr>
            <w:tcW w:w="2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State taxes, net of federal benefit</w:t>
            </w:r>
          </w:p>
        </w:tc>
        <w:tc>
          <w:tcPr>
            <w:tcW w:w="620" w:type="dxa"/>
            <w:vAlign w:val="bottom"/>
          </w:tcPr>
          <w:p>
            <w:pPr>
              <w:jc w:val="right"/>
              <w:spacing w:after="0"/>
              <w:rPr>
                <w:sz w:val="20"/>
                <w:szCs w:val="20"/>
                <w:color w:val="auto"/>
              </w:rPr>
            </w:pPr>
            <w:r>
              <w:rPr>
                <w:rFonts w:ascii="Arial" w:cs="Arial" w:eastAsia="Arial" w:hAnsi="Arial"/>
                <w:sz w:val="13"/>
                <w:szCs w:val="13"/>
                <w:color w:val="auto"/>
              </w:rPr>
              <w:t>3.1 %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3.3 %</w:t>
            </w: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tax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Nondeductible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0.5 %</w:t>
            </w: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Tax-free and dividend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Uncertain tax position settlements and adjustments</w:t>
            </w:r>
          </w:p>
        </w:tc>
        <w:tc>
          <w:tcPr>
            <w:tcW w:w="620" w:type="dxa"/>
            <w:vAlign w:val="bottom"/>
          </w:tcPr>
          <w:p>
            <w:pPr>
              <w:jc w:val="right"/>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items</w:t>
            </w:r>
          </w:p>
        </w:tc>
        <w:tc>
          <w:tcPr>
            <w:tcW w:w="1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3"/>
        </w:trPr>
        <w:tc>
          <w:tcPr>
            <w:tcW w:w="6660" w:type="dxa"/>
            <w:vAlign w:val="bottom"/>
            <w:gridSpan w:val="2"/>
          </w:tcPr>
          <w:p>
            <w:pPr>
              <w:ind w:left="120"/>
              <w:spacing w:after="0"/>
              <w:rPr>
                <w:sz w:val="20"/>
                <w:szCs w:val="20"/>
                <w:color w:val="auto"/>
              </w:rPr>
            </w:pPr>
            <w:r>
              <w:rPr>
                <w:rFonts w:ascii="Arial" w:cs="Arial" w:eastAsia="Arial" w:hAnsi="Arial"/>
                <w:sz w:val="13"/>
                <w:szCs w:val="13"/>
                <w:color w:val="auto"/>
              </w:rPr>
              <w:t>Effective tax provision rate</w:t>
            </w:r>
          </w:p>
        </w:tc>
        <w:tc>
          <w:tcPr>
            <w:tcW w:w="620" w:type="dxa"/>
            <w:vAlign w:val="bottom"/>
          </w:tcPr>
          <w:p>
            <w:pPr>
              <w:jc w:val="right"/>
              <w:spacing w:after="0"/>
              <w:rPr>
                <w:sz w:val="20"/>
                <w:szCs w:val="20"/>
                <w:color w:val="auto"/>
              </w:rPr>
            </w:pPr>
            <w:r>
              <w:rPr>
                <w:rFonts w:ascii="Arial" w:cs="Arial" w:eastAsia="Arial" w:hAnsi="Arial"/>
                <w:sz w:val="13"/>
                <w:szCs w:val="13"/>
                <w:color w:val="auto"/>
              </w:rPr>
              <w:t>22.7 %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24.1 %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23.3 %</w:t>
            </w:r>
          </w:p>
        </w:tc>
      </w:tr>
      <w:tr>
        <w:trPr>
          <w:trHeight w:val="20"/>
        </w:trPr>
        <w:tc>
          <w:tcPr>
            <w:tcW w:w="5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240"/>
        <w:spacing w:after="0" w:line="257" w:lineRule="auto"/>
        <w:rPr>
          <w:sz w:val="20"/>
          <w:szCs w:val="20"/>
          <w:color w:val="auto"/>
        </w:rPr>
      </w:pPr>
      <w:r>
        <w:rPr>
          <w:rFonts w:ascii="Arial" w:cs="Arial" w:eastAsia="Arial" w:hAnsi="Arial"/>
          <w:sz w:val="13"/>
          <w:szCs w:val="13"/>
          <w:color w:val="auto"/>
        </w:rPr>
        <w:t>Our effective tax rate decreased to 22.7% in Fiscal 2023 compared to 24.1% in Fiscal 2022 primarily due to both an increase in tax credits year-over-year over decreased income in the current year and favorable return to provision adjustments.</w:t>
      </w:r>
    </w:p>
    <w:p>
      <w:pPr>
        <w:spacing w:after="0" w:line="178" w:lineRule="exact"/>
        <w:rPr>
          <w:sz w:val="20"/>
          <w:szCs w:val="20"/>
          <w:color w:val="auto"/>
        </w:rPr>
      </w:pPr>
    </w:p>
    <w:p>
      <w:pPr>
        <w:ind w:right="200"/>
        <w:spacing w:after="0" w:line="247" w:lineRule="auto"/>
        <w:rPr>
          <w:sz w:val="20"/>
          <w:szCs w:val="20"/>
          <w:color w:val="auto"/>
        </w:rPr>
      </w:pPr>
      <w:r>
        <w:rPr>
          <w:rFonts w:ascii="Arial" w:cs="Arial" w:eastAsia="Arial" w:hAnsi="Arial"/>
          <w:sz w:val="13"/>
          <w:szCs w:val="13"/>
          <w:color w:val="auto"/>
        </w:rPr>
        <w:t>On August 16, 2022, the Inflation Reduction Act (“IRA”) was signed into law in the U.S.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 The amount of excise tax on Fiscal 2023 stock repurchases was not significant to our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20"/>
                <w:szCs w:val="20"/>
                <w:color w:val="auto"/>
              </w:rPr>
            </w:pPr>
            <w:r>
              <w:rPr>
                <w:rFonts w:ascii="Arial" w:cs="Arial" w:eastAsia="Arial" w:hAnsi="Arial"/>
                <w:sz w:val="13"/>
                <w:szCs w:val="13"/>
                <w:color w:val="auto"/>
                <w:w w:val="99"/>
              </w:rPr>
              <w:t>The tax effects of temporary differences that give rise to deferred income taxes were as follows: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August 26, 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August 27,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reserves</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2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Self-insurance reserve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Arial" w:cs="Arial" w:eastAsia="Arial" w:hAnsi="Arial"/>
                <w:sz w:val="13"/>
                <w:szCs w:val="13"/>
                <w:color w:val="auto"/>
              </w:rPr>
              <w:t>Convertible notes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research and development costs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deferred tax assets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Arial" w:cs="Arial" w:eastAsia="Arial" w:hAnsi="Arial"/>
                <w:sz w:val="13"/>
                <w:szCs w:val="13"/>
                <w:color w:val="auto"/>
              </w:rPr>
              <w:t>Convertible notes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deferred tax liabilities</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deferred income tax liabilities, net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Changes in the unrecognized tax benefits are as follows:</w:t>
            </w: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center"/>
              <w:ind w:left="996"/>
              <w:spacing w:after="0"/>
              <w:rPr>
                <w:sz w:val="20"/>
                <w:szCs w:val="20"/>
                <w:color w:val="auto"/>
              </w:rPr>
            </w:pPr>
            <w:r>
              <w:rPr>
                <w:rFonts w:ascii="Arial" w:cs="Arial" w:eastAsia="Arial" w:hAnsi="Arial"/>
                <w:sz w:val="13"/>
                <w:szCs w:val="13"/>
                <w:color w:val="auto"/>
                <w:w w:val="99"/>
              </w:rPr>
              <w:t>5.0</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120"/>
              <w:spacing w:after="0"/>
              <w:rPr>
                <w:sz w:val="20"/>
                <w:szCs w:val="20"/>
                <w:color w:val="auto"/>
              </w:rPr>
            </w:pPr>
            <w:r>
              <w:rPr>
                <w:rFonts w:ascii="Arial" w:cs="Arial" w:eastAsia="Arial" w:hAnsi="Arial"/>
                <w:sz w:val="13"/>
                <w:szCs w:val="13"/>
                <w:color w:val="auto"/>
              </w:rPr>
              <w:t>Gross decreases-tax positions in a prior year</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center"/>
              <w:ind w:left="996"/>
              <w:spacing w:after="0"/>
              <w:rPr>
                <w:sz w:val="20"/>
                <w:szCs w:val="20"/>
                <w:color w:val="auto"/>
              </w:rPr>
            </w:pPr>
            <w:r>
              <w:rPr>
                <w:rFonts w:ascii="Arial" w:cs="Arial" w:eastAsia="Arial" w:hAnsi="Arial"/>
                <w:sz w:val="13"/>
                <w:szCs w:val="13"/>
                <w:color w:val="auto"/>
                <w:w w:val="97"/>
              </w:rPr>
              <w:t>(1.5)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Gross increases-tax positions in a prior year</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left="996"/>
              <w:spacing w:after="0"/>
              <w:rPr>
                <w:sz w:val="20"/>
                <w:szCs w:val="20"/>
                <w:color w:val="auto"/>
              </w:rPr>
            </w:pPr>
            <w:r>
              <w:rPr>
                <w:rFonts w:ascii="Arial" w:cs="Arial" w:eastAsia="Arial" w:hAnsi="Arial"/>
                <w:sz w:val="13"/>
                <w:szCs w:val="13"/>
                <w:color w:val="auto"/>
                <w:w w:val="99"/>
              </w:rPr>
              <w:t>1.0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Gross increases-current year tax positions</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996"/>
              <w:spacing w:after="0"/>
              <w:rPr>
                <w:sz w:val="20"/>
                <w:szCs w:val="20"/>
                <w:color w:val="auto"/>
              </w:rPr>
            </w:pPr>
            <w:r>
              <w:rPr>
                <w:rFonts w:ascii="Arial" w:cs="Arial" w:eastAsia="Arial" w:hAnsi="Arial"/>
                <w:sz w:val="13"/>
                <w:szCs w:val="13"/>
                <w:color w:val="auto"/>
                <w:w w:val="99"/>
              </w:rPr>
              <w:t>1.0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left="996"/>
              <w:spacing w:after="0"/>
              <w:rPr>
                <w:sz w:val="20"/>
                <w:szCs w:val="20"/>
                <w:color w:val="auto"/>
              </w:rPr>
            </w:pPr>
            <w:r>
              <w:rPr>
                <w:rFonts w:ascii="Arial" w:cs="Arial" w:eastAsia="Arial" w:hAnsi="Arial"/>
                <w:sz w:val="13"/>
                <w:szCs w:val="13"/>
                <w:color w:val="auto"/>
                <w:w w:val="99"/>
              </w:rPr>
              <w:t>5.5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Accrued interest and penalties</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996"/>
              <w:spacing w:after="0"/>
              <w:rPr>
                <w:sz w:val="20"/>
                <w:szCs w:val="20"/>
                <w:color w:val="auto"/>
              </w:rPr>
            </w:pPr>
            <w:r>
              <w:rPr>
                <w:rFonts w:ascii="Arial" w:cs="Arial" w:eastAsia="Arial" w:hAnsi="Arial"/>
                <w:sz w:val="13"/>
                <w:szCs w:val="13"/>
                <w:color w:val="auto"/>
                <w:w w:val="99"/>
              </w:rPr>
              <w:t>0.6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unrecognized tax benefits</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center"/>
              <w:ind w:left="996"/>
              <w:spacing w:after="0"/>
              <w:rPr>
                <w:sz w:val="20"/>
                <w:szCs w:val="20"/>
                <w:color w:val="auto"/>
              </w:rPr>
            </w:pPr>
            <w:r>
              <w:rPr>
                <w:rFonts w:ascii="Arial" w:cs="Arial" w:eastAsia="Arial" w:hAnsi="Arial"/>
                <w:sz w:val="13"/>
                <w:szCs w:val="13"/>
                <w:color w:val="auto"/>
                <w:w w:val="99"/>
              </w:rPr>
              <w:t>6.1</w:t>
            </w:r>
          </w:p>
        </w:tc>
        <w:tc>
          <w:tcPr>
            <w:tcW w:w="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548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3"/>
                <w:szCs w:val="13"/>
                <w:color w:val="auto"/>
              </w:rPr>
              <w:t>59</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460"/>
        <w:spacing w:after="0" w:line="256" w:lineRule="auto"/>
        <w:rPr>
          <w:sz w:val="20"/>
          <w:szCs w:val="20"/>
          <w:color w:val="auto"/>
        </w:rPr>
      </w:pPr>
      <w:r>
        <w:rPr>
          <w:rFonts w:ascii="Arial" w:cs="Arial" w:eastAsia="Arial" w:hAnsi="Arial"/>
          <w:sz w:val="13"/>
          <w:szCs w:val="13"/>
          <w:color w:val="auto"/>
        </w:rPr>
        <w:t>The amount of unrecognized tax benefits is not expected to change materially within the next 12 months. If the remaining uncertain tax positions are ultimately resolved favorably, $5.7 million of unrecognized tax benefits would have a favorable impact on our effective tax rate. It is our policy to recognize interest and penalties accrued relative to unrecognized tax benefits in income tax expense.</w:t>
      </w:r>
    </w:p>
    <w:p>
      <w:pPr>
        <w:spacing w:after="0" w:line="169"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26, 2023, our federal returns from Fiscal 2020 to present are subject to review by the IRS. With limited exception, state returns from Fiscal 2019 to present continue to be subject to review by state taxing jurisdictions. We are currently under review by certain U.S. state tax authorities for Fiscal 2019 through Fiscal 2021. Several years may lapse before an uncertain tax position is audited and finally resolved and it is difficult to predict the outcome of such audits. We believe we have adequately reserved for our exposure to potential additional payments for uncertain tax positions in our liability for unrecognized tax benefits.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Earnings per Share</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In the first quarter of Fiscal 2023, we adopted ASU 2020-06. Prior to adoption, we utilized the treasury stock method for calculating the dilutive impact of our Convertible Notes. Upon adoption, we prospectively utilized the if-converted method to calculate the dilutive impact of our Convertible Notes. Under the if-converted method, the Convertible Notes are assumed to be converted into common stock at the beginning of the reporting period, and the resulting shares are included in the denominator of the calculation. In addition, interest charges, net of any income tax effects are added back to the numerator of the calculation.</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earnings per share are calculated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per share data)</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basic</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215.9</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390.6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281.9</w:t>
            </w:r>
          </w:p>
        </w:tc>
      </w:tr>
      <w:tr>
        <w:trPr>
          <w:trHeight w:val="170"/>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common shares outstanding</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163"/>
        </w:trPr>
        <w:tc>
          <w:tcPr>
            <w:tcW w:w="5900" w:type="dxa"/>
            <w:vAlign w:val="bottom"/>
          </w:tcPr>
          <w:p>
            <w:pPr>
              <w:ind w:left="180"/>
              <w:spacing w:after="0" w:line="163" w:lineRule="exact"/>
              <w:rPr>
                <w:sz w:val="20"/>
                <w:szCs w:val="20"/>
                <w:color w:val="auto"/>
              </w:rPr>
            </w:pPr>
            <w:r>
              <w:rPr>
                <w:rFonts w:ascii="Arial" w:cs="Arial" w:eastAsia="Arial" w:hAnsi="Arial"/>
                <w:sz w:val="13"/>
                <w:szCs w:val="13"/>
                <w:color w:val="auto"/>
              </w:rPr>
              <w:t>Basic earnings per common share</w:t>
            </w:r>
            <w:r>
              <w:rPr>
                <w:rFonts w:ascii="Arial" w:cs="Arial" w:eastAsia="Arial" w:hAnsi="Arial"/>
                <w:sz w:val="16"/>
                <w:szCs w:val="16"/>
                <w:color w:val="auto"/>
                <w:vertAlign w:val="superscript"/>
              </w:rPr>
              <w:t>(1)</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0"/>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Earnings per share - diluted</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281.9</w:t>
            </w: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Interest expense on convertible notes, net of tax</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Diluted net income</w:t>
            </w: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390.6</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281.9</w:t>
            </w:r>
          </w:p>
        </w:tc>
      </w:tr>
      <w:tr>
        <w:trPr>
          <w:trHeight w:val="152"/>
        </w:trPr>
        <w:tc>
          <w:tcPr>
            <w:tcW w:w="5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Dilutive impact of stock compensation awards</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Dilutive impact of convertible notes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58"/>
        </w:trPr>
        <w:tc>
          <w:tcPr>
            <w:tcW w:w="5900" w:type="dxa"/>
            <w:vAlign w:val="bottom"/>
          </w:tcPr>
          <w:p>
            <w:pPr>
              <w:ind w:left="20"/>
              <w:spacing w:after="0"/>
              <w:rPr>
                <w:sz w:val="20"/>
                <w:szCs w:val="20"/>
                <w:color w:val="auto"/>
              </w:rPr>
            </w:pPr>
            <w:r>
              <w:rPr>
                <w:rFonts w:ascii="Arial" w:cs="Arial" w:eastAsia="Arial" w:hAnsi="Arial"/>
                <w:sz w:val="13"/>
                <w:szCs w:val="13"/>
                <w:color w:val="auto"/>
              </w:rPr>
              <w:t>Weighted average common shares outstanding, assuming dilution</w:t>
            </w: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34.1</w:t>
            </w:r>
          </w:p>
        </w:tc>
      </w:tr>
      <w:tr>
        <w:trPr>
          <w:trHeight w:val="172"/>
        </w:trPr>
        <w:tc>
          <w:tcPr>
            <w:tcW w:w="5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color w:val="auto"/>
              </w:rPr>
              <w:t>Anti-dilutive securities excluded from weighted average diluted common shares outstanding</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4"/>
        </w:trPr>
        <w:tc>
          <w:tcPr>
            <w:tcW w:w="5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160"/>
        </w:trPr>
        <w:tc>
          <w:tcPr>
            <w:tcW w:w="5900" w:type="dxa"/>
            <w:vAlign w:val="bottom"/>
          </w:tcPr>
          <w:p>
            <w:pPr>
              <w:ind w:left="180"/>
              <w:spacing w:after="0" w:line="161" w:lineRule="exact"/>
              <w:rPr>
                <w:sz w:val="20"/>
                <w:szCs w:val="20"/>
                <w:color w:val="auto"/>
              </w:rPr>
            </w:pPr>
            <w:r>
              <w:rPr>
                <w:rFonts w:ascii="Arial" w:cs="Arial" w:eastAsia="Arial" w:hAnsi="Arial"/>
                <w:sz w:val="13"/>
                <w:szCs w:val="13"/>
                <w:color w:val="auto"/>
              </w:rPr>
              <w:t>Diluted earnings per common share</w:t>
            </w:r>
            <w:r>
              <w:rPr>
                <w:rFonts w:ascii="Arial" w:cs="Arial" w:eastAsia="Arial" w:hAnsi="Arial"/>
                <w:sz w:val="16"/>
                <w:szCs w:val="16"/>
                <w:color w:val="auto"/>
                <w:vertAlign w:val="superscript"/>
              </w:rPr>
              <w:t>(1)</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200" w:hanging="195"/>
        <w:spacing w:after="0"/>
        <w:tabs>
          <w:tab w:leader="none" w:pos="200" w:val="left"/>
        </w:tabs>
        <w:numPr>
          <w:ilvl w:val="0"/>
          <w:numId w:val="29"/>
        </w:numPr>
        <w:rPr>
          <w:rFonts w:ascii="Arial" w:cs="Arial" w:eastAsia="Arial" w:hAnsi="Arial"/>
          <w:sz w:val="17"/>
          <w:szCs w:val="17"/>
          <w:color w:val="auto"/>
          <w:vertAlign w:val="superscript"/>
        </w:rPr>
      </w:pPr>
      <w:r>
        <w:rPr>
          <w:rFonts w:ascii="Arial" w:cs="Arial" w:eastAsia="Arial" w:hAnsi="Arial"/>
          <w:sz w:val="11"/>
          <w:szCs w:val="11"/>
          <w:color w:val="auto"/>
        </w:rPr>
        <w:t>Earnings per share amounts are calculated based on unrounded numbers and therefore may not recalculate using the rounded numbers provided.</w:t>
      </w:r>
    </w:p>
    <w:p>
      <w:pPr>
        <w:spacing w:after="0" w:line="172"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color w:val="auto"/>
        </w:rPr>
        <w:t>For all periods presented, the dilutive effect of stock compensation awards was determined using the treasury stock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Disclosure Controls and Procedures</w:t>
      </w:r>
    </w:p>
    <w:p>
      <w:pPr>
        <w:spacing w:after="0" w:line="99" w:lineRule="exact"/>
        <w:rPr>
          <w:sz w:val="20"/>
          <w:szCs w:val="20"/>
          <w:color w:val="auto"/>
        </w:rPr>
      </w:pPr>
    </w:p>
    <w:p>
      <w:pPr>
        <w:ind w:right="180"/>
        <w:spacing w:after="0" w:line="250" w:lineRule="auto"/>
        <w:rPr>
          <w:sz w:val="20"/>
          <w:szCs w:val="20"/>
          <w:color w:val="auto"/>
        </w:rPr>
      </w:pPr>
      <w:r>
        <w:rPr>
          <w:rFonts w:ascii="Arial" w:cs="Arial" w:eastAsia="Arial" w:hAnsi="Arial"/>
          <w:sz w:val="13"/>
          <w:szCs w:val="13"/>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Annual Report on Form 10-K (the "Evaluation Date"). Based on this evaluation, the Chief Executive Officer and Chief Financial Officer concluded that our disclosure controls and procedures were effective as of the Evaluation Date.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Internal Control Over Financial Reporting</w:t>
      </w:r>
    </w:p>
    <w:p>
      <w:pPr>
        <w:spacing w:after="0" w:line="99"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Management's report on internal control over financial reporting as of August 26, 2023 is included within Item 8 of Part II in this Annual Report on Form 10-K and is incorporated herein by reference. The report of Deloitte &amp; Touche LLP on the effectiveness of internal control over financial reporting is included within Item 8 of Part II in this Annual Report on Form 10-K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92" w:lineRule="exact"/>
        <w:rPr>
          <w:sz w:val="20"/>
          <w:szCs w:val="20"/>
          <w:color w:val="auto"/>
        </w:rPr>
      </w:pPr>
    </w:p>
    <w:p>
      <w:pPr>
        <w:ind w:right="280"/>
        <w:spacing w:after="0" w:line="257" w:lineRule="auto"/>
        <w:rPr>
          <w:sz w:val="20"/>
          <w:szCs w:val="20"/>
          <w:color w:val="auto"/>
        </w:rPr>
      </w:pPr>
      <w:r>
        <w:rPr>
          <w:rFonts w:ascii="Arial" w:cs="Arial" w:eastAsia="Arial" w:hAnsi="Arial"/>
          <w:sz w:val="13"/>
          <w:szCs w:val="13"/>
          <w:color w:val="auto"/>
        </w:rPr>
        <w:t>There were no significant changes in internal control over financial reporting during the quarter ended August 26, 2023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92"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During the three months ended August 26, 2023, no director or officer of the Company adopted, modified or terminated a “Rule 10b5-1 trading arrangement” or “non-Rule 10b5-1 trading arrangement,” as each term is defined in Item 408(a) of Regulation S-K.</w:t>
      </w:r>
    </w:p>
    <w:p>
      <w:pPr>
        <w:spacing w:after="0" w:line="157" w:lineRule="exact"/>
        <w:rPr>
          <w:sz w:val="20"/>
          <w:szCs w:val="20"/>
          <w:color w:val="auto"/>
        </w:rPr>
      </w:pPr>
    </w:p>
    <w:p>
      <w:pPr>
        <w:ind w:right="300"/>
        <w:spacing w:after="0" w:line="256" w:lineRule="auto"/>
        <w:rPr>
          <w:sz w:val="20"/>
          <w:szCs w:val="20"/>
          <w:color w:val="auto"/>
        </w:rPr>
      </w:pPr>
      <w:r>
        <w:rPr>
          <w:rFonts w:ascii="Arial" w:cs="Arial" w:eastAsia="Arial" w:hAnsi="Arial"/>
          <w:sz w:val="13"/>
          <w:szCs w:val="13"/>
          <w:color w:val="auto"/>
        </w:rPr>
        <w:t>On October 17, 2023, we entered into a second amended and restated employment agreement (the “Employment Agreement”) with Donald Clark, President of the Company’s Grand Design RV operating segment (“GDRV”) and Senior Vice President of the Company. The Employment Agreement is effective as of September 1, 2023, following the expiration of Mr. Clark’s prior employment agreement on August 31, 2023 (the “First Amended Agreement”).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Employment Agreement generally contains terms and conditions that are consistent with the terms and conditions of the First Amended Agreement. The primary changes to the terms of the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Employment Agreement include:</w:t>
      </w:r>
    </w:p>
    <w:p>
      <w:pPr>
        <w:spacing w:after="0" w:line="188"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Establishing a new multi-year employment term lasting until August 31, 2028;</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Providing for an increase in Mr. Clark’s annual base salary from $400,000 to $500,000; and</w:t>
      </w:r>
    </w:p>
    <w:p>
      <w:pPr>
        <w:spacing w:after="0" w:line="200" w:lineRule="exact"/>
        <w:rPr>
          <w:rFonts w:ascii="Arial" w:cs="Arial" w:eastAsia="Arial" w:hAnsi="Arial"/>
          <w:sz w:val="13"/>
          <w:szCs w:val="13"/>
          <w:color w:val="auto"/>
        </w:rPr>
      </w:pPr>
    </w:p>
    <w:p>
      <w:pPr>
        <w:ind w:left="520" w:right="40" w:hanging="260"/>
        <w:spacing w:after="0" w:line="250"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Providing for an annual short-term incentive opportunity (“Annual Incentive”) equal to 3.5% of the pretax net income of GDRV, payable in cash as compared to a combination of stock and cash (which cash portion was also paid quarterly) under the First Amended Agreement; provided, however, that 90% of the aggregate Annual Incentive amount will be paid quarterly based on GDRV’s pretax income for the applicable fiscal quarter and 10% of the aggregate Annual Incentive amount will be based on GDRV’s performance for the applicable fiscal year against an operating target set by the Company and will be paid on an annual basis.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also entered into a second amended and restated change in control agreement (“Change in Control Agreement”) with Mr. Clark effective as of September 1, 2023, that will replace his current change in control agreement with the Company dated as of September 1, 2019. The Change in Control Agreement is materially consistent with the form we adopted and implemented in December 2021 for use with all other executive officers, except that the definition of “Cause” under the Change in Control Agreement has been modified to be consistent with the definition of “Cause” under the Employment Agreement. Additionally, the Change in Control Agreement continues to limit any payment Mr. Clark may receive thereunder to a cap of $3,000,000.</w:t>
      </w:r>
    </w:p>
    <w:p>
      <w:pPr>
        <w:spacing w:after="0" w:line="169" w:lineRule="exact"/>
        <w:rPr>
          <w:sz w:val="20"/>
          <w:szCs w:val="20"/>
          <w:color w:val="auto"/>
        </w:rPr>
      </w:pPr>
    </w:p>
    <w:p>
      <w:pPr>
        <w:ind w:right="300"/>
        <w:spacing w:after="0" w:line="257" w:lineRule="auto"/>
        <w:rPr>
          <w:sz w:val="20"/>
          <w:szCs w:val="20"/>
          <w:color w:val="auto"/>
        </w:rPr>
      </w:pPr>
      <w:r>
        <w:rPr>
          <w:rFonts w:ascii="Arial" w:cs="Arial" w:eastAsia="Arial" w:hAnsi="Arial"/>
          <w:sz w:val="13"/>
          <w:szCs w:val="13"/>
          <w:color w:val="auto"/>
        </w:rPr>
        <w:t>The foregoing descriptions of the Employment Agreement and the Change in Control Agreement are only summaries and the full text of each agreement is filed as Exhibit 10.30 and Exhibit 10.31, respectively, to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99"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 xml:space="preserve">Reference is made to the table entitled "Information about our Executive Officers" in Part I of this Annual Report on Form 10-K and to the information included under the captions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and </w:t>
      </w:r>
      <w:r>
        <w:rPr>
          <w:rFonts w:ascii="Arial" w:cs="Arial" w:eastAsia="Arial" w:hAnsi="Arial"/>
          <w:sz w:val="12"/>
          <w:szCs w:val="12"/>
          <w:i w:val="1"/>
          <w:iCs w:val="1"/>
          <w:color w:val="auto"/>
        </w:rPr>
        <w:t>Election of Directors,</w:t>
      </w:r>
      <w:r>
        <w:rPr>
          <w:rFonts w:ascii="Arial" w:cs="Arial" w:eastAsia="Arial" w:hAnsi="Arial"/>
          <w:sz w:val="12"/>
          <w:szCs w:val="12"/>
          <w:color w:val="auto"/>
        </w:rPr>
        <w:t xml:space="preserve"> in our Proxy Statement for the Annual Meeting of Shareholders scheduled to be held December 14, 2023, which information is incorporated by reference herein.</w:t>
      </w:r>
    </w:p>
    <w:p>
      <w:pPr>
        <w:spacing w:after="0" w:line="152" w:lineRule="exact"/>
        <w:rPr>
          <w:sz w:val="20"/>
          <w:szCs w:val="20"/>
          <w:color w:val="auto"/>
        </w:rPr>
      </w:pPr>
    </w:p>
    <w:p>
      <w:pPr>
        <w:jc w:val="both"/>
        <w:ind w:right="300"/>
        <w:spacing w:after="0" w:line="247" w:lineRule="auto"/>
        <w:rPr>
          <w:sz w:val="20"/>
          <w:szCs w:val="20"/>
          <w:color w:val="auto"/>
        </w:rPr>
      </w:pPr>
      <w:r>
        <w:rPr>
          <w:rFonts w:ascii="Arial" w:cs="Arial" w:eastAsia="Arial" w:hAnsi="Arial"/>
          <w:sz w:val="13"/>
          <w:szCs w:val="13"/>
          <w:color w:val="auto"/>
        </w:rPr>
        <w:t>We have adopted a written code of ethics, the "Code of Conduct", which is applicable to each of our employees, including our Chief Executive Officer and Chief Financial Officer (such two officers, collectively, the "Senior Officers"). In accordance with the rules and regulations of the SEC, a copy of the Code of Conduct is posted on our website at www.winnebagoind.com in the "Governance Documents" section under "Investors - Corporate Governance."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We intend to disclose any changes in or waivers from the Code of Conduct applicable to any Senior Officer on our website at www.winnebagoind.com or by filing a Form 8-K.</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99"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 xml:space="preserve">Reference is made to the information included under the captions </w:t>
      </w:r>
      <w:r>
        <w:rPr>
          <w:rFonts w:ascii="Arial" w:cs="Arial" w:eastAsia="Arial" w:hAnsi="Arial"/>
          <w:sz w:val="13"/>
          <w:szCs w:val="13"/>
          <w:i w:val="1"/>
          <w:iCs w:val="1"/>
          <w:color w:val="auto"/>
        </w:rPr>
        <w:t>Director Compensation</w:t>
      </w:r>
      <w:r>
        <w:rPr>
          <w:rFonts w:ascii="Arial" w:cs="Arial" w:eastAsia="Arial" w:hAnsi="Arial"/>
          <w:sz w:val="13"/>
          <w:szCs w:val="13"/>
          <w:color w:val="auto"/>
        </w:rPr>
        <w:t xml:space="preserve"> and </w:t>
      </w:r>
      <w:r>
        <w:rPr>
          <w:rFonts w:ascii="Arial" w:cs="Arial" w:eastAsia="Arial" w:hAnsi="Arial"/>
          <w:sz w:val="13"/>
          <w:szCs w:val="13"/>
          <w:i w:val="1"/>
          <w:iCs w:val="1"/>
          <w:color w:val="auto"/>
        </w:rPr>
        <w:t>Executive Compensation</w:t>
      </w:r>
      <w:r>
        <w:rPr>
          <w:rFonts w:ascii="Arial" w:cs="Arial" w:eastAsia="Arial" w:hAnsi="Arial"/>
          <w:sz w:val="13"/>
          <w:szCs w:val="13"/>
          <w:color w:val="auto"/>
        </w:rPr>
        <w:t xml:space="preserve"> in our Proxy Statement for the Annual Meeting of Shareholders scheduled to be held December 14, 2023, which information is incorporated by reference herein.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Shareholder Matters.</w:t>
      </w:r>
    </w:p>
    <w:p>
      <w:pPr>
        <w:spacing w:after="0" w:line="99" w:lineRule="exact"/>
        <w:rPr>
          <w:sz w:val="20"/>
          <w:szCs w:val="20"/>
          <w:color w:val="auto"/>
        </w:rPr>
      </w:pPr>
    </w:p>
    <w:p>
      <w:pPr>
        <w:jc w:val="both"/>
        <w:ind w:right="360"/>
        <w:spacing w:after="0" w:line="251" w:lineRule="auto"/>
        <w:rPr>
          <w:sz w:val="20"/>
          <w:szCs w:val="20"/>
          <w:color w:val="auto"/>
        </w:rPr>
      </w:pPr>
      <w:r>
        <w:rPr>
          <w:rFonts w:ascii="Arial" w:cs="Arial" w:eastAsia="Arial" w:hAnsi="Arial"/>
          <w:sz w:val="13"/>
          <w:szCs w:val="13"/>
          <w:color w:val="auto"/>
        </w:rPr>
        <w:t xml:space="preserve">Reference is made to the share ownership information and table entitled </w:t>
      </w:r>
      <w:r>
        <w:rPr>
          <w:rFonts w:ascii="Arial" w:cs="Arial" w:eastAsia="Arial" w:hAnsi="Arial"/>
          <w:sz w:val="13"/>
          <w:szCs w:val="13"/>
          <w:i w:val="1"/>
          <w:iCs w:val="1"/>
          <w:color w:val="auto"/>
        </w:rPr>
        <w:t>Security Ownership of Certain Beneficial Owners and Management</w:t>
      </w:r>
      <w:r>
        <w:rPr>
          <w:rFonts w:ascii="Arial" w:cs="Arial" w:eastAsia="Arial" w:hAnsi="Arial"/>
          <w:sz w:val="13"/>
          <w:szCs w:val="13"/>
          <w:color w:val="auto"/>
        </w:rPr>
        <w:t xml:space="preserve"> and the information included under the caption </w:t>
      </w:r>
      <w:r>
        <w:rPr>
          <w:rFonts w:ascii="Arial" w:cs="Arial" w:eastAsia="Arial" w:hAnsi="Arial"/>
          <w:sz w:val="13"/>
          <w:szCs w:val="13"/>
          <w:i w:val="1"/>
          <w:iCs w:val="1"/>
          <w:color w:val="auto"/>
        </w:rPr>
        <w:t>Equity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Plan Information </w:t>
      </w:r>
      <w:r>
        <w:rPr>
          <w:rFonts w:ascii="Arial" w:cs="Arial" w:eastAsia="Arial" w:hAnsi="Arial"/>
          <w:sz w:val="13"/>
          <w:szCs w:val="13"/>
          <w:color w:val="auto"/>
        </w:rPr>
        <w:t>included in our Proxy Statement for the Annual Meeting of Shareholders scheduled to be held December 14, 2023, which information is incorporated by reference</w:t>
      </w:r>
      <w:r>
        <w:rPr>
          <w:rFonts w:ascii="Arial" w:cs="Arial" w:eastAsia="Arial" w:hAnsi="Arial"/>
          <w:sz w:val="13"/>
          <w:szCs w:val="13"/>
          <w:i w:val="1"/>
          <w:iCs w:val="1"/>
          <w:color w:val="auto"/>
        </w:rPr>
        <w:t xml:space="preserve"> </w:t>
      </w:r>
      <w:r>
        <w:rPr>
          <w:rFonts w:ascii="Arial" w:cs="Arial" w:eastAsia="Arial" w:hAnsi="Arial"/>
          <w:sz w:val="13"/>
          <w:szCs w:val="13"/>
          <w:color w:val="auto"/>
        </w:rPr>
        <w:t>herein.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88" w:lineRule="exact"/>
        <w:rPr>
          <w:sz w:val="20"/>
          <w:szCs w:val="20"/>
          <w:color w:val="auto"/>
        </w:rPr>
      </w:pPr>
    </w:p>
    <w:p>
      <w:pPr>
        <w:jc w:val="both"/>
        <w:ind w:right="340"/>
        <w:spacing w:after="0" w:line="280" w:lineRule="auto"/>
        <w:rPr>
          <w:sz w:val="20"/>
          <w:szCs w:val="20"/>
          <w:color w:val="auto"/>
        </w:rPr>
      </w:pPr>
      <w:r>
        <w:rPr>
          <w:rFonts w:ascii="Arial" w:cs="Arial" w:eastAsia="Arial" w:hAnsi="Arial"/>
          <w:sz w:val="13"/>
          <w:szCs w:val="13"/>
          <w:color w:val="auto"/>
        </w:rPr>
        <w:t xml:space="preserve">Reference is made to the information included under the caption </w:t>
      </w:r>
      <w:r>
        <w:rPr>
          <w:rFonts w:ascii="Arial" w:cs="Arial" w:eastAsia="Arial" w:hAnsi="Arial"/>
          <w:sz w:val="13"/>
          <w:szCs w:val="13"/>
          <w:i w:val="1"/>
          <w:iCs w:val="1"/>
          <w:color w:val="auto"/>
        </w:rPr>
        <w:t>Corporate Governance</w:t>
      </w:r>
      <w:r>
        <w:rPr>
          <w:rFonts w:ascii="Arial" w:cs="Arial" w:eastAsia="Arial" w:hAnsi="Arial"/>
          <w:sz w:val="13"/>
          <w:szCs w:val="13"/>
          <w:color w:val="auto"/>
        </w:rPr>
        <w:t xml:space="preserve"> in our Proxy Statement for the Annual Meeting of Shareholders scheduled to be held December 14, 2023, which information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88" w:lineRule="exact"/>
        <w:rPr>
          <w:sz w:val="20"/>
          <w:szCs w:val="20"/>
          <w:color w:val="auto"/>
        </w:rPr>
      </w:pPr>
    </w:p>
    <w:p>
      <w:pPr>
        <w:ind w:right="80"/>
        <w:spacing w:after="0" w:line="280" w:lineRule="auto"/>
        <w:rPr>
          <w:sz w:val="20"/>
          <w:szCs w:val="20"/>
          <w:color w:val="auto"/>
        </w:rPr>
      </w:pPr>
      <w:r>
        <w:rPr>
          <w:rFonts w:ascii="Arial" w:cs="Arial" w:eastAsia="Arial" w:hAnsi="Arial"/>
          <w:sz w:val="13"/>
          <w:szCs w:val="13"/>
          <w:color w:val="auto"/>
        </w:rPr>
        <w:t xml:space="preserve">Information about fees and services billed to us by our principal accountant, Deloitte &amp; Touche LLP (PCAOB ID No. 34) is included under the caption </w:t>
      </w:r>
      <w:r>
        <w:rPr>
          <w:rFonts w:ascii="Arial" w:cs="Arial" w:eastAsia="Arial" w:hAnsi="Arial"/>
          <w:sz w:val="13"/>
          <w:szCs w:val="13"/>
          <w:i w:val="1"/>
          <w:iCs w:val="1"/>
          <w:color w:val="auto"/>
        </w:rPr>
        <w:t>Independent Registered Public Accountant's Fees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Services </w:t>
      </w:r>
      <w:r>
        <w:rPr>
          <w:rFonts w:ascii="Arial" w:cs="Arial" w:eastAsia="Arial" w:hAnsi="Arial"/>
          <w:sz w:val="13"/>
          <w:szCs w:val="13"/>
          <w:color w:val="auto"/>
        </w:rPr>
        <w:t>in our Proxy Statement for the Annual Meeting of Shareholders scheduled to be held December 14, 2023,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IV</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209"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consolidated financial statements are set forth within Item 8 of Part II in this Annual Report on Form 10-K.</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Financial Statement Schedules: Winnebago Industries, Inc. and Subsidiaries</w:t>
      </w:r>
    </w:p>
    <w:p>
      <w:pPr>
        <w:spacing w:after="0" w:line="201" w:lineRule="exact"/>
        <w:rPr>
          <w:sz w:val="20"/>
          <w:szCs w:val="20"/>
          <w:color w:val="auto"/>
        </w:rPr>
      </w:pPr>
    </w:p>
    <w:p>
      <w:pPr>
        <w:ind w:left="520" w:hanging="112"/>
        <w:spacing w:after="0" w:line="257" w:lineRule="auto"/>
        <w:rPr>
          <w:sz w:val="20"/>
          <w:szCs w:val="20"/>
          <w:color w:val="auto"/>
        </w:rPr>
      </w:pPr>
      <w:r>
        <w:rPr>
          <w:rFonts w:ascii="Arial" w:cs="Arial" w:eastAsia="Arial" w:hAnsi="Arial"/>
          <w:sz w:val="13"/>
          <w:szCs w:val="13"/>
          <w:color w:val="auto"/>
        </w:rPr>
        <w:t>All schedules are omitted because of the absence of the conditions under which they are required or because the information required is shown in the consolidated financial statements or the notes thereto.</w:t>
      </w:r>
    </w:p>
    <w:p>
      <w:pPr>
        <w:spacing w:after="0" w:line="168"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Exhibit Index</w:t>
      </w:r>
    </w:p>
    <w:p>
      <w:pPr>
        <w:spacing w:after="0" w:line="65" w:lineRule="exact"/>
        <w:rPr>
          <w:sz w:val="20"/>
          <w:szCs w:val="20"/>
          <w:color w:val="auto"/>
        </w:rPr>
      </w:pPr>
    </w:p>
    <w:p>
      <w:pPr>
        <w:ind w:left="778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15240</wp:posOffset>
            </wp:positionV>
            <wp:extent cx="168402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ectPr>
          <w:pgSz w:w="11900" w:h="16838" w:orient="portrait"/>
          <w:cols w:equalWidth="0" w:num="1">
            <w:col w:w="11080"/>
          </w:cols>
          <w:pgMar w:left="300" w:top="133" w:right="519" w:bottom="1440" w:gutter="0" w:footer="0" w:header="0"/>
        </w:sectPr>
      </w:pPr>
    </w:p>
    <w:p>
      <w:pPr>
        <w:spacing w:after="0" w:line="52" w:lineRule="exact"/>
        <w:rPr>
          <w:sz w:val="20"/>
          <w:szCs w:val="20"/>
          <w:color w:val="auto"/>
        </w:rPr>
      </w:pPr>
    </w:p>
    <w:p>
      <w:pPr>
        <w:ind w:left="520"/>
        <w:spacing w:after="0"/>
        <w:tabs>
          <w:tab w:leader="none" w:pos="14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6616065" cy="4381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6065" cy="438150"/>
                    </a:xfrm>
                    <a:prstGeom prst="rect">
                      <a:avLst/>
                    </a:prstGeom>
                    <a:noFill/>
                  </pic:spPr>
                </pic:pic>
              </a:graphicData>
            </a:graphic>
          </wp:anchor>
        </w:drawing>
      </w:r>
    </w:p>
    <w:p>
      <w:pPr>
        <w:spacing w:after="0" w:line="19" w:lineRule="exact"/>
        <w:rPr>
          <w:sz w:val="20"/>
          <w:szCs w:val="20"/>
          <w:color w:val="auto"/>
        </w:rPr>
      </w:pPr>
    </w:p>
    <w:p>
      <w:pPr>
        <w:ind w:left="1480" w:right="80"/>
        <w:spacing w:after="0" w:line="228" w:lineRule="auto"/>
        <w:rPr>
          <w:rFonts w:ascii="Arial" w:cs="Arial" w:eastAsia="Arial" w:hAnsi="Arial"/>
          <w:sz w:val="12"/>
          <w:szCs w:val="12"/>
          <w:u w:val="single" w:color="auto"/>
          <w:color w:val="0000FF"/>
        </w:rPr>
      </w:pPr>
      <w:hyperlink r:id="rId83">
        <w:r>
          <w:rPr>
            <w:rFonts w:ascii="Arial" w:cs="Arial" w:eastAsia="Arial" w:hAnsi="Arial"/>
            <w:sz w:val="12"/>
            <w:szCs w:val="12"/>
            <w:u w:val="single" w:color="auto"/>
            <w:color w:val="0000FF"/>
          </w:rPr>
          <w:t>Stock Purchase Agreement dated as of September 15, 2019, by and among Winnebago Industries,</w:t>
        </w:r>
      </w:hyperlink>
      <w:r>
        <w:rPr>
          <w:rFonts w:ascii="Arial" w:cs="Arial" w:eastAsia="Arial" w:hAnsi="Arial"/>
          <w:sz w:val="12"/>
          <w:szCs w:val="12"/>
          <w:u w:val="single" w:color="auto"/>
          <w:color w:val="0000FF"/>
        </w:rPr>
        <w:t xml:space="preserve"> </w:t>
      </w:r>
      <w:hyperlink r:id="rId83">
        <w:r>
          <w:rPr>
            <w:rFonts w:ascii="Arial" w:cs="Arial" w:eastAsia="Arial" w:hAnsi="Arial"/>
            <w:sz w:val="12"/>
            <w:szCs w:val="12"/>
            <w:u w:val="single" w:color="auto"/>
            <w:color w:val="0000FF"/>
          </w:rPr>
          <w:t>Inc., Octavius Corporation, Newmar Corporation, Dutch Real Estate Corp., New-Way Transport</w:t>
        </w:r>
      </w:hyperlink>
    </w:p>
    <w:p>
      <w:pPr>
        <w:ind w:left="1480" w:right="20" w:hanging="204"/>
        <w:spacing w:after="0" w:line="225"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2.1 </w:t>
      </w:r>
      <w:hyperlink r:id="rId83">
        <w:r>
          <w:rPr>
            <w:rFonts w:ascii="Arial" w:cs="Arial" w:eastAsia="Arial" w:hAnsi="Arial"/>
            <w:sz w:val="13"/>
            <w:szCs w:val="13"/>
            <w:u w:val="single" w:color="auto"/>
            <w:color w:val="0000FF"/>
          </w:rPr>
          <w:t>Corp., New-Serv, Inc., the shareholders of Newmar Corporation, Dutch Real Estate Corp., New-Way</w:t>
        </w:r>
      </w:hyperlink>
      <w:r>
        <w:rPr>
          <w:rFonts w:ascii="Arial" w:cs="Arial" w:eastAsia="Arial" w:hAnsi="Arial"/>
          <w:sz w:val="13"/>
          <w:szCs w:val="13"/>
          <w:color w:val="auto"/>
        </w:rPr>
        <w:t xml:space="preserve"> </w:t>
      </w:r>
      <w:hyperlink r:id="rId83">
        <w:r>
          <w:rPr>
            <w:rFonts w:ascii="Arial" w:cs="Arial" w:eastAsia="Arial" w:hAnsi="Arial"/>
            <w:sz w:val="13"/>
            <w:szCs w:val="13"/>
            <w:u w:val="single" w:color="auto"/>
            <w:color w:val="0000FF"/>
          </w:rPr>
          <w:t>Transport Corp. and New-Serv, Inc. and Matthew Miller, as Sellers Agent.</w:t>
        </w:r>
      </w:hyperlink>
    </w:p>
    <w:p>
      <w:pPr>
        <w:spacing w:after="0" w:line="136" w:lineRule="exact"/>
        <w:rPr>
          <w:sz w:val="20"/>
          <w:szCs w:val="20"/>
          <w:color w:val="auto"/>
        </w:rPr>
      </w:pPr>
    </w:p>
    <w:p>
      <w:pPr>
        <w:ind w:left="1280" w:firstLine="205"/>
        <w:spacing w:after="0" w:line="228" w:lineRule="auto"/>
        <w:rPr>
          <w:rFonts w:ascii="Arial" w:cs="Arial" w:eastAsia="Arial" w:hAnsi="Arial"/>
          <w:sz w:val="12"/>
          <w:szCs w:val="12"/>
          <w:color w:val="000000"/>
        </w:rPr>
      </w:pPr>
      <w:hyperlink r:id="rId84">
        <w:r>
          <w:rPr>
            <w:rFonts w:ascii="Arial" w:cs="Arial" w:eastAsia="Arial" w:hAnsi="Arial"/>
            <w:sz w:val="12"/>
            <w:szCs w:val="12"/>
            <w:u w:val="single" w:color="auto"/>
            <w:color w:val="0000FF"/>
          </w:rPr>
          <w:t>Equity Purchase Agreement dated July 19, 2021, by and among Winnebago Industries, Inc., Falcon</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2.2 </w:t>
      </w:r>
      <w:hyperlink r:id="rId84">
        <w:r>
          <w:rPr>
            <w:rFonts w:ascii="Arial" w:cs="Arial" w:eastAsia="Arial" w:hAnsi="Arial"/>
            <w:sz w:val="12"/>
            <w:szCs w:val="12"/>
            <w:u w:val="single" w:color="auto"/>
            <w:color w:val="0000FF"/>
          </w:rPr>
          <w:t>Family, Inc., Ronald J. Fenech, William C. Fenech, Donald Clark, and Donald Clark Family, LLC, and</w:t>
        </w:r>
      </w:hyperlink>
    </w:p>
    <w:p>
      <w:pPr>
        <w:ind w:left="1480"/>
        <w:spacing w:after="0"/>
        <w:rPr>
          <w:rFonts w:ascii="Arial" w:cs="Arial" w:eastAsia="Arial" w:hAnsi="Arial"/>
          <w:sz w:val="13"/>
          <w:szCs w:val="13"/>
          <w:u w:val="single" w:color="auto"/>
          <w:color w:val="0000FF"/>
        </w:rPr>
      </w:pPr>
      <w:hyperlink r:id="rId84">
        <w:r>
          <w:rPr>
            <w:rFonts w:ascii="Arial" w:cs="Arial" w:eastAsia="Arial" w:hAnsi="Arial"/>
            <w:sz w:val="13"/>
            <w:szCs w:val="13"/>
            <w:u w:val="single" w:color="auto"/>
            <w:color w:val="0000FF"/>
          </w:rPr>
          <w:t>William C. Fenech in his capacity as Representative.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5080</wp:posOffset>
            </wp:positionV>
            <wp:extent cx="6616065" cy="107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3.1 </w:t>
      </w:r>
      <w:hyperlink r:id="rId86">
        <w:r>
          <w:rPr>
            <w:rFonts w:ascii="Arial" w:cs="Arial" w:eastAsia="Arial" w:hAnsi="Arial"/>
            <w:sz w:val="13"/>
            <w:szCs w:val="13"/>
            <w:u w:val="single" w:color="auto"/>
            <w:color w:val="0000FF"/>
          </w:rPr>
          <w:t>Articles of Incorporation of Winnebago Industries, Inc., effective January 1, 2022</w:t>
        </w:r>
      </w:hyperlink>
    </w:p>
    <w:p>
      <w:pPr>
        <w:spacing w:after="0" w:line="20" w:lineRule="exact"/>
        <w:rPr>
          <w:sz w:val="20"/>
          <w:szCs w:val="20"/>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3.2 </w:t>
      </w:r>
      <w:hyperlink r:id="rId87">
        <w:r>
          <w:rPr>
            <w:rFonts w:ascii="Arial" w:cs="Arial" w:eastAsia="Arial" w:hAnsi="Arial"/>
            <w:sz w:val="13"/>
            <w:szCs w:val="13"/>
            <w:u w:val="single" w:color="auto"/>
            <w:color w:val="0000FF"/>
          </w:rPr>
          <w:t>Bylaws of Winnebago Industries, Inc., effective August 15, 2023</w:t>
        </w:r>
      </w:hyperlink>
    </w:p>
    <w:p>
      <w:pPr>
        <w:ind w:left="1280"/>
        <w:spacing w:after="0" w:line="204" w:lineRule="auto"/>
        <w:rPr>
          <w:rFonts w:ascii="Arial" w:cs="Arial" w:eastAsia="Arial" w:hAnsi="Arial"/>
          <w:sz w:val="13"/>
          <w:szCs w:val="13"/>
          <w:color w:val="0000FF"/>
        </w:rPr>
      </w:pPr>
      <w:hyperlink r:id="rId88"/>
      <w:r>
        <w:rPr>
          <w:rFonts w:ascii="Arial" w:cs="Arial" w:eastAsia="Arial" w:hAnsi="Arial"/>
          <w:sz w:val="25"/>
          <w:szCs w:val="25"/>
          <w:color w:val="000000"/>
          <w:vertAlign w:val="subscript"/>
        </w:rPr>
        <w:t>4.1</w:t>
      </w:r>
      <w:r>
        <w:rPr>
          <w:rFonts w:ascii="Arial" w:cs="Arial" w:eastAsia="Arial" w:hAnsi="Arial"/>
          <w:sz w:val="13"/>
          <w:szCs w:val="13"/>
          <w:color w:val="0000FF"/>
        </w:rPr>
        <w:t xml:space="preserve"> </w:t>
      </w:r>
      <w:hyperlink r:id="rId88">
        <w:r>
          <w:rPr>
            <w:rFonts w:ascii="Arial" w:cs="Arial" w:eastAsia="Arial" w:hAnsi="Arial"/>
            <w:sz w:val="13"/>
            <w:szCs w:val="13"/>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-144145</wp:posOffset>
            </wp:positionV>
            <wp:extent cx="661606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53" w:lineRule="exact"/>
        <w:rPr>
          <w:sz w:val="20"/>
          <w:szCs w:val="20"/>
          <w:color w:val="auto"/>
        </w:rPr>
      </w:pPr>
    </w:p>
    <w:p>
      <w:pPr>
        <w:ind w:left="1480" w:right="280" w:hanging="204"/>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4.2 </w:t>
      </w:r>
      <w:hyperlink r:id="rId90">
        <w:r>
          <w:rPr>
            <w:rFonts w:ascii="Arial" w:cs="Arial" w:eastAsia="Arial" w:hAnsi="Arial"/>
            <w:sz w:val="13"/>
            <w:szCs w:val="13"/>
            <w:u w:val="single" w:color="auto"/>
            <w:color w:val="0000FF"/>
          </w:rPr>
          <w:t>Indenture, dated November 1, 2019, by and between Winnebago Industries, Inc. and U.S. Bank</w:t>
        </w:r>
      </w:hyperlink>
      <w:r>
        <w:rPr>
          <w:rFonts w:ascii="Arial" w:cs="Arial" w:eastAsia="Arial" w:hAnsi="Arial"/>
          <w:sz w:val="13"/>
          <w:szCs w:val="13"/>
          <w:color w:val="auto"/>
        </w:rPr>
        <w:t xml:space="preserve"> </w:t>
      </w:r>
      <w:hyperlink r:id="rId90">
        <w:r>
          <w:rPr>
            <w:rFonts w:ascii="Arial" w:cs="Arial" w:eastAsia="Arial" w:hAnsi="Arial"/>
            <w:sz w:val="13"/>
            <w:szCs w:val="13"/>
            <w:u w:val="single" w:color="auto"/>
            <w:color w:val="0000FF"/>
          </w:rPr>
          <w:t>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3175</wp:posOffset>
            </wp:positionV>
            <wp:extent cx="6616065" cy="107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4.3 </w:t>
      </w:r>
      <w:hyperlink r:id="rId90">
        <w:r>
          <w:rPr>
            <w:rFonts w:ascii="Arial" w:cs="Arial" w:eastAsia="Arial" w:hAnsi="Arial"/>
            <w:sz w:val="13"/>
            <w:szCs w:val="13"/>
            <w:u w:val="single" w:color="auto"/>
            <w:color w:val="0000FF"/>
          </w:rPr>
          <w:t>Form of 1.50% Convertible Senior Note due 2025 (included in Exhibit 4.2)</w:t>
        </w:r>
      </w:hyperlink>
    </w:p>
    <w:p>
      <w:pPr>
        <w:spacing w:after="0" w:line="20" w:lineRule="exact"/>
        <w:rPr>
          <w:sz w:val="20"/>
          <w:szCs w:val="20"/>
          <w:color w:val="auto"/>
        </w:rPr>
      </w:pPr>
    </w:p>
    <w:p>
      <w:pPr>
        <w:ind w:left="1480" w:right="380" w:hanging="204"/>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4.4 </w:t>
      </w:r>
      <w:hyperlink r:id="rId92">
        <w:r>
          <w:rPr>
            <w:rFonts w:ascii="Arial" w:cs="Arial" w:eastAsia="Arial" w:hAnsi="Arial"/>
            <w:sz w:val="13"/>
            <w:szCs w:val="13"/>
            <w:u w:val="single" w:color="auto"/>
            <w:color w:val="0000FF"/>
          </w:rPr>
          <w:t>Indenture, dated as of July 8, 2020, by and among Winnebago Industries, Inc., the guarantors</w:t>
        </w:r>
      </w:hyperlink>
      <w:r>
        <w:rPr>
          <w:rFonts w:ascii="Arial" w:cs="Arial" w:eastAsia="Arial" w:hAnsi="Arial"/>
          <w:sz w:val="13"/>
          <w:szCs w:val="13"/>
          <w:color w:val="auto"/>
        </w:rPr>
        <w:t xml:space="preserve"> </w:t>
      </w:r>
      <w:hyperlink r:id="rId92">
        <w:r>
          <w:rPr>
            <w:rFonts w:ascii="Arial" w:cs="Arial" w:eastAsia="Arial" w:hAnsi="Arial"/>
            <w:sz w:val="13"/>
            <w:szCs w:val="13"/>
            <w:u w:val="single" w:color="auto"/>
            <w:color w:val="0000FF"/>
          </w:rPr>
          <w:t>named 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3175</wp:posOffset>
            </wp:positionV>
            <wp:extent cx="6616065" cy="107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4.5 </w:t>
      </w:r>
      <w:hyperlink r:id="rId92">
        <w:r>
          <w:rPr>
            <w:rFonts w:ascii="Arial" w:cs="Arial" w:eastAsia="Arial" w:hAnsi="Arial"/>
            <w:sz w:val="13"/>
            <w:szCs w:val="13"/>
            <w:u w:val="single" w:color="auto"/>
            <w:color w:val="0000FF"/>
          </w:rPr>
          <w:t>Form of 6.250% Senior Secured Note due 2028 (included in Exhibit 4.4)</w:t>
        </w:r>
      </w:hyperlink>
    </w:p>
    <w:p>
      <w:pPr>
        <w:spacing w:after="0" w:line="6" w:lineRule="exact"/>
        <w:rPr>
          <w:sz w:val="20"/>
          <w:szCs w:val="20"/>
          <w:color w:val="auto"/>
        </w:rPr>
      </w:pPr>
    </w:p>
    <w:p>
      <w:pPr>
        <w:ind w:left="1480"/>
        <w:spacing w:after="0"/>
        <w:rPr>
          <w:rFonts w:ascii="Arial" w:cs="Arial" w:eastAsia="Arial" w:hAnsi="Arial"/>
          <w:sz w:val="13"/>
          <w:szCs w:val="13"/>
          <w:u w:val="single" w:color="auto"/>
          <w:color w:val="0000FF"/>
        </w:rPr>
      </w:pPr>
      <w:hyperlink r:id="rId94">
        <w:r>
          <w:rPr>
            <w:rFonts w:ascii="Arial" w:cs="Arial" w:eastAsia="Arial" w:hAnsi="Arial"/>
            <w:sz w:val="13"/>
            <w:szCs w:val="13"/>
            <w:u w:val="single" w:color="auto"/>
            <w:color w:val="0000FF"/>
          </w:rPr>
          <w:t>Winnebago Industries, Inc. Deferred Compensation Plan previously filed with the Registrant's</w:t>
        </w:r>
      </w:hyperlink>
    </w:p>
    <w:p>
      <w:pPr>
        <w:ind w:left="12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10.1 </w:t>
      </w:r>
      <w:hyperlink r:id="rId94">
        <w:r>
          <w:rPr>
            <w:rFonts w:ascii="Arial" w:cs="Arial" w:eastAsia="Arial" w:hAnsi="Arial"/>
            <w:sz w:val="12"/>
            <w:szCs w:val="12"/>
            <w:u w:val="single" w:color="auto"/>
            <w:color w:val="0000FF"/>
          </w:rPr>
          <w:t>Quarterly Report on Form 10-Q for the quarter ended March 2, 1991 and incorporated by reference</w:t>
        </w:r>
      </w:hyperlink>
    </w:p>
    <w:p>
      <w:pPr>
        <w:ind w:left="1480"/>
        <w:spacing w:after="0"/>
        <w:rPr>
          <w:rFonts w:ascii="Arial" w:cs="Arial" w:eastAsia="Arial" w:hAnsi="Arial"/>
          <w:sz w:val="13"/>
          <w:szCs w:val="13"/>
          <w:u w:val="single" w:color="auto"/>
          <w:color w:val="0000FF"/>
        </w:rPr>
      </w:pPr>
      <w:hyperlink r:id="rId94">
        <w:r>
          <w:rPr>
            <w:rFonts w:ascii="Arial" w:cs="Arial" w:eastAsia="Arial" w:hAnsi="Arial"/>
            <w:sz w:val="13"/>
            <w:szCs w:val="13"/>
            <w:u w:val="single" w:color="auto"/>
            <w:color w:val="0000FF"/>
          </w:rPr>
          <w:t>herein and the Amendment dated June 29, 1995.*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85725</wp:posOffset>
            </wp:positionV>
            <wp:extent cx="6616065" cy="593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616065" cy="593090"/>
                    </a:xfrm>
                    <a:prstGeom prst="rect">
                      <a:avLst/>
                    </a:prstGeom>
                    <a:noFill/>
                  </pic:spPr>
                </pic:pic>
              </a:graphicData>
            </a:graphic>
          </wp:anchor>
        </w:drawing>
      </w:r>
    </w:p>
    <w:p>
      <w:pPr>
        <w:spacing w:after="0" w:line="120" w:lineRule="exact"/>
        <w:rPr>
          <w:sz w:val="20"/>
          <w:szCs w:val="20"/>
          <w:color w:val="auto"/>
        </w:rPr>
      </w:pPr>
    </w:p>
    <w:p>
      <w:pPr>
        <w:ind w:left="1480" w:right="180"/>
        <w:spacing w:after="0" w:line="226" w:lineRule="auto"/>
        <w:rPr>
          <w:rFonts w:ascii="Arial" w:cs="Arial" w:eastAsia="Arial" w:hAnsi="Arial"/>
          <w:sz w:val="12"/>
          <w:szCs w:val="12"/>
          <w:u w:val="single" w:color="auto"/>
          <w:color w:val="0000FF"/>
        </w:rPr>
      </w:pPr>
      <w:hyperlink r:id="rId96">
        <w:r>
          <w:rPr>
            <w:rFonts w:ascii="Arial" w:cs="Arial" w:eastAsia="Arial" w:hAnsi="Arial"/>
            <w:sz w:val="12"/>
            <w:szCs w:val="12"/>
            <w:u w:val="single" w:color="auto"/>
            <w:color w:val="0000FF"/>
          </w:rPr>
          <w:t>Winnebago Industries, Inc. Executive Share Option Plan previously filed as Exhibit 10.J with the</w:t>
        </w:r>
      </w:hyperlink>
      <w:r>
        <w:rPr>
          <w:rFonts w:ascii="Arial" w:cs="Arial" w:eastAsia="Arial" w:hAnsi="Arial"/>
          <w:sz w:val="12"/>
          <w:szCs w:val="12"/>
          <w:u w:val="single" w:color="auto"/>
          <w:color w:val="0000FF"/>
        </w:rPr>
        <w:t xml:space="preserve"> </w:t>
      </w:r>
      <w:hyperlink r:id="rId96">
        <w:r>
          <w:rPr>
            <w:rFonts w:ascii="Arial" w:cs="Arial" w:eastAsia="Arial" w:hAnsi="Arial"/>
            <w:sz w:val="12"/>
            <w:szCs w:val="12"/>
            <w:u w:val="single" w:color="auto"/>
            <w:color w:val="0000FF"/>
          </w:rPr>
          <w:t>Registrant's Annual Report on Form 10-K for the fiscal year ended August 29, 1998 (Commission</w:t>
        </w:r>
      </w:hyperlink>
      <w:r>
        <w:rPr>
          <w:rFonts w:ascii="Arial" w:cs="Arial" w:eastAsia="Arial" w:hAnsi="Arial"/>
          <w:sz w:val="12"/>
          <w:szCs w:val="12"/>
          <w:u w:val="single" w:color="auto"/>
          <w:color w:val="0000FF"/>
        </w:rPr>
        <w:t xml:space="preserve"> </w:t>
      </w:r>
      <w:hyperlink r:id="rId96">
        <w:r>
          <w:rPr>
            <w:rFonts w:ascii="Arial" w:cs="Arial" w:eastAsia="Arial" w:hAnsi="Arial"/>
            <w:sz w:val="12"/>
            <w:szCs w:val="12"/>
            <w:u w:val="single" w:color="auto"/>
            <w:color w:val="0000FF"/>
          </w:rPr>
          <w:t>File Number 001-06403) and incorporated by reference herein, and the Amendment dated July 1,</w:t>
        </w:r>
      </w:hyperlink>
    </w:p>
    <w:p>
      <w:pPr>
        <w:ind w:left="1480" w:right="140" w:hanging="275"/>
        <w:spacing w:after="0" w:line="218"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 </w:t>
      </w:r>
      <w:hyperlink r:id="rId96">
        <w:r>
          <w:rPr>
            <w:rFonts w:ascii="Arial" w:cs="Arial" w:eastAsia="Arial" w:hAnsi="Arial"/>
            <w:sz w:val="13"/>
            <w:szCs w:val="13"/>
            <w:u w:val="single" w:color="auto"/>
            <w:color w:val="0000FF"/>
          </w:rPr>
          <w:t>1999 previously filed as Exhibit 10.J with the Registrant's Quarterly Report on Form 10-Q for the</w:t>
        </w:r>
      </w:hyperlink>
      <w:r>
        <w:rPr>
          <w:rFonts w:ascii="Arial" w:cs="Arial" w:eastAsia="Arial" w:hAnsi="Arial"/>
          <w:sz w:val="13"/>
          <w:szCs w:val="13"/>
          <w:color w:val="auto"/>
        </w:rPr>
        <w:t xml:space="preserve"> </w:t>
      </w:r>
      <w:hyperlink r:id="rId96">
        <w:r>
          <w:rPr>
            <w:rFonts w:ascii="Arial" w:cs="Arial" w:eastAsia="Arial" w:hAnsi="Arial"/>
            <w:sz w:val="13"/>
            <w:szCs w:val="13"/>
            <w:u w:val="single" w:color="auto"/>
            <w:color w:val="0000FF"/>
          </w:rPr>
          <w:t>quarter ended May 29, 1999 (Commission File Number 001-06403) and incorporated by reference</w:t>
        </w:r>
      </w:hyperlink>
      <w:r>
        <w:rPr>
          <w:rFonts w:ascii="Arial" w:cs="Arial" w:eastAsia="Arial" w:hAnsi="Arial"/>
          <w:sz w:val="13"/>
          <w:szCs w:val="13"/>
          <w:u w:val="single" w:color="auto"/>
          <w:color w:val="0000FF"/>
        </w:rPr>
        <w:t xml:space="preserve"> </w:t>
      </w:r>
      <w:hyperlink r:id="rId96">
        <w:r>
          <w:rPr>
            <w:rFonts w:ascii="Arial" w:cs="Arial" w:eastAsia="Arial" w:hAnsi="Arial"/>
            <w:sz w:val="13"/>
            <w:szCs w:val="13"/>
            <w:u w:val="single" w:color="auto"/>
            <w:color w:val="0000FF"/>
          </w:rPr>
          <w:t>herein and the Amendment dated January 1, 2001.*</w:t>
        </w:r>
      </w:hyperlink>
    </w:p>
    <w:p>
      <w:pPr>
        <w:spacing w:after="0" w:line="136" w:lineRule="exact"/>
        <w:rPr>
          <w:rFonts w:ascii="Arial" w:cs="Arial" w:eastAsia="Arial" w:hAnsi="Arial"/>
          <w:sz w:val="13"/>
          <w:szCs w:val="13"/>
          <w:color w:val="auto"/>
        </w:rPr>
      </w:pPr>
    </w:p>
    <w:p>
      <w:pPr>
        <w:ind w:left="1200" w:right="120" w:firstLine="276"/>
        <w:spacing w:after="0" w:line="228" w:lineRule="auto"/>
        <w:rPr>
          <w:rFonts w:ascii="Arial" w:cs="Arial" w:eastAsia="Arial" w:hAnsi="Arial"/>
          <w:sz w:val="12"/>
          <w:szCs w:val="12"/>
          <w:color w:val="000000"/>
        </w:rPr>
      </w:pPr>
      <w:hyperlink r:id="rId97">
        <w:r>
          <w:rPr>
            <w:rFonts w:ascii="Arial" w:cs="Arial" w:eastAsia="Arial" w:hAnsi="Arial"/>
            <w:sz w:val="12"/>
            <w:szCs w:val="12"/>
            <w:u w:val="single" w:color="auto"/>
            <w:color w:val="0000FF"/>
          </w:rPr>
          <w:t>Winnebago Industries, Inc. Executive Deferred Compensation Plan previously filed as Exhibit 10.C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10.3 </w:t>
      </w:r>
      <w:hyperlink r:id="rId97">
        <w:r>
          <w:rPr>
            <w:rFonts w:ascii="Arial" w:cs="Arial" w:eastAsia="Arial" w:hAnsi="Arial"/>
            <w:sz w:val="12"/>
            <w:szCs w:val="12"/>
            <w:u w:val="single" w:color="auto"/>
            <w:color w:val="0000FF"/>
          </w:rPr>
          <w:t>with the Registrant's Quarterly Report on Form 10-Q for the quarter ended November 25, 2006</w:t>
        </w:r>
      </w:hyperlink>
    </w:p>
    <w:p>
      <w:pPr>
        <w:ind w:left="1480"/>
        <w:spacing w:after="0"/>
        <w:rPr>
          <w:rFonts w:ascii="Arial" w:cs="Arial" w:eastAsia="Arial" w:hAnsi="Arial"/>
          <w:sz w:val="13"/>
          <w:szCs w:val="13"/>
          <w:u w:val="single" w:color="auto"/>
          <w:color w:val="0000FF"/>
        </w:rPr>
      </w:pPr>
      <w:hyperlink r:id="rId97">
        <w:r>
          <w:rPr>
            <w:rFonts w:ascii="Arial" w:cs="Arial" w:eastAsia="Arial" w:hAnsi="Arial"/>
            <w:sz w:val="13"/>
            <w:szCs w:val="13"/>
            <w:u w:val="single" w:color="auto"/>
            <w:color w:val="0000FF"/>
          </w:rPr>
          <w:t>(Commission File Number 001-06403) and the Amendment dated June 21,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85725</wp:posOffset>
            </wp:positionV>
            <wp:extent cx="6616065" cy="593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616065" cy="593090"/>
                    </a:xfrm>
                    <a:prstGeom prst="rect">
                      <a:avLst/>
                    </a:prstGeom>
                    <a:noFill/>
                  </pic:spPr>
                </pic:pic>
              </a:graphicData>
            </a:graphic>
          </wp:anchor>
        </w:drawing>
      </w:r>
    </w:p>
    <w:p>
      <w:pPr>
        <w:spacing w:after="0" w:line="120" w:lineRule="exact"/>
        <w:rPr>
          <w:sz w:val="20"/>
          <w:szCs w:val="20"/>
          <w:color w:val="auto"/>
        </w:rPr>
      </w:pPr>
    </w:p>
    <w:p>
      <w:pPr>
        <w:jc w:val="both"/>
        <w:ind w:left="1480" w:right="20"/>
        <w:spacing w:after="0" w:line="226" w:lineRule="auto"/>
        <w:rPr>
          <w:rFonts w:ascii="Arial" w:cs="Arial" w:eastAsia="Arial" w:hAnsi="Arial"/>
          <w:sz w:val="12"/>
          <w:szCs w:val="12"/>
          <w:u w:val="single" w:color="auto"/>
          <w:color w:val="0000FF"/>
        </w:rPr>
      </w:pPr>
      <w:hyperlink r:id="rId99">
        <w:r>
          <w:rPr>
            <w:rFonts w:ascii="Arial" w:cs="Arial" w:eastAsia="Arial" w:hAnsi="Arial"/>
            <w:sz w:val="12"/>
            <w:szCs w:val="12"/>
            <w:u w:val="single" w:color="auto"/>
            <w:color w:val="0000FF"/>
          </w:rPr>
          <w:t>Winnebago Industries, Inc. 2014 Omnibus Equity, Performance Award, and Incentive Compensation</w:t>
        </w:r>
      </w:hyperlink>
      <w:r>
        <w:rPr>
          <w:rFonts w:ascii="Arial" w:cs="Arial" w:eastAsia="Arial" w:hAnsi="Arial"/>
          <w:sz w:val="12"/>
          <w:szCs w:val="12"/>
          <w:u w:val="single" w:color="auto"/>
          <w:color w:val="0000FF"/>
        </w:rPr>
        <w:t xml:space="preserve"> </w:t>
      </w:r>
      <w:hyperlink r:id="rId99">
        <w:r>
          <w:rPr>
            <w:rFonts w:ascii="Arial" w:cs="Arial" w:eastAsia="Arial" w:hAnsi="Arial"/>
            <w:sz w:val="12"/>
            <w:szCs w:val="12"/>
            <w:u w:val="single" w:color="auto"/>
            <w:color w:val="0000FF"/>
          </w:rPr>
          <w:t>Plan previously filed as Appendix B with the Registrant's Proxy Statement for the Annual Meeting of</w:t>
        </w:r>
      </w:hyperlink>
      <w:r>
        <w:rPr>
          <w:rFonts w:ascii="Arial" w:cs="Arial" w:eastAsia="Arial" w:hAnsi="Arial"/>
          <w:sz w:val="12"/>
          <w:szCs w:val="12"/>
          <w:u w:val="single" w:color="auto"/>
          <w:color w:val="0000FF"/>
        </w:rPr>
        <w:t xml:space="preserve"> </w:t>
      </w:r>
      <w:hyperlink r:id="rId99">
        <w:r>
          <w:rPr>
            <w:rFonts w:ascii="Arial" w:cs="Arial" w:eastAsia="Arial" w:hAnsi="Arial"/>
            <w:sz w:val="12"/>
            <w:szCs w:val="12"/>
            <w:u w:val="single" w:color="auto"/>
            <w:color w:val="0000FF"/>
          </w:rPr>
          <w:t>Shareholders held on December 17, 2013 (Commission File Number 001-06403) and incorporated</w:t>
        </w:r>
      </w:hyperlink>
    </w:p>
    <w:p>
      <w:pPr>
        <w:ind w:left="1480" w:hanging="275"/>
        <w:spacing w:after="0" w:line="218"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10.4 </w:t>
      </w:r>
      <w:hyperlink r:id="rId99">
        <w:r>
          <w:rPr>
            <w:rFonts w:ascii="Arial" w:cs="Arial" w:eastAsia="Arial" w:hAnsi="Arial"/>
            <w:sz w:val="13"/>
            <w:szCs w:val="13"/>
            <w:u w:val="single" w:color="auto"/>
            <w:color w:val="0000FF"/>
          </w:rPr>
          <w:t>by reference herein and the Supplement previously filed as Exhibit 10.1 with the Registrant's Current</w:t>
        </w:r>
      </w:hyperlink>
      <w:r>
        <w:rPr>
          <w:rFonts w:ascii="Arial" w:cs="Arial" w:eastAsia="Arial" w:hAnsi="Arial"/>
          <w:sz w:val="13"/>
          <w:szCs w:val="13"/>
          <w:color w:val="auto"/>
        </w:rPr>
        <w:t xml:space="preserve"> </w:t>
      </w:r>
      <w:hyperlink r:id="rId99">
        <w:r>
          <w:rPr>
            <w:rFonts w:ascii="Arial" w:cs="Arial" w:eastAsia="Arial" w:hAnsi="Arial"/>
            <w:sz w:val="13"/>
            <w:szCs w:val="13"/>
            <w:u w:val="single" w:color="auto"/>
            <w:color w:val="0000FF"/>
          </w:rPr>
          <w:t>Report on Form 8-K dated December 6, 2013 (Commission File Number 001-06403) and</w:t>
        </w:r>
      </w:hyperlink>
      <w:r>
        <w:rPr>
          <w:rFonts w:ascii="Arial" w:cs="Arial" w:eastAsia="Arial" w:hAnsi="Arial"/>
          <w:sz w:val="13"/>
          <w:szCs w:val="13"/>
          <w:u w:val="single" w:color="auto"/>
          <w:color w:val="0000FF"/>
        </w:rPr>
        <w:t xml:space="preserve"> </w:t>
      </w:r>
      <w:hyperlink r:id="rId99">
        <w:r>
          <w:rPr>
            <w:rFonts w:ascii="Arial" w:cs="Arial" w:eastAsia="Arial" w:hAnsi="Arial"/>
            <w:sz w:val="13"/>
            <w:szCs w:val="13"/>
            <w:u w:val="single" w:color="auto"/>
            <w:color w:val="0000FF"/>
          </w:rPr>
          <w:t>incorporated by reference herein.*</w:t>
        </w:r>
      </w:hyperlink>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32" w:lineRule="exact"/>
        <w:rPr>
          <w:rFonts w:ascii="Arial" w:cs="Arial" w:eastAsia="Arial" w:hAnsi="Arial"/>
          <w:sz w:val="13"/>
          <w:szCs w:val="13"/>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Filing Date</w:t>
            </w:r>
          </w:p>
        </w:tc>
        <w:tc>
          <w:tcPr>
            <w:tcW w:w="80" w:type="dxa"/>
            <w:vAlign w:val="bottom"/>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Filed Herewith</w:t>
            </w:r>
          </w:p>
        </w:tc>
      </w:tr>
      <w:tr>
        <w:trPr>
          <w:trHeight w:val="411"/>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09/16/2019</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52"/>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7/20/2021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01/05/2022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08/17/2023</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4a</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97"/>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07/09/2020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07/09/2020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1"/>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10.B</w:t>
            </w:r>
          </w:p>
        </w:tc>
        <w:tc>
          <w:tcPr>
            <w:tcW w:w="1060" w:type="dxa"/>
            <w:vAlign w:val="bottom"/>
          </w:tcPr>
          <w:p>
            <w:pPr>
              <w:jc w:val="right"/>
              <w:spacing w:after="0"/>
              <w:rPr>
                <w:sz w:val="20"/>
                <w:szCs w:val="20"/>
                <w:color w:val="auto"/>
              </w:rPr>
            </w:pPr>
            <w:r>
              <w:rPr>
                <w:rFonts w:ascii="Arial" w:cs="Arial" w:eastAsia="Arial" w:hAnsi="Arial"/>
                <w:sz w:val="13"/>
                <w:szCs w:val="13"/>
                <w:color w:val="auto"/>
              </w:rPr>
              <w:t>11/22/1995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10.I</w:t>
            </w:r>
          </w:p>
        </w:tc>
        <w:tc>
          <w:tcPr>
            <w:tcW w:w="1060" w:type="dxa"/>
            <w:vAlign w:val="bottom"/>
          </w:tcPr>
          <w:p>
            <w:pPr>
              <w:jc w:val="right"/>
              <w:spacing w:after="0"/>
              <w:rPr>
                <w:sz w:val="20"/>
                <w:szCs w:val="20"/>
                <w:color w:val="auto"/>
              </w:rPr>
            </w:pPr>
            <w:r>
              <w:rPr>
                <w:rFonts w:ascii="Arial" w:cs="Arial" w:eastAsia="Arial" w:hAnsi="Arial"/>
                <w:sz w:val="13"/>
                <w:szCs w:val="13"/>
                <w:color w:val="auto"/>
              </w:rPr>
              <w:t>04/09/2001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10.BB</w:t>
            </w:r>
          </w:p>
        </w:tc>
        <w:tc>
          <w:tcPr>
            <w:tcW w:w="1060" w:type="dxa"/>
            <w:vAlign w:val="bottom"/>
          </w:tcPr>
          <w:p>
            <w:pPr>
              <w:jc w:val="right"/>
              <w:spacing w:after="0"/>
              <w:rPr>
                <w:sz w:val="20"/>
                <w:szCs w:val="20"/>
                <w:color w:val="auto"/>
              </w:rPr>
            </w:pPr>
            <w:r>
              <w:rPr>
                <w:rFonts w:ascii="Arial" w:cs="Arial" w:eastAsia="Arial" w:hAnsi="Arial"/>
                <w:sz w:val="13"/>
                <w:szCs w:val="13"/>
                <w:color w:val="auto"/>
              </w:rPr>
              <w:t>10/25/2011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12/06/2013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454" w:lineRule="exact"/>
        <w:rPr>
          <w:rFonts w:ascii="Arial" w:cs="Arial" w:eastAsia="Arial" w:hAnsi="Arial"/>
          <w:sz w:val="13"/>
          <w:szCs w:val="13"/>
          <w:color w:val="auto"/>
        </w:rPr>
      </w:pPr>
    </w:p>
    <w:p>
      <w:pPr>
        <w:sectPr>
          <w:pgSz w:w="11900" w:h="16838" w:orient="portrait"/>
          <w:cols w:equalWidth="0" w:num="2">
            <w:col w:w="7140" w:space="120"/>
            <w:col w:w="3820"/>
          </w:cols>
          <w:pgMar w:left="300" w:top="133" w:right="519" w:bottom="1440" w:gutter="0" w:footer="0" w:header="0"/>
          <w:type w:val="continuous"/>
        </w:sectPr>
      </w:pPr>
    </w:p>
    <w:p>
      <w:pPr>
        <w:spacing w:after="0" w:line="200" w:lineRule="exact"/>
        <w:rPr>
          <w:rFonts w:ascii="Arial" w:cs="Arial" w:eastAsia="Arial" w:hAnsi="Arial"/>
          <w:sz w:val="13"/>
          <w:szCs w:val="13"/>
          <w:color w:val="auto"/>
        </w:rPr>
      </w:pPr>
    </w:p>
    <w:p>
      <w:pPr>
        <w:spacing w:after="0" w:line="246" w:lineRule="exact"/>
        <w:rPr>
          <w:rFonts w:ascii="Arial" w:cs="Arial" w:eastAsia="Arial" w:hAnsi="Arial"/>
          <w:sz w:val="13"/>
          <w:szCs w:val="13"/>
          <w:color w:val="auto"/>
        </w:rPr>
      </w:pPr>
    </w:p>
    <w:p>
      <w:pPr>
        <w:jc w:val="center"/>
        <w:ind w:right="-219"/>
        <w:spacing w:after="0"/>
        <w:rPr>
          <w:sz w:val="20"/>
          <w:szCs w:val="20"/>
          <w:color w:val="auto"/>
        </w:rPr>
      </w:pPr>
      <w:r>
        <w:rPr>
          <w:rFonts w:ascii="Arial" w:cs="Arial" w:eastAsia="Arial" w:hAnsi="Arial"/>
          <w:sz w:val="12"/>
          <w:szCs w:val="12"/>
          <w:color w:val="auto"/>
        </w:rPr>
        <w:t>63</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33" w:right="5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2"/>
          <w:szCs w:val="12"/>
          <w:u w:val="single" w:color="auto"/>
          <w:color w:val="0000FF"/>
        </w:rPr>
        <w:t>Table of Contents</w:t>
      </w:r>
    </w:p>
    <w:p>
      <w:pPr>
        <w:sectPr>
          <w:pgSz w:w="11900" w:h="16838" w:orient="portrait"/>
          <w:cols w:equalWidth="0" w:num="1">
            <w:col w:w="10680"/>
          </w:cols>
          <w:pgMar w:left="300" w:top="13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422402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224020" cy="6985"/>
                    </a:xfrm>
                    <a:prstGeom prst="rect">
                      <a:avLst/>
                    </a:prstGeom>
                    <a:noFill/>
                  </pic:spPr>
                </pic:pic>
              </a:graphicData>
            </a:graphic>
          </wp:anchor>
        </w:drawing>
      </w:r>
    </w:p>
    <w:p>
      <w:pPr>
        <w:spacing w:after="0" w:line="19" w:lineRule="exact"/>
        <w:rPr>
          <w:sz w:val="20"/>
          <w:szCs w:val="20"/>
          <w:color w:val="auto"/>
        </w:rPr>
      </w:pPr>
    </w:p>
    <w:p>
      <w:pPr>
        <w:ind w:left="960" w:right="220" w:firstLine="276"/>
        <w:spacing w:after="0" w:line="228" w:lineRule="auto"/>
        <w:rPr>
          <w:rFonts w:ascii="Arial" w:cs="Arial" w:eastAsia="Arial" w:hAnsi="Arial"/>
          <w:sz w:val="12"/>
          <w:szCs w:val="12"/>
          <w:color w:val="000000"/>
        </w:rPr>
      </w:pPr>
      <w:hyperlink r:id="rId102">
        <w:r>
          <w:rPr>
            <w:rFonts w:ascii="Arial" w:cs="Arial" w:eastAsia="Arial" w:hAnsi="Arial"/>
            <w:sz w:val="12"/>
            <w:szCs w:val="12"/>
            <w:u w:val="single" w:color="auto"/>
            <w:color w:val="0000FF"/>
          </w:rPr>
          <w:t>Winnebago Industries, Inc. 2019 Omnibus Incentive Plan, previously filed as Appendix A to the</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10.5 </w:t>
      </w:r>
      <w:hyperlink r:id="rId102">
        <w:r>
          <w:rPr>
            <w:rFonts w:ascii="Arial" w:cs="Arial" w:eastAsia="Arial" w:hAnsi="Arial"/>
            <w:sz w:val="12"/>
            <w:szCs w:val="12"/>
            <w:u w:val="single" w:color="auto"/>
            <w:color w:val="0000FF"/>
          </w:rPr>
          <w:t>Registrant's Definitive Proxy Statement on Schedule 14A filed on October 31, 2018 (Commission</w:t>
        </w:r>
      </w:hyperlink>
    </w:p>
    <w:p>
      <w:pPr>
        <w:ind w:left="1220"/>
        <w:spacing w:after="0"/>
        <w:rPr>
          <w:rFonts w:ascii="Arial" w:cs="Arial" w:eastAsia="Arial" w:hAnsi="Arial"/>
          <w:sz w:val="13"/>
          <w:szCs w:val="13"/>
          <w:color w:val="0000FF"/>
        </w:rPr>
      </w:pPr>
      <w:hyperlink r:id="rId102">
        <w:r>
          <w:rPr>
            <w:rFonts w:ascii="Arial" w:cs="Arial" w:eastAsia="Arial" w:hAnsi="Arial"/>
            <w:sz w:val="13"/>
            <w:szCs w:val="13"/>
            <w:u w:val="single" w:color="auto"/>
            <w:color w:val="0000FF"/>
          </w:rPr>
          <w:t>File Number 001-06403) and incorporated by reference herein.</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85725</wp:posOffset>
            </wp:positionV>
            <wp:extent cx="6616065" cy="7543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616065" cy="754380"/>
                    </a:xfrm>
                    <a:prstGeom prst="rect">
                      <a:avLst/>
                    </a:prstGeom>
                    <a:noFill/>
                  </pic:spPr>
                </pic:pic>
              </a:graphicData>
            </a:graphic>
          </wp:anchor>
        </w:drawing>
      </w:r>
    </w:p>
    <w:p>
      <w:pPr>
        <w:spacing w:after="0" w:line="120" w:lineRule="exact"/>
        <w:rPr>
          <w:sz w:val="20"/>
          <w:szCs w:val="20"/>
          <w:color w:val="auto"/>
        </w:rPr>
      </w:pPr>
    </w:p>
    <w:p>
      <w:pPr>
        <w:ind w:left="1220" w:right="160"/>
        <w:spacing w:after="0" w:line="224" w:lineRule="auto"/>
        <w:rPr>
          <w:rFonts w:ascii="Arial" w:cs="Arial" w:eastAsia="Arial" w:hAnsi="Arial"/>
          <w:sz w:val="12"/>
          <w:szCs w:val="12"/>
          <w:u w:val="single" w:color="auto"/>
          <w:color w:val="0000FF"/>
        </w:rPr>
      </w:pPr>
      <w:hyperlink r:id="rId104">
        <w:r>
          <w:rPr>
            <w:rFonts w:ascii="Arial" w:cs="Arial" w:eastAsia="Arial" w:hAnsi="Arial"/>
            <w:sz w:val="12"/>
            <w:szCs w:val="12"/>
            <w:u w:val="single" w:color="auto"/>
            <w:color w:val="0000FF"/>
          </w:rPr>
          <w:t>Winnebago Industries, Inc. Directors' Deferred Compensation Plan previously filed as Exhibit 10.E</w:t>
        </w:r>
      </w:hyperlink>
      <w:r>
        <w:rPr>
          <w:rFonts w:ascii="Arial" w:cs="Arial" w:eastAsia="Arial" w:hAnsi="Arial"/>
          <w:sz w:val="12"/>
          <w:szCs w:val="12"/>
          <w:u w:val="single" w:color="auto"/>
          <w:color w:val="0000FF"/>
        </w:rPr>
        <w:t xml:space="preserve"> </w:t>
      </w:r>
      <w:hyperlink r:id="rId104">
        <w:r>
          <w:rPr>
            <w:rFonts w:ascii="Arial" w:cs="Arial" w:eastAsia="Arial" w:hAnsi="Arial"/>
            <w:sz w:val="12"/>
            <w:szCs w:val="12"/>
            <w:u w:val="single" w:color="auto"/>
            <w:color w:val="0000FF"/>
          </w:rPr>
          <w:t>with the Registrant's Annual Report on Form 10-K for the fiscal year ended August 30, 1997</w:t>
        </w:r>
      </w:hyperlink>
      <w:r>
        <w:rPr>
          <w:rFonts w:ascii="Arial" w:cs="Arial" w:eastAsia="Arial" w:hAnsi="Arial"/>
          <w:sz w:val="12"/>
          <w:szCs w:val="12"/>
          <w:u w:val="single" w:color="auto"/>
          <w:color w:val="0000FF"/>
        </w:rPr>
        <w:t xml:space="preserve"> </w:t>
      </w:r>
      <w:hyperlink r:id="rId104">
        <w:r>
          <w:rPr>
            <w:rFonts w:ascii="Arial" w:cs="Arial" w:eastAsia="Arial" w:hAnsi="Arial"/>
            <w:sz w:val="12"/>
            <w:szCs w:val="12"/>
            <w:u w:val="single" w:color="auto"/>
            <w:color w:val="0000FF"/>
          </w:rPr>
          <w:t>(Commission File Number 001-06403), and incorporated by reference herein and the Amendment</w:t>
        </w:r>
      </w:hyperlink>
      <w:r>
        <w:rPr>
          <w:rFonts w:ascii="Arial" w:cs="Arial" w:eastAsia="Arial" w:hAnsi="Arial"/>
          <w:sz w:val="12"/>
          <w:szCs w:val="12"/>
          <w:u w:val="single" w:color="auto"/>
          <w:color w:val="0000FF"/>
        </w:rPr>
        <w:t xml:space="preserve"> </w:t>
      </w:r>
      <w:hyperlink r:id="rId104">
        <w:r>
          <w:rPr>
            <w:rFonts w:ascii="Arial" w:cs="Arial" w:eastAsia="Arial" w:hAnsi="Arial"/>
            <w:sz w:val="12"/>
            <w:szCs w:val="12"/>
            <w:u w:val="single" w:color="auto"/>
            <w:color w:val="0000FF"/>
          </w:rPr>
          <w:t>dated October 15, 2003 previously filed as Exhibit 10.H with the Registrant's Quarterly Report on</w:t>
        </w:r>
      </w:hyperlink>
    </w:p>
    <w:p>
      <w:pPr>
        <w:spacing w:after="0" w:line="2" w:lineRule="exact"/>
        <w:rPr>
          <w:rFonts w:ascii="Arial" w:cs="Arial" w:eastAsia="Arial" w:hAnsi="Arial"/>
          <w:sz w:val="12"/>
          <w:szCs w:val="12"/>
          <w:u w:val="single" w:color="auto"/>
          <w:color w:val="0000FF"/>
        </w:rPr>
      </w:pPr>
    </w:p>
    <w:p>
      <w:pPr>
        <w:ind w:left="1220" w:right="160" w:hanging="275"/>
        <w:spacing w:after="0" w:line="232"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10.6 </w:t>
      </w:r>
      <w:hyperlink r:id="rId104">
        <w:r>
          <w:rPr>
            <w:rFonts w:ascii="Arial" w:cs="Arial" w:eastAsia="Arial" w:hAnsi="Arial"/>
            <w:sz w:val="12"/>
            <w:szCs w:val="12"/>
            <w:u w:val="single" w:color="auto"/>
            <w:color w:val="0000FF"/>
          </w:rPr>
          <w:t>Form 10-Q for the quarter ended November 29, 2003 (Commission File Number 001-06403) and</w:t>
        </w:r>
      </w:hyperlink>
      <w:r>
        <w:rPr>
          <w:rFonts w:ascii="Arial" w:cs="Arial" w:eastAsia="Arial" w:hAnsi="Arial"/>
          <w:sz w:val="12"/>
          <w:szCs w:val="12"/>
          <w:color w:val="auto"/>
        </w:rPr>
        <w:t xml:space="preserve"> </w:t>
      </w:r>
      <w:hyperlink r:id="rId104">
        <w:r>
          <w:rPr>
            <w:rFonts w:ascii="Arial" w:cs="Arial" w:eastAsia="Arial" w:hAnsi="Arial"/>
            <w:sz w:val="12"/>
            <w:szCs w:val="12"/>
            <w:u w:val="single" w:color="auto"/>
            <w:color w:val="0000FF"/>
          </w:rPr>
          <w:t>incorporated by reference herein and the Amendment dated October 11, 2006 previously filed as</w:t>
        </w:r>
      </w:hyperlink>
      <w:r>
        <w:rPr>
          <w:rFonts w:ascii="Arial" w:cs="Arial" w:eastAsia="Arial" w:hAnsi="Arial"/>
          <w:sz w:val="12"/>
          <w:szCs w:val="12"/>
          <w:u w:val="single" w:color="auto"/>
          <w:color w:val="0000FF"/>
        </w:rPr>
        <w:t xml:space="preserve"> </w:t>
      </w:r>
      <w:hyperlink r:id="rId104">
        <w:r>
          <w:rPr>
            <w:rFonts w:ascii="Arial" w:cs="Arial" w:eastAsia="Arial" w:hAnsi="Arial"/>
            <w:sz w:val="12"/>
            <w:szCs w:val="12"/>
            <w:u w:val="single" w:color="auto"/>
            <w:color w:val="0000FF"/>
          </w:rPr>
          <w:t>Exhibit 10.B with the Registrant's Quarterly Report on Form 10-Q for the quarter ended November</w:t>
        </w:r>
      </w:hyperlink>
      <w:r>
        <w:rPr>
          <w:rFonts w:ascii="Arial" w:cs="Arial" w:eastAsia="Arial" w:hAnsi="Arial"/>
          <w:sz w:val="12"/>
          <w:szCs w:val="12"/>
          <w:u w:val="single" w:color="auto"/>
          <w:color w:val="0000FF"/>
        </w:rPr>
        <w:t xml:space="preserve"> </w:t>
      </w:r>
      <w:hyperlink r:id="rId104">
        <w:r>
          <w:rPr>
            <w:rFonts w:ascii="Arial" w:cs="Arial" w:eastAsia="Arial" w:hAnsi="Arial"/>
            <w:sz w:val="12"/>
            <w:szCs w:val="12"/>
            <w:u w:val="single" w:color="auto"/>
            <w:color w:val="0000FF"/>
          </w:rPr>
          <w:t>25, 2006 (Commission File Number 001-06403) and the Amendment dated July 1, 2013.*</w:t>
        </w:r>
      </w:hyperlink>
    </w:p>
    <w:p>
      <w:pPr>
        <w:spacing w:after="0" w:line="137" w:lineRule="exact"/>
        <w:rPr>
          <w:rFonts w:ascii="Arial" w:cs="Arial" w:eastAsia="Arial" w:hAnsi="Arial"/>
          <w:sz w:val="12"/>
          <w:szCs w:val="12"/>
          <w:u w:val="single" w:color="auto"/>
          <w:color w:val="0000FF"/>
        </w:rPr>
      </w:pPr>
    </w:p>
    <w:p>
      <w:pPr>
        <w:ind w:left="1220"/>
        <w:spacing w:after="0" w:line="210" w:lineRule="auto"/>
        <w:rPr>
          <w:rFonts w:ascii="Arial" w:cs="Arial" w:eastAsia="Arial" w:hAnsi="Arial"/>
          <w:sz w:val="13"/>
          <w:szCs w:val="13"/>
          <w:u w:val="single" w:color="auto"/>
          <w:color w:val="0000FF"/>
        </w:rPr>
      </w:pPr>
      <w:hyperlink r:id="rId94">
        <w:r>
          <w:rPr>
            <w:rFonts w:ascii="Arial" w:cs="Arial" w:eastAsia="Arial" w:hAnsi="Arial"/>
            <w:sz w:val="13"/>
            <w:szCs w:val="13"/>
            <w:u w:val="single" w:color="auto"/>
            <w:color w:val="0000FF"/>
          </w:rPr>
          <w:t>Winnebago Industries, Inc. Profit Sharing and Deferred Savings Investment Plan previously filed with</w:t>
        </w:r>
      </w:hyperlink>
      <w:r>
        <w:rPr>
          <w:rFonts w:ascii="Arial" w:cs="Arial" w:eastAsia="Arial" w:hAnsi="Arial"/>
          <w:sz w:val="13"/>
          <w:szCs w:val="13"/>
          <w:u w:val="single" w:color="auto"/>
          <w:color w:val="0000FF"/>
        </w:rPr>
        <w:t xml:space="preserve"> </w:t>
      </w:r>
      <w:hyperlink r:id="rId94">
        <w:r>
          <w:rPr>
            <w:rFonts w:ascii="Arial" w:cs="Arial" w:eastAsia="Arial" w:hAnsi="Arial"/>
            <w:sz w:val="13"/>
            <w:szCs w:val="13"/>
            <w:u w:val="single" w:color="auto"/>
            <w:color w:val="0000FF"/>
          </w:rPr>
          <w:t>the Registrant's Annual Report on Form 10-K for the fiscal year ended August 31, 1985</w:t>
        </w:r>
      </w:hyperlink>
    </w:p>
    <w:p>
      <w:pPr>
        <w:spacing w:after="0" w:line="1" w:lineRule="exact"/>
        <w:rPr>
          <w:sz w:val="20"/>
          <w:szCs w:val="20"/>
          <w:color w:val="auto"/>
        </w:rPr>
      </w:pPr>
    </w:p>
    <w:p>
      <w:pPr>
        <w:ind w:left="1220" w:right="140" w:hanging="275"/>
        <w:spacing w:after="0" w:line="225"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10.7 </w:t>
      </w:r>
      <w:hyperlink r:id="rId94">
        <w:r>
          <w:rPr>
            <w:rFonts w:ascii="Arial" w:cs="Arial" w:eastAsia="Arial" w:hAnsi="Arial"/>
            <w:sz w:val="13"/>
            <w:szCs w:val="13"/>
            <w:u w:val="single" w:color="auto"/>
            <w:color w:val="0000FF"/>
          </w:rPr>
          <w:t>(Commission File Number 001-06403), and incorporated by reference herein, and the Amendment</w:t>
        </w:r>
      </w:hyperlink>
      <w:r>
        <w:rPr>
          <w:rFonts w:ascii="Arial" w:cs="Arial" w:eastAsia="Arial" w:hAnsi="Arial"/>
          <w:sz w:val="13"/>
          <w:szCs w:val="13"/>
          <w:color w:val="auto"/>
        </w:rPr>
        <w:t xml:space="preserve"> </w:t>
      </w:r>
      <w:hyperlink r:id="rId94">
        <w:r>
          <w:rPr>
            <w:rFonts w:ascii="Arial" w:cs="Arial" w:eastAsia="Arial" w:hAnsi="Arial"/>
            <w:sz w:val="13"/>
            <w:szCs w:val="13"/>
            <w:u w:val="single" w:color="auto"/>
            <w:color w:val="0000FF"/>
          </w:rPr>
          <w:t>dated July 1, 1995 and incorporated by reference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83820</wp:posOffset>
            </wp:positionV>
            <wp:extent cx="6616065" cy="269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16" w:lineRule="exact"/>
        <w:rPr>
          <w:sz w:val="20"/>
          <w:szCs w:val="20"/>
          <w:color w:val="auto"/>
        </w:rPr>
      </w:pPr>
    </w:p>
    <w:p>
      <w:pPr>
        <w:ind w:left="960" w:right="220" w:firstLine="276"/>
        <w:spacing w:after="0" w:line="261" w:lineRule="auto"/>
        <w:rPr>
          <w:rFonts w:ascii="Arial" w:cs="Arial" w:eastAsia="Arial" w:hAnsi="Arial"/>
          <w:sz w:val="12"/>
          <w:szCs w:val="12"/>
          <w:color w:val="000000"/>
        </w:rPr>
      </w:pPr>
      <w:hyperlink r:id="rId106">
        <w:r>
          <w:rPr>
            <w:rFonts w:ascii="Arial" w:cs="Arial" w:eastAsia="Arial" w:hAnsi="Arial"/>
            <w:sz w:val="12"/>
            <w:szCs w:val="12"/>
            <w:u w:val="single" w:color="auto"/>
            <w:color w:val="0000FF"/>
          </w:rPr>
          <w:t>Form of Non-Qualified Stock Option Agreement under Winnebago Industries, Inc. 2014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10.8 </w:t>
      </w:r>
      <w:hyperlink r:id="rId106">
        <w:r>
          <w:rPr>
            <w:rFonts w:ascii="Arial" w:cs="Arial" w:eastAsia="Arial" w:hAnsi="Arial"/>
            <w:sz w:val="12"/>
            <w:szCs w:val="12"/>
            <w:u w:val="single" w:color="auto"/>
            <w:color w:val="0000FF"/>
          </w:rPr>
          <w:t>Equity, Performance Award, and Incentive Compensation Plan (Fiscal 2019 awards and later).</w:t>
        </w:r>
        <w:r>
          <w:rPr>
            <w:rFonts w:ascii="Arial" w:cs="Arial" w:eastAsia="Arial" w:hAnsi="Arial"/>
            <w:sz w:val="12"/>
            <w:szCs w:val="12"/>
            <w:u w:val="single" w:color="auto"/>
            <w:color w:val="3051F2"/>
          </w:rPr>
          <w:t>*</w:t>
        </w:r>
      </w:hyperlink>
    </w:p>
    <w:p>
      <w:pPr>
        <w:spacing w:after="0" w:line="124" w:lineRule="exact"/>
        <w:rPr>
          <w:sz w:val="20"/>
          <w:szCs w:val="20"/>
          <w:color w:val="auto"/>
        </w:rPr>
      </w:pPr>
    </w:p>
    <w:p>
      <w:pPr>
        <w:ind w:left="960" w:right="220" w:firstLine="276"/>
        <w:spacing w:after="0" w:line="261" w:lineRule="auto"/>
        <w:rPr>
          <w:rFonts w:ascii="Arial" w:cs="Arial" w:eastAsia="Arial" w:hAnsi="Arial"/>
          <w:sz w:val="12"/>
          <w:szCs w:val="12"/>
          <w:color w:val="000000"/>
        </w:rPr>
      </w:pPr>
      <w:hyperlink r:id="rId107">
        <w:r>
          <w:rPr>
            <w:rFonts w:ascii="Arial" w:cs="Arial" w:eastAsia="Arial" w:hAnsi="Arial"/>
            <w:sz w:val="12"/>
            <w:szCs w:val="12"/>
            <w:u w:val="single" w:color="auto"/>
            <w:color w:val="0000FF"/>
          </w:rPr>
          <w:t>Form of Non-Qualified Stock Option Agreement under Winnebago Industries, Inc. 2019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10.9 </w:t>
      </w:r>
      <w:hyperlink r:id="rId107">
        <w:r>
          <w:rPr>
            <w:rFonts w:ascii="Arial" w:cs="Arial" w:eastAsia="Arial" w:hAnsi="Arial"/>
            <w:sz w:val="12"/>
            <w:szCs w:val="12"/>
            <w:u w:val="single" w:color="auto"/>
            <w:color w:val="0000FF"/>
          </w:rPr>
          <w:t>Equity, Performance Award, and Incentive Compensation Plan (Fiscal 2022 awards and later).</w:t>
        </w:r>
        <w:r>
          <w:rPr>
            <w:rFonts w:ascii="Arial" w:cs="Arial" w:eastAsia="Arial" w:hAnsi="Arial"/>
            <w:sz w:val="12"/>
            <w:szCs w:val="12"/>
            <w:u w:val="single" w:color="auto"/>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76200</wp:posOffset>
            </wp:positionV>
            <wp:extent cx="6616065" cy="269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04" w:lineRule="exact"/>
        <w:rPr>
          <w:sz w:val="20"/>
          <w:szCs w:val="20"/>
          <w:color w:val="auto"/>
        </w:rPr>
      </w:pPr>
    </w:p>
    <w:p>
      <w:pPr>
        <w:ind w:left="880" w:right="220" w:firstLine="347"/>
        <w:spacing w:after="0" w:line="261" w:lineRule="auto"/>
        <w:rPr>
          <w:rFonts w:ascii="Arial" w:cs="Arial" w:eastAsia="Arial" w:hAnsi="Arial"/>
          <w:sz w:val="12"/>
          <w:szCs w:val="12"/>
          <w:color w:val="000000"/>
        </w:rPr>
      </w:pPr>
      <w:hyperlink r:id="rId109">
        <w:r>
          <w:rPr>
            <w:rFonts w:ascii="Arial" w:cs="Arial" w:eastAsia="Arial" w:hAnsi="Arial"/>
            <w:sz w:val="12"/>
            <w:szCs w:val="12"/>
            <w:u w:val="single" w:color="auto"/>
            <w:color w:val="0000FF"/>
          </w:rPr>
          <w:t>Form of Non-Qualified Stock Option Agreement under Winnebago Industries, Inc. 2019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10.10 </w:t>
      </w:r>
      <w:hyperlink r:id="rId109">
        <w:r>
          <w:rPr>
            <w:rFonts w:ascii="Arial" w:cs="Arial" w:eastAsia="Arial" w:hAnsi="Arial"/>
            <w:sz w:val="12"/>
            <w:szCs w:val="12"/>
            <w:u w:val="single" w:color="auto"/>
            <w:color w:val="0000FF"/>
          </w:rPr>
          <w:t>Equity, Performance Award, and Incentive Compensation Plan (Fiscal 2023 awards and later).</w:t>
        </w:r>
        <w:r>
          <w:rPr>
            <w:rFonts w:ascii="Arial" w:cs="Arial" w:eastAsia="Arial" w:hAnsi="Arial"/>
            <w:sz w:val="12"/>
            <w:szCs w:val="12"/>
            <w:u w:val="single" w:color="auto"/>
            <w:color w:val="3051F2"/>
          </w:rPr>
          <w:t>*</w:t>
        </w:r>
      </w:hyperlink>
    </w:p>
    <w:p>
      <w:pPr>
        <w:spacing w:after="0" w:line="124" w:lineRule="exact"/>
        <w:rPr>
          <w:sz w:val="20"/>
          <w:szCs w:val="20"/>
          <w:color w:val="auto"/>
        </w:rPr>
      </w:pPr>
    </w:p>
    <w:p>
      <w:pPr>
        <w:ind w:left="900" w:right="220" w:firstLine="337"/>
        <w:spacing w:after="0" w:line="261" w:lineRule="auto"/>
        <w:rPr>
          <w:sz w:val="20"/>
          <w:szCs w:val="20"/>
          <w:color w:val="auto"/>
        </w:rPr>
      </w:pPr>
      <w:r>
        <w:rPr>
          <w:rFonts w:ascii="Arial" w:cs="Arial" w:eastAsia="Arial" w:hAnsi="Arial"/>
          <w:sz w:val="12"/>
          <w:szCs w:val="12"/>
          <w:u w:val="single" w:color="auto"/>
          <w:color w:val="0000FF"/>
        </w:rPr>
        <w:t xml:space="preserve">Form of Non-Qualified Stock Option Agreement under Winnebago Industries, Inc. 2019 Omnibus </w:t>
      </w:r>
      <w:r>
        <w:rPr>
          <w:rFonts w:ascii="Arial" w:cs="Arial" w:eastAsia="Arial" w:hAnsi="Arial"/>
          <w:sz w:val="12"/>
          <w:szCs w:val="12"/>
          <w:color w:val="000000"/>
        </w:rPr>
        <w:t xml:space="preserve">10.11 </w:t>
      </w:r>
      <w:r>
        <w:rPr>
          <w:rFonts w:ascii="Arial" w:cs="Arial" w:eastAsia="Arial" w:hAnsi="Arial"/>
          <w:sz w:val="12"/>
          <w:szCs w:val="12"/>
          <w:u w:val="single" w:color="auto"/>
          <w:color w:val="0000FF"/>
        </w:rPr>
        <w:t>Equity, Performance Award, and Incentive Compensation Plan (Fiscal 2024 awards and later).</w:t>
      </w:r>
      <w:r>
        <w:rPr>
          <w:rFonts w:ascii="Arial" w:cs="Arial" w:eastAsia="Arial" w:hAnsi="Arial"/>
          <w:sz w:val="12"/>
          <w:szCs w:val="12"/>
          <w:color w:val="3051F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76200</wp:posOffset>
            </wp:positionV>
            <wp:extent cx="6616065" cy="3505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04" w:lineRule="exact"/>
        <w:rPr>
          <w:sz w:val="20"/>
          <w:szCs w:val="20"/>
          <w:color w:val="auto"/>
        </w:rPr>
      </w:pPr>
    </w:p>
    <w:p>
      <w:pPr>
        <w:ind w:left="880" w:right="120" w:firstLine="347"/>
        <w:spacing w:after="0" w:line="228" w:lineRule="auto"/>
        <w:rPr>
          <w:rFonts w:ascii="Arial" w:cs="Arial" w:eastAsia="Arial" w:hAnsi="Arial"/>
          <w:sz w:val="12"/>
          <w:szCs w:val="12"/>
          <w:color w:val="000000"/>
        </w:rPr>
      </w:pPr>
      <w:hyperlink r:id="rId111">
        <w:r>
          <w:rPr>
            <w:rFonts w:ascii="Arial" w:cs="Arial" w:eastAsia="Arial" w:hAnsi="Arial"/>
            <w:sz w:val="12"/>
            <w:szCs w:val="12"/>
            <w:u w:val="single" w:color="auto"/>
            <w:color w:val="0000FF"/>
          </w:rPr>
          <w:t>Form of Restricted Stock Unit Award Agreement (Executives) under Winnebago Industries, Inc.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10.12 </w:t>
      </w:r>
      <w:hyperlink r:id="rId111">
        <w:r>
          <w:rPr>
            <w:rFonts w:ascii="Arial" w:cs="Arial" w:eastAsia="Arial" w:hAnsi="Arial"/>
            <w:sz w:val="12"/>
            <w:szCs w:val="12"/>
            <w:u w:val="single" w:color="auto"/>
            <w:color w:val="0000FF"/>
          </w:rPr>
          <w:t>2019 Omnibus Equity, Performance Award, and Incentive Compensation Plan (Fiscal 2022 awards</w:t>
        </w:r>
      </w:hyperlink>
    </w:p>
    <w:p>
      <w:pPr>
        <w:ind w:left="1220"/>
        <w:spacing w:after="0"/>
        <w:rPr>
          <w:rFonts w:ascii="Arial" w:cs="Arial" w:eastAsia="Arial" w:hAnsi="Arial"/>
          <w:sz w:val="13"/>
          <w:szCs w:val="13"/>
          <w:color w:val="0000FF"/>
        </w:rPr>
      </w:pPr>
      <w:hyperlink r:id="rId111">
        <w:r>
          <w:rPr>
            <w:rFonts w:ascii="Arial" w:cs="Arial" w:eastAsia="Arial" w:hAnsi="Arial"/>
            <w:sz w:val="13"/>
            <w:szCs w:val="13"/>
            <w:u w:val="single" w:color="auto"/>
            <w:color w:val="0000FF"/>
          </w:rPr>
          <w:t>and later).</w:t>
        </w:r>
        <w:r>
          <w:rPr>
            <w:rFonts w:ascii="Arial" w:cs="Arial" w:eastAsia="Arial" w:hAnsi="Arial"/>
            <w:sz w:val="13"/>
            <w:szCs w:val="13"/>
            <w:color w:val="3051F2"/>
          </w:rPr>
          <w:t>*</w:t>
        </w:r>
      </w:hyperlink>
    </w:p>
    <w:p>
      <w:pPr>
        <w:spacing w:after="0" w:line="140" w:lineRule="exact"/>
        <w:rPr>
          <w:sz w:val="20"/>
          <w:szCs w:val="20"/>
          <w:color w:val="auto"/>
        </w:rPr>
      </w:pPr>
    </w:p>
    <w:p>
      <w:pPr>
        <w:ind w:left="880" w:right="120" w:firstLine="347"/>
        <w:spacing w:after="0" w:line="228" w:lineRule="auto"/>
        <w:rPr>
          <w:rFonts w:ascii="Arial" w:cs="Arial" w:eastAsia="Arial" w:hAnsi="Arial"/>
          <w:sz w:val="12"/>
          <w:szCs w:val="12"/>
          <w:color w:val="000000"/>
        </w:rPr>
      </w:pPr>
      <w:hyperlink r:id="rId112">
        <w:r>
          <w:rPr>
            <w:rFonts w:ascii="Arial" w:cs="Arial" w:eastAsia="Arial" w:hAnsi="Arial"/>
            <w:sz w:val="12"/>
            <w:szCs w:val="12"/>
            <w:u w:val="single" w:color="auto"/>
            <w:color w:val="0000FF"/>
          </w:rPr>
          <w:t>Form of Restricted Stock Unit Award Agreement (Executives) under Winnebago Industries, Inc.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10.13 </w:t>
      </w:r>
      <w:hyperlink r:id="rId112">
        <w:r>
          <w:rPr>
            <w:rFonts w:ascii="Arial" w:cs="Arial" w:eastAsia="Arial" w:hAnsi="Arial"/>
            <w:sz w:val="12"/>
            <w:szCs w:val="12"/>
            <w:u w:val="single" w:color="auto"/>
            <w:color w:val="0000FF"/>
          </w:rPr>
          <w:t>2019 Omnibus Equity, Performance Award, and Incentive Compensation Plan (Fiscal 2023 awards</w:t>
        </w:r>
      </w:hyperlink>
    </w:p>
    <w:p>
      <w:pPr>
        <w:ind w:left="1220"/>
        <w:spacing w:after="0"/>
        <w:rPr>
          <w:rFonts w:ascii="Arial" w:cs="Arial" w:eastAsia="Arial" w:hAnsi="Arial"/>
          <w:sz w:val="13"/>
          <w:szCs w:val="13"/>
          <w:color w:val="0000FF"/>
        </w:rPr>
      </w:pPr>
      <w:hyperlink r:id="rId112">
        <w:r>
          <w:rPr>
            <w:rFonts w:ascii="Arial" w:cs="Arial" w:eastAsia="Arial" w:hAnsi="Arial"/>
            <w:sz w:val="13"/>
            <w:szCs w:val="13"/>
            <w:u w:val="single" w:color="auto"/>
            <w:color w:val="0000FF"/>
          </w:rPr>
          <w:t>and later).</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85725</wp:posOffset>
            </wp:positionV>
            <wp:extent cx="6616065" cy="3505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20" w:lineRule="exact"/>
        <w:rPr>
          <w:sz w:val="20"/>
          <w:szCs w:val="20"/>
          <w:color w:val="auto"/>
        </w:rPr>
      </w:pPr>
    </w:p>
    <w:p>
      <w:pPr>
        <w:ind w:left="880" w:right="120" w:firstLine="347"/>
        <w:spacing w:after="0" w:line="228" w:lineRule="auto"/>
        <w:rPr>
          <w:sz w:val="20"/>
          <w:szCs w:val="20"/>
          <w:color w:val="auto"/>
        </w:rPr>
      </w:pPr>
      <w:r>
        <w:rPr>
          <w:rFonts w:ascii="Arial" w:cs="Arial" w:eastAsia="Arial" w:hAnsi="Arial"/>
          <w:sz w:val="12"/>
          <w:szCs w:val="12"/>
          <w:u w:val="single" w:color="auto"/>
          <w:color w:val="0000FF"/>
        </w:rPr>
        <w:t xml:space="preserve">Form of Restricted Stock Unit Award Agreement (Executives) under Winnebago Industries, Inc. </w:t>
      </w:r>
      <w:r>
        <w:rPr>
          <w:rFonts w:ascii="Arial" w:cs="Arial" w:eastAsia="Arial" w:hAnsi="Arial"/>
          <w:sz w:val="12"/>
          <w:szCs w:val="12"/>
          <w:color w:val="000000"/>
        </w:rPr>
        <w:t xml:space="preserve">10.14 </w:t>
      </w:r>
      <w:r>
        <w:rPr>
          <w:rFonts w:ascii="Arial" w:cs="Arial" w:eastAsia="Arial" w:hAnsi="Arial"/>
          <w:sz w:val="12"/>
          <w:szCs w:val="12"/>
          <w:u w:val="single" w:color="auto"/>
          <w:color w:val="0000FF"/>
        </w:rPr>
        <w:t>2019 Omnibus Equity, Performance Award, and Incentive Compensation Plan (Fiscal 2024 awards</w:t>
      </w:r>
    </w:p>
    <w:p>
      <w:pPr>
        <w:ind w:left="1220"/>
        <w:spacing w:after="0"/>
        <w:rPr>
          <w:sz w:val="20"/>
          <w:szCs w:val="20"/>
          <w:color w:val="auto"/>
        </w:rPr>
      </w:pPr>
      <w:r>
        <w:rPr>
          <w:rFonts w:ascii="Arial" w:cs="Arial" w:eastAsia="Arial" w:hAnsi="Arial"/>
          <w:sz w:val="13"/>
          <w:szCs w:val="13"/>
          <w:u w:val="single" w:color="auto"/>
          <w:color w:val="0000FF"/>
        </w:rPr>
        <w:t>and later).</w:t>
      </w:r>
      <w:r>
        <w:rPr>
          <w:rFonts w:ascii="Arial" w:cs="Arial" w:eastAsia="Arial" w:hAnsi="Arial"/>
          <w:sz w:val="13"/>
          <w:szCs w:val="13"/>
          <w:color w:val="3051F2"/>
        </w:rPr>
        <w:t>*</w:t>
      </w:r>
    </w:p>
    <w:p>
      <w:pPr>
        <w:spacing w:after="0" w:line="125" w:lineRule="exact"/>
        <w:rPr>
          <w:sz w:val="20"/>
          <w:szCs w:val="20"/>
          <w:color w:val="auto"/>
        </w:rPr>
      </w:pPr>
    </w:p>
    <w:p>
      <w:pPr>
        <w:ind w:left="1220"/>
        <w:spacing w:after="0"/>
        <w:rPr>
          <w:rFonts w:ascii="Arial" w:cs="Arial" w:eastAsia="Arial" w:hAnsi="Arial"/>
          <w:sz w:val="13"/>
          <w:szCs w:val="13"/>
          <w:u w:val="single" w:color="auto"/>
          <w:color w:val="0000FF"/>
        </w:rPr>
      </w:pPr>
      <w:hyperlink r:id="rId114">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10.15 </w:t>
      </w:r>
      <w:hyperlink r:id="rId114">
        <w:r>
          <w:rPr>
            <w:rFonts w:ascii="Arial" w:cs="Arial" w:eastAsia="Arial" w:hAnsi="Arial"/>
            <w:sz w:val="12"/>
            <w:szCs w:val="12"/>
            <w:u w:val="single" w:color="auto"/>
            <w:color w:val="0000FF"/>
          </w:rPr>
          <w:t>Industries, Inc. 2014 Omnibus Equity, Performance Award, and Incentive Compensation Plan (Fiscal</w:t>
        </w:r>
      </w:hyperlink>
    </w:p>
    <w:p>
      <w:pPr>
        <w:ind w:left="1220"/>
        <w:spacing w:after="0"/>
        <w:rPr>
          <w:rFonts w:ascii="Arial" w:cs="Arial" w:eastAsia="Arial" w:hAnsi="Arial"/>
          <w:sz w:val="13"/>
          <w:szCs w:val="13"/>
          <w:color w:val="0000FF"/>
        </w:rPr>
      </w:pPr>
      <w:hyperlink r:id="rId114">
        <w:r>
          <w:rPr>
            <w:rFonts w:ascii="Arial" w:cs="Arial" w:eastAsia="Arial" w:hAnsi="Arial"/>
            <w:sz w:val="13"/>
            <w:szCs w:val="13"/>
            <w:u w:val="single" w:color="auto"/>
            <w:color w:val="0000FF"/>
          </w:rPr>
          <w:t>2019 awards and later).</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85725</wp:posOffset>
            </wp:positionV>
            <wp:extent cx="6616065" cy="3505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05" w:lineRule="exact"/>
        <w:rPr>
          <w:sz w:val="20"/>
          <w:szCs w:val="20"/>
          <w:color w:val="auto"/>
        </w:rPr>
      </w:pPr>
    </w:p>
    <w:p>
      <w:pPr>
        <w:ind w:left="1220"/>
        <w:spacing w:after="0"/>
        <w:rPr>
          <w:rFonts w:ascii="Arial" w:cs="Arial" w:eastAsia="Arial" w:hAnsi="Arial"/>
          <w:sz w:val="13"/>
          <w:szCs w:val="13"/>
          <w:u w:val="single" w:color="auto"/>
          <w:color w:val="0000FF"/>
        </w:rPr>
      </w:pPr>
      <w:hyperlink r:id="rId116">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10.16 </w:t>
      </w:r>
      <w:hyperlink r:id="rId116">
        <w:r>
          <w:rPr>
            <w:rFonts w:ascii="Arial" w:cs="Arial" w:eastAsia="Arial" w:hAnsi="Arial"/>
            <w:sz w:val="12"/>
            <w:szCs w:val="12"/>
            <w:u w:val="single" w:color="auto"/>
            <w:color w:val="0000FF"/>
          </w:rPr>
          <w:t>Industries, Inc. 2019 Omnibus Equity, Performance Award, and Incentive Compensation Plan (Fiscal</w:t>
        </w:r>
      </w:hyperlink>
    </w:p>
    <w:p>
      <w:pPr>
        <w:ind w:left="1220"/>
        <w:spacing w:after="0"/>
        <w:rPr>
          <w:rFonts w:ascii="Arial" w:cs="Arial" w:eastAsia="Arial" w:hAnsi="Arial"/>
          <w:sz w:val="13"/>
          <w:szCs w:val="13"/>
          <w:color w:val="0000FF"/>
        </w:rPr>
      </w:pPr>
      <w:hyperlink r:id="rId116">
        <w:r>
          <w:rPr>
            <w:rFonts w:ascii="Arial" w:cs="Arial" w:eastAsia="Arial" w:hAnsi="Arial"/>
            <w:sz w:val="13"/>
            <w:szCs w:val="13"/>
            <w:u w:val="single" w:color="auto"/>
            <w:color w:val="0000FF"/>
          </w:rPr>
          <w:t>2022 awards and later).</w:t>
        </w:r>
        <w:r>
          <w:rPr>
            <w:rFonts w:ascii="Arial" w:cs="Arial" w:eastAsia="Arial" w:hAnsi="Arial"/>
            <w:sz w:val="13"/>
            <w:szCs w:val="13"/>
            <w:color w:val="3051F2"/>
          </w:rPr>
          <w:t>*</w:t>
        </w:r>
      </w:hyperlink>
    </w:p>
    <w:p>
      <w:pPr>
        <w:spacing w:after="0" w:line="125" w:lineRule="exact"/>
        <w:rPr>
          <w:sz w:val="20"/>
          <w:szCs w:val="20"/>
          <w:color w:val="auto"/>
        </w:rPr>
      </w:pPr>
    </w:p>
    <w:p>
      <w:pPr>
        <w:ind w:left="1220"/>
        <w:spacing w:after="0"/>
        <w:rPr>
          <w:rFonts w:ascii="Arial" w:cs="Arial" w:eastAsia="Arial" w:hAnsi="Arial"/>
          <w:sz w:val="13"/>
          <w:szCs w:val="13"/>
          <w:u w:val="single" w:color="auto"/>
          <w:color w:val="0000FF"/>
        </w:rPr>
      </w:pPr>
      <w:hyperlink r:id="rId117">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10.17 </w:t>
      </w:r>
      <w:hyperlink r:id="rId117">
        <w:r>
          <w:rPr>
            <w:rFonts w:ascii="Arial" w:cs="Arial" w:eastAsia="Arial" w:hAnsi="Arial"/>
            <w:sz w:val="12"/>
            <w:szCs w:val="12"/>
            <w:u w:val="single" w:color="auto"/>
            <w:color w:val="0000FF"/>
          </w:rPr>
          <w:t>Industries, Inc. 2019 Omnibus Equity, Performance Award, and Incentive Compensation Plan (Fiscal</w:t>
        </w:r>
      </w:hyperlink>
    </w:p>
    <w:p>
      <w:pPr>
        <w:ind w:left="1220"/>
        <w:spacing w:after="0"/>
        <w:rPr>
          <w:rFonts w:ascii="Arial" w:cs="Arial" w:eastAsia="Arial" w:hAnsi="Arial"/>
          <w:sz w:val="13"/>
          <w:szCs w:val="13"/>
          <w:color w:val="0000FF"/>
        </w:rPr>
      </w:pPr>
      <w:hyperlink r:id="rId117">
        <w:r>
          <w:rPr>
            <w:rFonts w:ascii="Arial" w:cs="Arial" w:eastAsia="Arial" w:hAnsi="Arial"/>
            <w:sz w:val="13"/>
            <w:szCs w:val="13"/>
            <w:u w:val="single" w:color="auto"/>
            <w:color w:val="0000FF"/>
          </w:rPr>
          <w:t>2023 awards and later).</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85725</wp:posOffset>
            </wp:positionV>
            <wp:extent cx="6616065" cy="3505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13"/>
          <w:szCs w:val="13"/>
          <w:u w:val="single" w:color="auto"/>
          <w:color w:val="0000FF"/>
        </w:rPr>
        <w:t>Form of Restricted Stock Unit Award Agreement (Non-Employee Director) under Winnebago</w:t>
      </w:r>
    </w:p>
    <w:p>
      <w:pPr>
        <w:ind w:left="880"/>
        <w:spacing w:after="0" w:line="221" w:lineRule="auto"/>
        <w:rPr>
          <w:sz w:val="20"/>
          <w:szCs w:val="20"/>
          <w:color w:val="auto"/>
        </w:rPr>
      </w:pPr>
      <w:r>
        <w:rPr>
          <w:rFonts w:ascii="Arial" w:cs="Arial" w:eastAsia="Arial" w:hAnsi="Arial"/>
          <w:sz w:val="12"/>
          <w:szCs w:val="12"/>
          <w:color w:val="auto"/>
        </w:rPr>
        <w:t xml:space="preserve">10.18 </w:t>
      </w:r>
      <w:r>
        <w:rPr>
          <w:rFonts w:ascii="Arial" w:cs="Arial" w:eastAsia="Arial" w:hAnsi="Arial"/>
          <w:sz w:val="12"/>
          <w:szCs w:val="12"/>
          <w:u w:val="single" w:color="auto"/>
          <w:color w:val="0000FF"/>
        </w:rPr>
        <w:t>Industries, Inc. 2019 Omnibus Equity, Performance Award, and Incentive Compensation Plan (Fiscal</w:t>
      </w:r>
    </w:p>
    <w:p>
      <w:pPr>
        <w:ind w:left="1220"/>
        <w:spacing w:after="0"/>
        <w:rPr>
          <w:sz w:val="20"/>
          <w:szCs w:val="20"/>
          <w:color w:val="auto"/>
        </w:rPr>
      </w:pPr>
      <w:r>
        <w:rPr>
          <w:rFonts w:ascii="Arial" w:cs="Arial" w:eastAsia="Arial" w:hAnsi="Arial"/>
          <w:sz w:val="13"/>
          <w:szCs w:val="13"/>
          <w:u w:val="single" w:color="auto"/>
          <w:color w:val="0000FF"/>
        </w:rPr>
        <w:t>2024 awards and later).</w:t>
      </w:r>
      <w:r>
        <w:rPr>
          <w:rFonts w:ascii="Arial" w:cs="Arial" w:eastAsia="Arial" w:hAnsi="Arial"/>
          <w:sz w:val="13"/>
          <w:szCs w:val="13"/>
          <w:color w:val="3051F2"/>
        </w:rPr>
        <w:t>*</w:t>
      </w:r>
    </w:p>
    <w:p>
      <w:pPr>
        <w:spacing w:after="0" w:line="30" w:lineRule="exact"/>
        <w:rPr>
          <w:sz w:val="20"/>
          <w:szCs w:val="20"/>
          <w:color w:val="auto"/>
        </w:rPr>
      </w:pPr>
    </w:p>
    <w:p>
      <w:pPr>
        <w:ind w:left="880"/>
        <w:spacing w:after="0"/>
        <w:rPr>
          <w:rFonts w:ascii="Arial" w:cs="Arial" w:eastAsia="Arial" w:hAnsi="Arial"/>
          <w:sz w:val="13"/>
          <w:szCs w:val="13"/>
          <w:color w:val="0000FF"/>
        </w:rPr>
      </w:pPr>
      <w:hyperlink r:id="rId119"/>
      <w:r>
        <w:rPr>
          <w:rFonts w:ascii="Arial" w:cs="Arial" w:eastAsia="Arial" w:hAnsi="Arial"/>
          <w:sz w:val="25"/>
          <w:szCs w:val="25"/>
          <w:color w:val="000000"/>
          <w:vertAlign w:val="subscript"/>
        </w:rPr>
        <w:t>10.19</w:t>
      </w:r>
      <w:r>
        <w:rPr>
          <w:rFonts w:ascii="Arial" w:cs="Arial" w:eastAsia="Arial" w:hAnsi="Arial"/>
          <w:sz w:val="13"/>
          <w:szCs w:val="13"/>
          <w:color w:val="0000FF"/>
        </w:rPr>
        <w:t xml:space="preserve"> </w:t>
      </w:r>
      <w:hyperlink r:id="rId119">
        <w:r>
          <w:rPr>
            <w:rFonts w:ascii="Arial" w:cs="Arial" w:eastAsia="Arial" w:hAnsi="Arial"/>
            <w:sz w:val="13"/>
            <w:szCs w:val="13"/>
            <w:u w:val="single" w:color="auto"/>
            <w:color w:val="0000FF"/>
          </w:rPr>
          <w:t>Form of Change in Control Agreemen</w:t>
        </w:r>
        <w:r>
          <w:rPr>
            <w:rFonts w:ascii="Arial" w:cs="Arial" w:eastAsia="Arial" w:hAnsi="Arial"/>
            <w:sz w:val="13"/>
            <w:szCs w:val="13"/>
            <w:u w:val="single" w:color="auto"/>
            <w:color w:val="3051F2"/>
          </w:rPr>
          <w:t>t.</w:t>
        </w:r>
      </w:hyperlink>
      <w:r>
        <w:rPr>
          <w:rFonts w:ascii="Arial" w:cs="Arial" w:eastAsia="Arial" w:hAnsi="Arial"/>
          <w:sz w:val="13"/>
          <w:szCs w:val="13"/>
          <w:color w:val="3051F2"/>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Filed Herewith</w:t>
            </w:r>
          </w:p>
        </w:tc>
      </w:tr>
      <w:tr>
        <w:trPr>
          <w:trHeight w:val="34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DEF 14A</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A</w:t>
            </w:r>
          </w:p>
        </w:tc>
        <w:tc>
          <w:tcPr>
            <w:tcW w:w="1060" w:type="dxa"/>
            <w:vAlign w:val="bottom"/>
          </w:tcPr>
          <w:p>
            <w:pPr>
              <w:jc w:val="right"/>
              <w:spacing w:after="0"/>
              <w:rPr>
                <w:sz w:val="20"/>
                <w:szCs w:val="20"/>
                <w:color w:val="auto"/>
              </w:rPr>
            </w:pPr>
            <w:r>
              <w:rPr>
                <w:rFonts w:ascii="Arial" w:cs="Arial" w:eastAsia="Arial" w:hAnsi="Arial"/>
                <w:sz w:val="13"/>
                <w:szCs w:val="13"/>
                <w:color w:val="auto"/>
              </w:rPr>
              <w:t>10/31/2018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06/28/2013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3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10.C</w:t>
            </w:r>
          </w:p>
        </w:tc>
        <w:tc>
          <w:tcPr>
            <w:tcW w:w="1060" w:type="dxa"/>
            <w:vAlign w:val="bottom"/>
          </w:tcPr>
          <w:p>
            <w:pPr>
              <w:jc w:val="right"/>
              <w:spacing w:after="0"/>
              <w:rPr>
                <w:sz w:val="20"/>
                <w:szCs w:val="20"/>
                <w:color w:val="auto"/>
              </w:rPr>
            </w:pPr>
            <w:r>
              <w:rPr>
                <w:rFonts w:ascii="Arial" w:cs="Arial" w:eastAsia="Arial" w:hAnsi="Arial"/>
                <w:sz w:val="13"/>
                <w:szCs w:val="13"/>
                <w:color w:val="auto"/>
              </w:rPr>
              <w:t>11/22/1995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10.b</w:t>
            </w:r>
          </w:p>
        </w:tc>
        <w:tc>
          <w:tcPr>
            <w:tcW w:w="10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10j</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10m</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10n</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10.e</w:t>
            </w:r>
          </w:p>
        </w:tc>
        <w:tc>
          <w:tcPr>
            <w:tcW w:w="10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10q</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10r</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10.f</w:t>
            </w:r>
          </w:p>
        </w:tc>
        <w:tc>
          <w:tcPr>
            <w:tcW w:w="10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6900" w:space="100"/>
            <w:col w:w="3680"/>
          </w:cols>
          <w:pgMar w:left="300" w:top="133" w:right="9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6616065" cy="195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6616065" cy="195580"/>
                    </a:xfrm>
                    <a:prstGeom prst="rect">
                      <a:avLst/>
                    </a:prstGeom>
                    <a:noFill/>
                  </pic:spPr>
                </pic:pic>
              </a:graphicData>
            </a:graphic>
          </wp:anchor>
        </w:drawing>
      </w:r>
    </w:p>
    <w:p>
      <w:pPr>
        <w:ind w:left="880"/>
        <w:spacing w:after="0" w:line="220" w:lineRule="auto"/>
        <w:rPr>
          <w:rFonts w:ascii="Arial" w:cs="Arial" w:eastAsia="Arial" w:hAnsi="Arial"/>
          <w:sz w:val="13"/>
          <w:szCs w:val="13"/>
          <w:color w:val="0000FF"/>
        </w:rPr>
      </w:pPr>
      <w:hyperlink r:id="rId122"/>
      <w:r>
        <w:rPr>
          <w:rFonts w:ascii="Arial" w:cs="Arial" w:eastAsia="Arial" w:hAnsi="Arial"/>
          <w:sz w:val="25"/>
          <w:szCs w:val="25"/>
          <w:color w:val="000000"/>
          <w:vertAlign w:val="subscript"/>
        </w:rPr>
        <w:t>10.20</w:t>
      </w:r>
      <w:r>
        <w:rPr>
          <w:rFonts w:ascii="Arial" w:cs="Arial" w:eastAsia="Arial" w:hAnsi="Arial"/>
          <w:sz w:val="13"/>
          <w:szCs w:val="13"/>
          <w:color w:val="0000FF"/>
        </w:rPr>
        <w:t xml:space="preserve"> </w:t>
      </w:r>
      <w:hyperlink r:id="rId122">
        <w:r>
          <w:rPr>
            <w:rFonts w:ascii="Arial" w:cs="Arial" w:eastAsia="Arial" w:hAnsi="Arial"/>
            <w:sz w:val="13"/>
            <w:szCs w:val="13"/>
            <w:u w:val="single" w:color="auto"/>
            <w:color w:val="0000FF"/>
          </w:rPr>
          <w:t>Winnebago Industries, Inc. Supplemental Executive Retirement Plan.*</w:t>
        </w:r>
      </w:hyperlink>
    </w:p>
    <w:p>
      <w:pPr>
        <w:spacing w:after="0" w:line="72" w:lineRule="exact"/>
        <w:rPr>
          <w:sz w:val="20"/>
          <w:szCs w:val="20"/>
          <w:color w:val="auto"/>
        </w:rPr>
      </w:pPr>
    </w:p>
    <w:p>
      <w:pPr>
        <w:ind w:left="880"/>
        <w:spacing w:after="0"/>
        <w:rPr>
          <w:rFonts w:ascii="Arial" w:cs="Arial" w:eastAsia="Arial" w:hAnsi="Arial"/>
          <w:sz w:val="12"/>
          <w:szCs w:val="12"/>
          <w:color w:val="auto"/>
        </w:rPr>
      </w:pPr>
      <w:r>
        <w:rPr>
          <w:rFonts w:ascii="Arial" w:cs="Arial" w:eastAsia="Arial" w:hAnsi="Arial"/>
          <w:sz w:val="12"/>
          <w:szCs w:val="12"/>
          <w:color w:val="auto"/>
        </w:rPr>
        <w:t xml:space="preserve">10.21 </w:t>
      </w:r>
      <w:hyperlink r:id="rId123">
        <w:r>
          <w:rPr>
            <w:rFonts w:ascii="Arial" w:cs="Arial" w:eastAsia="Arial" w:hAnsi="Arial"/>
            <w:sz w:val="12"/>
            <w:szCs w:val="12"/>
            <w:u w:val="single" w:color="auto"/>
            <w:color w:val="0000FF"/>
          </w:rPr>
          <w:t>Winnebago Industries, Inc. Executive Incentive Compensation Plan for Fiscal Period 2021 and later.*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17780</wp:posOffset>
            </wp:positionV>
            <wp:extent cx="661606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12" w:lineRule="exact"/>
        <w:rPr>
          <w:sz w:val="20"/>
          <w:szCs w:val="20"/>
          <w:color w:val="auto"/>
        </w:rPr>
      </w:pPr>
    </w:p>
    <w:p>
      <w:pPr>
        <w:ind w:left="1220" w:right="420" w:hanging="346"/>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10.22 </w:t>
      </w:r>
      <w:hyperlink r:id="rId125">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25">
        <w:r>
          <w:rPr>
            <w:rFonts w:ascii="Arial" w:cs="Arial" w:eastAsia="Arial" w:hAnsi="Arial"/>
            <w:sz w:val="13"/>
            <w:szCs w:val="13"/>
            <w:u w:val="single" w:color="auto"/>
            <w:color w:val="0000FF"/>
          </w:rPr>
          <w:t>Incentive Plan (Fiscal 2021 awards)*</w:t>
        </w:r>
      </w:hyperlink>
    </w:p>
    <w:p>
      <w:pPr>
        <w:spacing w:after="0" w:line="9" w:lineRule="exact"/>
        <w:rPr>
          <w:sz w:val="20"/>
          <w:szCs w:val="20"/>
          <w:color w:val="auto"/>
        </w:rPr>
      </w:pPr>
    </w:p>
    <w:p>
      <w:pPr>
        <w:ind w:left="1220" w:right="420" w:hanging="346"/>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10.23 </w:t>
      </w:r>
      <w:hyperlink r:id="rId126">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26">
        <w:r>
          <w:rPr>
            <w:rFonts w:ascii="Arial" w:cs="Arial" w:eastAsia="Arial" w:hAnsi="Arial"/>
            <w:sz w:val="13"/>
            <w:szCs w:val="13"/>
            <w:u w:val="single" w:color="auto"/>
            <w:color w:val="0000FF"/>
          </w:rPr>
          <w:t>Incentive Plan (Fiscal 2022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3175</wp:posOffset>
            </wp:positionV>
            <wp:extent cx="661606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ind w:left="1220" w:right="420" w:hanging="346"/>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10.24 </w:t>
      </w:r>
      <w:hyperlink r:id="rId128">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28">
        <w:r>
          <w:rPr>
            <w:rFonts w:ascii="Arial" w:cs="Arial" w:eastAsia="Arial" w:hAnsi="Arial"/>
            <w:sz w:val="13"/>
            <w:szCs w:val="13"/>
            <w:u w:val="single" w:color="auto"/>
            <w:color w:val="0000FF"/>
          </w:rPr>
          <w:t>Incentive Plan (Fiscal 2023 awards)*</w:t>
        </w:r>
      </w:hyperlink>
    </w:p>
    <w:p>
      <w:pPr>
        <w:jc w:val="center"/>
        <w:ind w:left="540"/>
        <w:spacing w:after="0" w:line="232" w:lineRule="auto"/>
        <w:rPr>
          <w:rFonts w:ascii="Arial" w:cs="Arial" w:eastAsia="Arial" w:hAnsi="Arial"/>
          <w:sz w:val="13"/>
          <w:szCs w:val="13"/>
          <w:u w:val="single" w:color="auto"/>
          <w:color w:val="0000FF"/>
        </w:rPr>
      </w:pPr>
      <w:hyperlink r:id="rId129">
        <w:r>
          <w:rPr>
            <w:rFonts w:ascii="Arial" w:cs="Arial" w:eastAsia="Arial" w:hAnsi="Arial"/>
            <w:sz w:val="13"/>
            <w:szCs w:val="13"/>
            <w:u w:val="single" w:color="auto"/>
            <w:color w:val="0000FF"/>
          </w:rPr>
          <w:t>Non-competition, Non-solicitation and Confidentiality Agreement by and among Octavius</w:t>
        </w:r>
      </w:hyperlink>
    </w:p>
    <w:p>
      <w:pPr>
        <w:ind w:left="1220" w:right="340" w:hanging="346"/>
        <w:spacing w:after="0" w:line="225"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10.25 </w:t>
      </w:r>
      <w:hyperlink r:id="rId129">
        <w:r>
          <w:rPr>
            <w:rFonts w:ascii="Arial" w:cs="Arial" w:eastAsia="Arial" w:hAnsi="Arial"/>
            <w:sz w:val="13"/>
            <w:szCs w:val="13"/>
            <w:u w:val="single" w:color="auto"/>
            <w:color w:val="0000FF"/>
          </w:rPr>
          <w:t>Corporation, Winnebago Industries, Inc., Grand Design RV, LLC, RDB III, Inc., Ronald Fenech,</w:t>
        </w:r>
      </w:hyperlink>
      <w:r>
        <w:rPr>
          <w:rFonts w:ascii="Arial" w:cs="Arial" w:eastAsia="Arial" w:hAnsi="Arial"/>
          <w:sz w:val="13"/>
          <w:szCs w:val="13"/>
          <w:color w:val="auto"/>
        </w:rPr>
        <w:t xml:space="preserve"> </w:t>
      </w:r>
      <w:hyperlink r:id="rId129">
        <w:r>
          <w:rPr>
            <w:rFonts w:ascii="Arial" w:cs="Arial" w:eastAsia="Arial" w:hAnsi="Arial"/>
            <w:sz w:val="13"/>
            <w:szCs w:val="13"/>
            <w:u w:val="single" w:color="auto"/>
            <w:color w:val="0000FF"/>
          </w:rPr>
          <w:t>Donald Clark and William Fenech.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83820</wp:posOffset>
            </wp:positionV>
            <wp:extent cx="6616065" cy="431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6616065" cy="431165"/>
                    </a:xfrm>
                    <a:prstGeom prst="rect">
                      <a:avLst/>
                    </a:prstGeom>
                    <a:noFill/>
                  </pic:spPr>
                </pic:pic>
              </a:graphicData>
            </a:graphic>
          </wp:anchor>
        </w:drawing>
      </w:r>
    </w:p>
    <w:p>
      <w:pPr>
        <w:spacing w:after="0" w:line="116" w:lineRule="exact"/>
        <w:rPr>
          <w:sz w:val="20"/>
          <w:szCs w:val="20"/>
          <w:color w:val="auto"/>
        </w:rPr>
      </w:pPr>
    </w:p>
    <w:p>
      <w:pPr>
        <w:ind w:left="1220" w:right="140"/>
        <w:spacing w:after="0" w:line="228" w:lineRule="auto"/>
        <w:rPr>
          <w:rFonts w:ascii="Arial" w:cs="Arial" w:eastAsia="Arial" w:hAnsi="Arial"/>
          <w:sz w:val="12"/>
          <w:szCs w:val="12"/>
          <w:u w:val="single" w:color="auto"/>
          <w:color w:val="0000FF"/>
        </w:rPr>
      </w:pPr>
      <w:hyperlink r:id="rId131">
        <w:r>
          <w:rPr>
            <w:rFonts w:ascii="Arial" w:cs="Arial" w:eastAsia="Arial" w:hAnsi="Arial"/>
            <w:sz w:val="12"/>
            <w:szCs w:val="12"/>
            <w:u w:val="single" w:color="auto"/>
            <w:color w:val="0000FF"/>
          </w:rPr>
          <w:t>Non-Solicitation and Confidentiality Agreement by and among Octavius Corporation, Winnebago</w:t>
        </w:r>
      </w:hyperlink>
      <w:r>
        <w:rPr>
          <w:rFonts w:ascii="Arial" w:cs="Arial" w:eastAsia="Arial" w:hAnsi="Arial"/>
          <w:sz w:val="12"/>
          <w:szCs w:val="12"/>
          <w:u w:val="single" w:color="auto"/>
          <w:color w:val="0000FF"/>
        </w:rPr>
        <w:t xml:space="preserve"> </w:t>
      </w:r>
      <w:hyperlink r:id="rId131">
        <w:r>
          <w:rPr>
            <w:rFonts w:ascii="Arial" w:cs="Arial" w:eastAsia="Arial" w:hAnsi="Arial"/>
            <w:sz w:val="12"/>
            <w:szCs w:val="12"/>
            <w:u w:val="single" w:color="auto"/>
            <w:color w:val="0000FF"/>
          </w:rPr>
          <w:t>Industries, Inc., Grand Design, RV, LLC, Summit Partners Growth Equity Fund VIII-B, L.P., Summit</w:t>
        </w:r>
      </w:hyperlink>
    </w:p>
    <w:p>
      <w:pPr>
        <w:ind w:left="1220" w:right="300" w:hanging="346"/>
        <w:spacing w:after="0" w:line="247"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10.26 </w:t>
      </w:r>
      <w:hyperlink r:id="rId131">
        <w:r>
          <w:rPr>
            <w:rFonts w:ascii="Arial" w:cs="Arial" w:eastAsia="Arial" w:hAnsi="Arial"/>
            <w:sz w:val="12"/>
            <w:szCs w:val="12"/>
            <w:u w:val="single" w:color="auto"/>
            <w:color w:val="0000FF"/>
          </w:rPr>
          <w:t>Partners Growth Equity Fund VIII-A, L.P., Summit Partners Entrepreneur Advisors Fund I, L.P.,</w:t>
        </w:r>
      </w:hyperlink>
      <w:r>
        <w:rPr>
          <w:rFonts w:ascii="Arial" w:cs="Arial" w:eastAsia="Arial" w:hAnsi="Arial"/>
          <w:sz w:val="12"/>
          <w:szCs w:val="12"/>
          <w:color w:val="auto"/>
        </w:rPr>
        <w:t xml:space="preserve"> </w:t>
      </w:r>
      <w:hyperlink r:id="rId131">
        <w:r>
          <w:rPr>
            <w:rFonts w:ascii="Arial" w:cs="Arial" w:eastAsia="Arial" w:hAnsi="Arial"/>
            <w:sz w:val="12"/>
            <w:szCs w:val="12"/>
            <w:u w:val="single" w:color="auto"/>
            <w:color w:val="0000FF"/>
          </w:rPr>
          <w:t>Summit Investors I, LLC, Summit Investors I (UK), L.P., and SP GE VIII-B GD RV Holdings, L.P.</w:t>
        </w:r>
      </w:hyperlink>
    </w:p>
    <w:p>
      <w:pPr>
        <w:spacing w:after="0" w:line="132" w:lineRule="exact"/>
        <w:rPr>
          <w:sz w:val="20"/>
          <w:szCs w:val="20"/>
          <w:color w:val="auto"/>
        </w:rPr>
      </w:pPr>
    </w:p>
    <w:p>
      <w:pPr>
        <w:ind w:left="1220" w:right="80"/>
        <w:spacing w:after="0" w:line="228" w:lineRule="auto"/>
        <w:rPr>
          <w:rFonts w:ascii="Arial" w:cs="Arial" w:eastAsia="Arial" w:hAnsi="Arial"/>
          <w:sz w:val="12"/>
          <w:szCs w:val="12"/>
          <w:u w:val="single" w:color="auto"/>
          <w:color w:val="0000FF"/>
        </w:rPr>
      </w:pPr>
      <w:hyperlink r:id="rId132">
        <w:r>
          <w:rPr>
            <w:rFonts w:ascii="Arial" w:cs="Arial" w:eastAsia="Arial" w:hAnsi="Arial"/>
            <w:sz w:val="12"/>
            <w:szCs w:val="12"/>
            <w:u w:val="single" w:color="auto"/>
            <w:color w:val="0000FF"/>
          </w:rPr>
          <w:t>Registration Rights Agreement by and among Winnebago Industries, Inc., Summit Partners Growth</w:t>
        </w:r>
      </w:hyperlink>
      <w:r>
        <w:rPr>
          <w:rFonts w:ascii="Arial" w:cs="Arial" w:eastAsia="Arial" w:hAnsi="Arial"/>
          <w:sz w:val="12"/>
          <w:szCs w:val="12"/>
          <w:u w:val="single" w:color="auto"/>
          <w:color w:val="0000FF"/>
        </w:rPr>
        <w:t xml:space="preserve"> </w:t>
      </w:r>
      <w:hyperlink r:id="rId132">
        <w:r>
          <w:rPr>
            <w:rFonts w:ascii="Arial" w:cs="Arial" w:eastAsia="Arial" w:hAnsi="Arial"/>
            <w:sz w:val="12"/>
            <w:szCs w:val="12"/>
            <w:u w:val="single" w:color="auto"/>
            <w:color w:val="0000FF"/>
          </w:rPr>
          <w:t>Equity Fund VIII-A, L.P., Summit Partners Growth Equity Fund VIII-B, L.P., Summit Partners</w:t>
        </w:r>
      </w:hyperlink>
    </w:p>
    <w:p>
      <w:pPr>
        <w:ind w:left="1220" w:right="140" w:hanging="346"/>
        <w:spacing w:after="0" w:line="225"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10.27 </w:t>
      </w:r>
      <w:hyperlink r:id="rId132">
        <w:r>
          <w:rPr>
            <w:rFonts w:ascii="Arial" w:cs="Arial" w:eastAsia="Arial" w:hAnsi="Arial"/>
            <w:sz w:val="13"/>
            <w:szCs w:val="13"/>
            <w:u w:val="single" w:color="auto"/>
            <w:color w:val="0000FF"/>
          </w:rPr>
          <w:t>Entrepreneur Advisors Fund I, L.P., Summit Investors I, LLC, Summit Investors I (UK), L.P. and SP</w:t>
        </w:r>
      </w:hyperlink>
      <w:r>
        <w:rPr>
          <w:rFonts w:ascii="Arial" w:cs="Arial" w:eastAsia="Arial" w:hAnsi="Arial"/>
          <w:sz w:val="13"/>
          <w:szCs w:val="13"/>
          <w:color w:val="auto"/>
        </w:rPr>
        <w:t xml:space="preserve"> </w:t>
      </w:r>
      <w:hyperlink r:id="rId132">
        <w:r>
          <w:rPr>
            <w:rFonts w:ascii="Arial" w:cs="Arial" w:eastAsia="Arial" w:hAnsi="Arial"/>
            <w:sz w:val="13"/>
            <w:szCs w:val="13"/>
            <w:u w:val="single" w:color="auto"/>
            <w:color w:val="0000FF"/>
          </w:rPr>
          <w:t>GE VIII-B GD RV Holdings, L.P., Donald Clark, Ronald Fenech, and William Fenech.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83820</wp:posOffset>
            </wp:positionV>
            <wp:extent cx="661606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116" w:lineRule="exact"/>
        <w:rPr>
          <w:sz w:val="20"/>
          <w:szCs w:val="20"/>
          <w:color w:val="auto"/>
        </w:rPr>
      </w:pPr>
    </w:p>
    <w:p>
      <w:pPr>
        <w:ind w:left="1220" w:right="20" w:hanging="346"/>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10.28 </w:t>
      </w:r>
      <w:hyperlink r:id="rId134">
        <w:r>
          <w:rPr>
            <w:rFonts w:ascii="Arial" w:cs="Arial" w:eastAsia="Arial" w:hAnsi="Arial"/>
            <w:sz w:val="13"/>
            <w:szCs w:val="13"/>
            <w:u w:val="single" w:color="auto"/>
            <w:color w:val="0000FF"/>
          </w:rPr>
          <w:t>Amended and Restated Employment Agreement between Winnebago Industries, Inc., Grand Design</w:t>
        </w:r>
      </w:hyperlink>
      <w:r>
        <w:rPr>
          <w:rFonts w:ascii="Arial" w:cs="Arial" w:eastAsia="Arial" w:hAnsi="Arial"/>
          <w:sz w:val="13"/>
          <w:szCs w:val="13"/>
          <w:color w:val="auto"/>
        </w:rPr>
        <w:t xml:space="preserve"> </w:t>
      </w:r>
      <w:hyperlink r:id="rId134">
        <w:r>
          <w:rPr>
            <w:rFonts w:ascii="Arial" w:cs="Arial" w:eastAsia="Arial" w:hAnsi="Arial"/>
            <w:sz w:val="13"/>
            <w:szCs w:val="13"/>
            <w:u w:val="single" w:color="auto"/>
            <w:color w:val="0000FF"/>
          </w:rPr>
          <w:t>RV, LLC, and Donald Clark effective September 1, 2019.*</w:t>
        </w:r>
      </w:hyperlink>
    </w:p>
    <w:p>
      <w:pPr>
        <w:spacing w:after="0" w:line="9" w:lineRule="exact"/>
        <w:rPr>
          <w:sz w:val="20"/>
          <w:szCs w:val="20"/>
          <w:color w:val="auto"/>
        </w:rPr>
      </w:pPr>
    </w:p>
    <w:p>
      <w:pPr>
        <w:ind w:left="880" w:right="300" w:firstLine="347"/>
        <w:spacing w:after="0" w:line="231" w:lineRule="auto"/>
        <w:rPr>
          <w:rFonts w:ascii="Arial" w:cs="Arial" w:eastAsia="Arial" w:hAnsi="Arial"/>
          <w:sz w:val="13"/>
          <w:szCs w:val="13"/>
          <w:color w:val="000000"/>
        </w:rPr>
      </w:pPr>
      <w:hyperlink r:id="rId135">
        <w:r>
          <w:rPr>
            <w:rFonts w:ascii="Arial" w:cs="Arial" w:eastAsia="Arial" w:hAnsi="Arial"/>
            <w:sz w:val="13"/>
            <w:szCs w:val="13"/>
            <w:u w:val="single" w:color="auto"/>
            <w:color w:val="0000FF"/>
          </w:rPr>
          <w:t>Amended and Restated Change in Control Agreement between Winnebago Industries, Inc. and</w:t>
        </w:r>
      </w:hyperlink>
      <w:r>
        <w:rPr>
          <w:rFonts w:ascii="Arial" w:cs="Arial" w:eastAsia="Arial" w:hAnsi="Arial"/>
          <w:sz w:val="13"/>
          <w:szCs w:val="13"/>
          <w:u w:val="single" w:color="auto"/>
          <w:color w:val="0000FF"/>
        </w:rPr>
        <w:t xml:space="preserve"> </w:t>
      </w:r>
      <w:r>
        <w:rPr>
          <w:rFonts w:ascii="Arial" w:cs="Arial" w:eastAsia="Arial" w:hAnsi="Arial"/>
          <w:sz w:val="13"/>
          <w:szCs w:val="13"/>
          <w:color w:val="000000"/>
        </w:rPr>
        <w:t xml:space="preserve">10.29 </w:t>
      </w:r>
      <w:hyperlink r:id="rId135">
        <w:r>
          <w:rPr>
            <w:rFonts w:ascii="Arial" w:cs="Arial" w:eastAsia="Arial" w:hAnsi="Arial"/>
            <w:sz w:val="13"/>
            <w:szCs w:val="13"/>
            <w:u w:val="single" w:color="auto"/>
            <w:color w:val="0000FF"/>
          </w:rPr>
          <w:t>Donald Clark effective September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84455</wp:posOffset>
            </wp:positionV>
            <wp:extent cx="661606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117" w:lineRule="exact"/>
        <w:rPr>
          <w:sz w:val="20"/>
          <w:szCs w:val="20"/>
          <w:color w:val="auto"/>
        </w:rPr>
      </w:pPr>
    </w:p>
    <w:p>
      <w:pPr>
        <w:ind w:left="1220" w:right="20" w:hanging="346"/>
        <w:spacing w:after="0" w:line="231" w:lineRule="auto"/>
        <w:rPr>
          <w:sz w:val="20"/>
          <w:szCs w:val="20"/>
          <w:color w:val="auto"/>
        </w:rPr>
      </w:pPr>
      <w:r>
        <w:rPr>
          <w:rFonts w:ascii="Arial" w:cs="Arial" w:eastAsia="Arial" w:hAnsi="Arial"/>
          <w:sz w:val="13"/>
          <w:szCs w:val="13"/>
          <w:color w:val="auto"/>
        </w:rPr>
        <w:t xml:space="preserve">10.30 </w:t>
      </w:r>
      <w:r>
        <w:rPr>
          <w:rFonts w:ascii="Arial" w:cs="Arial" w:eastAsia="Arial" w:hAnsi="Arial"/>
          <w:sz w:val="13"/>
          <w:szCs w:val="13"/>
          <w:u w:val="single" w:color="auto"/>
          <w:color w:val="0000FF"/>
        </w:rPr>
        <w:t>Amended and Restated Employment Agreement between Winnebago Industries, Inc., Grand Design</w:t>
      </w:r>
      <w:r>
        <w:rPr>
          <w:rFonts w:ascii="Arial" w:cs="Arial" w:eastAsia="Arial" w:hAnsi="Arial"/>
          <w:sz w:val="13"/>
          <w:szCs w:val="13"/>
          <w:color w:val="auto"/>
        </w:rPr>
        <w:t xml:space="preserve"> </w:t>
      </w:r>
      <w:r>
        <w:rPr>
          <w:rFonts w:ascii="Arial" w:cs="Arial" w:eastAsia="Arial" w:hAnsi="Arial"/>
          <w:sz w:val="13"/>
          <w:szCs w:val="13"/>
          <w:u w:val="single" w:color="auto"/>
          <w:color w:val="0000FF"/>
        </w:rPr>
        <w:t>RV, LLC, and Donald Clark effective September 1, 2023.*</w:t>
      </w:r>
    </w:p>
    <w:p>
      <w:pPr>
        <w:spacing w:after="0" w:line="9" w:lineRule="exact"/>
        <w:rPr>
          <w:sz w:val="20"/>
          <w:szCs w:val="20"/>
          <w:color w:val="auto"/>
        </w:rPr>
      </w:pPr>
    </w:p>
    <w:p>
      <w:pPr>
        <w:ind w:left="880" w:right="300" w:firstLine="347"/>
        <w:spacing w:after="0" w:line="231" w:lineRule="auto"/>
        <w:rPr>
          <w:sz w:val="20"/>
          <w:szCs w:val="20"/>
          <w:color w:val="auto"/>
        </w:rPr>
      </w:pPr>
      <w:r>
        <w:rPr>
          <w:rFonts w:ascii="Arial" w:cs="Arial" w:eastAsia="Arial" w:hAnsi="Arial"/>
          <w:sz w:val="13"/>
          <w:szCs w:val="13"/>
          <w:u w:val="single" w:color="auto"/>
          <w:color w:val="0000FF"/>
        </w:rPr>
        <w:t xml:space="preserve">Amended and Restated Change in Control Agreement between Winnebago Industries, Inc. and </w:t>
      </w:r>
      <w:r>
        <w:rPr>
          <w:rFonts w:ascii="Arial" w:cs="Arial" w:eastAsia="Arial" w:hAnsi="Arial"/>
          <w:sz w:val="13"/>
          <w:szCs w:val="13"/>
          <w:color w:val="000000"/>
        </w:rPr>
        <w:t xml:space="preserve">10.31 </w:t>
      </w:r>
      <w:r>
        <w:rPr>
          <w:rFonts w:ascii="Arial" w:cs="Arial" w:eastAsia="Arial" w:hAnsi="Arial"/>
          <w:sz w:val="13"/>
          <w:szCs w:val="13"/>
          <w:u w:val="single" w:color="auto"/>
          <w:color w:val="0000FF"/>
        </w:rPr>
        <w:t>Donald Clark effective 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84455</wp:posOffset>
            </wp:positionV>
            <wp:extent cx="6616065" cy="269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17" w:lineRule="exact"/>
        <w:rPr>
          <w:sz w:val="20"/>
          <w:szCs w:val="20"/>
          <w:color w:val="auto"/>
        </w:rPr>
      </w:pPr>
    </w:p>
    <w:p>
      <w:pPr>
        <w:ind w:left="880" w:right="40" w:firstLine="347"/>
        <w:spacing w:after="0" w:line="231" w:lineRule="auto"/>
        <w:rPr>
          <w:rFonts w:ascii="Arial" w:cs="Arial" w:eastAsia="Arial" w:hAnsi="Arial"/>
          <w:sz w:val="13"/>
          <w:szCs w:val="13"/>
          <w:color w:val="000000"/>
        </w:rPr>
      </w:pPr>
      <w:hyperlink r:id="rId138">
        <w:r>
          <w:rPr>
            <w:rFonts w:ascii="Arial" w:cs="Arial" w:eastAsia="Arial" w:hAnsi="Arial"/>
            <w:sz w:val="13"/>
            <w:szCs w:val="13"/>
            <w:u w:val="single" w:color="auto"/>
            <w:color w:val="0000FF"/>
          </w:rPr>
          <w:t>Commitment Letter dated September 15, 2019, by and among Winnebago Industries, Inc., Goldman</w:t>
        </w:r>
      </w:hyperlink>
      <w:r>
        <w:rPr>
          <w:rFonts w:ascii="Arial" w:cs="Arial" w:eastAsia="Arial" w:hAnsi="Arial"/>
          <w:sz w:val="13"/>
          <w:szCs w:val="13"/>
          <w:u w:val="single" w:color="auto"/>
          <w:color w:val="0000FF"/>
        </w:rPr>
        <w:t xml:space="preserve"> </w:t>
      </w:r>
      <w:r>
        <w:rPr>
          <w:rFonts w:ascii="Arial" w:cs="Arial" w:eastAsia="Arial" w:hAnsi="Arial"/>
          <w:sz w:val="13"/>
          <w:szCs w:val="13"/>
          <w:color w:val="000000"/>
        </w:rPr>
        <w:t xml:space="preserve">10.32 </w:t>
      </w:r>
      <w:hyperlink r:id="rId138">
        <w:r>
          <w:rPr>
            <w:rFonts w:ascii="Arial" w:cs="Arial" w:eastAsia="Arial" w:hAnsi="Arial"/>
            <w:sz w:val="13"/>
            <w:szCs w:val="13"/>
            <w:u w:val="single" w:color="auto"/>
            <w:color w:val="0000FF"/>
          </w:rPr>
          <w:t>Sachs Bank USA, Bank of Montreal, and BMO Capital Markets Corp.</w:t>
        </w:r>
      </w:hyperlink>
    </w:p>
    <w:p>
      <w:pPr>
        <w:spacing w:after="0" w:line="137" w:lineRule="exact"/>
        <w:rPr>
          <w:sz w:val="20"/>
          <w:szCs w:val="20"/>
          <w:color w:val="auto"/>
        </w:rPr>
      </w:pPr>
    </w:p>
    <w:p>
      <w:pPr>
        <w:ind w:left="1220"/>
        <w:spacing w:after="0"/>
        <w:rPr>
          <w:rFonts w:ascii="Arial" w:cs="Arial" w:eastAsia="Arial" w:hAnsi="Arial"/>
          <w:sz w:val="13"/>
          <w:szCs w:val="13"/>
          <w:u w:val="single" w:color="auto"/>
          <w:color w:val="0000FF"/>
        </w:rPr>
      </w:pPr>
      <w:hyperlink r:id="rId139">
        <w:r>
          <w:rPr>
            <w:rFonts w:ascii="Arial" w:cs="Arial" w:eastAsia="Arial" w:hAnsi="Arial"/>
            <w:sz w:val="13"/>
            <w:szCs w:val="13"/>
            <w:u w:val="single" w:color="auto"/>
            <w:color w:val="0000FF"/>
          </w:rPr>
          <w:t>Amended and Restated Credit Agreement dated as of October 22, 2019 among Winnebago</w:t>
        </w:r>
      </w:hyperlink>
    </w:p>
    <w:p>
      <w:pPr>
        <w:ind w:left="880"/>
        <w:spacing w:after="0" w:line="180" w:lineRule="auto"/>
        <w:rPr>
          <w:rFonts w:ascii="Arial" w:cs="Arial" w:eastAsia="Arial" w:hAnsi="Arial"/>
          <w:sz w:val="10"/>
          <w:szCs w:val="10"/>
          <w:color w:val="0000FF"/>
        </w:rPr>
      </w:pPr>
      <w:hyperlink r:id="rId139"/>
      <w:r>
        <w:rPr>
          <w:rFonts w:ascii="Arial" w:cs="Arial" w:eastAsia="Arial" w:hAnsi="Arial"/>
          <w:sz w:val="18"/>
          <w:szCs w:val="18"/>
          <w:color w:val="000000"/>
          <w:vertAlign w:val="subscript"/>
        </w:rPr>
        <w:t>10.33</w:t>
      </w:r>
      <w:r>
        <w:rPr>
          <w:rFonts w:ascii="Arial" w:cs="Arial" w:eastAsia="Arial" w:hAnsi="Arial"/>
          <w:sz w:val="10"/>
          <w:szCs w:val="10"/>
          <w:color w:val="0000FF"/>
        </w:rPr>
        <w:t xml:space="preserve"> </w:t>
      </w:r>
      <w:hyperlink r:id="rId139">
        <w:r>
          <w:rPr>
            <w:rFonts w:ascii="Arial" w:cs="Arial" w:eastAsia="Arial" w:hAnsi="Arial"/>
            <w:sz w:val="10"/>
            <w:szCs w:val="10"/>
            <w:u w:val="single" w:color="auto"/>
            <w:color w:val="0000FF"/>
          </w:rPr>
          <w:t>Industries, Inc., Winnebago of Indiana, LLC and Grand Design RV, LLC, the other loan parties party</w:t>
        </w:r>
      </w:hyperlink>
    </w:p>
    <w:p>
      <w:pPr>
        <w:ind w:left="1220" w:right="220"/>
        <w:spacing w:after="0" w:line="233" w:lineRule="auto"/>
        <w:rPr>
          <w:rFonts w:ascii="Arial" w:cs="Arial" w:eastAsia="Arial" w:hAnsi="Arial"/>
          <w:sz w:val="13"/>
          <w:szCs w:val="13"/>
          <w:u w:val="single" w:color="auto"/>
          <w:color w:val="0000FF"/>
        </w:rPr>
      </w:pPr>
      <w:hyperlink r:id="rId139">
        <w:r>
          <w:rPr>
            <w:rFonts w:ascii="Arial" w:cs="Arial" w:eastAsia="Arial" w:hAnsi="Arial"/>
            <w:sz w:val="13"/>
            <w:szCs w:val="13"/>
            <w:u w:val="single" w:color="auto"/>
            <w:color w:val="0000FF"/>
          </w:rPr>
          <w:t>thereto from time to time, the lenders party thereto from time to time and JPMorgan Chase Bank,</w:t>
        </w:r>
      </w:hyperlink>
      <w:r>
        <w:rPr>
          <w:rFonts w:ascii="Arial" w:cs="Arial" w:eastAsia="Arial" w:hAnsi="Arial"/>
          <w:sz w:val="13"/>
          <w:szCs w:val="13"/>
          <w:u w:val="single" w:color="auto"/>
          <w:color w:val="0000FF"/>
        </w:rPr>
        <w:t xml:space="preserve"> </w:t>
      </w:r>
      <w:hyperlink r:id="rId139">
        <w:r>
          <w:rPr>
            <w:rFonts w:ascii="Arial" w:cs="Arial" w:eastAsia="Arial" w:hAnsi="Arial"/>
            <w:sz w:val="13"/>
            <w:szCs w:val="13"/>
            <w:u w:val="single" w:color="auto"/>
            <w:color w:val="0000FF"/>
          </w:rPr>
          <w:t>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17145</wp:posOffset>
            </wp:positionV>
            <wp:extent cx="6616065" cy="215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spacing w:after="0" w:line="11" w:lineRule="exact"/>
        <w:rPr>
          <w:sz w:val="20"/>
          <w:szCs w:val="20"/>
          <w:color w:val="auto"/>
        </w:rPr>
      </w:pPr>
    </w:p>
    <w:p>
      <w:pPr>
        <w:ind w:left="880" w:right="60" w:firstLine="347"/>
        <w:spacing w:after="0" w:line="190" w:lineRule="auto"/>
        <w:rPr>
          <w:rFonts w:ascii="Arial" w:cs="Arial" w:eastAsia="Arial" w:hAnsi="Arial"/>
          <w:sz w:val="13"/>
          <w:szCs w:val="13"/>
          <w:color w:val="0000FF"/>
        </w:rPr>
      </w:pPr>
      <w:hyperlink r:id="rId141">
        <w:r>
          <w:rPr>
            <w:rFonts w:ascii="Arial" w:cs="Arial" w:eastAsia="Arial" w:hAnsi="Arial"/>
            <w:sz w:val="13"/>
            <w:szCs w:val="13"/>
            <w:u w:val="single" w:color="auto"/>
            <w:color w:val="0000FF"/>
          </w:rPr>
          <w:t>Purchase Agreement, dated October 29, 2019, by and among Winnebago Industries, Inc., Goldman</w:t>
        </w:r>
      </w:hyperlink>
      <w:r>
        <w:rPr>
          <w:rFonts w:ascii="Arial" w:cs="Arial" w:eastAsia="Arial" w:hAnsi="Arial"/>
          <w:sz w:val="13"/>
          <w:szCs w:val="13"/>
          <w:u w:val="single" w:color="auto"/>
          <w:color w:val="0000FF"/>
        </w:rPr>
        <w:t xml:space="preserve"> </w:t>
      </w:r>
      <w:hyperlink r:id="rId141"/>
      <w:r>
        <w:rPr>
          <w:rFonts w:ascii="Arial" w:cs="Arial" w:eastAsia="Arial" w:hAnsi="Arial"/>
          <w:sz w:val="25"/>
          <w:szCs w:val="25"/>
          <w:color w:val="000000"/>
          <w:vertAlign w:val="superscript"/>
        </w:rPr>
        <w:t>10.34</w:t>
      </w:r>
      <w:r>
        <w:rPr>
          <w:rFonts w:ascii="Arial" w:cs="Arial" w:eastAsia="Arial" w:hAnsi="Arial"/>
          <w:sz w:val="13"/>
          <w:szCs w:val="13"/>
          <w:color w:val="0000FF"/>
        </w:rPr>
        <w:t xml:space="preserve"> </w:t>
      </w:r>
      <w:hyperlink r:id="rId141">
        <w:r>
          <w:rPr>
            <w:rFonts w:ascii="Arial" w:cs="Arial" w:eastAsia="Arial" w:hAnsi="Arial"/>
            <w:sz w:val="13"/>
            <w:szCs w:val="13"/>
            <w:u w:val="single" w:color="auto"/>
            <w:color w:val="0000FF"/>
          </w:rPr>
          <w:t>Sachs &amp; Co. LLC and BMO Capital Markets Corp.</w:t>
        </w:r>
      </w:hyperlink>
    </w:p>
    <w:p>
      <w:pPr>
        <w:spacing w:after="0" w:line="2" w:lineRule="exact"/>
        <w:rPr>
          <w:rFonts w:ascii="Arial" w:cs="Arial" w:eastAsia="Arial" w:hAnsi="Arial"/>
          <w:sz w:val="13"/>
          <w:szCs w:val="13"/>
          <w:u w:val="single" w:color="auto"/>
          <w:color w:val="0000FF"/>
        </w:rPr>
      </w:pPr>
    </w:p>
    <w:p>
      <w:pPr>
        <w:ind w:left="880" w:right="560" w:firstLine="347"/>
        <w:spacing w:after="0" w:line="186" w:lineRule="auto"/>
        <w:rPr>
          <w:rFonts w:ascii="Arial" w:cs="Arial" w:eastAsia="Arial" w:hAnsi="Arial"/>
          <w:sz w:val="13"/>
          <w:szCs w:val="13"/>
          <w:color w:val="0000FF"/>
        </w:rPr>
      </w:pPr>
      <w:hyperlink r:id="rId142">
        <w:r>
          <w:rPr>
            <w:rFonts w:ascii="Arial" w:cs="Arial" w:eastAsia="Arial" w:hAnsi="Arial"/>
            <w:sz w:val="13"/>
            <w:szCs w:val="13"/>
            <w:u w:val="single" w:color="auto"/>
            <w:color w:val="0000FF"/>
          </w:rPr>
          <w:t>Base Convertible Bond Hedge Confirmation, dated October 29, 2019, between Winnebago</w:t>
        </w:r>
      </w:hyperlink>
      <w:r>
        <w:rPr>
          <w:rFonts w:ascii="Arial" w:cs="Arial" w:eastAsia="Arial" w:hAnsi="Arial"/>
          <w:sz w:val="13"/>
          <w:szCs w:val="13"/>
          <w:u w:val="single" w:color="auto"/>
          <w:color w:val="0000FF"/>
        </w:rPr>
        <w:t xml:space="preserve"> </w:t>
      </w:r>
      <w:hyperlink r:id="rId142"/>
      <w:r>
        <w:rPr>
          <w:rFonts w:ascii="Arial" w:cs="Arial" w:eastAsia="Arial" w:hAnsi="Arial"/>
          <w:sz w:val="25"/>
          <w:szCs w:val="25"/>
          <w:color w:val="000000"/>
          <w:vertAlign w:val="superscript"/>
        </w:rPr>
        <w:t>10.35</w:t>
      </w:r>
      <w:r>
        <w:rPr>
          <w:rFonts w:ascii="Arial" w:cs="Arial" w:eastAsia="Arial" w:hAnsi="Arial"/>
          <w:sz w:val="13"/>
          <w:szCs w:val="13"/>
          <w:color w:val="0000FF"/>
        </w:rPr>
        <w:t xml:space="preserve"> </w:t>
      </w:r>
      <w:hyperlink r:id="rId142">
        <w:r>
          <w:rPr>
            <w:rFonts w:ascii="Arial" w:cs="Arial" w:eastAsia="Arial" w:hAnsi="Arial"/>
            <w:sz w:val="13"/>
            <w:szCs w:val="13"/>
            <w:u w:val="single" w:color="auto"/>
            <w:color w:val="0000FF"/>
          </w:rPr>
          <w:t>Industries, Inc., and 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560" w:firstLine="347"/>
        <w:spacing w:after="0" w:line="186" w:lineRule="auto"/>
        <w:rPr>
          <w:rFonts w:ascii="Arial" w:cs="Arial" w:eastAsia="Arial" w:hAnsi="Arial"/>
          <w:sz w:val="13"/>
          <w:szCs w:val="13"/>
          <w:color w:val="0000FF"/>
        </w:rPr>
      </w:pPr>
      <w:hyperlink r:id="rId144">
        <w:r>
          <w:rPr>
            <w:rFonts w:ascii="Arial" w:cs="Arial" w:eastAsia="Arial" w:hAnsi="Arial"/>
            <w:sz w:val="13"/>
            <w:szCs w:val="13"/>
            <w:u w:val="single" w:color="auto"/>
            <w:color w:val="0000FF"/>
          </w:rPr>
          <w:t>Base Convertible Bond Hedge Confirmation, dated October 29, 2019, between Winnebago</w:t>
        </w:r>
      </w:hyperlink>
      <w:r>
        <w:rPr>
          <w:rFonts w:ascii="Arial" w:cs="Arial" w:eastAsia="Arial" w:hAnsi="Arial"/>
          <w:sz w:val="13"/>
          <w:szCs w:val="13"/>
          <w:u w:val="single" w:color="auto"/>
          <w:color w:val="0000FF"/>
        </w:rPr>
        <w:t xml:space="preserve"> </w:t>
      </w:r>
      <w:hyperlink r:id="rId144"/>
      <w:r>
        <w:rPr>
          <w:rFonts w:ascii="Arial" w:cs="Arial" w:eastAsia="Arial" w:hAnsi="Arial"/>
          <w:sz w:val="25"/>
          <w:szCs w:val="25"/>
          <w:color w:val="000000"/>
          <w:vertAlign w:val="superscript"/>
        </w:rPr>
        <w:t>10.36</w:t>
      </w:r>
      <w:r>
        <w:rPr>
          <w:rFonts w:ascii="Arial" w:cs="Arial" w:eastAsia="Arial" w:hAnsi="Arial"/>
          <w:sz w:val="13"/>
          <w:szCs w:val="13"/>
          <w:color w:val="0000FF"/>
        </w:rPr>
        <w:t xml:space="preserve"> </w:t>
      </w:r>
      <w:hyperlink r:id="rId144">
        <w:r>
          <w:rPr>
            <w:rFonts w:ascii="Arial" w:cs="Arial" w:eastAsia="Arial" w:hAnsi="Arial"/>
            <w:sz w:val="13"/>
            <w:szCs w:val="13"/>
            <w:u w:val="single" w:color="auto"/>
            <w:color w:val="0000FF"/>
          </w:rPr>
          <w:t>Industries, Inc., and Bank of Montreal.</w:t>
        </w:r>
      </w:hyperlink>
    </w:p>
    <w:p>
      <w:pPr>
        <w:spacing w:after="0" w:line="1" w:lineRule="exact"/>
        <w:rPr>
          <w:rFonts w:ascii="Arial" w:cs="Arial" w:eastAsia="Arial" w:hAnsi="Arial"/>
          <w:sz w:val="13"/>
          <w:szCs w:val="13"/>
          <w:u w:val="single" w:color="auto"/>
          <w:color w:val="0000FF"/>
        </w:rPr>
      </w:pPr>
    </w:p>
    <w:p>
      <w:pPr>
        <w:ind w:left="880" w:right="300" w:firstLine="347"/>
        <w:spacing w:after="0" w:line="200" w:lineRule="auto"/>
        <w:rPr>
          <w:rFonts w:ascii="Arial" w:cs="Arial" w:eastAsia="Arial" w:hAnsi="Arial"/>
          <w:sz w:val="13"/>
          <w:szCs w:val="13"/>
          <w:color w:val="0000FF"/>
        </w:rPr>
      </w:pPr>
      <w:hyperlink r:id="rId145">
        <w:r>
          <w:rPr>
            <w:rFonts w:ascii="Arial" w:cs="Arial" w:eastAsia="Arial" w:hAnsi="Arial"/>
            <w:sz w:val="13"/>
            <w:szCs w:val="13"/>
            <w:u w:val="single" w:color="auto"/>
            <w:color w:val="0000FF"/>
          </w:rPr>
          <w:t>Additional Convertible Bond Hedge Confirmation, dated October 30, 2019, between Winnebago</w:t>
        </w:r>
      </w:hyperlink>
      <w:r>
        <w:rPr>
          <w:rFonts w:ascii="Arial" w:cs="Arial" w:eastAsia="Arial" w:hAnsi="Arial"/>
          <w:sz w:val="13"/>
          <w:szCs w:val="13"/>
          <w:u w:val="single" w:color="auto"/>
          <w:color w:val="0000FF"/>
        </w:rPr>
        <w:t xml:space="preserve"> </w:t>
      </w:r>
      <w:hyperlink r:id="rId145"/>
      <w:r>
        <w:rPr>
          <w:rFonts w:ascii="Arial" w:cs="Arial" w:eastAsia="Arial" w:hAnsi="Arial"/>
          <w:sz w:val="25"/>
          <w:szCs w:val="25"/>
          <w:color w:val="000000"/>
          <w:vertAlign w:val="superscript"/>
        </w:rPr>
        <w:t>10.37</w:t>
      </w:r>
      <w:r>
        <w:rPr>
          <w:rFonts w:ascii="Arial" w:cs="Arial" w:eastAsia="Arial" w:hAnsi="Arial"/>
          <w:sz w:val="13"/>
          <w:szCs w:val="13"/>
          <w:color w:val="0000FF"/>
        </w:rPr>
        <w:t xml:space="preserve"> </w:t>
      </w:r>
      <w:hyperlink r:id="rId145">
        <w:r>
          <w:rPr>
            <w:rFonts w:ascii="Arial" w:cs="Arial" w:eastAsia="Arial" w:hAnsi="Arial"/>
            <w:sz w:val="13"/>
            <w:szCs w:val="13"/>
            <w:u w:val="single" w:color="auto"/>
            <w:color w:val="0000FF"/>
          </w:rPr>
          <w:t>Industries, Inc., and Goldman Sachs &amp; Co. LLC.</w:t>
        </w:r>
      </w:hyperlink>
    </w:p>
    <w:p>
      <w:pPr>
        <w:spacing w:after="0" w:line="200" w:lineRule="exact"/>
        <w:rPr>
          <w:rFonts w:ascii="Arial" w:cs="Arial" w:eastAsia="Arial" w:hAnsi="Arial"/>
          <w:sz w:val="13"/>
          <w:szCs w:val="13"/>
          <w:u w:val="single" w:color="auto"/>
          <w:color w:val="0000FF"/>
        </w:rPr>
      </w:pPr>
    </w:p>
    <w:p>
      <w:pPr>
        <w:spacing w:after="0" w:line="277" w:lineRule="exact"/>
        <w:rPr>
          <w:rFonts w:ascii="Arial" w:cs="Arial" w:eastAsia="Arial" w:hAnsi="Arial"/>
          <w:sz w:val="13"/>
          <w:szCs w:val="13"/>
          <w:u w:val="single" w:color="auto"/>
          <w:color w:val="0000FF"/>
        </w:rPr>
      </w:pPr>
    </w:p>
    <w:p>
      <w:pPr>
        <w:ind w:left="5580"/>
        <w:spacing w:after="0"/>
        <w:rPr>
          <w:sz w:val="20"/>
          <w:szCs w:val="20"/>
          <w:color w:val="auto"/>
        </w:rPr>
      </w:pPr>
      <w:r>
        <w:rPr>
          <w:rFonts w:ascii="Arial" w:cs="Arial" w:eastAsia="Arial" w:hAnsi="Arial"/>
          <w:sz w:val="13"/>
          <w:szCs w:val="13"/>
          <w:color w:val="auto"/>
        </w:rPr>
        <w:t>65</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40" w:lineRule="exact"/>
        <w:rPr>
          <w:rFonts w:ascii="Arial" w:cs="Arial" w:eastAsia="Arial" w:hAnsi="Arial"/>
          <w:sz w:val="13"/>
          <w:szCs w:val="13"/>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74"/>
        </w:trPr>
        <w:tc>
          <w:tcPr>
            <w:tcW w:w="266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Filed Herewith</w:t>
            </w:r>
          </w:p>
        </w:tc>
      </w:tr>
      <w:tr>
        <w:trPr>
          <w:trHeight w:val="22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10.Z</w:t>
            </w:r>
          </w:p>
        </w:tc>
        <w:tc>
          <w:tcPr>
            <w:tcW w:w="1060" w:type="dxa"/>
            <w:vAlign w:val="bottom"/>
          </w:tcPr>
          <w:p>
            <w:pPr>
              <w:jc w:val="right"/>
              <w:spacing w:after="0"/>
              <w:rPr>
                <w:sz w:val="20"/>
                <w:szCs w:val="20"/>
                <w:color w:val="auto"/>
              </w:rPr>
            </w:pPr>
            <w:r>
              <w:rPr>
                <w:rFonts w:ascii="Arial" w:cs="Arial" w:eastAsia="Arial" w:hAnsi="Arial"/>
                <w:sz w:val="13"/>
                <w:szCs w:val="13"/>
                <w:color w:val="auto"/>
              </w:rPr>
              <w:t>10/27/2009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10q</w:t>
            </w:r>
          </w:p>
        </w:tc>
        <w:tc>
          <w:tcPr>
            <w:tcW w:w="1060" w:type="dxa"/>
            <w:vAlign w:val="bottom"/>
          </w:tcPr>
          <w:p>
            <w:pPr>
              <w:jc w:val="right"/>
              <w:spacing w:after="0"/>
              <w:rPr>
                <w:sz w:val="20"/>
                <w:szCs w:val="20"/>
                <w:color w:val="auto"/>
              </w:rPr>
            </w:pPr>
            <w:r>
              <w:rPr>
                <w:rFonts w:ascii="Arial" w:cs="Arial" w:eastAsia="Arial" w:hAnsi="Arial"/>
                <w:sz w:val="13"/>
                <w:szCs w:val="13"/>
                <w:color w:val="auto"/>
              </w:rPr>
              <w:t>10/21/2020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10s</w:t>
            </w:r>
          </w:p>
        </w:tc>
        <w:tc>
          <w:tcPr>
            <w:tcW w:w="1060" w:type="dxa"/>
            <w:vAlign w:val="bottom"/>
          </w:tcPr>
          <w:p>
            <w:pPr>
              <w:jc w:val="right"/>
              <w:spacing w:after="0"/>
              <w:rPr>
                <w:sz w:val="20"/>
                <w:szCs w:val="20"/>
                <w:color w:val="auto"/>
              </w:rPr>
            </w:pPr>
            <w:r>
              <w:rPr>
                <w:rFonts w:ascii="Arial" w:cs="Arial" w:eastAsia="Arial" w:hAnsi="Arial"/>
                <w:sz w:val="13"/>
                <w:szCs w:val="13"/>
                <w:color w:val="auto"/>
              </w:rPr>
              <w:t>10/21/2020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10t</w:t>
            </w:r>
          </w:p>
        </w:tc>
        <w:tc>
          <w:tcPr>
            <w:tcW w:w="1060" w:type="dxa"/>
            <w:vAlign w:val="bottom"/>
          </w:tcPr>
          <w:p>
            <w:pPr>
              <w:jc w:val="right"/>
              <w:spacing w:after="0"/>
              <w:rPr>
                <w:sz w:val="20"/>
                <w:szCs w:val="20"/>
                <w:color w:val="auto"/>
              </w:rPr>
            </w:pPr>
            <w:r>
              <w:rPr>
                <w:rFonts w:ascii="Arial" w:cs="Arial" w:eastAsia="Arial" w:hAnsi="Arial"/>
                <w:sz w:val="13"/>
                <w:szCs w:val="13"/>
                <w:color w:val="auto"/>
              </w:rPr>
              <w:t>10/20/2021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10y</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15"/>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9"/>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36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09/16/2019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2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10/23/2019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6900" w:space="100"/>
            <w:col w:w="3680"/>
          </w:cols>
          <w:pgMar w:left="300" w:top="133" w:right="91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6616065" cy="222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6616065" cy="222250"/>
                    </a:xfrm>
                    <a:prstGeom prst="rect">
                      <a:avLst/>
                    </a:prstGeom>
                    <a:noFill/>
                  </pic:spPr>
                </pic:pic>
              </a:graphicData>
            </a:graphic>
          </wp:anchor>
        </w:drawing>
      </w:r>
    </w:p>
    <w:p>
      <w:pPr>
        <w:spacing w:after="0" w:line="19" w:lineRule="exact"/>
        <w:rPr>
          <w:sz w:val="20"/>
          <w:szCs w:val="20"/>
          <w:color w:val="auto"/>
        </w:rPr>
      </w:pPr>
    </w:p>
    <w:p>
      <w:pPr>
        <w:ind w:left="880" w:right="300" w:firstLine="347"/>
        <w:spacing w:after="0" w:line="190" w:lineRule="auto"/>
        <w:rPr>
          <w:rFonts w:ascii="Arial" w:cs="Arial" w:eastAsia="Arial" w:hAnsi="Arial"/>
          <w:sz w:val="13"/>
          <w:szCs w:val="13"/>
          <w:color w:val="0000FF"/>
        </w:rPr>
      </w:pPr>
      <w:hyperlink r:id="rId148">
        <w:r>
          <w:rPr>
            <w:rFonts w:ascii="Arial" w:cs="Arial" w:eastAsia="Arial" w:hAnsi="Arial"/>
            <w:sz w:val="13"/>
            <w:szCs w:val="13"/>
            <w:u w:val="single" w:color="auto"/>
            <w:color w:val="0000FF"/>
          </w:rPr>
          <w:t>Additional Convertible Bond Hedge Confirmation, dated October 30, 2019, between Winnebago</w:t>
        </w:r>
      </w:hyperlink>
      <w:r>
        <w:rPr>
          <w:rFonts w:ascii="Arial" w:cs="Arial" w:eastAsia="Arial" w:hAnsi="Arial"/>
          <w:sz w:val="13"/>
          <w:szCs w:val="13"/>
          <w:u w:val="single" w:color="auto"/>
          <w:color w:val="0000FF"/>
        </w:rPr>
        <w:t xml:space="preserve"> </w:t>
      </w:r>
      <w:hyperlink r:id="rId148"/>
      <w:r>
        <w:rPr>
          <w:rFonts w:ascii="Arial" w:cs="Arial" w:eastAsia="Arial" w:hAnsi="Arial"/>
          <w:sz w:val="25"/>
          <w:szCs w:val="25"/>
          <w:color w:val="000000"/>
          <w:vertAlign w:val="superscript"/>
        </w:rPr>
        <w:t>10.38</w:t>
      </w:r>
      <w:r>
        <w:rPr>
          <w:rFonts w:ascii="Arial" w:cs="Arial" w:eastAsia="Arial" w:hAnsi="Arial"/>
          <w:sz w:val="13"/>
          <w:szCs w:val="13"/>
          <w:color w:val="0000FF"/>
        </w:rPr>
        <w:t xml:space="preserve"> </w:t>
      </w:r>
      <w:hyperlink r:id="rId148">
        <w:r>
          <w:rPr>
            <w:rFonts w:ascii="Arial" w:cs="Arial" w:eastAsia="Arial" w:hAnsi="Arial"/>
            <w:sz w:val="13"/>
            <w:szCs w:val="13"/>
            <w:u w:val="single" w:color="auto"/>
            <w:color w:val="0000FF"/>
          </w:rPr>
          <w:t>Industries, Inc., and Bank of Montreal.</w:t>
        </w:r>
      </w:hyperlink>
    </w:p>
    <w:p>
      <w:pPr>
        <w:spacing w:after="0" w:line="2" w:lineRule="exact"/>
        <w:rPr>
          <w:rFonts w:ascii="Arial" w:cs="Arial" w:eastAsia="Arial" w:hAnsi="Arial"/>
          <w:sz w:val="13"/>
          <w:szCs w:val="13"/>
          <w:u w:val="single" w:color="auto"/>
          <w:color w:val="0000FF"/>
        </w:rPr>
      </w:pPr>
    </w:p>
    <w:p>
      <w:pPr>
        <w:ind w:left="880" w:right="360" w:firstLine="347"/>
        <w:spacing w:after="0" w:line="186" w:lineRule="auto"/>
        <w:rPr>
          <w:rFonts w:ascii="Arial" w:cs="Arial" w:eastAsia="Arial" w:hAnsi="Arial"/>
          <w:sz w:val="13"/>
          <w:szCs w:val="13"/>
          <w:color w:val="0000FF"/>
        </w:rPr>
      </w:pPr>
      <w:hyperlink r:id="rId149">
        <w:r>
          <w:rPr>
            <w:rFonts w:ascii="Arial" w:cs="Arial" w:eastAsia="Arial" w:hAnsi="Arial"/>
            <w:sz w:val="13"/>
            <w:szCs w:val="13"/>
            <w:u w:val="single" w:color="auto"/>
            <w:color w:val="0000FF"/>
          </w:rPr>
          <w:t>Base Warrant Confirmation, dated October 29, 2019, between Winnebago Industries, Inc., and</w:t>
        </w:r>
      </w:hyperlink>
      <w:r>
        <w:rPr>
          <w:rFonts w:ascii="Arial" w:cs="Arial" w:eastAsia="Arial" w:hAnsi="Arial"/>
          <w:sz w:val="13"/>
          <w:szCs w:val="13"/>
          <w:u w:val="single" w:color="auto"/>
          <w:color w:val="0000FF"/>
        </w:rPr>
        <w:t xml:space="preserve"> </w:t>
      </w:r>
      <w:hyperlink r:id="rId149"/>
      <w:r>
        <w:rPr>
          <w:rFonts w:ascii="Arial" w:cs="Arial" w:eastAsia="Arial" w:hAnsi="Arial"/>
          <w:sz w:val="25"/>
          <w:szCs w:val="25"/>
          <w:color w:val="000000"/>
          <w:vertAlign w:val="superscript"/>
        </w:rPr>
        <w:t>10.39</w:t>
      </w:r>
      <w:r>
        <w:rPr>
          <w:rFonts w:ascii="Arial" w:cs="Arial" w:eastAsia="Arial" w:hAnsi="Arial"/>
          <w:sz w:val="13"/>
          <w:szCs w:val="13"/>
          <w:color w:val="0000FF"/>
        </w:rPr>
        <w:t xml:space="preserve"> </w:t>
      </w:r>
      <w:hyperlink r:id="rId149">
        <w:r>
          <w:rPr>
            <w:rFonts w:ascii="Arial" w:cs="Arial" w:eastAsia="Arial" w:hAnsi="Arial"/>
            <w:sz w:val="13"/>
            <w:szCs w:val="13"/>
            <w:u w:val="single" w:color="auto"/>
            <w:color w:val="0000FF"/>
          </w:rPr>
          <w:t>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20" w:firstLine="347"/>
        <w:spacing w:after="0" w:line="186" w:lineRule="auto"/>
        <w:rPr>
          <w:rFonts w:ascii="Arial" w:cs="Arial" w:eastAsia="Arial" w:hAnsi="Arial"/>
          <w:sz w:val="13"/>
          <w:szCs w:val="13"/>
          <w:color w:val="0000FF"/>
        </w:rPr>
      </w:pPr>
      <w:hyperlink r:id="rId151">
        <w:r>
          <w:rPr>
            <w:rFonts w:ascii="Arial" w:cs="Arial" w:eastAsia="Arial" w:hAnsi="Arial"/>
            <w:sz w:val="13"/>
            <w:szCs w:val="13"/>
            <w:u w:val="single" w:color="auto"/>
            <w:color w:val="0000FF"/>
          </w:rPr>
          <w:t>Base Warrant Confirmation, dated October 29, 2019, between Winnebago Industries, Inc., and Bank</w:t>
        </w:r>
      </w:hyperlink>
      <w:r>
        <w:rPr>
          <w:rFonts w:ascii="Arial" w:cs="Arial" w:eastAsia="Arial" w:hAnsi="Arial"/>
          <w:sz w:val="13"/>
          <w:szCs w:val="13"/>
          <w:u w:val="single" w:color="auto"/>
          <w:color w:val="0000FF"/>
        </w:rPr>
        <w:t xml:space="preserve"> </w:t>
      </w:r>
      <w:hyperlink r:id="rId151"/>
      <w:r>
        <w:rPr>
          <w:rFonts w:ascii="Arial" w:cs="Arial" w:eastAsia="Arial" w:hAnsi="Arial"/>
          <w:sz w:val="25"/>
          <w:szCs w:val="25"/>
          <w:color w:val="000000"/>
          <w:vertAlign w:val="superscript"/>
        </w:rPr>
        <w:t>10.40</w:t>
      </w:r>
      <w:r>
        <w:rPr>
          <w:rFonts w:ascii="Arial" w:cs="Arial" w:eastAsia="Arial" w:hAnsi="Arial"/>
          <w:sz w:val="13"/>
          <w:szCs w:val="13"/>
          <w:color w:val="0000FF"/>
        </w:rPr>
        <w:t xml:space="preserve"> </w:t>
      </w:r>
      <w:hyperlink r:id="rId151">
        <w:r>
          <w:rPr>
            <w:rFonts w:ascii="Arial" w:cs="Arial" w:eastAsia="Arial" w:hAnsi="Arial"/>
            <w:sz w:val="13"/>
            <w:szCs w:val="13"/>
            <w:u w:val="single" w:color="auto"/>
            <w:color w:val="0000FF"/>
          </w:rPr>
          <w:t>of Montreal</w:t>
        </w:r>
      </w:hyperlink>
    </w:p>
    <w:p>
      <w:pPr>
        <w:spacing w:after="0" w:line="1" w:lineRule="exact"/>
        <w:rPr>
          <w:rFonts w:ascii="Arial" w:cs="Arial" w:eastAsia="Arial" w:hAnsi="Arial"/>
          <w:sz w:val="13"/>
          <w:szCs w:val="13"/>
          <w:u w:val="single" w:color="auto"/>
          <w:color w:val="0000FF"/>
        </w:rPr>
      </w:pPr>
    </w:p>
    <w:p>
      <w:pPr>
        <w:ind w:left="880" w:right="80" w:firstLine="347"/>
        <w:spacing w:after="0" w:line="186" w:lineRule="auto"/>
        <w:rPr>
          <w:rFonts w:ascii="Arial" w:cs="Arial" w:eastAsia="Arial" w:hAnsi="Arial"/>
          <w:sz w:val="13"/>
          <w:szCs w:val="13"/>
          <w:color w:val="0000FF"/>
        </w:rPr>
      </w:pPr>
      <w:hyperlink r:id="rId152">
        <w:r>
          <w:rPr>
            <w:rFonts w:ascii="Arial" w:cs="Arial" w:eastAsia="Arial" w:hAnsi="Arial"/>
            <w:sz w:val="13"/>
            <w:szCs w:val="13"/>
            <w:u w:val="single" w:color="auto"/>
            <w:color w:val="0000FF"/>
          </w:rPr>
          <w:t>Additional Warrant Confirmation, dated October 30, 2019, between Winnebago Industries, Inc., and</w:t>
        </w:r>
      </w:hyperlink>
      <w:r>
        <w:rPr>
          <w:rFonts w:ascii="Arial" w:cs="Arial" w:eastAsia="Arial" w:hAnsi="Arial"/>
          <w:sz w:val="13"/>
          <w:szCs w:val="13"/>
          <w:u w:val="single" w:color="auto"/>
          <w:color w:val="0000FF"/>
        </w:rPr>
        <w:t xml:space="preserve"> </w:t>
      </w:r>
      <w:hyperlink r:id="rId152"/>
      <w:r>
        <w:rPr>
          <w:rFonts w:ascii="Arial" w:cs="Arial" w:eastAsia="Arial" w:hAnsi="Arial"/>
          <w:sz w:val="25"/>
          <w:szCs w:val="25"/>
          <w:color w:val="000000"/>
          <w:vertAlign w:val="superscript"/>
        </w:rPr>
        <w:t>10.41</w:t>
      </w:r>
      <w:r>
        <w:rPr>
          <w:rFonts w:ascii="Arial" w:cs="Arial" w:eastAsia="Arial" w:hAnsi="Arial"/>
          <w:sz w:val="13"/>
          <w:szCs w:val="13"/>
          <w:color w:val="0000FF"/>
        </w:rPr>
        <w:t xml:space="preserve"> </w:t>
      </w:r>
      <w:hyperlink r:id="rId152">
        <w:r>
          <w:rPr>
            <w:rFonts w:ascii="Arial" w:cs="Arial" w:eastAsia="Arial" w:hAnsi="Arial"/>
            <w:sz w:val="13"/>
            <w:szCs w:val="13"/>
            <w:u w:val="single" w:color="auto"/>
            <w:color w:val="0000FF"/>
          </w:rPr>
          <w:t>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80" w:firstLine="347"/>
        <w:spacing w:after="0" w:line="186" w:lineRule="auto"/>
        <w:rPr>
          <w:rFonts w:ascii="Arial" w:cs="Arial" w:eastAsia="Arial" w:hAnsi="Arial"/>
          <w:sz w:val="13"/>
          <w:szCs w:val="13"/>
          <w:color w:val="0000FF"/>
        </w:rPr>
      </w:pPr>
      <w:hyperlink r:id="rId154">
        <w:r>
          <w:rPr>
            <w:rFonts w:ascii="Arial" w:cs="Arial" w:eastAsia="Arial" w:hAnsi="Arial"/>
            <w:sz w:val="13"/>
            <w:szCs w:val="13"/>
            <w:u w:val="single" w:color="auto"/>
            <w:color w:val="0000FF"/>
          </w:rPr>
          <w:t>Additional Warrant Confirmation, dated October 30, 2019, between Winnebago Industries, Inc., and</w:t>
        </w:r>
      </w:hyperlink>
      <w:r>
        <w:rPr>
          <w:rFonts w:ascii="Arial" w:cs="Arial" w:eastAsia="Arial" w:hAnsi="Arial"/>
          <w:sz w:val="13"/>
          <w:szCs w:val="13"/>
          <w:u w:val="single" w:color="auto"/>
          <w:color w:val="0000FF"/>
        </w:rPr>
        <w:t xml:space="preserve"> </w:t>
      </w:r>
      <w:hyperlink r:id="rId154"/>
      <w:r>
        <w:rPr>
          <w:rFonts w:ascii="Arial" w:cs="Arial" w:eastAsia="Arial" w:hAnsi="Arial"/>
          <w:sz w:val="25"/>
          <w:szCs w:val="25"/>
          <w:color w:val="000000"/>
          <w:vertAlign w:val="superscript"/>
        </w:rPr>
        <w:t>10.42</w:t>
      </w:r>
      <w:r>
        <w:rPr>
          <w:rFonts w:ascii="Arial" w:cs="Arial" w:eastAsia="Arial" w:hAnsi="Arial"/>
          <w:sz w:val="13"/>
          <w:szCs w:val="13"/>
          <w:color w:val="0000FF"/>
        </w:rPr>
        <w:t xml:space="preserve"> </w:t>
      </w:r>
      <w:hyperlink r:id="rId154">
        <w:r>
          <w:rPr>
            <w:rFonts w:ascii="Arial" w:cs="Arial" w:eastAsia="Arial" w:hAnsi="Arial"/>
            <w:sz w:val="13"/>
            <w:szCs w:val="13"/>
            <w:u w:val="single" w:color="auto"/>
            <w:color w:val="0000FF"/>
          </w:rPr>
          <w:t>Bank of Montreal.</w:t>
        </w:r>
      </w:hyperlink>
    </w:p>
    <w:p>
      <w:pPr>
        <w:ind w:left="1220"/>
        <w:spacing w:after="0"/>
        <w:rPr>
          <w:rFonts w:ascii="Arial" w:cs="Arial" w:eastAsia="Arial" w:hAnsi="Arial"/>
          <w:sz w:val="13"/>
          <w:szCs w:val="13"/>
          <w:u w:val="single" w:color="auto"/>
          <w:color w:val="0000FF"/>
        </w:rPr>
      </w:pPr>
      <w:hyperlink r:id="rId155">
        <w:r>
          <w:rPr>
            <w:rFonts w:ascii="Arial" w:cs="Arial" w:eastAsia="Arial" w:hAnsi="Arial"/>
            <w:sz w:val="13"/>
            <w:szCs w:val="13"/>
            <w:u w:val="single" w:color="auto"/>
            <w:color w:val="0000FF"/>
          </w:rPr>
          <w:t>Amendment No. 1 to Amended and Restated Credit Agreement dated as of November 15, 2019</w:t>
        </w:r>
      </w:hyperlink>
    </w:p>
    <w:p>
      <w:pPr>
        <w:ind w:left="880"/>
        <w:spacing w:after="0" w:line="182" w:lineRule="auto"/>
        <w:rPr>
          <w:rFonts w:ascii="Arial" w:cs="Arial" w:eastAsia="Arial" w:hAnsi="Arial"/>
          <w:sz w:val="10"/>
          <w:szCs w:val="10"/>
          <w:color w:val="0000FF"/>
        </w:rPr>
      </w:pPr>
      <w:hyperlink r:id="rId155"/>
      <w:r>
        <w:rPr>
          <w:rFonts w:ascii="Arial" w:cs="Arial" w:eastAsia="Arial" w:hAnsi="Arial"/>
          <w:sz w:val="17"/>
          <w:szCs w:val="17"/>
          <w:color w:val="000000"/>
          <w:vertAlign w:val="subscript"/>
        </w:rPr>
        <w:t>10.43</w:t>
      </w:r>
      <w:r>
        <w:rPr>
          <w:rFonts w:ascii="Arial" w:cs="Arial" w:eastAsia="Arial" w:hAnsi="Arial"/>
          <w:sz w:val="10"/>
          <w:szCs w:val="10"/>
          <w:color w:val="0000FF"/>
        </w:rPr>
        <w:t xml:space="preserve"> </w:t>
      </w:r>
      <w:hyperlink r:id="rId155">
        <w:r>
          <w:rPr>
            <w:rFonts w:ascii="Arial" w:cs="Arial" w:eastAsia="Arial" w:hAnsi="Arial"/>
            <w:sz w:val="10"/>
            <w:szCs w:val="10"/>
            <w:u w:val="single" w:color="auto"/>
            <w:color w:val="0000FF"/>
          </w:rPr>
          <w:t>among Winnebago Industries, Inc., Winnebago of Indiana, LLC and Grand Design RV, LLC, Newmar</w:t>
        </w:r>
      </w:hyperlink>
    </w:p>
    <w:p>
      <w:pPr>
        <w:ind w:left="1220" w:right="160"/>
        <w:spacing w:after="0" w:line="233" w:lineRule="auto"/>
        <w:rPr>
          <w:rFonts w:ascii="Arial" w:cs="Arial" w:eastAsia="Arial" w:hAnsi="Arial"/>
          <w:sz w:val="13"/>
          <w:szCs w:val="13"/>
          <w:u w:val="single" w:color="auto"/>
          <w:color w:val="0000FF"/>
        </w:rPr>
      </w:pPr>
      <w:hyperlink r:id="rId155">
        <w:r>
          <w:rPr>
            <w:rFonts w:ascii="Arial" w:cs="Arial" w:eastAsia="Arial" w:hAnsi="Arial"/>
            <w:sz w:val="13"/>
            <w:szCs w:val="13"/>
            <w:u w:val="single" w:color="auto"/>
            <w:color w:val="0000FF"/>
          </w:rPr>
          <w:t>Corporation, the other loan parties thereto from time to time, the lenders party thereto from time to</w:t>
        </w:r>
      </w:hyperlink>
      <w:r>
        <w:rPr>
          <w:rFonts w:ascii="Arial" w:cs="Arial" w:eastAsia="Arial" w:hAnsi="Arial"/>
          <w:sz w:val="13"/>
          <w:szCs w:val="13"/>
          <w:u w:val="single" w:color="auto"/>
          <w:color w:val="0000FF"/>
        </w:rPr>
        <w:t xml:space="preserve"> </w:t>
      </w:r>
      <w:hyperlink r:id="rId155">
        <w:r>
          <w:rPr>
            <w:rFonts w:ascii="Arial" w:cs="Arial" w:eastAsia="Arial" w:hAnsi="Arial"/>
            <w:sz w:val="13"/>
            <w:szCs w:val="13"/>
            <w:u w:val="single" w:color="auto"/>
            <w:color w:val="0000FF"/>
          </w:rPr>
          <w:t>time and JPMorgan 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17145</wp:posOffset>
            </wp:positionV>
            <wp:extent cx="6616065" cy="215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spacing w:after="0" w:line="11" w:lineRule="exact"/>
        <w:rPr>
          <w:sz w:val="20"/>
          <w:szCs w:val="20"/>
          <w:color w:val="auto"/>
        </w:rPr>
      </w:pPr>
    </w:p>
    <w:p>
      <w:pPr>
        <w:ind w:left="880" w:right="460" w:firstLine="347"/>
        <w:spacing w:after="0" w:line="190" w:lineRule="auto"/>
        <w:rPr>
          <w:rFonts w:ascii="Arial" w:cs="Arial" w:eastAsia="Arial" w:hAnsi="Arial"/>
          <w:sz w:val="13"/>
          <w:szCs w:val="13"/>
          <w:color w:val="0000FF"/>
        </w:rPr>
      </w:pPr>
      <w:hyperlink r:id="rId157">
        <w:r>
          <w:rPr>
            <w:rFonts w:ascii="Arial" w:cs="Arial" w:eastAsia="Arial" w:hAnsi="Arial"/>
            <w:sz w:val="13"/>
            <w:szCs w:val="13"/>
            <w:u w:val="single" w:color="auto"/>
            <w:color w:val="0000FF"/>
          </w:rPr>
          <w:t>First Restated and Amended Lease Agreement (Main Facility) dated October 4, 2019 by and</w:t>
        </w:r>
      </w:hyperlink>
      <w:r>
        <w:rPr>
          <w:rFonts w:ascii="Arial" w:cs="Arial" w:eastAsia="Arial" w:hAnsi="Arial"/>
          <w:sz w:val="13"/>
          <w:szCs w:val="13"/>
          <w:u w:val="single" w:color="auto"/>
          <w:color w:val="0000FF"/>
        </w:rPr>
        <w:t xml:space="preserve"> </w:t>
      </w:r>
      <w:hyperlink r:id="rId157"/>
      <w:r>
        <w:rPr>
          <w:rFonts w:ascii="Arial" w:cs="Arial" w:eastAsia="Arial" w:hAnsi="Arial"/>
          <w:sz w:val="25"/>
          <w:szCs w:val="25"/>
          <w:color w:val="000000"/>
          <w:vertAlign w:val="superscript"/>
        </w:rPr>
        <w:t>10.44</w:t>
      </w:r>
      <w:r>
        <w:rPr>
          <w:rFonts w:ascii="Arial" w:cs="Arial" w:eastAsia="Arial" w:hAnsi="Arial"/>
          <w:sz w:val="13"/>
          <w:szCs w:val="13"/>
          <w:color w:val="0000FF"/>
        </w:rPr>
        <w:t xml:space="preserve"> </w:t>
      </w:r>
      <w:hyperlink r:id="rId157">
        <w:r>
          <w:rPr>
            <w:rFonts w:ascii="Arial" w:cs="Arial" w:eastAsia="Arial" w:hAnsi="Arial"/>
            <w:sz w:val="13"/>
            <w:szCs w:val="13"/>
            <w:u w:val="single" w:color="auto"/>
            <w:color w:val="0000FF"/>
          </w:rPr>
          <w:t>between Three Oaks, LLC and Grand Design RV, LLC.</w:t>
        </w:r>
      </w:hyperlink>
    </w:p>
    <w:p>
      <w:pPr>
        <w:spacing w:after="0" w:line="2" w:lineRule="exact"/>
        <w:rPr>
          <w:rFonts w:ascii="Arial" w:cs="Arial" w:eastAsia="Arial" w:hAnsi="Arial"/>
          <w:sz w:val="13"/>
          <w:szCs w:val="13"/>
          <w:u w:val="single" w:color="auto"/>
          <w:color w:val="0000FF"/>
        </w:rPr>
      </w:pPr>
    </w:p>
    <w:p>
      <w:pPr>
        <w:ind w:left="880" w:right="200" w:firstLine="347"/>
        <w:spacing w:after="0" w:line="186" w:lineRule="auto"/>
        <w:rPr>
          <w:rFonts w:ascii="Arial" w:cs="Arial" w:eastAsia="Arial" w:hAnsi="Arial"/>
          <w:sz w:val="13"/>
          <w:szCs w:val="13"/>
          <w:color w:val="0000FF"/>
        </w:rPr>
      </w:pPr>
      <w:hyperlink r:id="rId158">
        <w:r>
          <w:rPr>
            <w:rFonts w:ascii="Arial" w:cs="Arial" w:eastAsia="Arial" w:hAnsi="Arial"/>
            <w:sz w:val="13"/>
            <w:szCs w:val="13"/>
            <w:u w:val="single" w:color="auto"/>
            <w:color w:val="0000FF"/>
          </w:rPr>
          <w:t>Second Restated and Amended Lease Agreement (Expansion Facility) dated October 4, 2019 by</w:t>
        </w:r>
      </w:hyperlink>
      <w:r>
        <w:rPr>
          <w:rFonts w:ascii="Arial" w:cs="Arial" w:eastAsia="Arial" w:hAnsi="Arial"/>
          <w:sz w:val="13"/>
          <w:szCs w:val="13"/>
          <w:u w:val="single" w:color="auto"/>
          <w:color w:val="0000FF"/>
        </w:rPr>
        <w:t xml:space="preserve"> </w:t>
      </w:r>
      <w:hyperlink r:id="rId158"/>
      <w:r>
        <w:rPr>
          <w:rFonts w:ascii="Arial" w:cs="Arial" w:eastAsia="Arial" w:hAnsi="Arial"/>
          <w:sz w:val="25"/>
          <w:szCs w:val="25"/>
          <w:color w:val="000000"/>
          <w:vertAlign w:val="superscript"/>
        </w:rPr>
        <w:t>10.45</w:t>
      </w:r>
      <w:r>
        <w:rPr>
          <w:rFonts w:ascii="Arial" w:cs="Arial" w:eastAsia="Arial" w:hAnsi="Arial"/>
          <w:sz w:val="13"/>
          <w:szCs w:val="13"/>
          <w:color w:val="0000FF"/>
        </w:rPr>
        <w:t xml:space="preserve"> </w:t>
      </w:r>
      <w:hyperlink r:id="rId158">
        <w:r>
          <w:rPr>
            <w:rFonts w:ascii="Arial" w:cs="Arial" w:eastAsia="Arial" w:hAnsi="Arial"/>
            <w:sz w:val="13"/>
            <w:szCs w:val="13"/>
            <w:u w:val="single" w:color="auto"/>
            <w:color w:val="0000FF"/>
          </w:rPr>
          <w:t>and between Three Oaks, LLC and Grand Design RV,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397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6616065" cy="397510"/>
                    </a:xfrm>
                    <a:prstGeom prst="rect">
                      <a:avLst/>
                    </a:prstGeom>
                    <a:noFill/>
                  </pic:spPr>
                </pic:pic>
              </a:graphicData>
            </a:graphic>
          </wp:anchor>
        </w:drawing>
      </w:r>
    </w:p>
    <w:p>
      <w:pPr>
        <w:ind w:left="880" w:right="220" w:firstLine="347"/>
        <w:spacing w:after="0" w:line="182" w:lineRule="auto"/>
        <w:rPr>
          <w:rFonts w:ascii="Arial" w:cs="Arial" w:eastAsia="Arial" w:hAnsi="Arial"/>
          <w:sz w:val="12"/>
          <w:szCs w:val="12"/>
          <w:color w:val="0000FF"/>
        </w:rPr>
      </w:pPr>
      <w:hyperlink r:id="rId160">
        <w:r>
          <w:rPr>
            <w:rFonts w:ascii="Arial" w:cs="Arial" w:eastAsia="Arial" w:hAnsi="Arial"/>
            <w:sz w:val="12"/>
            <w:szCs w:val="12"/>
            <w:u w:val="single" w:color="auto"/>
            <w:color w:val="0000FF"/>
          </w:rPr>
          <w:t>Amendment No. 2 to Amended and Restated Credit Agreement, dated as of July 8, 2020, among</w:t>
        </w:r>
      </w:hyperlink>
      <w:r>
        <w:rPr>
          <w:rFonts w:ascii="Arial" w:cs="Arial" w:eastAsia="Arial" w:hAnsi="Arial"/>
          <w:sz w:val="12"/>
          <w:szCs w:val="12"/>
          <w:u w:val="single" w:color="auto"/>
          <w:color w:val="0000FF"/>
        </w:rPr>
        <w:t xml:space="preserve"> </w:t>
      </w:r>
      <w:hyperlink r:id="rId160"/>
      <w:r>
        <w:rPr>
          <w:rFonts w:ascii="Arial" w:cs="Arial" w:eastAsia="Arial" w:hAnsi="Arial"/>
          <w:sz w:val="22"/>
          <w:szCs w:val="22"/>
          <w:color w:val="000000"/>
          <w:vertAlign w:val="subscript"/>
        </w:rPr>
        <w:t>10.46</w:t>
      </w:r>
      <w:r>
        <w:rPr>
          <w:rFonts w:ascii="Arial" w:cs="Arial" w:eastAsia="Arial" w:hAnsi="Arial"/>
          <w:sz w:val="12"/>
          <w:szCs w:val="12"/>
          <w:color w:val="0000FF"/>
        </w:rPr>
        <w:t xml:space="preserve"> </w:t>
      </w:r>
      <w:hyperlink r:id="rId160">
        <w:r>
          <w:rPr>
            <w:rFonts w:ascii="Arial" w:cs="Arial" w:eastAsia="Arial" w:hAnsi="Arial"/>
            <w:sz w:val="12"/>
            <w:szCs w:val="12"/>
            <w:u w:val="single" w:color="auto"/>
            <w:color w:val="0000FF"/>
          </w:rPr>
          <w:t>Winnebago Industries, Inc., Winnebago of Indiana, LLC, Grand Design RV, LLC, Newmar</w:t>
        </w:r>
      </w:hyperlink>
    </w:p>
    <w:p>
      <w:pPr>
        <w:spacing w:after="0" w:line="1" w:lineRule="exact"/>
        <w:rPr>
          <w:rFonts w:ascii="Arial" w:cs="Arial" w:eastAsia="Arial" w:hAnsi="Arial"/>
          <w:sz w:val="12"/>
          <w:szCs w:val="12"/>
          <w:u w:val="single" w:color="auto"/>
          <w:color w:val="0000FF"/>
        </w:rPr>
      </w:pPr>
    </w:p>
    <w:p>
      <w:pPr>
        <w:ind w:left="1220" w:right="160"/>
        <w:spacing w:after="0" w:line="233" w:lineRule="auto"/>
        <w:rPr>
          <w:rFonts w:ascii="Arial" w:cs="Arial" w:eastAsia="Arial" w:hAnsi="Arial"/>
          <w:sz w:val="13"/>
          <w:szCs w:val="13"/>
          <w:u w:val="single" w:color="auto"/>
          <w:color w:val="0000FF"/>
        </w:rPr>
      </w:pPr>
      <w:hyperlink r:id="rId160">
        <w:r>
          <w:rPr>
            <w:rFonts w:ascii="Arial" w:cs="Arial" w:eastAsia="Arial" w:hAnsi="Arial"/>
            <w:sz w:val="13"/>
            <w:szCs w:val="13"/>
            <w:u w:val="single" w:color="auto"/>
            <w:color w:val="0000FF"/>
          </w:rPr>
          <w:t>Corporation, the other loan parties thereto from time to time, the lenders party thereto from time to</w:t>
        </w:r>
      </w:hyperlink>
      <w:r>
        <w:rPr>
          <w:rFonts w:ascii="Arial" w:cs="Arial" w:eastAsia="Arial" w:hAnsi="Arial"/>
          <w:sz w:val="13"/>
          <w:szCs w:val="13"/>
          <w:u w:val="single" w:color="auto"/>
          <w:color w:val="0000FF"/>
        </w:rPr>
        <w:t xml:space="preserve"> </w:t>
      </w:r>
      <w:hyperlink r:id="rId160">
        <w:r>
          <w:rPr>
            <w:rFonts w:ascii="Arial" w:cs="Arial" w:eastAsia="Arial" w:hAnsi="Arial"/>
            <w:sz w:val="13"/>
            <w:szCs w:val="13"/>
            <w:u w:val="single" w:color="auto"/>
            <w:color w:val="0000FF"/>
          </w:rPr>
          <w:t>time and JPMorgan Chase Bank, N.A., as administrative agent</w:t>
        </w:r>
      </w:hyperlink>
    </w:p>
    <w:p>
      <w:pPr>
        <w:spacing w:after="0" w:line="31" w:lineRule="exact"/>
        <w:rPr>
          <w:sz w:val="20"/>
          <w:szCs w:val="20"/>
          <w:color w:val="auto"/>
        </w:rPr>
      </w:pPr>
    </w:p>
    <w:p>
      <w:pPr>
        <w:ind w:left="880" w:right="80" w:firstLine="347"/>
        <w:spacing w:after="0" w:line="265" w:lineRule="auto"/>
        <w:rPr>
          <w:rFonts w:ascii="Arial" w:cs="Arial" w:eastAsia="Arial" w:hAnsi="Arial"/>
          <w:sz w:val="12"/>
          <w:szCs w:val="12"/>
          <w:color w:val="000000"/>
        </w:rPr>
      </w:pPr>
      <w:hyperlink r:id="rId161">
        <w:r>
          <w:rPr>
            <w:rFonts w:ascii="Arial" w:cs="Arial" w:eastAsia="Arial" w:hAnsi="Arial"/>
            <w:sz w:val="12"/>
            <w:szCs w:val="12"/>
            <w:u w:val="single" w:color="auto"/>
            <w:color w:val="0000FF"/>
          </w:rPr>
          <w:t>Intercreditor Agreement, dated as of July 8, 2020, among JPMorgan Chase Bank, N.A., U.S. Bank</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10.47 </w:t>
      </w:r>
      <w:hyperlink r:id="rId161">
        <w:r>
          <w:rPr>
            <w:rFonts w:ascii="Arial" w:cs="Arial" w:eastAsia="Arial" w:hAnsi="Arial"/>
            <w:sz w:val="12"/>
            <w:szCs w:val="12"/>
            <w:u w:val="single" w:color="auto"/>
            <w:color w:val="0000FF"/>
          </w:rPr>
          <w:t>National Association, as collateral trustee, Winnebago Industries, Inc. and certain of its subsidiaries</w:t>
        </w:r>
      </w:hyperlink>
    </w:p>
    <w:p>
      <w:pPr>
        <w:ind w:left="1220"/>
        <w:spacing w:after="0"/>
        <w:rPr>
          <w:rFonts w:ascii="Arial" w:cs="Arial" w:eastAsia="Arial" w:hAnsi="Arial"/>
          <w:sz w:val="13"/>
          <w:szCs w:val="13"/>
          <w:u w:val="single" w:color="auto"/>
          <w:color w:val="0000FF"/>
        </w:rPr>
      </w:pPr>
      <w:hyperlink r:id="rId161">
        <w:r>
          <w:rPr>
            <w:rFonts w:ascii="Arial" w:cs="Arial" w:eastAsia="Arial" w:hAnsi="Arial"/>
            <w:sz w:val="13"/>
            <w:szCs w:val="13"/>
            <w:u w:val="single" w:color="auto"/>
            <w:color w:val="0000FF"/>
          </w:rPr>
          <w:t>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12065</wp:posOffset>
            </wp:positionV>
            <wp:extent cx="661606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3" w:lineRule="exact"/>
        <w:rPr>
          <w:sz w:val="20"/>
          <w:szCs w:val="20"/>
          <w:color w:val="auto"/>
        </w:rPr>
      </w:pPr>
    </w:p>
    <w:p>
      <w:pPr>
        <w:ind w:left="1220" w:right="160" w:hanging="346"/>
        <w:spacing w:after="0" w:line="231"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10.48 </w:t>
      </w:r>
      <w:hyperlink r:id="rId163">
        <w:r>
          <w:rPr>
            <w:rFonts w:ascii="Arial" w:cs="Arial" w:eastAsia="Arial" w:hAnsi="Arial"/>
            <w:sz w:val="13"/>
            <w:szCs w:val="13"/>
            <w:u w:val="single" w:color="auto"/>
            <w:color w:val="0000FF"/>
          </w:rPr>
          <w:t>Amended and Restated Employment Agreement between Winnebago Industries, Inc. and Michael</w:t>
        </w:r>
      </w:hyperlink>
      <w:r>
        <w:rPr>
          <w:rFonts w:ascii="Arial" w:cs="Arial" w:eastAsia="Arial" w:hAnsi="Arial"/>
          <w:sz w:val="13"/>
          <w:szCs w:val="13"/>
          <w:color w:val="auto"/>
        </w:rPr>
        <w:t xml:space="preserve"> </w:t>
      </w:r>
      <w:hyperlink r:id="rId163">
        <w:r>
          <w:rPr>
            <w:rFonts w:ascii="Arial" w:cs="Arial" w:eastAsia="Arial" w:hAnsi="Arial"/>
            <w:sz w:val="13"/>
            <w:szCs w:val="13"/>
            <w:u w:val="single" w:color="auto"/>
            <w:color w:val="0000FF"/>
          </w:rPr>
          <w:t>Happe dated December 15, 2021*</w:t>
        </w:r>
      </w:hyperlink>
    </w:p>
    <w:p>
      <w:pPr>
        <w:spacing w:after="0" w:line="9" w:lineRule="exact"/>
        <w:rPr>
          <w:sz w:val="20"/>
          <w:szCs w:val="20"/>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 xml:space="preserve">10.49 </w:t>
      </w:r>
      <w:hyperlink r:id="rId164">
        <w:r>
          <w:rPr>
            <w:rFonts w:ascii="Arial" w:cs="Arial" w:eastAsia="Arial" w:hAnsi="Arial"/>
            <w:sz w:val="13"/>
            <w:szCs w:val="13"/>
            <w:u w:val="single" w:color="auto"/>
            <w:color w:val="0000FF"/>
          </w:rPr>
          <w:t>Winnebago Executive Officer Severance Plan and Summary Plan Description*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10160</wp:posOffset>
            </wp:positionV>
            <wp:extent cx="6616065" cy="3505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ind w:left="880" w:right="160" w:firstLine="347"/>
        <w:spacing w:after="0" w:line="228" w:lineRule="auto"/>
        <w:rPr>
          <w:rFonts w:ascii="Arial" w:cs="Arial" w:eastAsia="Arial" w:hAnsi="Arial"/>
          <w:sz w:val="12"/>
          <w:szCs w:val="12"/>
          <w:color w:val="000000"/>
        </w:rPr>
      </w:pPr>
      <w:hyperlink r:id="rId166">
        <w:r>
          <w:rPr>
            <w:rFonts w:ascii="Arial" w:cs="Arial" w:eastAsia="Arial" w:hAnsi="Arial"/>
            <w:sz w:val="12"/>
            <w:szCs w:val="12"/>
            <w:u w:val="single" w:color="auto"/>
            <w:color w:val="0000FF"/>
          </w:rPr>
          <w:t>Second Amended and Restated Credit Agreement dated as of July 15, 2022 among Winnebago</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10.50 </w:t>
      </w:r>
      <w:hyperlink r:id="rId166">
        <w:r>
          <w:rPr>
            <w:rFonts w:ascii="Arial" w:cs="Arial" w:eastAsia="Arial" w:hAnsi="Arial"/>
            <w:sz w:val="12"/>
            <w:szCs w:val="12"/>
            <w:u w:val="single" w:color="auto"/>
            <w:color w:val="0000FF"/>
          </w:rPr>
          <w:t>Industries, Inc., Winnebago of Indiana, LLC, Grand Design RV, LLC and Newmar Corporation, the</w:t>
        </w:r>
      </w:hyperlink>
    </w:p>
    <w:p>
      <w:pPr>
        <w:ind w:left="1220" w:right="280"/>
        <w:spacing w:after="0" w:line="225" w:lineRule="auto"/>
        <w:rPr>
          <w:rFonts w:ascii="Arial" w:cs="Arial" w:eastAsia="Arial" w:hAnsi="Arial"/>
          <w:sz w:val="13"/>
          <w:szCs w:val="13"/>
          <w:u w:val="single" w:color="auto"/>
          <w:color w:val="0000FF"/>
        </w:rPr>
      </w:pPr>
      <w:hyperlink r:id="rId166">
        <w:r>
          <w:rPr>
            <w:rFonts w:ascii="Arial" w:cs="Arial" w:eastAsia="Arial" w:hAnsi="Arial"/>
            <w:sz w:val="13"/>
            <w:szCs w:val="13"/>
            <w:u w:val="single" w:color="auto"/>
            <w:color w:val="0000FF"/>
          </w:rPr>
          <w:t>other loan parties party thereto from time to time, the lenders party thereto from time to time and</w:t>
        </w:r>
      </w:hyperlink>
      <w:r>
        <w:rPr>
          <w:rFonts w:ascii="Arial" w:cs="Arial" w:eastAsia="Arial" w:hAnsi="Arial"/>
          <w:sz w:val="13"/>
          <w:szCs w:val="13"/>
          <w:u w:val="single" w:color="auto"/>
          <w:color w:val="0000FF"/>
        </w:rPr>
        <w:t xml:space="preserve"> </w:t>
      </w:r>
      <w:hyperlink r:id="rId166">
        <w:r>
          <w:rPr>
            <w:rFonts w:ascii="Arial" w:cs="Arial" w:eastAsia="Arial" w:hAnsi="Arial"/>
            <w:sz w:val="13"/>
            <w:szCs w:val="13"/>
            <w:u w:val="single" w:color="auto"/>
            <w:color w:val="0000FF"/>
          </w:rPr>
          <w:t>JPMorgan Chase Bank, N.A.</w:t>
        </w:r>
      </w:hyperlink>
    </w:p>
    <w:p>
      <w:pPr>
        <w:ind w:left="1060"/>
        <w:spacing w:after="0" w:line="195" w:lineRule="auto"/>
        <w:rPr>
          <w:sz w:val="20"/>
          <w:szCs w:val="20"/>
          <w:color w:val="auto"/>
        </w:rPr>
      </w:pPr>
      <w:r>
        <w:rPr>
          <w:rFonts w:ascii="Arial" w:cs="Arial" w:eastAsia="Arial" w:hAnsi="Arial"/>
          <w:sz w:val="25"/>
          <w:szCs w:val="25"/>
          <w:color w:val="000000"/>
          <w:vertAlign w:val="subscript"/>
        </w:rPr>
        <w:t>21</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List of Subsidiaries.</w:t>
      </w:r>
    </w:p>
    <w:p>
      <w:pPr>
        <w:ind w:left="1060"/>
        <w:spacing w:after="0"/>
        <w:rPr>
          <w:sz w:val="20"/>
          <w:szCs w:val="20"/>
          <w:color w:val="auto"/>
        </w:rPr>
      </w:pPr>
      <w:r>
        <w:rPr>
          <w:rFonts w:ascii="Arial" w:cs="Arial" w:eastAsia="Arial" w:hAnsi="Arial"/>
          <w:sz w:val="25"/>
          <w:szCs w:val="25"/>
          <w:color w:val="000000"/>
          <w:vertAlign w:val="subscript"/>
        </w:rPr>
        <w:t>23</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-138430</wp:posOffset>
            </wp:positionV>
            <wp:extent cx="661606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62" w:lineRule="exact"/>
        <w:rPr>
          <w:sz w:val="20"/>
          <w:szCs w:val="20"/>
          <w:color w:val="auto"/>
        </w:rPr>
      </w:pPr>
    </w:p>
    <w:p>
      <w:pPr>
        <w:ind w:left="960" w:right="240" w:firstLine="276"/>
        <w:spacing w:after="0" w:line="231" w:lineRule="auto"/>
        <w:rPr>
          <w:sz w:val="20"/>
          <w:szCs w:val="20"/>
          <w:color w:val="auto"/>
        </w:rPr>
      </w:pPr>
      <w:r>
        <w:rPr>
          <w:rFonts w:ascii="Arial" w:cs="Arial" w:eastAsia="Arial" w:hAnsi="Arial"/>
          <w:sz w:val="13"/>
          <w:szCs w:val="13"/>
          <w:u w:val="single" w:color="auto"/>
          <w:color w:val="0000FF"/>
        </w:rPr>
        <w:t xml:space="preserve">Certification by the Chief Executive Officer pursuant to Section 302 of the Sarbanes-Oxley Act of </w:t>
      </w:r>
      <w:r>
        <w:rPr>
          <w:rFonts w:ascii="Arial" w:cs="Arial" w:eastAsia="Arial" w:hAnsi="Arial"/>
          <w:sz w:val="13"/>
          <w:szCs w:val="13"/>
          <w:color w:val="000000"/>
        </w:rPr>
        <w:t xml:space="preserve">31.1 </w:t>
      </w:r>
      <w:r>
        <w:rPr>
          <w:rFonts w:ascii="Arial" w:cs="Arial" w:eastAsia="Arial" w:hAnsi="Arial"/>
          <w:sz w:val="13"/>
          <w:szCs w:val="13"/>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84455</wp:posOffset>
            </wp:positionV>
            <wp:extent cx="6616065" cy="269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17" w:lineRule="exact"/>
        <w:rPr>
          <w:sz w:val="20"/>
          <w:szCs w:val="20"/>
          <w:color w:val="auto"/>
        </w:rPr>
      </w:pPr>
    </w:p>
    <w:p>
      <w:pPr>
        <w:ind w:left="960" w:right="280" w:firstLine="276"/>
        <w:spacing w:after="0" w:line="231" w:lineRule="auto"/>
        <w:rPr>
          <w:sz w:val="20"/>
          <w:szCs w:val="20"/>
          <w:color w:val="auto"/>
        </w:rPr>
      </w:pPr>
      <w:r>
        <w:rPr>
          <w:rFonts w:ascii="Arial" w:cs="Arial" w:eastAsia="Arial" w:hAnsi="Arial"/>
          <w:sz w:val="13"/>
          <w:szCs w:val="13"/>
          <w:u w:val="single" w:color="auto"/>
          <w:color w:val="0000FF"/>
        </w:rPr>
        <w:t xml:space="preserve">Certification by the Chief Financial Officer pursuant to Section 302 of the Sarbanes-Oxley Act of </w:t>
      </w:r>
      <w:r>
        <w:rPr>
          <w:rFonts w:ascii="Arial" w:cs="Arial" w:eastAsia="Arial" w:hAnsi="Arial"/>
          <w:sz w:val="13"/>
          <w:szCs w:val="13"/>
          <w:color w:val="000000"/>
        </w:rPr>
        <w:t xml:space="preserve">31.2 </w:t>
      </w:r>
      <w:r>
        <w:rPr>
          <w:rFonts w:ascii="Arial" w:cs="Arial" w:eastAsia="Arial" w:hAnsi="Arial"/>
          <w:sz w:val="13"/>
          <w:szCs w:val="13"/>
          <w:u w:val="single" w:color="auto"/>
          <w:color w:val="0000FF"/>
        </w:rPr>
        <w:t>2002.</w:t>
      </w:r>
    </w:p>
    <w:p>
      <w:pPr>
        <w:spacing w:after="0" w:line="137" w:lineRule="exact"/>
        <w:rPr>
          <w:sz w:val="20"/>
          <w:szCs w:val="20"/>
          <w:color w:val="auto"/>
        </w:rPr>
      </w:pPr>
    </w:p>
    <w:p>
      <w:pPr>
        <w:ind w:left="960" w:firstLine="276"/>
        <w:spacing w:after="0" w:line="231" w:lineRule="auto"/>
        <w:rPr>
          <w:sz w:val="20"/>
          <w:szCs w:val="20"/>
          <w:color w:val="auto"/>
        </w:rPr>
      </w:pPr>
      <w:r>
        <w:rPr>
          <w:rFonts w:ascii="Arial" w:cs="Arial" w:eastAsia="Arial" w:hAnsi="Arial"/>
          <w:sz w:val="13"/>
          <w:szCs w:val="13"/>
          <w:u w:val="single" w:color="auto"/>
          <w:color w:val="0000FF"/>
        </w:rPr>
        <w:t xml:space="preserve">Certification by the Chief Executive Officer pursuant to Section 1350, as adopted pursuant to Section </w:t>
      </w:r>
      <w:r>
        <w:rPr>
          <w:rFonts w:ascii="Arial" w:cs="Arial" w:eastAsia="Arial" w:hAnsi="Arial"/>
          <w:sz w:val="13"/>
          <w:szCs w:val="13"/>
          <w:color w:val="000000"/>
        </w:rPr>
        <w:t xml:space="preserve">32.1 </w:t>
      </w:r>
      <w:r>
        <w:rPr>
          <w:rFonts w:ascii="Arial" w:cs="Arial" w:eastAsia="Arial" w:hAnsi="Arial"/>
          <w:sz w:val="13"/>
          <w:szCs w:val="13"/>
          <w:u w:val="single" w:color="auto"/>
          <w:color w:val="0000FF"/>
        </w:rPr>
        <w:t>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84455</wp:posOffset>
            </wp:positionV>
            <wp:extent cx="6616065" cy="269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17" w:lineRule="exact"/>
        <w:rPr>
          <w:sz w:val="20"/>
          <w:szCs w:val="20"/>
          <w:color w:val="auto"/>
        </w:rPr>
      </w:pPr>
    </w:p>
    <w:p>
      <w:pPr>
        <w:ind w:left="960" w:right="40" w:firstLine="276"/>
        <w:spacing w:after="0" w:line="231" w:lineRule="auto"/>
        <w:rPr>
          <w:sz w:val="20"/>
          <w:szCs w:val="20"/>
          <w:color w:val="auto"/>
        </w:rPr>
      </w:pPr>
      <w:r>
        <w:rPr>
          <w:rFonts w:ascii="Arial" w:cs="Arial" w:eastAsia="Arial" w:hAnsi="Arial"/>
          <w:sz w:val="13"/>
          <w:szCs w:val="13"/>
          <w:u w:val="single" w:color="auto"/>
          <w:color w:val="0000FF"/>
        </w:rPr>
        <w:t xml:space="preserve">Certification by the Chief Financial Officer pursuant to Section 1350, as adopted pursuant to Section </w:t>
      </w:r>
      <w:r>
        <w:rPr>
          <w:rFonts w:ascii="Arial" w:cs="Arial" w:eastAsia="Arial" w:hAnsi="Arial"/>
          <w:sz w:val="13"/>
          <w:szCs w:val="13"/>
          <w:color w:val="000000"/>
        </w:rPr>
        <w:t xml:space="preserve">32.2 </w:t>
      </w:r>
      <w:r>
        <w:rPr>
          <w:rFonts w:ascii="Arial" w:cs="Arial" w:eastAsia="Arial" w:hAnsi="Arial"/>
          <w:sz w:val="13"/>
          <w:szCs w:val="13"/>
          <w:u w:val="single" w:color="auto"/>
          <w:color w:val="0000FF"/>
        </w:rPr>
        <w:t>906 of the Sarbanes-Oxley Act of 2002.</w:t>
      </w:r>
    </w:p>
    <w:p>
      <w:pPr>
        <w:spacing w:after="0" w:line="137" w:lineRule="exact"/>
        <w:rPr>
          <w:sz w:val="20"/>
          <w:szCs w:val="20"/>
          <w:color w:val="auto"/>
        </w:rPr>
      </w:pPr>
    </w:p>
    <w:p>
      <w:pPr>
        <w:ind w:left="1220" w:right="340" w:hanging="487"/>
        <w:spacing w:after="0" w:line="261" w:lineRule="auto"/>
        <w:rPr>
          <w:sz w:val="20"/>
          <w:szCs w:val="20"/>
          <w:color w:val="auto"/>
        </w:rPr>
      </w:pPr>
      <w:r>
        <w:rPr>
          <w:rFonts w:ascii="Arial" w:cs="Arial" w:eastAsia="Arial" w:hAnsi="Arial"/>
          <w:sz w:val="12"/>
          <w:szCs w:val="12"/>
          <w:color w:val="auto"/>
        </w:rPr>
        <w:t>101.INS XBRL Instance Document - the instance document does not appear in the Interactive Data File because its XBRL tags are embedded within the Inline XBRL document (furnished herewith).</w:t>
      </w:r>
    </w:p>
    <w:p>
      <w:pPr>
        <w:spacing w:after="0" w:line="200" w:lineRule="exact"/>
        <w:rPr>
          <w:sz w:val="20"/>
          <w:szCs w:val="20"/>
          <w:color w:val="auto"/>
        </w:rPr>
      </w:pP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Filed Herewith</w:t>
            </w:r>
          </w:p>
        </w:tc>
      </w:tr>
      <w:tr>
        <w:trPr>
          <w:trHeight w:val="241"/>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12/17/2021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12/17/2021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1"/>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63"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148"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ectPr>
          <w:pgSz w:w="11900" w:h="16838" w:orient="portrait"/>
          <w:cols w:equalWidth="0" w:num="2">
            <w:col w:w="6900" w:space="100"/>
            <w:col w:w="3680"/>
          </w:cols>
          <w:pgMar w:left="300" w:top="133" w:right="91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ind w:left="752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15240</wp:posOffset>
            </wp:positionV>
            <wp:extent cx="168402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32" w:lineRule="exact"/>
        <w:rPr>
          <w:sz w:val="20"/>
          <w:szCs w:val="20"/>
          <w:color w:val="auto"/>
        </w:rPr>
      </w:pPr>
    </w:p>
    <w:p>
      <w:pPr>
        <w:ind w:left="280"/>
        <w:spacing w:after="0"/>
        <w:tabs>
          <w:tab w:leader="none" w:pos="1200" w:val="left"/>
          <w:tab w:leader="none" w:pos="7160" w:val="left"/>
          <w:tab w:leader="none" w:pos="7920" w:val="left"/>
          <w:tab w:leader="none" w:pos="8780" w:val="left"/>
          <w:tab w:leader="none" w:pos="9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3"/>
          <w:szCs w:val="13"/>
          <w:b w:val="1"/>
          <w:bCs w:val="1"/>
          <w:color w:val="auto"/>
        </w:rPr>
        <w:t>Exhibit Description</w:t>
      </w:r>
      <w:r>
        <w:rPr>
          <w:sz w:val="20"/>
          <w:szCs w:val="20"/>
          <w:color w:val="auto"/>
        </w:rPr>
        <w:tab/>
      </w:r>
      <w:r>
        <w:rPr>
          <w:rFonts w:ascii="Arial" w:cs="Arial" w:eastAsia="Arial" w:hAnsi="Arial"/>
          <w:sz w:val="13"/>
          <w:szCs w:val="13"/>
          <w:b w:val="1"/>
          <w:bCs w:val="1"/>
          <w:color w:val="auto"/>
        </w:rPr>
        <w:t>Form</w:t>
      </w:r>
      <w:r>
        <w:rPr>
          <w:sz w:val="20"/>
          <w:szCs w:val="20"/>
          <w:color w:val="auto"/>
        </w:rPr>
        <w:tab/>
      </w:r>
      <w:r>
        <w:rPr>
          <w:rFonts w:ascii="Arial" w:cs="Arial" w:eastAsia="Arial" w:hAnsi="Arial"/>
          <w:sz w:val="13"/>
          <w:szCs w:val="13"/>
          <w:b w:val="1"/>
          <w:bCs w:val="1"/>
          <w:color w:val="auto"/>
        </w:rPr>
        <w:t>Exhibit</w:t>
      </w:r>
      <w:r>
        <w:rPr>
          <w:sz w:val="20"/>
          <w:szCs w:val="20"/>
          <w:color w:val="auto"/>
        </w:rPr>
        <w:tab/>
      </w:r>
      <w:r>
        <w:rPr>
          <w:rFonts w:ascii="Arial" w:cs="Arial" w:eastAsia="Arial" w:hAnsi="Arial"/>
          <w:sz w:val="13"/>
          <w:szCs w:val="13"/>
          <w:b w:val="1"/>
          <w:bCs w:val="1"/>
          <w:color w:val="auto"/>
        </w:rPr>
        <w:t>Filing Date</w:t>
      </w:r>
      <w:r>
        <w:rPr>
          <w:sz w:val="20"/>
          <w:szCs w:val="20"/>
          <w:color w:val="auto"/>
        </w:rPr>
        <w:tab/>
      </w:r>
      <w:r>
        <w:rPr>
          <w:rFonts w:ascii="Arial" w:cs="Arial" w:eastAsia="Arial" w:hAnsi="Arial"/>
          <w:sz w:val="12"/>
          <w:szCs w:val="12"/>
          <w:b w:val="1"/>
          <w:bCs w:val="1"/>
          <w:u w:val="single" w:color="auto"/>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6616065"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6616065" cy="114300"/>
                    </a:xfrm>
                    <a:prstGeom prst="rect">
                      <a:avLst/>
                    </a:prstGeom>
                    <a:noFill/>
                  </pic:spPr>
                </pic:pic>
              </a:graphicData>
            </a:graphic>
          </wp:anchor>
        </w:drawing>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101.SCH Inline XBRL Taxonomy Extension Schema Document</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10160</wp:posOffset>
            </wp:positionV>
            <wp:extent cx="6616065" cy="107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3"/>
          <w:szCs w:val="13"/>
          <w:color w:val="auto"/>
        </w:rPr>
        <w:t>101.DEF Inline XBRL Taxonomy Extension Definitions Linkbase Document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101.LAB 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10160</wp:posOffset>
            </wp:positionV>
            <wp:extent cx="6616065" cy="1079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3"/>
          <w:szCs w:val="13"/>
          <w:color w:val="auto"/>
        </w:rPr>
        <w:t>101.PRE Inline XBRL Taxonomy Extension Presentation Linkbase Document</w:t>
      </w:r>
    </w:p>
    <w:p>
      <w:pPr>
        <w:spacing w:after="0" w:line="20" w:lineRule="exact"/>
        <w:rPr>
          <w:sz w:val="20"/>
          <w:szCs w:val="20"/>
          <w:color w:val="auto"/>
        </w:rPr>
      </w:pPr>
    </w:p>
    <w:p>
      <w:pPr>
        <w:ind w:left="1220" w:right="3840" w:hanging="239"/>
        <w:spacing w:after="0" w:line="231" w:lineRule="auto"/>
        <w:rPr>
          <w:sz w:val="20"/>
          <w:szCs w:val="20"/>
          <w:color w:val="auto"/>
        </w:rPr>
      </w:pPr>
      <w:r>
        <w:rPr>
          <w:rFonts w:ascii="Arial" w:cs="Arial" w:eastAsia="Arial" w:hAnsi="Arial"/>
          <w:sz w:val="13"/>
          <w:szCs w:val="13"/>
          <w:color w:val="auto"/>
        </w:rPr>
        <w:t>104 The cover page from the Winnebago Industries, Inc. Annual Report on Form 10-K for the fiscal year ended August 26, 2023, formatted in Inline XBRL (included as Exhibit 101).</w:t>
      </w:r>
    </w:p>
    <w:p>
      <w:pPr>
        <w:spacing w:after="0" w:line="73" w:lineRule="exact"/>
        <w:rPr>
          <w:sz w:val="20"/>
          <w:szCs w:val="20"/>
          <w:color w:val="auto"/>
        </w:rPr>
      </w:pPr>
    </w:p>
    <w:p>
      <w:pPr>
        <w:ind w:left="200" w:hanging="195"/>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00" w:top="133" w:right="939" w:bottom="1440" w:gutter="0" w:footer="0" w:header="0"/>
        </w:sectPr>
      </w:pPr>
    </w:p>
    <w:bookmarkStart w:id="67" w:name="page68"/>
    <w:bookmarkEnd w:id="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3" w:right="1440" w:bottom="1440" w:gutter="0" w:footer="0" w:header="0"/>
        </w:sectPr>
      </w:pPr>
    </w:p>
    <w:bookmarkStart w:id="68" w:name="page69"/>
    <w:bookmarkEnd w:id="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SIGNATURES</w:t>
      </w:r>
    </w:p>
    <w:p>
      <w:pPr>
        <w:spacing w:after="0" w:line="198" w:lineRule="exact"/>
        <w:rPr>
          <w:sz w:val="20"/>
          <w:szCs w:val="20"/>
          <w:color w:val="auto"/>
        </w:rPr>
      </w:pPr>
    </w:p>
    <w:p>
      <w:pPr>
        <w:ind w:right="200"/>
        <w:spacing w:after="0" w:line="272"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WINNEBAGO INDUSTRIES, INC.</w:t>
      </w:r>
    </w:p>
    <w:p>
      <w:pPr>
        <w:spacing w:after="0" w:line="186"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12700</wp:posOffset>
            </wp:positionV>
            <wp:extent cx="363791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Michael J. Happe</w:t>
      </w:r>
    </w:p>
    <w:p>
      <w:pPr>
        <w:spacing w:after="0" w:line="1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President, Chief Executive Officer</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(Principal Executive Officer)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Date: October 18, 2023</w:t>
      </w:r>
    </w:p>
    <w:p>
      <w:pPr>
        <w:spacing w:after="0" w:line="38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on October 18, 2023, by the following persons on behalf of the Registrant and in the capacities indicated.</w:t>
      </w:r>
    </w:p>
    <w:p>
      <w:pPr>
        <w:ind w:left="2040"/>
        <w:spacing w:after="0"/>
        <w:tabs>
          <w:tab w:leader="none" w:pos="55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Capacity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c>
          <w:tcPr>
            <w:tcW w:w="3600" w:type="dxa"/>
            <w:vAlign w:val="bottom"/>
          </w:tcPr>
          <w:p>
            <w:pPr>
              <w:spacing w:after="0"/>
              <w:rPr>
                <w:sz w:val="14"/>
                <w:szCs w:val="14"/>
                <w:color w:val="auto"/>
              </w:rPr>
            </w:pPr>
          </w:p>
        </w:tc>
      </w:tr>
      <w:tr>
        <w:trPr>
          <w:trHeight w:val="122"/>
        </w:trPr>
        <w:tc>
          <w:tcPr>
            <w:tcW w:w="4680" w:type="dxa"/>
            <w:vAlign w:val="bottom"/>
          </w:tcPr>
          <w:p>
            <w:pPr>
              <w:ind w:left="20"/>
              <w:spacing w:after="0" w:line="123" w:lineRule="exact"/>
              <w:rPr>
                <w:sz w:val="20"/>
                <w:szCs w:val="20"/>
                <w:color w:val="auto"/>
              </w:rPr>
            </w:pPr>
            <w:r>
              <w:rPr>
                <w:rFonts w:ascii="Arial" w:cs="Arial" w:eastAsia="Arial" w:hAnsi="Arial"/>
                <w:sz w:val="13"/>
                <w:szCs w:val="13"/>
                <w:color w:val="auto"/>
              </w:rPr>
              <w:t>Michael J. Happe</w:t>
            </w:r>
          </w:p>
        </w:tc>
        <w:tc>
          <w:tcPr>
            <w:tcW w:w="3600" w:type="dxa"/>
            <w:vAlign w:val="bottom"/>
          </w:tcPr>
          <w:p>
            <w:pPr>
              <w:ind w:left="840"/>
              <w:spacing w:after="0" w:line="123" w:lineRule="exact"/>
              <w:rPr>
                <w:sz w:val="20"/>
                <w:szCs w:val="20"/>
                <w:color w:val="auto"/>
              </w:rPr>
            </w:pPr>
            <w:r>
              <w:rPr>
                <w:rFonts w:ascii="Arial" w:cs="Arial" w:eastAsia="Arial" w:hAnsi="Arial"/>
                <w:sz w:val="13"/>
                <w:szCs w:val="13"/>
                <w:color w:val="auto"/>
              </w:rPr>
              <w:t>Chief Executive Officer, President</w:t>
            </w:r>
          </w:p>
        </w:tc>
      </w:tr>
      <w:tr>
        <w:trPr>
          <w:trHeight w:val="161"/>
        </w:trPr>
        <w:tc>
          <w:tcPr>
            <w:tcW w:w="4680" w:type="dxa"/>
            <w:vAlign w:val="bottom"/>
          </w:tcPr>
          <w:p>
            <w:pPr>
              <w:spacing w:after="0"/>
              <w:rPr>
                <w:sz w:val="14"/>
                <w:szCs w:val="14"/>
                <w:color w:val="auto"/>
              </w:rPr>
            </w:pPr>
          </w:p>
        </w:tc>
        <w:tc>
          <w:tcPr>
            <w:tcW w:w="3600" w:type="dxa"/>
            <w:vAlign w:val="bottom"/>
          </w:tcPr>
          <w:p>
            <w:pPr>
              <w:ind w:left="840"/>
              <w:spacing w:after="0"/>
              <w:rPr>
                <w:sz w:val="20"/>
                <w:szCs w:val="20"/>
                <w:color w:val="auto"/>
              </w:rPr>
            </w:pPr>
            <w:r>
              <w:rPr>
                <w:rFonts w:ascii="Arial" w:cs="Arial" w:eastAsia="Arial" w:hAnsi="Arial"/>
                <w:sz w:val="13"/>
                <w:szCs w:val="13"/>
                <w:color w:val="auto"/>
              </w:rPr>
              <w:t>(Principal Executive Officer)</w:t>
            </w:r>
          </w:p>
        </w:tc>
      </w:tr>
      <w:tr>
        <w:trPr>
          <w:trHeight w:val="3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c>
          <w:tcPr>
            <w:tcW w:w="3600" w:type="dxa"/>
            <w:vAlign w:val="bottom"/>
          </w:tcPr>
          <w:p>
            <w:pPr>
              <w:spacing w:after="0"/>
              <w:rPr>
                <w:sz w:val="24"/>
                <w:szCs w:val="24"/>
                <w:color w:val="auto"/>
              </w:rPr>
            </w:pPr>
          </w:p>
        </w:tc>
      </w:tr>
      <w:tr>
        <w:trPr>
          <w:trHeight w:val="122"/>
        </w:trPr>
        <w:tc>
          <w:tcPr>
            <w:tcW w:w="4680" w:type="dxa"/>
            <w:vAlign w:val="bottom"/>
          </w:tcPr>
          <w:p>
            <w:pPr>
              <w:ind w:left="20"/>
              <w:spacing w:after="0" w:line="123" w:lineRule="exact"/>
              <w:rPr>
                <w:sz w:val="20"/>
                <w:szCs w:val="20"/>
                <w:color w:val="auto"/>
              </w:rPr>
            </w:pPr>
            <w:r>
              <w:rPr>
                <w:rFonts w:ascii="Arial" w:cs="Arial" w:eastAsia="Arial" w:hAnsi="Arial"/>
                <w:sz w:val="13"/>
                <w:szCs w:val="13"/>
                <w:color w:val="auto"/>
              </w:rPr>
              <w:t>Bryan L. Hughes</w:t>
            </w:r>
          </w:p>
        </w:tc>
        <w:tc>
          <w:tcPr>
            <w:tcW w:w="3600" w:type="dxa"/>
            <w:vAlign w:val="bottom"/>
          </w:tcPr>
          <w:p>
            <w:pPr>
              <w:ind w:left="840"/>
              <w:spacing w:after="0" w:line="123" w:lineRule="exact"/>
              <w:rPr>
                <w:sz w:val="20"/>
                <w:szCs w:val="20"/>
                <w:color w:val="auto"/>
              </w:rPr>
            </w:pPr>
            <w:r>
              <w:rPr>
                <w:rFonts w:ascii="Arial" w:cs="Arial" w:eastAsia="Arial" w:hAnsi="Arial"/>
                <w:sz w:val="13"/>
                <w:szCs w:val="13"/>
                <w:color w:val="auto"/>
                <w:w w:val="97"/>
              </w:rPr>
              <w:t>Chief Financial Officer and Senior Vice President</w:t>
            </w:r>
          </w:p>
        </w:tc>
      </w:tr>
      <w:tr>
        <w:trPr>
          <w:trHeight w:val="161"/>
        </w:trPr>
        <w:tc>
          <w:tcPr>
            <w:tcW w:w="4680" w:type="dxa"/>
            <w:vAlign w:val="bottom"/>
          </w:tcPr>
          <w:p>
            <w:pPr>
              <w:spacing w:after="0"/>
              <w:rPr>
                <w:sz w:val="14"/>
                <w:szCs w:val="14"/>
                <w:color w:val="auto"/>
              </w:rPr>
            </w:pPr>
          </w:p>
        </w:tc>
        <w:tc>
          <w:tcPr>
            <w:tcW w:w="3600" w:type="dxa"/>
            <w:vAlign w:val="bottom"/>
          </w:tcPr>
          <w:p>
            <w:pPr>
              <w:ind w:left="840"/>
              <w:spacing w:after="0"/>
              <w:rPr>
                <w:sz w:val="20"/>
                <w:szCs w:val="20"/>
                <w:color w:val="auto"/>
              </w:rPr>
            </w:pPr>
            <w:r>
              <w:rPr>
                <w:rFonts w:ascii="Arial" w:cs="Arial" w:eastAsia="Arial" w:hAnsi="Arial"/>
                <w:sz w:val="13"/>
                <w:szCs w:val="13"/>
                <w:color w:val="auto"/>
              </w:rPr>
              <w:t>(Principal Financial and Accounting Officer)</w:t>
            </w:r>
          </w:p>
        </w:tc>
      </w:tr>
      <w:tr>
        <w:trPr>
          <w:trHeight w:val="33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Sara E. Armbruster</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Sara E. Armbruster</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Christopher J. Braun</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Christopher J. Braun</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Kevin E. Bryant</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Kevin E. Bryant</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William C. Fisher</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William C. Fisher</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David W. Miles</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David W. Miles</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Richard D. Moss</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Richard D. Moss</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John M. Murabito</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John M. Murabito</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Jacqueline D. Woods</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Jacqueline D. Woods</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00"/>
          </w:cols>
          <w:pgMar w:left="300" w:top="133" w:right="39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WINNEBAGO INDUSTRIES,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OMNIBUS INCENTIVE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Non-Qualified Stock Option Agreement</w:t>
      </w:r>
    </w:p>
    <w:p>
      <w:pPr>
        <w:spacing w:after="0" w:line="1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6"/>
          <w:szCs w:val="16"/>
          <w:color w:val="auto"/>
        </w:rPr>
        <w:t>Winnebago Industries, Inc. (the “Company”), pursuant to its 2019 Omnibus Incentive Plan (the “Plan”), hereby grants a stock option award (the “Option”) to you, the Participant named below. The terms and conditions of this Option Award are set forth in this Agreement (the “Agreement”), consisting of this cover page, the Option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76200</wp:posOffset>
            </wp:positionV>
            <wp:extent cx="7127875" cy="1461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27875" cy="1461770"/>
                    </a:xfrm>
                    <a:prstGeom prst="rect">
                      <a:avLst/>
                    </a:prstGeom>
                    <a:noFill/>
                  </pic:spPr>
                </pic:pic>
              </a:graphicData>
            </a:graphic>
          </wp:anchor>
        </w:drawing>
      </w:r>
    </w:p>
    <w:p>
      <w:pPr>
        <w:spacing w:after="0" w:line="151"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6"/>
          <w:szCs w:val="16"/>
          <w:color w:val="auto"/>
        </w:rPr>
        <w:t>Name of Participant:</w:t>
      </w:r>
      <w:r>
        <w:rPr>
          <w:sz w:val="20"/>
          <w:szCs w:val="20"/>
          <w:color w:val="auto"/>
        </w:rPr>
        <w:tab/>
      </w:r>
      <w:r>
        <w:rPr>
          <w:rFonts w:ascii="Arial" w:cs="Arial" w:eastAsia="Arial" w:hAnsi="Arial"/>
          <w:sz w:val="14"/>
          <w:szCs w:val="14"/>
          <w:color w:val="auto"/>
        </w:rPr>
        <w:t>_______________________</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95"/>
              </w:rPr>
              <w:t>No. of Shares Covered:</w:t>
            </w:r>
          </w:p>
        </w:tc>
        <w:tc>
          <w:tcPr>
            <w:tcW w:w="8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_______</w:t>
            </w:r>
          </w:p>
        </w:tc>
        <w:tc>
          <w:tcPr>
            <w:tcW w:w="360" w:type="dxa"/>
            <w:vAlign w:val="bottom"/>
            <w:tcBorders>
              <w:top w:val="single" w:sz="8" w:color="auto"/>
              <w:bottom w:val="single" w:sz="8" w:color="auto"/>
            </w:tcBorders>
          </w:tcPr>
          <w:p>
            <w:pPr>
              <w:spacing w:after="0"/>
              <w:rPr>
                <w:sz w:val="20"/>
                <w:szCs w:val="20"/>
                <w:color w:val="auto"/>
              </w:rPr>
            </w:pPr>
          </w:p>
        </w:tc>
        <w:tc>
          <w:tcPr>
            <w:tcW w:w="2700" w:type="dxa"/>
            <w:vAlign w:val="bottom"/>
            <w:tcBorders>
              <w:top w:val="single" w:sz="8" w:color="auto"/>
              <w:bottom w:val="single" w:sz="8" w:color="auto"/>
              <w:right w:val="single" w:sz="8" w:color="auto"/>
            </w:tcBorders>
          </w:tcPr>
          <w:p>
            <w:pPr>
              <w:spacing w:after="0"/>
              <w:rPr>
                <w:sz w:val="20"/>
                <w:szCs w:val="20"/>
                <w:color w:val="auto"/>
              </w:rPr>
            </w:pPr>
          </w:p>
        </w:tc>
        <w:tc>
          <w:tcPr>
            <w:tcW w:w="55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color w:val="auto"/>
              </w:rPr>
              <w:t>Grant Date:   October 10, 2023</w:t>
            </w:r>
          </w:p>
        </w:tc>
        <w:tc>
          <w:tcPr>
            <w:tcW w:w="20" w:type="dxa"/>
            <w:vAlign w:val="bottom"/>
          </w:tcPr>
          <w:p>
            <w:pPr>
              <w:spacing w:after="0"/>
              <w:rPr>
                <w:sz w:val="20"/>
                <w:szCs w:val="20"/>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7"/>
              </w:rPr>
              <w:t>Exercise Price Per Share:</w:t>
            </w: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 ______</w:t>
            </w: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Expiration Date:   October 10, 2033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4"/>
          </w:tcPr>
          <w:p>
            <w:pPr>
              <w:ind w:left="40"/>
              <w:spacing w:after="0"/>
              <w:rPr>
                <w:sz w:val="20"/>
                <w:szCs w:val="20"/>
                <w:color w:val="auto"/>
              </w:rPr>
            </w:pPr>
            <w:r>
              <w:rPr>
                <w:rFonts w:ascii="Arial" w:cs="Arial" w:eastAsia="Arial" w:hAnsi="Arial"/>
                <w:sz w:val="16"/>
                <w:szCs w:val="16"/>
                <w:color w:val="auto"/>
              </w:rPr>
              <w:t>Vesting and Exercise Schedule:</w:t>
            </w:r>
          </w:p>
        </w:tc>
        <w:tc>
          <w:tcPr>
            <w:tcW w:w="1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160" w:type="dxa"/>
            <w:vAlign w:val="bottom"/>
            <w:gridSpan w:val="3"/>
          </w:tcPr>
          <w:p>
            <w:pPr>
              <w:jc w:val="center"/>
              <w:ind w:right="1660"/>
              <w:spacing w:after="0"/>
              <w:rPr>
                <w:sz w:val="20"/>
                <w:szCs w:val="20"/>
                <w:color w:val="auto"/>
              </w:rPr>
            </w:pPr>
            <w:r>
              <w:rPr>
                <w:rFonts w:ascii="Arial" w:cs="Arial" w:eastAsia="Arial" w:hAnsi="Arial"/>
                <w:sz w:val="16"/>
                <w:szCs w:val="16"/>
                <w:color w:val="auto"/>
                <w:w w:val="87"/>
              </w:rPr>
              <w:t>Portion of Shares as to Which</w:t>
            </w: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6"/>
                <w:szCs w:val="16"/>
                <w:color w:val="auto"/>
                <w:w w:val="86"/>
              </w:rPr>
              <w:t>Dates</w:t>
            </w:r>
          </w:p>
        </w:tc>
        <w:tc>
          <w:tcPr>
            <w:tcW w:w="2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2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6"/>
                <w:szCs w:val="16"/>
                <w:color w:val="auto"/>
                <w:w w:val="86"/>
              </w:rPr>
              <w:t>Option Becomes Vested and Exercisable</w:t>
            </w:r>
          </w:p>
        </w:tc>
        <w:tc>
          <w:tcPr>
            <w:tcW w:w="1640" w:type="dxa"/>
            <w:vAlign w:val="bottom"/>
            <w:gridSpan w:val="2"/>
          </w:tcPr>
          <w:p>
            <w:pPr>
              <w:spacing w:after="0"/>
              <w:rPr>
                <w:sz w:val="14"/>
                <w:szCs w:val="14"/>
                <w:color w:val="auto"/>
              </w:rPr>
            </w:pPr>
          </w:p>
        </w:tc>
      </w:tr>
      <w:tr>
        <w:trPr>
          <w:trHeight w:val="259"/>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860" w:type="dxa"/>
            <w:vAlign w:val="bottom"/>
            <w:gridSpan w:val="3"/>
          </w:tcPr>
          <w:p>
            <w:pPr>
              <w:jc w:val="center"/>
              <w:ind w:right="1900"/>
              <w:spacing w:after="0"/>
              <w:rPr>
                <w:sz w:val="20"/>
                <w:szCs w:val="20"/>
                <w:color w:val="auto"/>
              </w:rPr>
            </w:pPr>
            <w:r>
              <w:rPr>
                <w:rFonts w:ascii="Arial" w:cs="Arial" w:eastAsia="Arial" w:hAnsi="Arial"/>
                <w:sz w:val="16"/>
                <w:szCs w:val="16"/>
                <w:color w:val="auto"/>
                <w:w w:val="87"/>
              </w:rPr>
              <w:t>October 10, 2024</w:t>
            </w:r>
          </w:p>
        </w:tc>
        <w:tc>
          <w:tcPr>
            <w:tcW w:w="3960" w:type="dxa"/>
            <w:vAlign w:val="bottom"/>
            <w:gridSpan w:val="2"/>
          </w:tcPr>
          <w:p>
            <w:pPr>
              <w:jc w:val="center"/>
              <w:ind w:left="1362"/>
              <w:spacing w:after="0"/>
              <w:rPr>
                <w:sz w:val="20"/>
                <w:szCs w:val="20"/>
                <w:color w:val="auto"/>
              </w:rPr>
            </w:pPr>
            <w:r>
              <w:rPr>
                <w:rFonts w:ascii="Arial" w:cs="Arial" w:eastAsia="Arial" w:hAnsi="Arial"/>
                <w:sz w:val="16"/>
                <w:szCs w:val="16"/>
                <w:color w:val="auto"/>
                <w:w w:val="88"/>
              </w:rPr>
              <w:t>33 1/3%</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60" w:type="dxa"/>
            <w:vAlign w:val="bottom"/>
            <w:gridSpan w:val="3"/>
          </w:tcPr>
          <w:p>
            <w:pPr>
              <w:jc w:val="center"/>
              <w:ind w:right="1900"/>
              <w:spacing w:after="0"/>
              <w:rPr>
                <w:sz w:val="20"/>
                <w:szCs w:val="20"/>
                <w:color w:val="auto"/>
              </w:rPr>
            </w:pPr>
            <w:r>
              <w:rPr>
                <w:rFonts w:ascii="Arial" w:cs="Arial" w:eastAsia="Arial" w:hAnsi="Arial"/>
                <w:sz w:val="16"/>
                <w:szCs w:val="16"/>
                <w:color w:val="auto"/>
                <w:w w:val="87"/>
              </w:rPr>
              <w:t>October 10, 2025</w:t>
            </w:r>
          </w:p>
        </w:tc>
        <w:tc>
          <w:tcPr>
            <w:tcW w:w="3960" w:type="dxa"/>
            <w:vAlign w:val="bottom"/>
            <w:gridSpan w:val="2"/>
          </w:tcPr>
          <w:p>
            <w:pPr>
              <w:jc w:val="center"/>
              <w:ind w:left="1362"/>
              <w:spacing w:after="0"/>
              <w:rPr>
                <w:sz w:val="20"/>
                <w:szCs w:val="20"/>
                <w:color w:val="auto"/>
              </w:rPr>
            </w:pPr>
            <w:r>
              <w:rPr>
                <w:rFonts w:ascii="Arial" w:cs="Arial" w:eastAsia="Arial" w:hAnsi="Arial"/>
                <w:sz w:val="16"/>
                <w:szCs w:val="16"/>
                <w:color w:val="auto"/>
                <w:w w:val="88"/>
              </w:rPr>
              <w:t>33 1/3%</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60" w:type="dxa"/>
            <w:vAlign w:val="bottom"/>
            <w:gridSpan w:val="3"/>
          </w:tcPr>
          <w:p>
            <w:pPr>
              <w:jc w:val="center"/>
              <w:ind w:right="1900"/>
              <w:spacing w:after="0"/>
              <w:rPr>
                <w:sz w:val="20"/>
                <w:szCs w:val="20"/>
                <w:color w:val="auto"/>
              </w:rPr>
            </w:pPr>
            <w:r>
              <w:rPr>
                <w:rFonts w:ascii="Arial" w:cs="Arial" w:eastAsia="Arial" w:hAnsi="Arial"/>
                <w:sz w:val="16"/>
                <w:szCs w:val="16"/>
                <w:color w:val="auto"/>
                <w:w w:val="87"/>
              </w:rPr>
              <w:t>October 10, 2026</w:t>
            </w:r>
          </w:p>
        </w:tc>
        <w:tc>
          <w:tcPr>
            <w:tcW w:w="3960" w:type="dxa"/>
            <w:vAlign w:val="bottom"/>
            <w:gridSpan w:val="2"/>
          </w:tcPr>
          <w:p>
            <w:pPr>
              <w:jc w:val="center"/>
              <w:ind w:left="1362"/>
              <w:spacing w:after="0"/>
              <w:rPr>
                <w:sz w:val="20"/>
                <w:szCs w:val="20"/>
                <w:color w:val="auto"/>
              </w:rPr>
            </w:pPr>
            <w:r>
              <w:rPr>
                <w:rFonts w:ascii="Arial" w:cs="Arial" w:eastAsia="Arial" w:hAnsi="Arial"/>
                <w:sz w:val="16"/>
                <w:szCs w:val="16"/>
                <w:color w:val="auto"/>
                <w:w w:val="88"/>
              </w:rPr>
              <w:t>33 1/3%</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By logging into and accepting this Agreement through your account with E*TRADE, you acknowledge and agree (A) to be bound by all of the terms and conditions of this Agreement and in the Plan document and (B) that you have received and reviewed these documents and that they set forth the entire agreement between you and the Company regarding your right to purchase shares of the Company’s common stock pursuant to this Option.</w:t>
      </w:r>
    </w:p>
    <w:p>
      <w:pPr>
        <w:sectPr>
          <w:pgSz w:w="11900" w:h="16838" w:orient="portrait"/>
          <w:cols w:equalWidth="0" w:num="1">
            <w:col w:w="11280"/>
          </w:cols>
          <w:pgMar w:left="300" w:top="108" w:right="319" w:bottom="1440" w:gutter="0" w:footer="0" w:header="0"/>
        </w:sectPr>
      </w:pPr>
    </w:p>
    <w:bookmarkStart w:id="70" w:name="page71"/>
    <w:bookmarkEnd w:id="70"/>
    <w:p>
      <w:pPr>
        <w:ind w:left="4440"/>
        <w:spacing w:after="0"/>
        <w:rPr>
          <w:sz w:val="20"/>
          <w:szCs w:val="20"/>
          <w:color w:val="auto"/>
        </w:rPr>
      </w:pPr>
      <w:r>
        <w:rPr>
          <w:rFonts w:ascii="Arial" w:cs="Arial" w:eastAsia="Arial" w:hAnsi="Arial"/>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2019 OMNIBUS INCENTIVE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Non-Qualified Stock Option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Terms and Conditions</w:t>
      </w:r>
    </w:p>
    <w:p>
      <w:pPr>
        <w:spacing w:after="0" w:line="315" w:lineRule="exact"/>
        <w:rPr>
          <w:sz w:val="20"/>
          <w:szCs w:val="20"/>
          <w:color w:val="auto"/>
        </w:rPr>
      </w:pPr>
    </w:p>
    <w:p>
      <w:pPr>
        <w:ind w:firstLine="5"/>
        <w:spacing w:after="0" w:line="273" w:lineRule="auto"/>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Agreement, the definitions of terms contained in the Plan hereby are incorporated by reference, except to the extent that any such term is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defined in this Agreement.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shall have the meaning set forth in your change in control agreement, if applicable.</w:t>
      </w:r>
    </w:p>
    <w:p>
      <w:pPr>
        <w:spacing w:after="0" w:line="177" w:lineRule="exact"/>
        <w:rPr>
          <w:sz w:val="20"/>
          <w:szCs w:val="20"/>
          <w:color w:val="auto"/>
        </w:rPr>
      </w:pPr>
    </w:p>
    <w:p>
      <w:pPr>
        <w:ind w:left="280" w:hanging="275"/>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AND EXERCISABILITY OF OPTION</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firstLine="514"/>
        <w:spacing w:after="0" w:line="256" w:lineRule="auto"/>
        <w:tabs>
          <w:tab w:leader="none" w:pos="86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Scheduled Vesting</w:t>
      </w:r>
      <w:r>
        <w:rPr>
          <w:rFonts w:ascii="Arial" w:cs="Arial" w:eastAsia="Arial" w:hAnsi="Arial"/>
          <w:sz w:val="16"/>
          <w:szCs w:val="16"/>
          <w:color w:val="auto"/>
        </w:rPr>
        <w:t>. This Option will vest and become exercisable as to the number of Shares and on the dates specified in the Vesting and Exercise Schedule on the cover page to this Agreement, so long as your Service to the Company does not end. The Vesting and Exercise Schedule is cumulative, meaning that to the extent the Option has not already been exercised and has not expired or been terminated or cancelled, you or the person otherwise entitled to exercise the Option as provided in this Agreement may at any time purchase all or any portion of the Shares subject to the vested portion of the Option. This Option shall not be exercisable under any circumstances after the expiration of ten (10) years from the date this Option is granted.</w:t>
      </w:r>
    </w:p>
    <w:p>
      <w:pPr>
        <w:spacing w:after="0" w:line="164" w:lineRule="exact"/>
        <w:rPr>
          <w:rFonts w:ascii="Arial" w:cs="Arial" w:eastAsia="Arial" w:hAnsi="Arial"/>
          <w:sz w:val="16"/>
          <w:szCs w:val="16"/>
          <w:color w:val="auto"/>
        </w:rPr>
      </w:pPr>
    </w:p>
    <w:p>
      <w:pPr>
        <w:ind w:left="860" w:hanging="346"/>
        <w:spacing w:after="0"/>
        <w:tabs>
          <w:tab w:leader="none" w:pos="86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540" w:hanging="517"/>
        <w:spacing w:after="0" w:line="264" w:lineRule="auto"/>
        <w:tabs>
          <w:tab w:leader="none" w:pos="1292" w:val="left"/>
        </w:tabs>
        <w:numPr>
          <w:ilvl w:val="2"/>
          <w:numId w:val="35"/>
        </w:numPr>
        <w:rPr>
          <w:rFonts w:ascii="Arial" w:cs="Arial" w:eastAsia="Arial" w:hAnsi="Arial"/>
          <w:sz w:val="16"/>
          <w:szCs w:val="16"/>
          <w:color w:val="auto"/>
        </w:rPr>
      </w:pPr>
      <w:r>
        <w:rPr>
          <w:rFonts w:ascii="Arial" w:cs="Arial" w:eastAsia="Arial" w:hAnsi="Arial"/>
          <w:sz w:val="16"/>
          <w:szCs w:val="16"/>
          <w:color w:val="auto"/>
        </w:rPr>
        <w:t>If a Change in Control occurs prior to the final scheduled vesting date specified in the Vesting and Exercise Schedule on the cover page to this Agreement and your Service continues to the date of the Change in Control, the provisions of Section 12 of the Plan shall apply, including those providing for benefits upon termination of Service for Good Reason.</w:t>
      </w:r>
    </w:p>
    <w:p>
      <w:pPr>
        <w:spacing w:after="0" w:line="146" w:lineRule="exact"/>
        <w:rPr>
          <w:rFonts w:ascii="Arial" w:cs="Arial" w:eastAsia="Arial" w:hAnsi="Arial"/>
          <w:sz w:val="16"/>
          <w:szCs w:val="16"/>
          <w:color w:val="auto"/>
        </w:rPr>
      </w:pPr>
    </w:p>
    <w:p>
      <w:pPr>
        <w:ind w:left="1540" w:hanging="517"/>
        <w:spacing w:after="0" w:line="337" w:lineRule="auto"/>
        <w:tabs>
          <w:tab w:leader="none" w:pos="1338" w:val="left"/>
        </w:tabs>
        <w:numPr>
          <w:ilvl w:val="2"/>
          <w:numId w:val="35"/>
        </w:numPr>
        <w:rPr>
          <w:rFonts w:ascii="Arial" w:cs="Arial" w:eastAsia="Arial" w:hAnsi="Arial"/>
          <w:sz w:val="14"/>
          <w:szCs w:val="14"/>
          <w:color w:val="auto"/>
        </w:rPr>
      </w:pPr>
      <w:r>
        <w:rPr>
          <w:rFonts w:ascii="Arial" w:cs="Arial" w:eastAsia="Arial" w:hAnsi="Arial"/>
          <w:sz w:val="14"/>
          <w:szCs w:val="14"/>
          <w:color w:val="auto"/>
        </w:rPr>
        <w:t>If your Service terminates prior to the final scheduled vesting date specified in the Vesting and Exercise Schedule on the cover page to this Agreement due to your death or Disability, then any unvested portion of the Option subject to this Agreement shall vest as of such termination date.</w:t>
      </w:r>
    </w:p>
    <w:p>
      <w:pPr>
        <w:spacing w:after="0" w:line="110" w:lineRule="exact"/>
        <w:rPr>
          <w:rFonts w:ascii="Arial" w:cs="Arial" w:eastAsia="Arial" w:hAnsi="Arial"/>
          <w:sz w:val="14"/>
          <w:szCs w:val="14"/>
          <w:color w:val="auto"/>
        </w:rPr>
      </w:pPr>
    </w:p>
    <w:p>
      <w:pPr>
        <w:ind w:left="1540" w:hanging="517"/>
        <w:spacing w:after="0" w:line="301" w:lineRule="auto"/>
        <w:tabs>
          <w:tab w:leader="none" w:pos="1399" w:val="left"/>
        </w:tabs>
        <w:numPr>
          <w:ilvl w:val="2"/>
          <w:numId w:val="35"/>
        </w:numPr>
        <w:rPr>
          <w:rFonts w:ascii="Arial" w:cs="Arial" w:eastAsia="Arial" w:hAnsi="Arial"/>
          <w:sz w:val="14"/>
          <w:szCs w:val="14"/>
          <w:color w:val="auto"/>
        </w:rPr>
      </w:pPr>
      <w:r>
        <w:rPr>
          <w:rFonts w:ascii="Arial" w:cs="Arial" w:eastAsia="Arial" w:hAnsi="Arial"/>
          <w:sz w:val="14"/>
          <w:szCs w:val="14"/>
          <w:color w:val="auto"/>
        </w:rPr>
        <w:t>If, due to Retirement, your Service terminates at least twelve (12) months after the Grant Date and prior to the final scheduled vesting date specified in the Vesting and Exercise Schedule on the cover page to this Agreement, then any unvested portion of the Option subject to this Agreement shall vest as of such termination date.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w:t>
      </w:r>
    </w:p>
    <w:p>
      <w:pPr>
        <w:sectPr>
          <w:pgSz w:w="11900" w:h="16838" w:orient="portrait"/>
          <w:cols w:equalWidth="0" w:num="1">
            <w:col w:w="11280"/>
          </w:cols>
          <w:pgMar w:left="300" w:top="1341" w:right="319" w:bottom="1440" w:gutter="0" w:footer="0" w:header="0"/>
        </w:sectPr>
      </w:pPr>
    </w:p>
    <w:bookmarkStart w:id="71" w:name="page72"/>
    <w:bookmarkEnd w:id="71"/>
    <w:p>
      <w:pPr>
        <w:ind w:left="1540"/>
        <w:spacing w:after="0"/>
        <w:rPr>
          <w:sz w:val="20"/>
          <w:szCs w:val="20"/>
          <w:color w:val="auto"/>
        </w:rPr>
      </w:pPr>
      <w:r>
        <w:rPr>
          <w:rFonts w:ascii="Arial" w:cs="Arial" w:eastAsia="Arial" w:hAnsi="Arial"/>
          <w:sz w:val="16"/>
          <w:szCs w:val="16"/>
          <w:color w:val="auto"/>
        </w:rPr>
        <w:t>entity prior to such entity becoming an Affiliate will not count towards your Service measurement.</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Notwithstanding the vesting and exercise of any part of this Option, this Option and any Share issued pursuant to an exercise of this Option shall remain subject to the provisions of Section 16(i) of the Plan.</w:t>
      </w:r>
    </w:p>
    <w:p>
      <w:pPr>
        <w:spacing w:after="0" w:line="129" w:lineRule="exact"/>
        <w:rPr>
          <w:sz w:val="20"/>
          <w:szCs w:val="20"/>
          <w:color w:val="auto"/>
        </w:rPr>
      </w:pPr>
    </w:p>
    <w:p>
      <w:pPr>
        <w:ind w:left="280" w:hanging="275"/>
        <w:spacing w:after="0"/>
        <w:tabs>
          <w:tab w:leader="none" w:pos="280" w:val="left"/>
        </w:tabs>
        <w:numPr>
          <w:ilvl w:val="0"/>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EXPIRATION</w:t>
      </w:r>
      <w:r>
        <w:rPr>
          <w:rFonts w:ascii="Arial" w:cs="Arial" w:eastAsia="Arial" w:hAnsi="Arial"/>
          <w:sz w:val="14"/>
          <w:szCs w:val="14"/>
          <w:color w:val="auto"/>
        </w:rPr>
        <w:t>. This Option, including the vested and exercisable portions hereof, will expire and will no longer be exercisable at 5:00 p.m. Central Time on the earliest of:</w:t>
      </w:r>
    </w:p>
    <w:p>
      <w:pPr>
        <w:spacing w:after="0" w:line="99" w:lineRule="exact"/>
        <w:rPr>
          <w:rFonts w:ascii="Arial" w:cs="Arial" w:eastAsia="Arial" w:hAnsi="Arial"/>
          <w:sz w:val="14"/>
          <w:szCs w:val="14"/>
          <w:color w:val="auto"/>
        </w:rPr>
      </w:pPr>
    </w:p>
    <w:p>
      <w:pPr>
        <w:ind w:left="1020" w:hanging="506"/>
        <w:spacing w:after="0"/>
        <w:tabs>
          <w:tab w:leader="none" w:pos="1020" w:val="left"/>
        </w:tabs>
        <w:numPr>
          <w:ilvl w:val="4"/>
          <w:numId w:val="36"/>
        </w:numPr>
        <w:rPr>
          <w:rFonts w:ascii="Arial" w:cs="Arial" w:eastAsia="Arial" w:hAnsi="Arial"/>
          <w:sz w:val="16"/>
          <w:szCs w:val="16"/>
          <w:color w:val="auto"/>
        </w:rPr>
      </w:pPr>
      <w:r>
        <w:rPr>
          <w:rFonts w:ascii="Arial" w:cs="Arial" w:eastAsia="Arial" w:hAnsi="Arial"/>
          <w:sz w:val="16"/>
          <w:szCs w:val="16"/>
          <w:color w:val="auto"/>
        </w:rPr>
        <w:t>The ten (10) year anniversary of the date this option is granted;</w:t>
      </w:r>
    </w:p>
    <w:p>
      <w:pPr>
        <w:spacing w:after="0" w:line="60" w:lineRule="exact"/>
        <w:rPr>
          <w:rFonts w:ascii="Arial" w:cs="Arial" w:eastAsia="Arial" w:hAnsi="Arial"/>
          <w:sz w:val="16"/>
          <w:szCs w:val="16"/>
          <w:color w:val="auto"/>
        </w:rPr>
      </w:pPr>
    </w:p>
    <w:p>
      <w:pPr>
        <w:ind w:left="1020" w:hanging="506"/>
        <w:spacing w:after="0"/>
        <w:tabs>
          <w:tab w:leader="none" w:pos="1020" w:val="left"/>
        </w:tabs>
        <w:numPr>
          <w:ilvl w:val="4"/>
          <w:numId w:val="36"/>
        </w:numPr>
        <w:rPr>
          <w:rFonts w:ascii="Arial" w:cs="Arial" w:eastAsia="Arial" w:hAnsi="Arial"/>
          <w:sz w:val="16"/>
          <w:szCs w:val="16"/>
          <w:color w:val="auto"/>
        </w:rPr>
      </w:pPr>
      <w:r>
        <w:rPr>
          <w:rFonts w:ascii="Arial" w:cs="Arial" w:eastAsia="Arial" w:hAnsi="Arial"/>
          <w:sz w:val="16"/>
          <w:szCs w:val="16"/>
          <w:color w:val="auto"/>
        </w:rPr>
        <w:t>Upon your termination of Service for Cause;</w:t>
      </w:r>
    </w:p>
    <w:p>
      <w:pPr>
        <w:spacing w:after="0" w:line="60" w:lineRule="exact"/>
        <w:rPr>
          <w:rFonts w:ascii="Arial" w:cs="Arial" w:eastAsia="Arial" w:hAnsi="Arial"/>
          <w:sz w:val="16"/>
          <w:szCs w:val="16"/>
          <w:color w:val="auto"/>
        </w:rPr>
      </w:pPr>
    </w:p>
    <w:p>
      <w:pPr>
        <w:ind w:left="1020" w:hanging="506"/>
        <w:spacing w:after="0"/>
        <w:tabs>
          <w:tab w:leader="none" w:pos="1020" w:val="left"/>
        </w:tabs>
        <w:numPr>
          <w:ilvl w:val="4"/>
          <w:numId w:val="36"/>
        </w:numPr>
        <w:rPr>
          <w:rFonts w:ascii="Arial" w:cs="Arial" w:eastAsia="Arial" w:hAnsi="Arial"/>
          <w:sz w:val="16"/>
          <w:szCs w:val="16"/>
          <w:color w:val="auto"/>
        </w:rPr>
      </w:pPr>
      <w:r>
        <w:rPr>
          <w:rFonts w:ascii="Arial" w:cs="Arial" w:eastAsia="Arial" w:hAnsi="Arial"/>
          <w:sz w:val="16"/>
          <w:szCs w:val="16"/>
          <w:color w:val="auto"/>
        </w:rPr>
        <w:t>Upon the one year anniversary of the date of your termination of Service due to death or Disability or a Retirement;</w:t>
      </w:r>
    </w:p>
    <w:p>
      <w:pPr>
        <w:spacing w:after="0" w:line="49" w:lineRule="exact"/>
        <w:rPr>
          <w:rFonts w:ascii="Arial" w:cs="Arial" w:eastAsia="Arial" w:hAnsi="Arial"/>
          <w:sz w:val="16"/>
          <w:szCs w:val="16"/>
          <w:color w:val="auto"/>
        </w:rPr>
      </w:pPr>
    </w:p>
    <w:p>
      <w:pPr>
        <w:ind w:left="1020" w:hanging="506"/>
        <w:spacing w:after="0"/>
        <w:tabs>
          <w:tab w:leader="none" w:pos="1020" w:val="left"/>
        </w:tabs>
        <w:numPr>
          <w:ilvl w:val="4"/>
          <w:numId w:val="36"/>
        </w:numPr>
        <w:rPr>
          <w:rFonts w:ascii="Arial" w:cs="Arial" w:eastAsia="Arial" w:hAnsi="Arial"/>
          <w:sz w:val="14"/>
          <w:szCs w:val="14"/>
          <w:color w:val="auto"/>
        </w:rPr>
      </w:pPr>
      <w:r>
        <w:rPr>
          <w:rFonts w:ascii="Arial" w:cs="Arial" w:eastAsia="Arial" w:hAnsi="Arial"/>
          <w:sz w:val="14"/>
          <w:szCs w:val="14"/>
          <w:color w:val="auto"/>
        </w:rPr>
        <w:t>Upon the three month anniversary of the date of your termination of Service due to any reason other than Cause, Retirement, death or Disability; or</w:t>
      </w:r>
    </w:p>
    <w:p>
      <w:pPr>
        <w:spacing w:after="0" w:line="104" w:lineRule="exact"/>
        <w:rPr>
          <w:rFonts w:ascii="Arial" w:cs="Arial" w:eastAsia="Arial" w:hAnsi="Arial"/>
          <w:sz w:val="14"/>
          <w:szCs w:val="14"/>
          <w:color w:val="auto"/>
        </w:rPr>
      </w:pPr>
    </w:p>
    <w:p>
      <w:pPr>
        <w:ind w:left="840" w:hanging="326"/>
        <w:spacing w:after="0"/>
        <w:tabs>
          <w:tab w:leader="none" w:pos="840" w:val="left"/>
        </w:tabs>
        <w:numPr>
          <w:ilvl w:val="4"/>
          <w:numId w:val="36"/>
        </w:numPr>
        <w:rPr>
          <w:rFonts w:ascii="Arial" w:cs="Arial" w:eastAsia="Arial" w:hAnsi="Arial"/>
          <w:sz w:val="16"/>
          <w:szCs w:val="16"/>
          <w:color w:val="auto"/>
        </w:rPr>
      </w:pPr>
      <w:r>
        <w:rPr>
          <w:rFonts w:ascii="Arial" w:cs="Arial" w:eastAsia="Arial" w:hAnsi="Arial"/>
          <w:sz w:val="16"/>
          <w:szCs w:val="16"/>
          <w:color w:val="auto"/>
        </w:rPr>
        <w:t>The date (if any) fixed for termination or cancellation of this Option pursuant to Section 12 of the Plan.</w:t>
      </w:r>
    </w:p>
    <w:p>
      <w:pPr>
        <w:spacing w:after="0" w:line="170" w:lineRule="exact"/>
        <w:rPr>
          <w:rFonts w:ascii="Arial" w:cs="Arial" w:eastAsia="Arial" w:hAnsi="Arial"/>
          <w:sz w:val="16"/>
          <w:szCs w:val="16"/>
          <w:color w:val="auto"/>
        </w:rPr>
      </w:pPr>
    </w:p>
    <w:p>
      <w:pPr>
        <w:ind w:left="280" w:hanging="275"/>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EXERCISING THE OPTION</w:t>
      </w:r>
      <w:r>
        <w:rPr>
          <w:rFonts w:ascii="Arial" w:cs="Arial" w:eastAsia="Arial" w:hAnsi="Arial"/>
          <w:sz w:val="16"/>
          <w:szCs w:val="16"/>
          <w:color w:val="auto"/>
        </w:rPr>
        <w:t>.</w:t>
      </w:r>
    </w:p>
    <w:p>
      <w:pPr>
        <w:spacing w:after="0" w:line="208" w:lineRule="exact"/>
        <w:rPr>
          <w:rFonts w:ascii="Arial" w:cs="Arial" w:eastAsia="Arial" w:hAnsi="Arial"/>
          <w:sz w:val="16"/>
          <w:szCs w:val="16"/>
          <w:color w:val="auto"/>
        </w:rPr>
      </w:pPr>
    </w:p>
    <w:p>
      <w:pPr>
        <w:ind w:firstLine="187"/>
        <w:spacing w:after="0" w:line="273" w:lineRule="auto"/>
        <w:tabs>
          <w:tab w:leader="none" w:pos="537" w:val="left"/>
        </w:tabs>
        <w:numPr>
          <w:ilvl w:val="2"/>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Minimum Shares</w:t>
      </w:r>
      <w:r>
        <w:rPr>
          <w:rFonts w:ascii="Arial" w:cs="Arial" w:eastAsia="Arial" w:hAnsi="Arial"/>
          <w:sz w:val="16"/>
          <w:szCs w:val="16"/>
          <w:color w:val="auto"/>
        </w:rPr>
        <w:t>. This Option may be exercised in whole or in part, but not for less than 100 shares at any one time, unless fewer than 100 Shares are then purchasable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Option and the Option is then being exercised as to all such Shares.</w:t>
      </w:r>
    </w:p>
    <w:p>
      <w:pPr>
        <w:spacing w:after="0" w:line="162" w:lineRule="exact"/>
        <w:rPr>
          <w:rFonts w:ascii="Arial" w:cs="Arial" w:eastAsia="Arial" w:hAnsi="Arial"/>
          <w:sz w:val="16"/>
          <w:szCs w:val="16"/>
          <w:color w:val="auto"/>
        </w:rPr>
      </w:pPr>
    </w:p>
    <w:p>
      <w:pPr>
        <w:jc w:val="both"/>
        <w:ind w:firstLine="160"/>
        <w:spacing w:after="0" w:line="300" w:lineRule="auto"/>
        <w:tabs>
          <w:tab w:leader="none" w:pos="492" w:val="left"/>
        </w:tabs>
        <w:numPr>
          <w:ilvl w:val="1"/>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Written Notice</w:t>
      </w:r>
      <w:r>
        <w:rPr>
          <w:rFonts w:ascii="Arial" w:cs="Arial" w:eastAsia="Arial" w:hAnsi="Arial"/>
          <w:sz w:val="14"/>
          <w:szCs w:val="14"/>
          <w:color w:val="auto"/>
        </w:rPr>
        <w:t>. The</w:t>
      </w:r>
      <w:r>
        <w:rPr>
          <w:rFonts w:ascii="Arial" w:cs="Arial" w:eastAsia="Arial" w:hAnsi="Arial"/>
          <w:sz w:val="14"/>
          <w:szCs w:val="14"/>
          <w:b w:val="1"/>
          <w:bCs w:val="1"/>
          <w:color w:val="auto"/>
        </w:rPr>
        <w:t xml:space="preserve"> </w:t>
      </w:r>
      <w:r>
        <w:rPr>
          <w:rFonts w:ascii="Arial" w:cs="Arial" w:eastAsia="Arial" w:hAnsi="Arial"/>
          <w:sz w:val="14"/>
          <w:szCs w:val="14"/>
          <w:color w:val="auto"/>
        </w:rPr>
        <w:t>vested and exercisable portion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Option may be exercised by giving written notice to the Company, addressed to the attention of the Secretary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Such notice shall be in such form as may be approved by the Company and shall state, among other things, the number of shares of Common Stock to be purchased, and must be signed or otherwise authenticated by the person entitled to exercise the Option and, if being exercised by any person other you, be accompanied by proof, satisfactory to counsel for the Company, of the right of such person to exercise the Option. After the person exercising this Option has obtained approval from the Secretary of the Company to exercise some or all of the Option, he or she is required to deliver an electronic notice of exercise to the third-party stock plan administrator retained by the Company (which electronic notice will be in such form as may be approved by the Company, including (but not limited to) the following information: the number of shares of Common Stock to be purchased, the person(s) in whose name the stock certificate for the Shares is to be registered together with other identifying information relating to such holder, and the manner in which the exercise price will be paid). The electronic notice must be authenticated by the person exercising this Option.</w:t>
      </w:r>
    </w:p>
    <w:p>
      <w:pPr>
        <w:spacing w:after="0" w:line="143" w:lineRule="exact"/>
        <w:rPr>
          <w:rFonts w:ascii="Arial" w:cs="Arial" w:eastAsia="Arial" w:hAnsi="Arial"/>
          <w:sz w:val="14"/>
          <w:szCs w:val="14"/>
          <w:color w:val="auto"/>
        </w:rPr>
      </w:pPr>
    </w:p>
    <w:p>
      <w:pPr>
        <w:jc w:val="both"/>
        <w:ind w:firstLine="198"/>
        <w:spacing w:after="0" w:line="297" w:lineRule="auto"/>
        <w:tabs>
          <w:tab w:leader="none" w:pos="558" w:val="left"/>
        </w:tabs>
        <w:numPr>
          <w:ilvl w:val="3"/>
          <w:numId w:val="36"/>
        </w:numPr>
        <w:rPr>
          <w:rFonts w:ascii="Arial" w:cs="Arial" w:eastAsia="Arial" w:hAnsi="Arial"/>
          <w:sz w:val="14"/>
          <w:szCs w:val="14"/>
          <w:color w:val="auto"/>
        </w:rPr>
      </w:pPr>
      <w:r>
        <w:rPr>
          <w:rFonts w:ascii="Arial" w:cs="Arial" w:eastAsia="Arial" w:hAnsi="Arial"/>
          <w:sz w:val="14"/>
          <w:szCs w:val="14"/>
          <w:b w:val="1"/>
          <w:bCs w:val="1"/>
          <w:u w:val="single" w:color="auto"/>
          <w:color w:val="auto"/>
        </w:rPr>
        <w:t>Payment of Exercise Price</w:t>
      </w:r>
      <w:r>
        <w:rPr>
          <w:rFonts w:ascii="Arial" w:cs="Arial" w:eastAsia="Arial" w:hAnsi="Arial"/>
          <w:sz w:val="14"/>
          <w:szCs w:val="14"/>
          <w:color w:val="auto"/>
        </w:rPr>
        <w:t>. The Exercise Price plus any applicable withholding or other compensation taxes, commissions and fees payable upon exercise of all or any</w:t>
      </w:r>
      <w:r>
        <w:rPr>
          <w:rFonts w:ascii="Arial" w:cs="Arial" w:eastAsia="Arial" w:hAnsi="Arial"/>
          <w:sz w:val="14"/>
          <w:szCs w:val="14"/>
          <w:b w:val="1"/>
          <w:bCs w:val="1"/>
          <w:color w:val="auto"/>
        </w:rPr>
        <w:t xml:space="preserve"> </w:t>
      </w:r>
      <w:r>
        <w:rPr>
          <w:rFonts w:ascii="Arial" w:cs="Arial" w:eastAsia="Arial" w:hAnsi="Arial"/>
          <w:sz w:val="14"/>
          <w:szCs w:val="14"/>
          <w:color w:val="auto"/>
        </w:rPr>
        <w:t>portion of the Shares subject to this Option shall be payable to the Company in full through one or a combination of the following methods or other methods that may be approved</w:t>
      </w:r>
    </w:p>
    <w:p>
      <w:pPr>
        <w:spacing w:after="0" w:line="237" w:lineRule="auto"/>
        <w:rPr>
          <w:sz w:val="20"/>
          <w:szCs w:val="20"/>
          <w:color w:val="auto"/>
        </w:rPr>
      </w:pPr>
      <w:r>
        <w:rPr>
          <w:rFonts w:ascii="Arial" w:cs="Arial" w:eastAsia="Arial" w:hAnsi="Arial"/>
          <w:sz w:val="16"/>
          <w:szCs w:val="16"/>
          <w:color w:val="auto"/>
        </w:rPr>
        <w:t>by the Committee in writing from time to time:</w:t>
      </w:r>
    </w:p>
    <w:p>
      <w:pPr>
        <w:ind w:left="1540" w:hanging="262"/>
        <w:spacing w:after="0" w:line="272" w:lineRule="auto"/>
        <w:tabs>
          <w:tab w:leader="none" w:pos="1537"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“Cash Transfer” from your stock brokerage account at least 2 days prior to settlement, you shall submit payment of the aggregate amount of the Exercise Price as well as all applicable withholding or other compensation taxes, commissions and fees to your brokerage account to cover costs; and/or</w:t>
      </w:r>
    </w:p>
    <w:p>
      <w:pPr>
        <w:sectPr>
          <w:pgSz w:w="11900" w:h="16838" w:orient="portrait"/>
          <w:cols w:equalWidth="0" w:num="1">
            <w:col w:w="11280"/>
          </w:cols>
          <w:pgMar w:left="300" w:top="1156" w:right="319" w:bottom="1440" w:gutter="0" w:footer="0" w:header="0"/>
        </w:sectPr>
      </w:pPr>
    </w:p>
    <w:bookmarkStart w:id="72" w:name="page73"/>
    <w:bookmarkEnd w:id="72"/>
    <w:p>
      <w:pPr>
        <w:jc w:val="both"/>
        <w:ind w:left="1540" w:hanging="262"/>
        <w:spacing w:after="0" w:line="219" w:lineRule="auto"/>
        <w:tabs>
          <w:tab w:leader="none" w:pos="15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 Withholding” whereby you authorize the Company to retain, from the total number of Shares as to which the Option is being exercised, that number of Shares having a Fair Market Value on the date of exercise equal to the aggregate exercise price and the amount of any compensation taxes, commissions and fees due relating to such exercise.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the event you do not elect a payment method, the “Share Withholding” method shall apply automatically.</w:t>
      </w:r>
    </w:p>
    <w:p>
      <w:pPr>
        <w:spacing w:after="0" w:line="160" w:lineRule="exact"/>
        <w:rPr>
          <w:sz w:val="20"/>
          <w:szCs w:val="20"/>
          <w:color w:val="auto"/>
        </w:rPr>
      </w:pPr>
    </w:p>
    <w:p>
      <w:pPr>
        <w:jc w:val="both"/>
        <w:ind w:firstLine="166"/>
        <w:spacing w:after="0" w:line="315" w:lineRule="auto"/>
        <w:tabs>
          <w:tab w:leader="none" w:pos="503" w:val="left"/>
        </w:tabs>
        <w:numPr>
          <w:ilvl w:val="1"/>
          <w:numId w:val="39"/>
        </w:numPr>
        <w:rPr>
          <w:rFonts w:ascii="Arial" w:cs="Arial" w:eastAsia="Arial" w:hAnsi="Arial"/>
          <w:sz w:val="14"/>
          <w:szCs w:val="14"/>
          <w:color w:val="auto"/>
        </w:rPr>
      </w:pPr>
      <w:r>
        <w:rPr>
          <w:rFonts w:ascii="Arial" w:cs="Arial" w:eastAsia="Arial" w:hAnsi="Arial"/>
          <w:sz w:val="14"/>
          <w:szCs w:val="14"/>
          <w:b w:val="1"/>
          <w:bCs w:val="1"/>
          <w:u w:val="single" w:color="auto"/>
          <w:color w:val="auto"/>
        </w:rPr>
        <w:t>Withholding Taxes</w:t>
      </w:r>
      <w:r>
        <w:rPr>
          <w:rFonts w:ascii="Arial" w:cs="Arial" w:eastAsia="Arial" w:hAnsi="Arial"/>
          <w:sz w:val="14"/>
          <w:szCs w:val="14"/>
          <w:color w:val="auto"/>
        </w:rPr>
        <w:t>. You may not exercise this Option in whole or in part unless you make arrangements acceptable to the Company for payment of any federal, state, local</w:t>
      </w:r>
      <w:r>
        <w:rPr>
          <w:rFonts w:ascii="Arial" w:cs="Arial" w:eastAsia="Arial" w:hAnsi="Arial"/>
          <w:sz w:val="14"/>
          <w:szCs w:val="14"/>
          <w:b w:val="1"/>
          <w:bCs w:val="1"/>
          <w:color w:val="auto"/>
        </w:rPr>
        <w:t xml:space="preserve"> </w:t>
      </w:r>
      <w:r>
        <w:rPr>
          <w:rFonts w:ascii="Arial" w:cs="Arial" w:eastAsia="Arial" w:hAnsi="Arial"/>
          <w:sz w:val="14"/>
          <w:szCs w:val="14"/>
          <w:color w:val="auto"/>
        </w:rPr>
        <w:t>or foreign withholding taxes that may be due as a result of the exercise of this Option. Withholding taxes shall be payable by you in accordance with the election(s) you make pursuant to Section 4(c) above. Delivery of Shares upon exercise of this Option is subject to the satisfaction of applicable withholding tax obligations.</w:t>
      </w:r>
    </w:p>
    <w:p>
      <w:pPr>
        <w:spacing w:after="0" w:line="140" w:lineRule="exact"/>
        <w:rPr>
          <w:rFonts w:ascii="Arial" w:cs="Arial" w:eastAsia="Arial" w:hAnsi="Arial"/>
          <w:sz w:val="14"/>
          <w:szCs w:val="14"/>
          <w:color w:val="auto"/>
        </w:rPr>
      </w:pPr>
    </w:p>
    <w:p>
      <w:pPr>
        <w:jc w:val="both"/>
        <w:ind w:firstLine="514"/>
        <w:spacing w:after="0" w:line="256" w:lineRule="auto"/>
        <w:tabs>
          <w:tab w:leader="none" w:pos="1011" w:val="left"/>
        </w:tabs>
        <w:numPr>
          <w:ilvl w:val="2"/>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Delivery of Shares</w:t>
      </w:r>
      <w:r>
        <w:rPr>
          <w:rFonts w:ascii="Arial" w:cs="Arial" w:eastAsia="Arial" w:hAnsi="Arial"/>
          <w:sz w:val="16"/>
          <w:szCs w:val="16"/>
          <w:color w:val="auto"/>
        </w:rPr>
        <w:t>. As promptly as practicable after receipt of such written notice, required representations, and payment, the Company shall cause to be issued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to you or the person permitted to exercise this Option under the Plan cause to be issued and delivered to you (or to your personal representative or your designated beneficiary or estate in the event of your death, as applicable) delivery of the Shares so purchased, which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4(d) above and compliance with all applicable legal requirements as provided in Section 16 of the Plan.</w:t>
      </w:r>
    </w:p>
    <w:p>
      <w:pPr>
        <w:spacing w:after="0" w:line="180" w:lineRule="exact"/>
        <w:rPr>
          <w:rFonts w:ascii="Arial" w:cs="Arial" w:eastAsia="Arial" w:hAnsi="Arial"/>
          <w:sz w:val="16"/>
          <w:szCs w:val="16"/>
          <w:color w:val="auto"/>
        </w:rPr>
      </w:pPr>
    </w:p>
    <w:p>
      <w:pPr>
        <w:jc w:val="both"/>
        <w:ind w:firstLine="5"/>
        <w:spacing w:after="0" w:line="258" w:lineRule="auto"/>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 OF OPTION</w:t>
      </w:r>
      <w:r>
        <w:rPr>
          <w:rFonts w:ascii="Arial" w:cs="Arial" w:eastAsia="Arial" w:hAnsi="Arial"/>
          <w:sz w:val="16"/>
          <w:szCs w:val="16"/>
          <w:color w:val="auto"/>
        </w:rPr>
        <w:t>. This Option may not be sold, transferred, pledged, assigned or otherwise alienated or hypothecated, other than by will or by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descent and distribution. In the event of your death, the Company shall deliver this Option and/or amounts payable to your designated beneficiary, or if no beneficiary is named, to the executor or administrator of your estate. This Option shall not be subject to any levy, attachment execution or similar process. In the event of any transfer or levy of process upon the rights or interests hereby conferred, the Company may terminate this Option by written notice to you and it shall thereupon become null and void. This Agreement shall be binding upon your beneficiaries and legal representatives, as applicable.</w:t>
      </w:r>
    </w:p>
    <w:p>
      <w:pPr>
        <w:spacing w:after="0" w:line="171" w:lineRule="exact"/>
        <w:rPr>
          <w:rFonts w:ascii="Arial" w:cs="Arial" w:eastAsia="Arial" w:hAnsi="Arial"/>
          <w:sz w:val="16"/>
          <w:szCs w:val="16"/>
          <w:color w:val="auto"/>
        </w:rPr>
      </w:pPr>
    </w:p>
    <w:p>
      <w:pPr>
        <w:jc w:val="both"/>
        <w:ind w:firstLine="5"/>
        <w:spacing w:after="0" w:line="272" w:lineRule="auto"/>
        <w:tabs>
          <w:tab w:leader="none" w:pos="304"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NO STOCKHOLDER RIGHTS BEFORE EXERCISE</w:t>
      </w:r>
      <w:r>
        <w:rPr>
          <w:rFonts w:ascii="Arial" w:cs="Arial" w:eastAsia="Arial" w:hAnsi="Arial"/>
          <w:sz w:val="16"/>
          <w:szCs w:val="16"/>
          <w:color w:val="auto"/>
        </w:rPr>
        <w:t>. Neither you nor any permitted transferee of this Option will have any of the rights of a stockholder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respect to any Shares subject to this Option until a certificate evidencing such Shares has been issued, electronic delivery of such Shares has been made to you or your permitted transferee’s designated brokerage account, or an appropriate book entry in the Company's stock register has been made. No adjustments shall be made for dividends or other rights if the applicable record date occurs before the related stock certificate has been issued, electronic delivery of the Shares has been made to you or your permitted transferee’s designated brokerage account, or an appropriate book entry in the Company's stock register has been made, except as otherwise described in the Plan.</w:t>
      </w:r>
    </w:p>
    <w:p>
      <w:pPr>
        <w:spacing w:after="0" w:line="155" w:lineRule="exact"/>
        <w:rPr>
          <w:rFonts w:ascii="Arial" w:cs="Arial" w:eastAsia="Arial" w:hAnsi="Arial"/>
          <w:sz w:val="16"/>
          <w:szCs w:val="16"/>
          <w:color w:val="auto"/>
        </w:rPr>
      </w:pPr>
    </w:p>
    <w:p>
      <w:pPr>
        <w:jc w:val="both"/>
        <w:ind w:firstLine="5"/>
        <w:spacing w:after="0" w:line="323" w:lineRule="auto"/>
        <w:tabs>
          <w:tab w:leader="none" w:pos="315" w:val="left"/>
        </w:tabs>
        <w:numPr>
          <w:ilvl w:val="0"/>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w:t>
      </w:r>
      <w:r>
        <w:rPr>
          <w:rFonts w:ascii="Arial" w:cs="Arial" w:eastAsia="Arial" w:hAnsi="Arial"/>
          <w:sz w:val="14"/>
          <w:szCs w:val="14"/>
          <w:color w:val="auto"/>
        </w:rPr>
        <w:t>. Every notice or other communication relating to this Agreement shall be in writing and shall be mailed to or delivered (including electronically) to the party for</w:t>
      </w:r>
      <w:r>
        <w:rPr>
          <w:rFonts w:ascii="Arial" w:cs="Arial" w:eastAsia="Arial" w:hAnsi="Arial"/>
          <w:sz w:val="14"/>
          <w:szCs w:val="14"/>
          <w:b w:val="1"/>
          <w:bCs w:val="1"/>
          <w:color w:val="auto"/>
        </w:rPr>
        <w:t xml:space="preserve"> </w:t>
      </w:r>
      <w:r>
        <w:rPr>
          <w:rFonts w:ascii="Arial" w:cs="Arial" w:eastAsia="Arial" w:hAnsi="Arial"/>
          <w:sz w:val="14"/>
          <w:szCs w:val="14"/>
          <w:color w:val="auto"/>
        </w:rPr>
        <w:t>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w:t>
      </w:r>
    </w:p>
    <w:p>
      <w:pPr>
        <w:sectPr>
          <w:pgSz w:w="11900" w:h="16838" w:orient="portrait"/>
          <w:cols w:equalWidth="0" w:num="1">
            <w:col w:w="11280"/>
          </w:cols>
          <w:pgMar w:left="300" w:top="1135" w:right="319" w:bottom="1440" w:gutter="0" w:footer="0" w:header="0"/>
        </w:sectPr>
      </w:pPr>
    </w:p>
    <w:bookmarkStart w:id="73" w:name="page74"/>
    <w:bookmarkEnd w:id="73"/>
    <w:p>
      <w:pPr>
        <w:jc w:val="both"/>
        <w:spacing w:after="0" w:line="264" w:lineRule="auto"/>
        <w:rPr>
          <w:sz w:val="20"/>
          <w:szCs w:val="20"/>
          <w:color w:val="auto"/>
        </w:rPr>
      </w:pPr>
      <w:r>
        <w:rPr>
          <w:rFonts w:ascii="Arial" w:cs="Arial" w:eastAsia="Arial" w:hAnsi="Arial"/>
          <w:sz w:val="16"/>
          <w:szCs w:val="16"/>
          <w:color w:val="auto"/>
        </w:rPr>
        <w:t>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61" w:lineRule="exact"/>
        <w:rPr>
          <w:sz w:val="20"/>
          <w:szCs w:val="20"/>
          <w:color w:val="auto"/>
        </w:rPr>
      </w:pPr>
    </w:p>
    <w:p>
      <w:pPr>
        <w:ind w:left="280" w:hanging="275"/>
        <w:spacing w:after="0"/>
        <w:tabs>
          <w:tab w:leader="none" w:pos="280"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PROVISIONS</w:t>
      </w:r>
      <w:r>
        <w:rPr>
          <w:rFonts w:ascii="Arial" w:cs="Arial" w:eastAsia="Arial" w:hAnsi="Arial"/>
          <w:sz w:val="16"/>
          <w:szCs w:val="16"/>
          <w:color w:val="auto"/>
        </w:rPr>
        <w:t>.</w:t>
      </w:r>
    </w:p>
    <w:p>
      <w:pPr>
        <w:spacing w:after="0" w:line="182" w:lineRule="exact"/>
        <w:rPr>
          <w:rFonts w:ascii="Arial" w:cs="Arial" w:eastAsia="Arial" w:hAnsi="Arial"/>
          <w:sz w:val="16"/>
          <w:szCs w:val="16"/>
          <w:color w:val="auto"/>
        </w:rPr>
      </w:pPr>
    </w:p>
    <w:p>
      <w:pPr>
        <w:ind w:firstLine="514"/>
        <w:spacing w:after="0" w:line="353" w:lineRule="auto"/>
        <w:tabs>
          <w:tab w:leader="none" w:pos="890"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No Right to Continued Service</w:t>
      </w:r>
      <w:r>
        <w:rPr>
          <w:rFonts w:ascii="Arial" w:cs="Arial" w:eastAsia="Arial" w:hAnsi="Arial"/>
          <w:sz w:val="14"/>
          <w:szCs w:val="14"/>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35" w:lineRule="exact"/>
        <w:rPr>
          <w:rFonts w:ascii="Arial" w:cs="Arial" w:eastAsia="Arial" w:hAnsi="Arial"/>
          <w:sz w:val="14"/>
          <w:szCs w:val="14"/>
          <w:color w:val="auto"/>
        </w:rPr>
      </w:pPr>
    </w:p>
    <w:p>
      <w:pPr>
        <w:jc w:val="both"/>
        <w:ind w:firstLine="514"/>
        <w:spacing w:after="0" w:line="257" w:lineRule="auto"/>
        <w:tabs>
          <w:tab w:leader="none" w:pos="88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98" w:lineRule="exact"/>
        <w:rPr>
          <w:rFonts w:ascii="Arial" w:cs="Arial" w:eastAsia="Arial" w:hAnsi="Arial"/>
          <w:sz w:val="16"/>
          <w:szCs w:val="16"/>
          <w:color w:val="auto"/>
        </w:rPr>
      </w:pPr>
    </w:p>
    <w:p>
      <w:pPr>
        <w:ind w:firstLine="514"/>
        <w:spacing w:after="0" w:line="279" w:lineRule="auto"/>
        <w:tabs>
          <w:tab w:leader="none" w:pos="84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81" w:lineRule="exact"/>
        <w:rPr>
          <w:rFonts w:ascii="Arial" w:cs="Arial" w:eastAsia="Arial" w:hAnsi="Arial"/>
          <w:sz w:val="16"/>
          <w:szCs w:val="16"/>
          <w:color w:val="auto"/>
        </w:rPr>
      </w:pPr>
    </w:p>
    <w:p>
      <w:pPr>
        <w:jc w:val="both"/>
        <w:ind w:firstLine="514"/>
        <w:spacing w:after="0" w:line="257" w:lineRule="auto"/>
        <w:tabs>
          <w:tab w:leader="none" w:pos="846"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98" w:lineRule="exact"/>
        <w:rPr>
          <w:rFonts w:ascii="Arial" w:cs="Arial" w:eastAsia="Arial" w:hAnsi="Arial"/>
          <w:sz w:val="16"/>
          <w:szCs w:val="16"/>
          <w:color w:val="auto"/>
        </w:rPr>
      </w:pPr>
    </w:p>
    <w:p>
      <w:pPr>
        <w:ind w:left="920" w:hanging="406"/>
        <w:spacing w:after="0"/>
        <w:tabs>
          <w:tab w:leader="none" w:pos="920"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will be binding in all respects on your heirs, representatives, successors and assigns, and on the successors and assigns of the</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Company.</w:t>
      </w:r>
    </w:p>
    <w:p>
      <w:pPr>
        <w:spacing w:after="0" w:line="123" w:lineRule="exact"/>
        <w:rPr>
          <w:rFonts w:ascii="Arial" w:cs="Arial" w:eastAsia="Arial" w:hAnsi="Arial"/>
          <w:sz w:val="14"/>
          <w:szCs w:val="14"/>
          <w:color w:val="auto"/>
        </w:rPr>
      </w:pPr>
    </w:p>
    <w:p>
      <w:pPr>
        <w:jc w:val="both"/>
        <w:ind w:firstLine="514"/>
        <w:spacing w:after="0" w:line="257" w:lineRule="auto"/>
        <w:tabs>
          <w:tab w:leader="none" w:pos="916"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deliver any documents related to this Option by electronic means and request you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80"/>
          </w:cols>
          <w:pgMar w:left="300" w:top="1156"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2019 OMNIBUS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Restricted Stock Unit Award Agreement (Executives)</w:t>
      </w:r>
    </w:p>
    <w:p>
      <w:pPr>
        <w:spacing w:after="0" w:line="204" w:lineRule="exact"/>
        <w:rPr>
          <w:sz w:val="20"/>
          <w:szCs w:val="20"/>
          <w:color w:val="auto"/>
        </w:rPr>
      </w:pPr>
    </w:p>
    <w:p>
      <w:pPr>
        <w:ind w:firstLine="176"/>
        <w:spacing w:after="0" w:line="238" w:lineRule="auto"/>
        <w:rPr>
          <w:sz w:val="20"/>
          <w:szCs w:val="20"/>
          <w:color w:val="auto"/>
        </w:rPr>
      </w:pPr>
      <w:r>
        <w:rPr>
          <w:rFonts w:ascii="Arial" w:cs="Arial" w:eastAsia="Arial" w:hAnsi="Arial"/>
          <w:sz w:val="14"/>
          <w:szCs w:val="14"/>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 Award Agreement (the “Agreement”), consisting of this cover page and the Terms</w:t>
      </w:r>
    </w:p>
    <w:p>
      <w:pPr>
        <w:spacing w:after="0" w:line="224" w:lineRule="auto"/>
        <w:rPr>
          <w:sz w:val="20"/>
          <w:szCs w:val="20"/>
          <w:color w:val="auto"/>
        </w:rPr>
      </w:pPr>
      <w:r>
        <w:rPr>
          <w:rFonts w:ascii="Arial" w:cs="Arial" w:eastAsia="Arial" w:hAnsi="Arial"/>
          <w:sz w:val="16"/>
          <w:szCs w:val="16"/>
          <w:color w:val="auto"/>
        </w:rPr>
        <w:t>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81850" cy="9569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81850" cy="956945"/>
                    </a:xfrm>
                    <a:prstGeom prst="rect">
                      <a:avLst/>
                    </a:prstGeom>
                    <a:noFill/>
                  </pic:spPr>
                </pic:pic>
              </a:graphicData>
            </a:graphic>
          </wp:anchor>
        </w:drawing>
      </w:r>
    </w:p>
    <w:p>
      <w:pPr>
        <w:spacing w:after="0" w:line="197"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6"/>
          <w:szCs w:val="16"/>
          <w:color w:val="auto"/>
        </w:rPr>
        <w:t>Name of Participant:</w:t>
      </w:r>
      <w:r>
        <w:rPr>
          <w:sz w:val="20"/>
          <w:szCs w:val="20"/>
          <w:color w:val="auto"/>
        </w:rPr>
        <w:tab/>
      </w:r>
      <w:r>
        <w:rPr>
          <w:rFonts w:ascii="Arial" w:cs="Arial" w:eastAsia="Arial" w:hAnsi="Arial"/>
          <w:sz w:val="13"/>
          <w:szCs w:val="13"/>
          <w:color w:val="auto"/>
        </w:rPr>
        <w:t>_______________________</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Borders>
              <w:bottom w:val="single" w:sz="8" w:color="auto"/>
            </w:tcBorders>
          </w:tcPr>
          <w:p>
            <w:pPr>
              <w:spacing w:after="0"/>
              <w:rPr>
                <w:sz w:val="17"/>
                <w:szCs w:val="17"/>
                <w:color w:val="auto"/>
              </w:rPr>
            </w:pPr>
          </w:p>
        </w:tc>
        <w:tc>
          <w:tcPr>
            <w:tcW w:w="560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6"/>
                <w:szCs w:val="16"/>
                <w:color w:val="auto"/>
              </w:rPr>
              <w:t>Number of Restricted Stock Units: _______</w:t>
            </w:r>
          </w:p>
        </w:tc>
        <w:tc>
          <w:tcPr>
            <w:tcW w:w="55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color w:val="auto"/>
              </w:rPr>
              <w:t>Grant Date:  October 10, 2023</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3"/>
          </w:tcPr>
          <w:p>
            <w:pPr>
              <w:ind w:left="20"/>
              <w:spacing w:after="0" w:line="170" w:lineRule="exact"/>
              <w:rPr>
                <w:sz w:val="20"/>
                <w:szCs w:val="20"/>
                <w:color w:val="auto"/>
              </w:rPr>
            </w:pPr>
            <w:r>
              <w:rPr>
                <w:rFonts w:ascii="Arial" w:cs="Arial" w:eastAsia="Arial" w:hAnsi="Arial"/>
                <w:sz w:val="16"/>
                <w:szCs w:val="16"/>
                <w:color w:val="auto"/>
              </w:rPr>
              <w:t>Vesting Schedule:</w:t>
            </w:r>
          </w:p>
        </w:tc>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1"/>
        </w:trPr>
        <w:tc>
          <w:tcPr>
            <w:tcW w:w="20" w:type="dxa"/>
            <w:vAlign w:val="bottom"/>
          </w:tcPr>
          <w:p>
            <w:pPr>
              <w:spacing w:after="0"/>
              <w:rPr>
                <w:sz w:val="24"/>
                <w:szCs w:val="24"/>
                <w:color w:val="auto"/>
              </w:rPr>
            </w:pPr>
          </w:p>
        </w:tc>
        <w:tc>
          <w:tcPr>
            <w:tcW w:w="5600" w:type="dxa"/>
            <w:vAlign w:val="bottom"/>
            <w:gridSpan w:val="3"/>
          </w:tcPr>
          <w:p>
            <w:pPr>
              <w:jc w:val="center"/>
              <w:ind w:right="260"/>
              <w:spacing w:after="0"/>
              <w:rPr>
                <w:sz w:val="20"/>
                <w:szCs w:val="20"/>
                <w:color w:val="auto"/>
              </w:rPr>
            </w:pPr>
            <w:r>
              <w:rPr>
                <w:rFonts w:ascii="Arial" w:cs="Arial" w:eastAsia="Arial" w:hAnsi="Arial"/>
                <w:sz w:val="16"/>
                <w:szCs w:val="16"/>
                <w:color w:val="auto"/>
                <w:w w:val="85"/>
              </w:rPr>
              <w:t>Scheduled Vesting Dates</w:t>
            </w:r>
          </w:p>
        </w:tc>
        <w:tc>
          <w:tcPr>
            <w:tcW w:w="5600" w:type="dxa"/>
            <w:vAlign w:val="bottom"/>
            <w:gridSpan w:val="4"/>
          </w:tcPr>
          <w:p>
            <w:pPr>
              <w:jc w:val="center"/>
              <w:ind w:right="200"/>
              <w:spacing w:after="0"/>
              <w:rPr>
                <w:sz w:val="20"/>
                <w:szCs w:val="20"/>
                <w:color w:val="auto"/>
              </w:rPr>
            </w:pPr>
            <w:r>
              <w:rPr>
                <w:rFonts w:ascii="Arial" w:cs="Arial" w:eastAsia="Arial" w:hAnsi="Arial"/>
                <w:sz w:val="16"/>
                <w:szCs w:val="16"/>
                <w:color w:val="auto"/>
                <w:w w:val="88"/>
              </w:rPr>
              <w:t>Number of Restricted Stock Units that Vest</w:t>
            </w:r>
          </w:p>
        </w:tc>
      </w:tr>
      <w:tr>
        <w:trPr>
          <w:trHeight w:val="137"/>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9"/>
              </w:rPr>
              <w:t>October 10, 2024</w:t>
            </w:r>
          </w:p>
        </w:tc>
        <w:tc>
          <w:tcPr>
            <w:tcW w:w="2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rPr>
              <w:t>33 1/3%</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700" w:type="dxa"/>
            <w:vAlign w:val="bottom"/>
            <w:gridSpan w:val="2"/>
          </w:tcPr>
          <w:p>
            <w:pPr>
              <w:jc w:val="center"/>
              <w:ind w:right="2140"/>
              <w:spacing w:after="0" w:line="151" w:lineRule="exact"/>
              <w:rPr>
                <w:sz w:val="20"/>
                <w:szCs w:val="20"/>
                <w:color w:val="auto"/>
              </w:rPr>
            </w:pPr>
            <w:r>
              <w:rPr>
                <w:rFonts w:ascii="Arial" w:cs="Arial" w:eastAsia="Arial" w:hAnsi="Arial"/>
                <w:sz w:val="16"/>
                <w:szCs w:val="16"/>
                <w:color w:val="auto"/>
                <w:w w:val="87"/>
              </w:rPr>
              <w:t>October 10, 2025</w:t>
            </w:r>
          </w:p>
        </w:tc>
        <w:tc>
          <w:tcPr>
            <w:tcW w:w="4040" w:type="dxa"/>
            <w:vAlign w:val="bottom"/>
            <w:gridSpan w:val="2"/>
          </w:tcPr>
          <w:p>
            <w:pPr>
              <w:jc w:val="center"/>
              <w:ind w:left="1282"/>
              <w:spacing w:after="0" w:line="151" w:lineRule="exact"/>
              <w:rPr>
                <w:sz w:val="20"/>
                <w:szCs w:val="20"/>
                <w:color w:val="auto"/>
              </w:rPr>
            </w:pPr>
            <w:r>
              <w:rPr>
                <w:rFonts w:ascii="Arial" w:cs="Arial" w:eastAsia="Arial" w:hAnsi="Arial"/>
                <w:sz w:val="16"/>
                <w:szCs w:val="16"/>
                <w:color w:val="auto"/>
                <w:w w:val="88"/>
              </w:rPr>
              <w:t>33 1/3%</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00" w:type="dxa"/>
            <w:vAlign w:val="bottom"/>
            <w:gridSpan w:val="2"/>
          </w:tcPr>
          <w:p>
            <w:pPr>
              <w:jc w:val="center"/>
              <w:ind w:right="2140"/>
              <w:spacing w:after="0"/>
              <w:rPr>
                <w:sz w:val="20"/>
                <w:szCs w:val="20"/>
                <w:color w:val="auto"/>
              </w:rPr>
            </w:pPr>
            <w:r>
              <w:rPr>
                <w:rFonts w:ascii="Arial" w:cs="Arial" w:eastAsia="Arial" w:hAnsi="Arial"/>
                <w:sz w:val="16"/>
                <w:szCs w:val="16"/>
                <w:color w:val="auto"/>
                <w:w w:val="87"/>
              </w:rPr>
              <w:t>October 10, 2026</w:t>
            </w:r>
          </w:p>
        </w:tc>
        <w:tc>
          <w:tcPr>
            <w:tcW w:w="4040" w:type="dxa"/>
            <w:vAlign w:val="bottom"/>
            <w:gridSpan w:val="2"/>
          </w:tcPr>
          <w:p>
            <w:pPr>
              <w:jc w:val="center"/>
              <w:ind w:left="1282"/>
              <w:spacing w:after="0"/>
              <w:rPr>
                <w:sz w:val="20"/>
                <w:szCs w:val="20"/>
                <w:color w:val="auto"/>
              </w:rPr>
            </w:pPr>
            <w:r>
              <w:rPr>
                <w:rFonts w:ascii="Arial" w:cs="Arial" w:eastAsia="Arial" w:hAnsi="Arial"/>
                <w:sz w:val="16"/>
                <w:szCs w:val="16"/>
                <w:color w:val="auto"/>
                <w:w w:val="88"/>
              </w:rPr>
              <w:t>33 1/3%</w:t>
            </w: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79" w:lineRule="exact"/>
        <w:rPr>
          <w:sz w:val="20"/>
          <w:szCs w:val="20"/>
          <w:color w:val="auto"/>
        </w:rPr>
      </w:pPr>
    </w:p>
    <w:p>
      <w:pPr>
        <w:ind w:firstLine="509"/>
        <w:spacing w:after="0" w:line="232" w:lineRule="auto"/>
        <w:rPr>
          <w:sz w:val="20"/>
          <w:szCs w:val="20"/>
          <w:color w:val="auto"/>
        </w:rPr>
      </w:pPr>
      <w:r>
        <w:rPr>
          <w:rFonts w:ascii="Arial" w:cs="Arial" w:eastAsia="Arial" w:hAnsi="Arial"/>
          <w:sz w:val="16"/>
          <w:szCs w:val="16"/>
          <w:color w:val="auto"/>
        </w:rPr>
        <w:t>By logging into and accepting this Agreement through your account with E*TRADE, you acknowledge and agree (A) to be bound by all of the terms and conditions of this Agreement and in the Plan document and (B) that you have received and reviewed these documents.</w:t>
      </w:r>
    </w:p>
    <w:p>
      <w:pPr>
        <w:sectPr>
          <w:pgSz w:w="11900" w:h="16838" w:orient="portrait"/>
          <w:cols w:equalWidth="0" w:num="1">
            <w:col w:w="11280"/>
          </w:cols>
          <w:pgMar w:left="300" w:top="108"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OMNIBUS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Award Agreement (Executives)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Terms and Conditions</w:t>
      </w:r>
    </w:p>
    <w:p>
      <w:pPr>
        <w:spacing w:after="0" w:line="219" w:lineRule="exact"/>
        <w:rPr>
          <w:sz w:val="20"/>
          <w:szCs w:val="20"/>
          <w:color w:val="auto"/>
        </w:rPr>
      </w:pPr>
    </w:p>
    <w:p>
      <w:pPr>
        <w:ind w:right="160" w:firstLine="5"/>
        <w:spacing w:after="0" w:line="273" w:lineRule="auto"/>
        <w:tabs>
          <w:tab w:leader="none" w:pos="272"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For purposes of this Agreement, the definitions of terms contained in the Plan hereby are incorporated by reference, except to the extent that any such term is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defined in this Agreement.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shall have the meaning set forth in your change in control agreement, if applicable.</w:t>
      </w:r>
    </w:p>
    <w:p>
      <w:pPr>
        <w:spacing w:after="0" w:line="347" w:lineRule="exact"/>
        <w:rPr>
          <w:sz w:val="20"/>
          <w:szCs w:val="20"/>
          <w:color w:val="auto"/>
        </w:rPr>
      </w:pPr>
    </w:p>
    <w:p>
      <w:pPr>
        <w:jc w:val="both"/>
        <w:ind w:firstLine="5"/>
        <w:spacing w:after="0" w:line="216" w:lineRule="auto"/>
        <w:tabs>
          <w:tab w:leader="none" w:pos="509" w:val="left"/>
        </w:tabs>
        <w:numPr>
          <w:ilvl w:val="0"/>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Restricted Stock Units</w:t>
      </w:r>
      <w:r>
        <w:rPr>
          <w:rFonts w:ascii="Arial" w:cs="Arial" w:eastAsia="Arial" w:hAnsi="Arial"/>
          <w:sz w:val="16"/>
          <w:szCs w:val="16"/>
          <w:color w:val="auto"/>
        </w:rPr>
        <w:t>. The Company hereby confirms the grant to you, as of the Grant Date and subject to the terms and conditions in this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37" w:lineRule="exact"/>
        <w:rPr>
          <w:rFonts w:ascii="Arial" w:cs="Arial" w:eastAsia="Arial" w:hAnsi="Arial"/>
          <w:sz w:val="16"/>
          <w:szCs w:val="16"/>
          <w:color w:val="auto"/>
        </w:rPr>
      </w:pPr>
    </w:p>
    <w:p>
      <w:pPr>
        <w:jc w:val="both"/>
        <w:ind w:firstLine="5"/>
        <w:spacing w:after="0" w:line="248" w:lineRule="auto"/>
        <w:tabs>
          <w:tab w:leader="none" w:pos="368" w:val="left"/>
        </w:tabs>
        <w:numPr>
          <w:ilvl w:val="0"/>
          <w:numId w:val="43"/>
        </w:numPr>
        <w:rPr>
          <w:rFonts w:ascii="Arial" w:cs="Arial" w:eastAsia="Arial" w:hAnsi="Arial"/>
          <w:sz w:val="14"/>
          <w:szCs w:val="14"/>
          <w:color w:val="auto"/>
        </w:rPr>
      </w:pPr>
      <w:r>
        <w:rPr>
          <w:rFonts w:ascii="Arial" w:cs="Arial" w:eastAsia="Arial" w:hAnsi="Arial"/>
          <w:sz w:val="14"/>
          <w:szCs w:val="14"/>
          <w:b w:val="1"/>
          <w:bCs w:val="1"/>
          <w:u w:val="single" w:color="auto"/>
          <w:color w:val="auto"/>
        </w:rPr>
        <w:t>Restrictions Applicable to Units</w:t>
      </w:r>
      <w:r>
        <w:rPr>
          <w:rFonts w:ascii="Arial" w:cs="Arial" w:eastAsia="Arial" w:hAnsi="Arial"/>
          <w:sz w:val="14"/>
          <w:szCs w:val="14"/>
          <w:color w:val="auto"/>
        </w:rPr>
        <w:t>. Neither this Award nor the Units subject to this Award may be sold, assigned, transferred, exchanged or encumbered, voluntarily or</w:t>
      </w:r>
      <w:r>
        <w:rPr>
          <w:rFonts w:ascii="Arial" w:cs="Arial" w:eastAsia="Arial" w:hAnsi="Arial"/>
          <w:sz w:val="14"/>
          <w:szCs w:val="14"/>
          <w:b w:val="1"/>
          <w:bCs w:val="1"/>
          <w:color w:val="auto"/>
        </w:rPr>
        <w:t xml:space="preserve"> </w:t>
      </w:r>
      <w:r>
        <w:rPr>
          <w:rFonts w:ascii="Arial" w:cs="Arial" w:eastAsia="Arial" w:hAnsi="Arial"/>
          <w:sz w:val="14"/>
          <w:szCs w:val="14"/>
          <w:color w:val="auto"/>
        </w:rPr>
        <w:t>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spacing w:after="0" w:line="144" w:lineRule="exact"/>
        <w:rPr>
          <w:rFonts w:ascii="Arial" w:cs="Arial" w:eastAsia="Arial" w:hAnsi="Arial"/>
          <w:sz w:val="14"/>
          <w:szCs w:val="14"/>
          <w:color w:val="auto"/>
        </w:rPr>
      </w:pPr>
    </w:p>
    <w:p>
      <w:pPr>
        <w:jc w:val="both"/>
        <w:ind w:firstLine="5"/>
        <w:spacing w:after="0" w:line="221" w:lineRule="auto"/>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No Shareholder Rights</w:t>
      </w:r>
      <w:r>
        <w:rPr>
          <w:rFonts w:ascii="Arial" w:cs="Arial" w:eastAsia="Arial" w:hAnsi="Arial"/>
          <w:sz w:val="16"/>
          <w:szCs w:val="16"/>
          <w:color w:val="auto"/>
        </w:rPr>
        <w:t>. The Units subject to this Award do not entitle you to any rights of a holder of the Company’s common stock. You will not have any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of the Company in connection with the grant of Units subject to this Agreement unless and until Shares are issued to you upon settlement of the Units as provided in Section 7.</w:t>
      </w:r>
    </w:p>
    <w:p>
      <w:pPr>
        <w:spacing w:after="0" w:line="128" w:lineRule="exact"/>
        <w:rPr>
          <w:rFonts w:ascii="Arial" w:cs="Arial" w:eastAsia="Arial" w:hAnsi="Arial"/>
          <w:sz w:val="16"/>
          <w:szCs w:val="16"/>
          <w:color w:val="auto"/>
        </w:rPr>
      </w:pPr>
    </w:p>
    <w:p>
      <w:pPr>
        <w:jc w:val="both"/>
        <w:ind w:firstLine="5"/>
        <w:spacing w:after="0" w:line="260" w:lineRule="auto"/>
        <w:tabs>
          <w:tab w:leader="none" w:pos="272" w:val="left"/>
        </w:tabs>
        <w:numPr>
          <w:ilvl w:val="0"/>
          <w:numId w:val="43"/>
        </w:numPr>
        <w:rPr>
          <w:rFonts w:ascii="Arial" w:cs="Arial" w:eastAsia="Arial" w:hAnsi="Arial"/>
          <w:sz w:val="14"/>
          <w:szCs w:val="14"/>
          <w:color w:val="auto"/>
        </w:rPr>
      </w:pPr>
      <w:r>
        <w:rPr>
          <w:rFonts w:ascii="Arial" w:cs="Arial" w:eastAsia="Arial" w:hAnsi="Arial"/>
          <w:sz w:val="14"/>
          <w:szCs w:val="14"/>
          <w:b w:val="1"/>
          <w:bCs w:val="1"/>
          <w:u w:val="single" w:color="auto"/>
          <w:color w:val="auto"/>
        </w:rPr>
        <w:t>Vesting of Units</w:t>
      </w:r>
      <w:r>
        <w:rPr>
          <w:rFonts w:ascii="Arial" w:cs="Arial" w:eastAsia="Arial" w:hAnsi="Arial"/>
          <w:sz w:val="14"/>
          <w:szCs w:val="14"/>
          <w:color w:val="auto"/>
        </w:rPr>
        <w:t>. For purposes of this Agreement, “Vesting Date” means any date, including the Scheduled Vesting Dates specified in the Vesting Schedule on the cover page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on which Units subject to this Agreement vest as provided in this Section 5. Notwithstanding the vesting and subsequent settlement of this Award, the Award and any Share issuances or payments made hereunder shall remain subject to the provisions of Section 16(i) of the Plan.</w:t>
      </w:r>
    </w:p>
    <w:p>
      <w:pPr>
        <w:spacing w:after="0" w:line="140" w:lineRule="exact"/>
        <w:rPr>
          <w:rFonts w:ascii="Arial" w:cs="Arial" w:eastAsia="Arial" w:hAnsi="Arial"/>
          <w:sz w:val="14"/>
          <w:szCs w:val="14"/>
          <w:color w:val="auto"/>
        </w:rPr>
      </w:pPr>
    </w:p>
    <w:p>
      <w:pPr>
        <w:ind w:firstLine="514"/>
        <w:spacing w:after="0" w:line="225" w:lineRule="auto"/>
        <w:tabs>
          <w:tab w:leader="none" w:pos="1011"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Scheduled Vesting</w:t>
      </w:r>
      <w:r>
        <w:rPr>
          <w:rFonts w:ascii="Arial" w:cs="Arial" w:eastAsia="Arial" w:hAnsi="Arial"/>
          <w:sz w:val="16"/>
          <w:szCs w:val="16"/>
          <w:color w:val="auto"/>
        </w:rPr>
        <w:t>. If you remain a Service Provider continuously from the Grant Date specified on the cover page of this Agreement, then the Units will vest in the amounts and on the Scheduled Vesting Dates specified in the Vesting Schedule.</w:t>
      </w:r>
    </w:p>
    <w:p>
      <w:pPr>
        <w:spacing w:after="0" w:line="153" w:lineRule="exact"/>
        <w:rPr>
          <w:rFonts w:ascii="Arial" w:cs="Arial" w:eastAsia="Arial" w:hAnsi="Arial"/>
          <w:sz w:val="16"/>
          <w:szCs w:val="16"/>
          <w:color w:val="auto"/>
        </w:rPr>
      </w:pPr>
    </w:p>
    <w:p>
      <w:pPr>
        <w:ind w:left="1020" w:hanging="506"/>
        <w:spacing w:after="0"/>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The vesting of outstanding Units will be accelerated under the circumstances provided below:</w:t>
      </w:r>
    </w:p>
    <w:p>
      <w:pPr>
        <w:spacing w:after="0" w:line="166" w:lineRule="exact"/>
        <w:rPr>
          <w:rFonts w:ascii="Arial" w:cs="Arial" w:eastAsia="Arial" w:hAnsi="Arial"/>
          <w:sz w:val="16"/>
          <w:szCs w:val="16"/>
          <w:color w:val="auto"/>
        </w:rPr>
      </w:pPr>
    </w:p>
    <w:p>
      <w:pPr>
        <w:ind w:left="520" w:firstLine="503"/>
        <w:spacing w:after="0" w:line="225" w:lineRule="auto"/>
        <w:tabs>
          <w:tab w:leader="none" w:pos="1529" w:val="left"/>
        </w:tabs>
        <w:numPr>
          <w:ilvl w:val="2"/>
          <w:numId w:val="43"/>
        </w:numPr>
        <w:rPr>
          <w:rFonts w:ascii="Arial" w:cs="Arial" w:eastAsia="Arial" w:hAnsi="Arial"/>
          <w:sz w:val="16"/>
          <w:szCs w:val="16"/>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If your Service terminates prior to the final Scheduled Vesting Date due to your death or Disability, then all of the unvested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as of such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1615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3940" w:val="left"/>
        </w:tabs>
        <w:rPr>
          <w:sz w:val="20"/>
          <w:szCs w:val="20"/>
          <w:color w:val="auto"/>
        </w:rPr>
      </w:pPr>
      <w:r>
        <w:rPr>
          <w:rFonts w:ascii="Arial" w:cs="Arial" w:eastAsia="Arial" w:hAnsi="Arial"/>
          <w:sz w:val="13"/>
          <w:szCs w:val="13"/>
          <w:color w:val="auto"/>
        </w:rPr>
        <w:t>RSU Agreement – Executives (ELT) (2019 Plan – October 10, 2023 Grant)</w:t>
      </w:r>
      <w:r>
        <w:rPr>
          <w:sz w:val="20"/>
          <w:szCs w:val="20"/>
          <w:color w:val="auto"/>
        </w:rPr>
        <w:tab/>
      </w:r>
      <w:r>
        <w:rPr>
          <w:rFonts w:ascii="Arial" w:cs="Arial" w:eastAsia="Arial" w:hAnsi="Arial"/>
          <w:sz w:val="11"/>
          <w:szCs w:val="11"/>
          <w:color w:val="auto"/>
        </w:rPr>
        <w:t>Page 2</w:t>
      </w:r>
    </w:p>
    <w:p>
      <w:pPr>
        <w:sectPr>
          <w:pgSz w:w="11900" w:h="16838" w:orient="portrait"/>
          <w:cols w:equalWidth="0" w:num="1">
            <w:col w:w="11280"/>
          </w:cols>
          <w:pgMar w:left="300" w:top="948" w:right="319" w:bottom="1440" w:gutter="0" w:footer="0" w:header="0"/>
        </w:sectPr>
      </w:pPr>
    </w:p>
    <w:bookmarkStart w:id="76" w:name="page77"/>
    <w:bookmarkEnd w:id="76"/>
    <w:p>
      <w:pPr>
        <w:ind w:left="520" w:firstLine="503"/>
        <w:spacing w:after="0" w:line="225" w:lineRule="auto"/>
        <w:tabs>
          <w:tab w:leader="none" w:pos="1529"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a Change in Control occurs while you continue to be a Service Provider and prior to the final Scheduled Vesting Date,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Section 12 of the Plan shall apply, including those providing for benefits upon termination of Service for Good Reason.</w:t>
      </w:r>
    </w:p>
    <w:p>
      <w:pPr>
        <w:spacing w:after="0" w:line="153" w:lineRule="exact"/>
        <w:rPr>
          <w:rFonts w:ascii="Arial" w:cs="Arial" w:eastAsia="Arial" w:hAnsi="Arial"/>
          <w:sz w:val="16"/>
          <w:szCs w:val="16"/>
          <w:color w:val="auto"/>
        </w:rPr>
      </w:pPr>
    </w:p>
    <w:p>
      <w:pPr>
        <w:jc w:val="both"/>
        <w:ind w:left="520" w:firstLine="503"/>
        <w:spacing w:after="0" w:line="214" w:lineRule="auto"/>
        <w:tabs>
          <w:tab w:leader="none" w:pos="1529"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If, due to Retirement, your Service terminates at least twelve (12) months after the Grant Date and prior to the final Scheduled Vesting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then all of the unvested Units shall vest as of such termination date.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 entity prior to such entity becoming an Affiliate will not count towards your Service measurement.</w:t>
      </w:r>
    </w:p>
    <w:p>
      <w:pPr>
        <w:spacing w:after="0" w:line="139" w:lineRule="exact"/>
        <w:rPr>
          <w:rFonts w:ascii="Arial" w:cs="Arial" w:eastAsia="Arial" w:hAnsi="Arial"/>
          <w:sz w:val="16"/>
          <w:szCs w:val="16"/>
          <w:color w:val="auto"/>
        </w:rPr>
      </w:pPr>
    </w:p>
    <w:p>
      <w:pPr>
        <w:ind w:firstLine="5"/>
        <w:spacing w:after="0" w:line="235"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Termination of Service</w:t>
      </w:r>
      <w:r>
        <w:rPr>
          <w:rFonts w:ascii="Arial" w:cs="Arial" w:eastAsia="Arial" w:hAnsi="Arial"/>
          <w:sz w:val="16"/>
          <w:szCs w:val="16"/>
          <w:color w:val="auto"/>
        </w:rPr>
        <w:t>. Except as otherwise provided in accordance with Section 5(b) above, if you cease to be a Service Provider, you will forfeit all unvested</w:t>
      </w:r>
      <w:r>
        <w:rPr>
          <w:rFonts w:ascii="Arial" w:cs="Arial" w:eastAsia="Arial" w:hAnsi="Arial"/>
          <w:sz w:val="16"/>
          <w:szCs w:val="16"/>
          <w:b w:val="1"/>
          <w:bCs w:val="1"/>
          <w:color w:val="auto"/>
        </w:rPr>
        <w:t xml:space="preserve"> </w:t>
      </w:r>
      <w:r>
        <w:rPr>
          <w:rFonts w:ascii="Arial" w:cs="Arial" w:eastAsia="Arial" w:hAnsi="Arial"/>
          <w:sz w:val="16"/>
          <w:szCs w:val="16"/>
          <w:color w:val="auto"/>
        </w:rPr>
        <w:t>Units. Notwithstanding this forfeiture, you will continue to be subject to the terms and conditions of this Agreement.</w:t>
      </w:r>
    </w:p>
    <w:p>
      <w:pPr>
        <w:spacing w:after="0" w:line="148" w:lineRule="exact"/>
        <w:rPr>
          <w:rFonts w:ascii="Arial" w:cs="Arial" w:eastAsia="Arial" w:hAnsi="Arial"/>
          <w:sz w:val="16"/>
          <w:szCs w:val="16"/>
          <w:color w:val="auto"/>
        </w:rPr>
      </w:pPr>
    </w:p>
    <w:p>
      <w:pPr>
        <w:jc w:val="both"/>
        <w:ind w:firstLine="5"/>
        <w:spacing w:after="0" w:line="217" w:lineRule="auto"/>
        <w:tabs>
          <w:tab w:leader="none" w:pos="283" w:val="left"/>
        </w:tabs>
        <w:numPr>
          <w:ilvl w:val="0"/>
          <w:numId w:val="45"/>
        </w:numPr>
        <w:rPr>
          <w:rFonts w:ascii="Arial" w:cs="Arial" w:eastAsia="Arial" w:hAnsi="Arial"/>
          <w:sz w:val="15"/>
          <w:szCs w:val="15"/>
          <w:color w:val="auto"/>
        </w:rPr>
      </w:pPr>
      <w:r>
        <w:rPr>
          <w:rFonts w:ascii="Arial" w:cs="Arial" w:eastAsia="Arial" w:hAnsi="Arial"/>
          <w:sz w:val="15"/>
          <w:szCs w:val="15"/>
          <w:b w:val="1"/>
          <w:bCs w:val="1"/>
          <w:u w:val="single" w:color="auto"/>
          <w:color w:val="auto"/>
        </w:rPr>
        <w:t>Settlement of Units</w:t>
      </w:r>
      <w:r>
        <w:rPr>
          <w:rFonts w:ascii="Arial" w:cs="Arial" w:eastAsia="Arial" w:hAnsi="Arial"/>
          <w:sz w:val="15"/>
          <w:szCs w:val="15"/>
          <w:color w:val="auto"/>
        </w:rPr>
        <w:t>. After any Units vest pursuant to Section 5, the Company shall, as soon as practicable (but no later than the 15</w:t>
      </w:r>
      <w:r>
        <w:rPr>
          <w:rFonts w:ascii="Arial" w:cs="Arial" w:eastAsia="Arial" w:hAnsi="Arial"/>
          <w:sz w:val="19"/>
          <w:szCs w:val="19"/>
          <w:color w:val="auto"/>
          <w:vertAlign w:val="superscript"/>
        </w:rPr>
        <w:t>th</w:t>
      </w:r>
      <w:r>
        <w:rPr>
          <w:rFonts w:ascii="Arial" w:cs="Arial" w:eastAsia="Arial" w:hAnsi="Arial"/>
          <w:sz w:val="15"/>
          <w:szCs w:val="15"/>
          <w:b w:val="1"/>
          <w:bCs w:val="1"/>
          <w:color w:val="auto"/>
        </w:rPr>
        <w:t xml:space="preserve"> </w:t>
      </w:r>
      <w:r>
        <w:rPr>
          <w:rFonts w:ascii="Arial" w:cs="Arial" w:eastAsia="Arial" w:hAnsi="Arial"/>
          <w:sz w:val="15"/>
          <w:szCs w:val="15"/>
          <w:color w:val="auto"/>
        </w:rPr>
        <w:t>day of the third calendar month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9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39" w:lineRule="exact"/>
        <w:rPr>
          <w:rFonts w:ascii="Arial" w:cs="Arial" w:eastAsia="Arial" w:hAnsi="Arial"/>
          <w:sz w:val="15"/>
          <w:szCs w:val="15"/>
          <w:color w:val="auto"/>
        </w:rPr>
      </w:pPr>
    </w:p>
    <w:p>
      <w:pPr>
        <w:jc w:val="both"/>
        <w:ind w:firstLine="5"/>
        <w:spacing w:after="0" w:line="246" w:lineRule="auto"/>
        <w:tabs>
          <w:tab w:leader="none" w:pos="283" w:val="left"/>
        </w:tabs>
        <w:numPr>
          <w:ilvl w:val="0"/>
          <w:numId w:val="45"/>
        </w:numPr>
        <w:rPr>
          <w:rFonts w:ascii="Arial" w:cs="Arial" w:eastAsia="Arial" w:hAnsi="Arial"/>
          <w:sz w:val="14"/>
          <w:szCs w:val="14"/>
          <w:color w:val="auto"/>
        </w:rPr>
      </w:pPr>
      <w:r>
        <w:rPr>
          <w:rFonts w:ascii="Arial" w:cs="Arial" w:eastAsia="Arial" w:hAnsi="Arial"/>
          <w:sz w:val="14"/>
          <w:szCs w:val="14"/>
          <w:b w:val="1"/>
          <w:bCs w:val="1"/>
          <w:u w:val="single" w:color="auto"/>
          <w:color w:val="auto"/>
        </w:rPr>
        <w:t>Dividend Equivalents</w:t>
      </w:r>
      <w:r>
        <w:rPr>
          <w:rFonts w:ascii="Arial" w:cs="Arial" w:eastAsia="Arial" w:hAnsi="Arial"/>
          <w:sz w:val="14"/>
          <w:szCs w:val="14"/>
          <w:color w:val="auto"/>
        </w:rPr>
        <w:t>. If the Company pays cash dividends on its Shares while any Units subject to this Agreement are outstanding, then the Company shall credit, as of each</w:t>
      </w:r>
      <w:r>
        <w:rPr>
          <w:rFonts w:ascii="Arial" w:cs="Arial" w:eastAsia="Arial" w:hAnsi="Arial"/>
          <w:sz w:val="14"/>
          <w:szCs w:val="14"/>
          <w:b w:val="1"/>
          <w:bCs w:val="1"/>
          <w:color w:val="auto"/>
        </w:rPr>
        <w:t xml:space="preserve"> </w:t>
      </w:r>
      <w:r>
        <w:rPr>
          <w:rFonts w:ascii="Arial" w:cs="Arial" w:eastAsia="Arial" w:hAnsi="Arial"/>
          <w:sz w:val="14"/>
          <w:szCs w:val="14"/>
          <w:color w:val="auto"/>
        </w:rPr>
        <w:t>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spacing w:after="0" w:line="134" w:lineRule="exact"/>
        <w:rPr>
          <w:rFonts w:ascii="Arial" w:cs="Arial" w:eastAsia="Arial" w:hAnsi="Arial"/>
          <w:sz w:val="14"/>
          <w:szCs w:val="14"/>
          <w:color w:val="auto"/>
        </w:rPr>
      </w:pPr>
    </w:p>
    <w:p>
      <w:pPr>
        <w:jc w:val="both"/>
        <w:ind w:firstLine="5"/>
        <w:spacing w:after="0" w:line="241" w:lineRule="auto"/>
        <w:tabs>
          <w:tab w:leader="none" w:pos="315" w:val="left"/>
        </w:tabs>
        <w:numPr>
          <w:ilvl w:val="0"/>
          <w:numId w:val="45"/>
        </w:numPr>
        <w:rPr>
          <w:rFonts w:ascii="Arial" w:cs="Arial" w:eastAsia="Arial" w:hAnsi="Arial"/>
          <w:sz w:val="14"/>
          <w:szCs w:val="14"/>
          <w:color w:val="auto"/>
        </w:rPr>
      </w:pPr>
      <w:r>
        <w:rPr>
          <w:rFonts w:ascii="Arial" w:cs="Arial" w:eastAsia="Arial" w:hAnsi="Arial"/>
          <w:sz w:val="14"/>
          <w:szCs w:val="14"/>
          <w:b w:val="1"/>
          <w:bCs w:val="1"/>
          <w:u w:val="single" w:color="auto"/>
          <w:color w:val="auto"/>
        </w:rPr>
        <w:t>Tax Consequences and Withholding</w:t>
      </w:r>
      <w:r>
        <w:rPr>
          <w:rFonts w:ascii="Arial" w:cs="Arial" w:eastAsia="Arial" w:hAnsi="Arial"/>
          <w:sz w:val="14"/>
          <w:szCs w:val="14"/>
          <w:color w:val="auto"/>
        </w:rPr>
        <w:t>. No Shares will be delivered to you in settlement of vested Units, and no payment of any accrued dividend equivalents will be made,</w:t>
      </w:r>
      <w:r>
        <w:rPr>
          <w:rFonts w:ascii="Arial" w:cs="Arial" w:eastAsia="Arial" w:hAnsi="Arial"/>
          <w:sz w:val="14"/>
          <w:szCs w:val="14"/>
          <w:b w:val="1"/>
          <w:bCs w:val="1"/>
          <w:color w:val="auto"/>
        </w:rPr>
        <w:t xml:space="preserve"> </w:t>
      </w:r>
      <w:r>
        <w:rPr>
          <w:rFonts w:ascii="Arial" w:cs="Arial" w:eastAsia="Arial" w:hAnsi="Arial"/>
          <w:sz w:val="14"/>
          <w:szCs w:val="14"/>
          <w:color w:val="auto"/>
        </w:rPr>
        <w:t>unless you have made arrangements acceptable to the Company for payment of any federal, state, local or foreign withholding taxes that may be due as a result of the delivery of the Shares and any such payment. You hereby authorize the Company (or any Affiliate) to withhold from the aggregated accrued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17" w:lineRule="exact"/>
        <w:rPr>
          <w:rFonts w:ascii="Arial" w:cs="Arial" w:eastAsia="Arial" w:hAnsi="Arial"/>
          <w:sz w:val="14"/>
          <w:szCs w:val="14"/>
          <w:color w:val="auto"/>
        </w:rPr>
      </w:pPr>
    </w:p>
    <w:p>
      <w:pPr>
        <w:jc w:val="both"/>
        <w:ind w:firstLine="5"/>
        <w:spacing w:after="0" w:line="268" w:lineRule="auto"/>
        <w:tabs>
          <w:tab w:leader="none" w:pos="350" w:val="left"/>
        </w:tabs>
        <w:numPr>
          <w:ilvl w:val="0"/>
          <w:numId w:val="45"/>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Every notice or other communication relating to this Agreement shall be in writing and shall be mailed to or delivered (including electronically) to the party for whom</w:t>
      </w:r>
      <w:r>
        <w:rPr>
          <w:rFonts w:ascii="Arial" w:cs="Arial" w:eastAsia="Arial" w:hAnsi="Arial"/>
          <w:sz w:val="14"/>
          <w:szCs w:val="14"/>
          <w:b w:val="1"/>
          <w:bCs w:val="1"/>
          <w:color w:val="auto"/>
        </w:rPr>
        <w:t xml:space="preserve"> </w:t>
      </w:r>
      <w:r>
        <w:rPr>
          <w:rFonts w:ascii="Arial" w:cs="Arial" w:eastAsia="Arial" w:hAnsi="Arial"/>
          <w:sz w:val="14"/>
          <w:szCs w:val="14"/>
          <w:color w:val="auto"/>
        </w:rPr>
        <w:t>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497840</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940" w:val="left"/>
        </w:tabs>
        <w:rPr>
          <w:sz w:val="20"/>
          <w:szCs w:val="20"/>
          <w:color w:val="auto"/>
        </w:rPr>
      </w:pPr>
      <w:r>
        <w:rPr>
          <w:rFonts w:ascii="Arial" w:cs="Arial" w:eastAsia="Arial" w:hAnsi="Arial"/>
          <w:sz w:val="13"/>
          <w:szCs w:val="13"/>
          <w:color w:val="auto"/>
        </w:rPr>
        <w:t>RSU Agreement – Executives (ELT) (2019 Plan – October 10, 2023 Grant)</w:t>
      </w:r>
      <w:r>
        <w:rPr>
          <w:sz w:val="20"/>
          <w:szCs w:val="20"/>
          <w:color w:val="auto"/>
        </w:rPr>
        <w:tab/>
      </w:r>
      <w:r>
        <w:rPr>
          <w:rFonts w:ascii="Arial" w:cs="Arial" w:eastAsia="Arial" w:hAnsi="Arial"/>
          <w:sz w:val="11"/>
          <w:szCs w:val="11"/>
          <w:color w:val="auto"/>
        </w:rPr>
        <w:t>Page 3</w:t>
      </w:r>
    </w:p>
    <w:p>
      <w:pPr>
        <w:sectPr>
          <w:pgSz w:w="11900" w:h="16838" w:orient="portrait"/>
          <w:cols w:equalWidth="0" w:num="1">
            <w:col w:w="11280"/>
          </w:cols>
          <w:pgMar w:left="300" w:top="933" w:right="319" w:bottom="1440" w:gutter="0" w:footer="0" w:header="0"/>
        </w:sectPr>
      </w:pPr>
    </w:p>
    <w:bookmarkStart w:id="77" w:name="page78"/>
    <w:bookmarkEnd w:id="77"/>
    <w:p>
      <w:pPr>
        <w:spacing w:after="0" w:line="238" w:lineRule="auto"/>
        <w:rPr>
          <w:sz w:val="20"/>
          <w:szCs w:val="20"/>
          <w:color w:val="auto"/>
        </w:rPr>
      </w:pPr>
      <w:r>
        <w:rPr>
          <w:rFonts w:ascii="Arial" w:cs="Arial" w:eastAsia="Arial" w:hAnsi="Arial"/>
          <w:sz w:val="14"/>
          <w:szCs w:val="14"/>
          <w:color w:val="auto"/>
        </w:rPr>
        <w:t>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w:t>
      </w:r>
    </w:p>
    <w:p>
      <w:pPr>
        <w:spacing w:after="0"/>
        <w:rPr>
          <w:sz w:val="20"/>
          <w:szCs w:val="20"/>
          <w:color w:val="auto"/>
        </w:rPr>
      </w:pPr>
      <w:r>
        <w:rPr>
          <w:rFonts w:ascii="Arial" w:cs="Arial" w:eastAsia="Arial" w:hAnsi="Arial"/>
          <w:sz w:val="16"/>
          <w:szCs w:val="16"/>
          <w:color w:val="auto"/>
        </w:rPr>
        <w:t>your most recent mailing or email address.</w:t>
      </w:r>
    </w:p>
    <w:p>
      <w:pPr>
        <w:spacing w:after="0" w:line="127" w:lineRule="exact"/>
        <w:rPr>
          <w:sz w:val="20"/>
          <w:szCs w:val="20"/>
          <w:color w:val="auto"/>
        </w:rPr>
      </w:pPr>
    </w:p>
    <w:p>
      <w:pPr>
        <w:ind w:left="340" w:hanging="335"/>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Provisions</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firstLine="514"/>
        <w:spacing w:after="0" w:line="290" w:lineRule="auto"/>
        <w:tabs>
          <w:tab w:leader="none" w:pos="890"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No Right to Continued Service</w:t>
      </w:r>
      <w:r>
        <w:rPr>
          <w:rFonts w:ascii="Arial" w:cs="Arial" w:eastAsia="Arial" w:hAnsi="Arial"/>
          <w:sz w:val="14"/>
          <w:szCs w:val="14"/>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20" w:lineRule="exact"/>
        <w:rPr>
          <w:rFonts w:ascii="Arial" w:cs="Arial" w:eastAsia="Arial" w:hAnsi="Arial"/>
          <w:sz w:val="14"/>
          <w:szCs w:val="14"/>
          <w:color w:val="auto"/>
        </w:rPr>
      </w:pPr>
    </w:p>
    <w:p>
      <w:pPr>
        <w:jc w:val="both"/>
        <w:ind w:firstLine="514"/>
        <w:spacing w:after="0" w:line="219" w:lineRule="auto"/>
        <w:tabs>
          <w:tab w:leader="none" w:pos="888"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54" w:lineRule="exact"/>
        <w:rPr>
          <w:rFonts w:ascii="Arial" w:cs="Arial" w:eastAsia="Arial" w:hAnsi="Arial"/>
          <w:sz w:val="16"/>
          <w:szCs w:val="16"/>
          <w:color w:val="auto"/>
        </w:rPr>
      </w:pPr>
    </w:p>
    <w:p>
      <w:pPr>
        <w:ind w:firstLine="514"/>
        <w:spacing w:after="0" w:line="225" w:lineRule="auto"/>
        <w:tabs>
          <w:tab w:leader="none" w:pos="848"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53" w:lineRule="exact"/>
        <w:rPr>
          <w:rFonts w:ascii="Arial" w:cs="Arial" w:eastAsia="Arial" w:hAnsi="Arial"/>
          <w:sz w:val="16"/>
          <w:szCs w:val="16"/>
          <w:color w:val="auto"/>
        </w:rPr>
      </w:pPr>
    </w:p>
    <w:p>
      <w:pPr>
        <w:jc w:val="both"/>
        <w:ind w:firstLine="514"/>
        <w:spacing w:after="0" w:line="219" w:lineRule="auto"/>
        <w:tabs>
          <w:tab w:leader="none" w:pos="84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54" w:lineRule="exact"/>
        <w:rPr>
          <w:rFonts w:ascii="Arial" w:cs="Arial" w:eastAsia="Arial" w:hAnsi="Arial"/>
          <w:sz w:val="16"/>
          <w:szCs w:val="16"/>
          <w:color w:val="auto"/>
        </w:rPr>
      </w:pPr>
    </w:p>
    <w:p>
      <w:pPr>
        <w:ind w:left="920" w:hanging="406"/>
        <w:spacing w:after="0"/>
        <w:tabs>
          <w:tab w:leader="none" w:pos="920"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will be binding in all respects on your heirs, representatives, successors and assigns, and on the successors and assigns of the</w:t>
      </w:r>
    </w:p>
    <w:p>
      <w:pPr>
        <w:spacing w:after="0" w:line="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Company.</w:t>
      </w:r>
    </w:p>
    <w:p>
      <w:pPr>
        <w:spacing w:after="0" w:line="143" w:lineRule="exact"/>
        <w:rPr>
          <w:rFonts w:ascii="Arial" w:cs="Arial" w:eastAsia="Arial" w:hAnsi="Arial"/>
          <w:sz w:val="14"/>
          <w:szCs w:val="14"/>
          <w:color w:val="auto"/>
        </w:rPr>
      </w:pPr>
    </w:p>
    <w:p>
      <w:pPr>
        <w:jc w:val="both"/>
        <w:ind w:firstLine="514"/>
        <w:spacing w:after="0" w:line="216" w:lineRule="auto"/>
        <w:tabs>
          <w:tab w:leader="none" w:pos="85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54" w:lineRule="exact"/>
        <w:rPr>
          <w:rFonts w:ascii="Arial" w:cs="Arial" w:eastAsia="Arial" w:hAnsi="Arial"/>
          <w:sz w:val="16"/>
          <w:szCs w:val="16"/>
          <w:color w:val="auto"/>
        </w:rPr>
      </w:pPr>
    </w:p>
    <w:p>
      <w:pPr>
        <w:jc w:val="both"/>
        <w:ind w:firstLine="514"/>
        <w:spacing w:after="0" w:line="255" w:lineRule="auto"/>
        <w:tabs>
          <w:tab w:leader="none" w:pos="899"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Electronic Delivery and Acceptance</w:t>
      </w:r>
      <w:r>
        <w:rPr>
          <w:rFonts w:ascii="Arial" w:cs="Arial" w:eastAsia="Arial" w:hAnsi="Arial"/>
          <w:sz w:val="14"/>
          <w:szCs w:val="14"/>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30" w:lineRule="exact"/>
        <w:rPr>
          <w:sz w:val="20"/>
          <w:szCs w:val="20"/>
          <w:color w:val="auto"/>
        </w:rPr>
      </w:pPr>
    </w:p>
    <w:p>
      <w:pPr>
        <w:spacing w:after="0" w:line="232" w:lineRule="auto"/>
        <w:rPr>
          <w:sz w:val="20"/>
          <w:szCs w:val="20"/>
          <w:color w:val="auto"/>
        </w:rPr>
      </w:pPr>
      <w:r>
        <w:rPr>
          <w:rFonts w:ascii="Arial" w:cs="Arial" w:eastAsia="Arial" w:hAnsi="Arial"/>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16153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940" w:val="left"/>
        </w:tabs>
        <w:rPr>
          <w:sz w:val="20"/>
          <w:szCs w:val="20"/>
          <w:color w:val="auto"/>
        </w:rPr>
      </w:pPr>
      <w:r>
        <w:rPr>
          <w:rFonts w:ascii="Arial" w:cs="Arial" w:eastAsia="Arial" w:hAnsi="Arial"/>
          <w:sz w:val="13"/>
          <w:szCs w:val="13"/>
          <w:color w:val="auto"/>
        </w:rPr>
        <w:t>RSU Agreement – Executives (ELT) (2019 Plan – October 10, 2023 Grant)</w:t>
      </w:r>
      <w:r>
        <w:rPr>
          <w:sz w:val="20"/>
          <w:szCs w:val="20"/>
          <w:color w:val="auto"/>
        </w:rPr>
        <w:tab/>
      </w:r>
      <w:r>
        <w:rPr>
          <w:rFonts w:ascii="Arial" w:cs="Arial" w:eastAsia="Arial" w:hAnsi="Arial"/>
          <w:sz w:val="11"/>
          <w:szCs w:val="11"/>
          <w:color w:val="auto"/>
        </w:rPr>
        <w:t>Page 4</w:t>
      </w:r>
    </w:p>
    <w:p>
      <w:pPr>
        <w:sectPr>
          <w:pgSz w:w="11900" w:h="16838" w:orient="portrait"/>
          <w:cols w:equalWidth="0" w:num="1">
            <w:col w:w="11280"/>
          </w:cols>
          <w:pgMar w:left="300" w:top="933"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2019 OMNIBUS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Restricted Stock Unit Award Agreement (Non-Employee Director)</w:t>
      </w:r>
    </w:p>
    <w:p>
      <w:pPr>
        <w:spacing w:after="0" w:line="204" w:lineRule="exact"/>
        <w:rPr>
          <w:sz w:val="20"/>
          <w:szCs w:val="20"/>
          <w:color w:val="auto"/>
        </w:rPr>
      </w:pPr>
    </w:p>
    <w:p>
      <w:pPr>
        <w:ind w:firstLine="176"/>
        <w:spacing w:after="0" w:line="238" w:lineRule="auto"/>
        <w:rPr>
          <w:sz w:val="20"/>
          <w:szCs w:val="20"/>
          <w:color w:val="auto"/>
        </w:rPr>
      </w:pPr>
      <w:r>
        <w:rPr>
          <w:rFonts w:ascii="Arial" w:cs="Arial" w:eastAsia="Arial" w:hAnsi="Arial"/>
          <w:sz w:val="14"/>
          <w:szCs w:val="14"/>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 Award Agreement (the “Agreement”), consisting of this cover page and the Terms</w:t>
      </w:r>
    </w:p>
    <w:p>
      <w:pPr>
        <w:spacing w:after="0" w:line="224" w:lineRule="auto"/>
        <w:rPr>
          <w:sz w:val="20"/>
          <w:szCs w:val="20"/>
          <w:color w:val="auto"/>
        </w:rPr>
      </w:pPr>
      <w:r>
        <w:rPr>
          <w:rFonts w:ascii="Arial" w:cs="Arial" w:eastAsia="Arial" w:hAnsi="Arial"/>
          <w:sz w:val="16"/>
          <w:szCs w:val="16"/>
          <w:color w:val="auto"/>
        </w:rPr>
        <w:t>and Conditions on the following pages, and in the Plan document, a copy of which has been made available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81850" cy="565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81850" cy="565785"/>
                    </a:xfrm>
                    <a:prstGeom prst="rect">
                      <a:avLst/>
                    </a:prstGeom>
                    <a:noFill/>
                  </pic:spPr>
                </pic:pic>
              </a:graphicData>
            </a:graphic>
          </wp:anchor>
        </w:drawing>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of Participant: _______________________</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Number of Restricted Stock Units: _______</w:t>
      </w:r>
    </w:p>
    <w:p>
      <w:pPr>
        <w:spacing w:after="0" w:line="28"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color w:val="auto"/>
        </w:rPr>
        <w:t>Grant Date:</w:t>
      </w:r>
      <w:r>
        <w:rPr>
          <w:sz w:val="20"/>
          <w:szCs w:val="20"/>
          <w:color w:val="auto"/>
        </w:rPr>
        <w:tab/>
      </w:r>
      <w:r>
        <w:rPr>
          <w:rFonts w:ascii="Arial" w:cs="Arial" w:eastAsia="Arial" w:hAnsi="Arial"/>
          <w:sz w:val="13"/>
          <w:szCs w:val="13"/>
          <w:color w:val="auto"/>
        </w:rPr>
        <w:t>October 10, 2023</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Scheduled Vesting Date: October 10, 2024</w:t>
      </w:r>
    </w:p>
    <w:p>
      <w:pPr>
        <w:spacing w:after="0" w:line="283" w:lineRule="exact"/>
        <w:rPr>
          <w:sz w:val="20"/>
          <w:szCs w:val="20"/>
          <w:color w:val="auto"/>
        </w:rPr>
      </w:pPr>
    </w:p>
    <w:p>
      <w:pPr>
        <w:ind w:firstLine="509"/>
        <w:spacing w:after="0" w:line="232" w:lineRule="auto"/>
        <w:rPr>
          <w:sz w:val="20"/>
          <w:szCs w:val="20"/>
          <w:color w:val="auto"/>
        </w:rPr>
      </w:pPr>
      <w:r>
        <w:rPr>
          <w:rFonts w:ascii="Arial" w:cs="Arial" w:eastAsia="Arial" w:hAnsi="Arial"/>
          <w:sz w:val="16"/>
          <w:szCs w:val="16"/>
          <w:color w:val="auto"/>
        </w:rPr>
        <w:t>By logging into and accepting this Agreement through your account with E*TRADE, you acknowledge and agree (A) to be bound by all of the terms and conditions contained in this Agreement and in the Plan document and (B) that you have received and reviewed these documents.</w:t>
      </w:r>
    </w:p>
    <w:p>
      <w:pPr>
        <w:sectPr>
          <w:pgSz w:w="11900" w:h="16838" w:orient="portrait"/>
          <w:cols w:equalWidth="0" w:num="1">
            <w:col w:w="11280"/>
          </w:cols>
          <w:pgMar w:left="300" w:top="108"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OMNIBUS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Award Agreement (Non-Employee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Terms and Conditions</w:t>
      </w:r>
    </w:p>
    <w:p>
      <w:pPr>
        <w:spacing w:after="0" w:line="219" w:lineRule="exact"/>
        <w:rPr>
          <w:sz w:val="20"/>
          <w:szCs w:val="20"/>
          <w:color w:val="auto"/>
        </w:rPr>
      </w:pPr>
    </w:p>
    <w:p>
      <w:pPr>
        <w:ind w:right="80" w:firstLine="5"/>
        <w:spacing w:after="0" w:line="258" w:lineRule="auto"/>
        <w:tabs>
          <w:tab w:leader="none" w:pos="272"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Restricted Stock Units</w:t>
      </w:r>
      <w:r>
        <w:rPr>
          <w:rFonts w:ascii="Arial" w:cs="Arial" w:eastAsia="Arial" w:hAnsi="Arial"/>
          <w:sz w:val="16"/>
          <w:szCs w:val="16"/>
          <w:color w:val="auto"/>
        </w:rPr>
        <w:t>. The Company hereby confirms the grant to you, as of the Grant Date and subject to the terms and conditions in this Agreement and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25" w:lineRule="exact"/>
        <w:rPr>
          <w:rFonts w:ascii="Arial" w:cs="Arial" w:eastAsia="Arial" w:hAnsi="Arial"/>
          <w:sz w:val="16"/>
          <w:szCs w:val="16"/>
          <w:color w:val="auto"/>
        </w:rPr>
      </w:pPr>
    </w:p>
    <w:p>
      <w:pPr>
        <w:jc w:val="both"/>
        <w:ind w:firstLine="5"/>
        <w:spacing w:after="0" w:line="248" w:lineRule="auto"/>
        <w:tabs>
          <w:tab w:leader="none" w:pos="368" w:val="left"/>
        </w:tabs>
        <w:numPr>
          <w:ilvl w:val="0"/>
          <w:numId w:val="47"/>
        </w:numPr>
        <w:rPr>
          <w:rFonts w:ascii="Arial" w:cs="Arial" w:eastAsia="Arial" w:hAnsi="Arial"/>
          <w:sz w:val="14"/>
          <w:szCs w:val="14"/>
          <w:color w:val="auto"/>
        </w:rPr>
      </w:pPr>
      <w:r>
        <w:rPr>
          <w:rFonts w:ascii="Arial" w:cs="Arial" w:eastAsia="Arial" w:hAnsi="Arial"/>
          <w:sz w:val="14"/>
          <w:szCs w:val="14"/>
          <w:b w:val="1"/>
          <w:bCs w:val="1"/>
          <w:u w:val="single" w:color="auto"/>
          <w:color w:val="auto"/>
        </w:rPr>
        <w:t>Restrictions Applicable to Units</w:t>
      </w:r>
      <w:r>
        <w:rPr>
          <w:rFonts w:ascii="Arial" w:cs="Arial" w:eastAsia="Arial" w:hAnsi="Arial"/>
          <w:sz w:val="14"/>
          <w:szCs w:val="14"/>
          <w:color w:val="auto"/>
        </w:rPr>
        <w:t>. Neither this Award nor the Units subject to this Award may be sold, assigned, transferred, exchanged or encumbered, voluntarily or</w:t>
      </w:r>
      <w:r>
        <w:rPr>
          <w:rFonts w:ascii="Arial" w:cs="Arial" w:eastAsia="Arial" w:hAnsi="Arial"/>
          <w:sz w:val="14"/>
          <w:szCs w:val="14"/>
          <w:b w:val="1"/>
          <w:bCs w:val="1"/>
          <w:color w:val="auto"/>
        </w:rPr>
        <w:t xml:space="preserve"> </w:t>
      </w:r>
      <w:r>
        <w:rPr>
          <w:rFonts w:ascii="Arial" w:cs="Arial" w:eastAsia="Arial" w:hAnsi="Arial"/>
          <w:sz w:val="14"/>
          <w:szCs w:val="14"/>
          <w:color w:val="auto"/>
        </w:rPr>
        <w:t>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2 shall be void and without effect. The Units and your right to receive Shares in settlement of the Units under this Agreement shall be subject to forfeiture as provided in Section 5 until satisfaction of the vesting conditions set forth in Section 4.</w:t>
      </w:r>
    </w:p>
    <w:p>
      <w:pPr>
        <w:spacing w:after="0" w:line="144" w:lineRule="exact"/>
        <w:rPr>
          <w:rFonts w:ascii="Arial" w:cs="Arial" w:eastAsia="Arial" w:hAnsi="Arial"/>
          <w:sz w:val="14"/>
          <w:szCs w:val="14"/>
          <w:color w:val="auto"/>
        </w:rPr>
      </w:pPr>
    </w:p>
    <w:p>
      <w:pPr>
        <w:jc w:val="both"/>
        <w:ind w:firstLine="5"/>
        <w:spacing w:after="0" w:line="221" w:lineRule="auto"/>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No Shareholder Rights</w:t>
      </w:r>
      <w:r>
        <w:rPr>
          <w:rFonts w:ascii="Arial" w:cs="Arial" w:eastAsia="Arial" w:hAnsi="Arial"/>
          <w:sz w:val="16"/>
          <w:szCs w:val="16"/>
          <w:color w:val="auto"/>
        </w:rPr>
        <w:t>. The Units subject to this Award do not entitle you to any rights of a holder of the Company’s common stock. You will not have any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of the Company in connection with the grant of Units subject to this Agreement unless and until Shares are issued to you upon settlement of the Units as provided in Section 6.</w:t>
      </w:r>
    </w:p>
    <w:p>
      <w:pPr>
        <w:spacing w:after="0" w:line="128" w:lineRule="exact"/>
        <w:rPr>
          <w:rFonts w:ascii="Arial" w:cs="Arial" w:eastAsia="Arial" w:hAnsi="Arial"/>
          <w:sz w:val="16"/>
          <w:szCs w:val="16"/>
          <w:color w:val="auto"/>
        </w:rPr>
      </w:pPr>
    </w:p>
    <w:p>
      <w:pPr>
        <w:jc w:val="both"/>
        <w:ind w:firstLine="5"/>
        <w:spacing w:after="0" w:line="221" w:lineRule="auto"/>
        <w:tabs>
          <w:tab w:leader="none" w:pos="315"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of Units</w:t>
      </w:r>
      <w:r>
        <w:rPr>
          <w:rFonts w:ascii="Arial" w:cs="Arial" w:eastAsia="Arial" w:hAnsi="Arial"/>
          <w:sz w:val="16"/>
          <w:szCs w:val="16"/>
          <w:color w:val="auto"/>
        </w:rPr>
        <w:t>. For purposes of this Agreement, “Vesting Date” means any date, including the Scheduled Vesting Date specified on the cover page of this Agreement, 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Units subject to this Agreement vest as provided in this Section 4. Notwithstanding the vesting and subsequent settlement of this Award, the Award and any Share issuances or payments made hereunder shall remain subject to the provisions of Section 16(i) of the Plan.</w:t>
      </w:r>
    </w:p>
    <w:p>
      <w:pPr>
        <w:spacing w:after="0" w:line="155" w:lineRule="exact"/>
        <w:rPr>
          <w:rFonts w:ascii="Arial" w:cs="Arial" w:eastAsia="Arial" w:hAnsi="Arial"/>
          <w:sz w:val="16"/>
          <w:szCs w:val="16"/>
          <w:color w:val="auto"/>
        </w:rPr>
      </w:pPr>
    </w:p>
    <w:p>
      <w:pPr>
        <w:ind w:firstLine="514"/>
        <w:spacing w:after="0" w:line="225" w:lineRule="auto"/>
        <w:tabs>
          <w:tab w:leader="none" w:pos="101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Scheduled Vesting</w:t>
      </w:r>
      <w:r>
        <w:rPr>
          <w:rFonts w:ascii="Arial" w:cs="Arial" w:eastAsia="Arial" w:hAnsi="Arial"/>
          <w:sz w:val="16"/>
          <w:szCs w:val="16"/>
          <w:color w:val="auto"/>
        </w:rPr>
        <w:t>. If you remain a Service Provider continuously from the Grant Date specified on the cover page of this Agreement, then the Units will vest on the Scheduled Vesting Date.</w:t>
      </w:r>
    </w:p>
    <w:p>
      <w:pPr>
        <w:spacing w:after="0" w:line="153" w:lineRule="exact"/>
        <w:rPr>
          <w:rFonts w:ascii="Arial" w:cs="Arial" w:eastAsia="Arial" w:hAnsi="Arial"/>
          <w:sz w:val="16"/>
          <w:szCs w:val="16"/>
          <w:color w:val="auto"/>
        </w:rPr>
      </w:pPr>
    </w:p>
    <w:p>
      <w:pPr>
        <w:ind w:left="1020" w:hanging="506"/>
        <w:spacing w:after="0"/>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The vesting of outstanding Units will be accelerated under the circumstances provided below:</w:t>
      </w:r>
    </w:p>
    <w:p>
      <w:pPr>
        <w:spacing w:after="0" w:line="166" w:lineRule="exact"/>
        <w:rPr>
          <w:rFonts w:ascii="Arial" w:cs="Arial" w:eastAsia="Arial" w:hAnsi="Arial"/>
          <w:sz w:val="16"/>
          <w:szCs w:val="16"/>
          <w:color w:val="auto"/>
        </w:rPr>
      </w:pPr>
    </w:p>
    <w:p>
      <w:pPr>
        <w:ind w:left="520" w:firstLine="503"/>
        <w:spacing w:after="0" w:line="225" w:lineRule="auto"/>
        <w:tabs>
          <w:tab w:leader="none" w:pos="1529" w:val="left"/>
        </w:tabs>
        <w:numPr>
          <w:ilvl w:val="2"/>
          <w:numId w:val="47"/>
        </w:numPr>
        <w:rPr>
          <w:rFonts w:ascii="Arial" w:cs="Arial" w:eastAsia="Arial" w:hAnsi="Arial"/>
          <w:sz w:val="16"/>
          <w:szCs w:val="16"/>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If your Service terminates prior to the Scheduled Vesting Date due to your death or Disability, then all of the unvested Units shall vest</w:t>
      </w:r>
      <w:r>
        <w:rPr>
          <w:rFonts w:ascii="Arial" w:cs="Arial" w:eastAsia="Arial" w:hAnsi="Arial"/>
          <w:sz w:val="16"/>
          <w:szCs w:val="16"/>
          <w:i w:val="1"/>
          <w:iCs w:val="1"/>
          <w:color w:val="auto"/>
        </w:rPr>
        <w:t xml:space="preserve"> </w:t>
      </w:r>
      <w:r>
        <w:rPr>
          <w:rFonts w:ascii="Arial" w:cs="Arial" w:eastAsia="Arial" w:hAnsi="Arial"/>
          <w:sz w:val="16"/>
          <w:szCs w:val="16"/>
          <w:color w:val="auto"/>
        </w:rPr>
        <w:t>as of such termination date.</w:t>
      </w:r>
    </w:p>
    <w:p>
      <w:pPr>
        <w:spacing w:after="0" w:line="153" w:lineRule="exact"/>
        <w:rPr>
          <w:rFonts w:ascii="Arial" w:cs="Arial" w:eastAsia="Arial" w:hAnsi="Arial"/>
          <w:sz w:val="16"/>
          <w:szCs w:val="16"/>
          <w:color w:val="auto"/>
        </w:rPr>
      </w:pPr>
    </w:p>
    <w:p>
      <w:pPr>
        <w:ind w:left="520" w:firstLine="503"/>
        <w:spacing w:after="0" w:line="232" w:lineRule="auto"/>
        <w:tabs>
          <w:tab w:leader="none" w:pos="1529" w:val="left"/>
        </w:tabs>
        <w:numPr>
          <w:ilvl w:val="2"/>
          <w:numId w:val="47"/>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a Change in Control occurs while your Service continues and prior to the Scheduled Vesting Date, then all of the unvested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as of the date of the consummation of such Change in Control.</w:t>
      </w:r>
    </w:p>
    <w:p>
      <w:pPr>
        <w:spacing w:after="0" w:line="136" w:lineRule="exact"/>
        <w:rPr>
          <w:rFonts w:ascii="Arial" w:cs="Arial" w:eastAsia="Arial" w:hAnsi="Arial"/>
          <w:sz w:val="16"/>
          <w:szCs w:val="16"/>
          <w:color w:val="auto"/>
        </w:rPr>
      </w:pPr>
    </w:p>
    <w:p>
      <w:pPr>
        <w:ind w:left="280" w:hanging="275"/>
        <w:spacing w:after="0"/>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Forfeiture</w:t>
      </w:r>
      <w:r>
        <w:rPr>
          <w:rFonts w:ascii="Arial" w:cs="Arial" w:eastAsia="Arial" w:hAnsi="Arial"/>
          <w:sz w:val="16"/>
          <w:szCs w:val="16"/>
          <w:color w:val="auto"/>
        </w:rPr>
        <w:t>. Except as otherwise provided in accordance with Section 4 above, if you cease to be a Service Provider, you will forfeit all unvested Units.</w:t>
      </w:r>
    </w:p>
    <w:p>
      <w:pPr>
        <w:spacing w:after="0" w:line="166" w:lineRule="exact"/>
        <w:rPr>
          <w:rFonts w:ascii="Arial" w:cs="Arial" w:eastAsia="Arial" w:hAnsi="Arial"/>
          <w:sz w:val="16"/>
          <w:szCs w:val="16"/>
          <w:color w:val="auto"/>
        </w:rPr>
      </w:pPr>
    </w:p>
    <w:p>
      <w:pPr>
        <w:ind w:left="280" w:hanging="275"/>
        <w:spacing w:after="0"/>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 of Units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1615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340" w:val="left"/>
        </w:tabs>
        <w:rPr>
          <w:sz w:val="20"/>
          <w:szCs w:val="20"/>
          <w:color w:val="auto"/>
        </w:rPr>
      </w:pPr>
      <w:r>
        <w:rPr>
          <w:rFonts w:ascii="Arial" w:cs="Arial" w:eastAsia="Arial" w:hAnsi="Arial"/>
          <w:sz w:val="12"/>
          <w:szCs w:val="12"/>
          <w:color w:val="auto"/>
        </w:rPr>
        <w:t>RSU Agreement – Non-Employee Directors (2019 Plan – October 10, 2023 Grant)</w:t>
      </w:r>
      <w:r>
        <w:rPr>
          <w:sz w:val="20"/>
          <w:szCs w:val="20"/>
          <w:color w:val="auto"/>
        </w:rPr>
        <w:tab/>
      </w:r>
      <w:r>
        <w:rPr>
          <w:rFonts w:ascii="Arial" w:cs="Arial" w:eastAsia="Arial" w:hAnsi="Arial"/>
          <w:sz w:val="10"/>
          <w:szCs w:val="10"/>
          <w:color w:val="auto"/>
        </w:rPr>
        <w:t>Page 2</w:t>
      </w:r>
    </w:p>
    <w:p>
      <w:pPr>
        <w:sectPr>
          <w:pgSz w:w="11900" w:h="16838" w:orient="portrait"/>
          <w:cols w:equalWidth="0" w:num="1">
            <w:col w:w="11280"/>
          </w:cols>
          <w:pgMar w:left="300" w:top="1150" w:right="319" w:bottom="1440" w:gutter="0" w:footer="0" w:header="0"/>
        </w:sectPr>
      </w:pPr>
    </w:p>
    <w:bookmarkStart w:id="80" w:name="page81"/>
    <w:bookmarkEnd w:id="80"/>
    <w:p>
      <w:pPr>
        <w:jc w:val="both"/>
        <w:ind w:firstLine="514"/>
        <w:spacing w:after="0" w:line="216" w:lineRule="auto"/>
        <w:tabs>
          <w:tab w:leader="none" w:pos="1011" w:val="left"/>
        </w:tabs>
        <w:numPr>
          <w:ilvl w:val="1"/>
          <w:numId w:val="48"/>
        </w:numPr>
        <w:rPr>
          <w:rFonts w:ascii="Arial" w:cs="Arial" w:eastAsia="Arial" w:hAnsi="Arial"/>
          <w:sz w:val="15"/>
          <w:szCs w:val="15"/>
          <w:color w:val="auto"/>
        </w:rPr>
      </w:pPr>
      <w:r>
        <w:rPr>
          <w:rFonts w:ascii="Arial" w:cs="Arial" w:eastAsia="Arial" w:hAnsi="Arial"/>
          <w:sz w:val="15"/>
          <w:szCs w:val="15"/>
          <w:color w:val="auto"/>
        </w:rPr>
        <w:t>Unless you have elected to defer settlement of the Units, after any Units vest pursuant to Section 4, the Company shall, as soon as practicable (but no later than the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34" w:lineRule="exact"/>
        <w:rPr>
          <w:rFonts w:ascii="Arial" w:cs="Arial" w:eastAsia="Arial" w:hAnsi="Arial"/>
          <w:sz w:val="15"/>
          <w:szCs w:val="15"/>
          <w:color w:val="auto"/>
        </w:rPr>
      </w:pPr>
    </w:p>
    <w:p>
      <w:pPr>
        <w:ind w:firstLine="514"/>
        <w:spacing w:after="0" w:line="225" w:lineRule="auto"/>
        <w:tabs>
          <w:tab w:leader="none" w:pos="1009"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you have elected to defer the settlement of the Units (“Deferred Units”) pursuant to the terms of the Plan, after any Deferred Units vest pursuant to Section 4 the settlement of such Deferred Units shall be governed by the terms of the Plan and your related deferral election.</w:t>
      </w:r>
    </w:p>
    <w:p>
      <w:pPr>
        <w:spacing w:after="0" w:line="147" w:lineRule="exact"/>
        <w:rPr>
          <w:rFonts w:ascii="Arial" w:cs="Arial" w:eastAsia="Arial" w:hAnsi="Arial"/>
          <w:sz w:val="16"/>
          <w:szCs w:val="16"/>
          <w:color w:val="auto"/>
        </w:rPr>
      </w:pPr>
    </w:p>
    <w:p>
      <w:pPr>
        <w:jc w:val="both"/>
        <w:ind w:firstLine="5"/>
        <w:spacing w:after="0" w:line="243" w:lineRule="auto"/>
        <w:tabs>
          <w:tab w:leader="none" w:pos="283" w:val="left"/>
        </w:tabs>
        <w:numPr>
          <w:ilvl w:val="0"/>
          <w:numId w:val="49"/>
        </w:numPr>
        <w:rPr>
          <w:rFonts w:ascii="Arial" w:cs="Arial" w:eastAsia="Arial" w:hAnsi="Arial"/>
          <w:sz w:val="14"/>
          <w:szCs w:val="14"/>
          <w:color w:val="auto"/>
        </w:rPr>
      </w:pPr>
      <w:r>
        <w:rPr>
          <w:rFonts w:ascii="Arial" w:cs="Arial" w:eastAsia="Arial" w:hAnsi="Arial"/>
          <w:sz w:val="14"/>
          <w:szCs w:val="14"/>
          <w:b w:val="1"/>
          <w:bCs w:val="1"/>
          <w:u w:val="single" w:color="auto"/>
          <w:color w:val="auto"/>
        </w:rPr>
        <w:t>Dividend Equivalents</w:t>
      </w:r>
      <w:r>
        <w:rPr>
          <w:rFonts w:ascii="Arial" w:cs="Arial" w:eastAsia="Arial" w:hAnsi="Arial"/>
          <w:sz w:val="14"/>
          <w:szCs w:val="14"/>
          <w:color w:val="auto"/>
        </w:rPr>
        <w:t>. If the Company pays cash dividends on its Shares while any Units subject to this Agreement are outstanding, then the Company shall credit, as of each</w:t>
      </w:r>
      <w:r>
        <w:rPr>
          <w:rFonts w:ascii="Arial" w:cs="Arial" w:eastAsia="Arial" w:hAnsi="Arial"/>
          <w:sz w:val="14"/>
          <w:szCs w:val="14"/>
          <w:b w:val="1"/>
          <w:bCs w:val="1"/>
          <w:color w:val="auto"/>
        </w:rPr>
        <w:t xml:space="preserve"> </w:t>
      </w:r>
      <w:r>
        <w:rPr>
          <w:rFonts w:ascii="Arial" w:cs="Arial" w:eastAsia="Arial" w:hAnsi="Arial"/>
          <w:sz w:val="14"/>
          <w:szCs w:val="14"/>
          <w:color w:val="auto"/>
        </w:rPr>
        <w:t>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4 and 6 of this Agreement. No interest shall accrue on any unpaid dividend equivalents. Any dividend equivalents accrued on Units that are forfeited in accordance with this Agreement shall also be forfeited.</w:t>
      </w:r>
    </w:p>
    <w:p>
      <w:pPr>
        <w:spacing w:after="0" w:line="146" w:lineRule="exact"/>
        <w:rPr>
          <w:rFonts w:ascii="Arial" w:cs="Arial" w:eastAsia="Arial" w:hAnsi="Arial"/>
          <w:sz w:val="14"/>
          <w:szCs w:val="14"/>
          <w:color w:val="auto"/>
        </w:rPr>
      </w:pPr>
    </w:p>
    <w:p>
      <w:pPr>
        <w:ind w:firstLine="5"/>
        <w:spacing w:after="0" w:line="235" w:lineRule="auto"/>
        <w:tabs>
          <w:tab w:leader="none" w:pos="336"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color w:val="auto"/>
        </w:rPr>
        <w:t>. No Shares will be delivered to you in settlement of vested Units unless you have made arrangements acceptable to the Company for payment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local or foreign taxes that may be due as a result of the delivery of the Shares.</w:t>
      </w:r>
    </w:p>
    <w:p>
      <w:pPr>
        <w:spacing w:after="0" w:line="117" w:lineRule="exact"/>
        <w:rPr>
          <w:rFonts w:ascii="Arial" w:cs="Arial" w:eastAsia="Arial" w:hAnsi="Arial"/>
          <w:sz w:val="16"/>
          <w:szCs w:val="16"/>
          <w:color w:val="auto"/>
        </w:rPr>
      </w:pPr>
    </w:p>
    <w:p>
      <w:pPr>
        <w:jc w:val="both"/>
        <w:ind w:firstLine="5"/>
        <w:spacing w:after="0" w:line="212" w:lineRule="auto"/>
        <w:tabs>
          <w:tab w:leader="none" w:pos="283"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Every notice or other communication relating to this Agreement shall be in writing and shall be mailed to or delivered (including electronically) to the party for whom</w:t>
      </w:r>
      <w:r>
        <w:rPr>
          <w:rFonts w:ascii="Arial" w:cs="Arial" w:eastAsia="Arial" w:hAnsi="Arial"/>
          <w:sz w:val="16"/>
          <w:szCs w:val="16"/>
          <w:b w:val="1"/>
          <w:bCs w:val="1"/>
          <w:color w:val="auto"/>
        </w:rPr>
        <w:t xml:space="preserve"> </w:t>
      </w:r>
      <w:r>
        <w:rPr>
          <w:rFonts w:ascii="Arial" w:cs="Arial" w:eastAsia="Arial" w:hAnsi="Arial"/>
          <w:sz w:val="16"/>
          <w:szCs w:val="16"/>
          <w:color w:val="auto"/>
        </w:rPr>
        <w:t>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Director, emailed to you at the address indicated in the Company's records as your most recent mailing or email address.</w:t>
      </w:r>
    </w:p>
    <w:p>
      <w:pPr>
        <w:spacing w:after="0" w:line="128" w:lineRule="exact"/>
        <w:rPr>
          <w:rFonts w:ascii="Arial" w:cs="Arial" w:eastAsia="Arial" w:hAnsi="Arial"/>
          <w:sz w:val="16"/>
          <w:szCs w:val="16"/>
          <w:color w:val="auto"/>
        </w:rPr>
      </w:pPr>
    </w:p>
    <w:p>
      <w:pPr>
        <w:ind w:left="360" w:hanging="355"/>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Provisions</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firstLine="514"/>
        <w:spacing w:after="0" w:line="274" w:lineRule="auto"/>
        <w:tabs>
          <w:tab w:leader="none" w:pos="890" w:val="left"/>
        </w:tabs>
        <w:numPr>
          <w:ilvl w:val="1"/>
          <w:numId w:val="49"/>
        </w:numPr>
        <w:rPr>
          <w:rFonts w:ascii="Arial" w:cs="Arial" w:eastAsia="Arial" w:hAnsi="Arial"/>
          <w:sz w:val="14"/>
          <w:szCs w:val="14"/>
          <w:color w:val="auto"/>
        </w:rPr>
      </w:pPr>
      <w:r>
        <w:rPr>
          <w:rFonts w:ascii="Arial" w:cs="Arial" w:eastAsia="Arial" w:hAnsi="Arial"/>
          <w:sz w:val="14"/>
          <w:szCs w:val="14"/>
          <w:u w:val="single" w:color="auto"/>
          <w:color w:val="auto"/>
        </w:rPr>
        <w:t>No Right to Continued Service</w:t>
      </w:r>
      <w:r>
        <w:rPr>
          <w:rFonts w:ascii="Arial" w:cs="Arial" w:eastAsia="Arial" w:hAnsi="Arial"/>
          <w:sz w:val="14"/>
          <w:szCs w:val="14"/>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31" w:lineRule="exact"/>
        <w:rPr>
          <w:rFonts w:ascii="Arial" w:cs="Arial" w:eastAsia="Arial" w:hAnsi="Arial"/>
          <w:sz w:val="14"/>
          <w:szCs w:val="14"/>
          <w:color w:val="auto"/>
        </w:rPr>
      </w:pPr>
    </w:p>
    <w:p>
      <w:pPr>
        <w:jc w:val="both"/>
        <w:ind w:firstLine="514"/>
        <w:spacing w:after="0" w:line="219" w:lineRule="auto"/>
        <w:tabs>
          <w:tab w:leader="none" w:pos="888"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54" w:lineRule="exact"/>
        <w:rPr>
          <w:rFonts w:ascii="Arial" w:cs="Arial" w:eastAsia="Arial" w:hAnsi="Arial"/>
          <w:sz w:val="16"/>
          <w:szCs w:val="16"/>
          <w:color w:val="auto"/>
        </w:rPr>
      </w:pPr>
    </w:p>
    <w:p>
      <w:pPr>
        <w:ind w:firstLine="514"/>
        <w:spacing w:after="0" w:line="232" w:lineRule="auto"/>
        <w:tabs>
          <w:tab w:leader="none" w:pos="848"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340" w:val="left"/>
        </w:tabs>
        <w:rPr>
          <w:sz w:val="20"/>
          <w:szCs w:val="20"/>
          <w:color w:val="auto"/>
        </w:rPr>
      </w:pPr>
      <w:r>
        <w:rPr>
          <w:rFonts w:ascii="Arial" w:cs="Arial" w:eastAsia="Arial" w:hAnsi="Arial"/>
          <w:sz w:val="12"/>
          <w:szCs w:val="12"/>
          <w:color w:val="auto"/>
        </w:rPr>
        <w:t>RSU Agreement – Non-Employee Directors (2019 Plan – October 10, 2023 Grant)</w:t>
      </w:r>
      <w:r>
        <w:rPr>
          <w:sz w:val="20"/>
          <w:szCs w:val="20"/>
          <w:color w:val="auto"/>
        </w:rPr>
        <w:tab/>
      </w:r>
      <w:r>
        <w:rPr>
          <w:rFonts w:ascii="Arial" w:cs="Arial" w:eastAsia="Arial" w:hAnsi="Arial"/>
          <w:sz w:val="10"/>
          <w:szCs w:val="10"/>
          <w:color w:val="auto"/>
        </w:rPr>
        <w:t>Page 3</w:t>
      </w:r>
    </w:p>
    <w:p>
      <w:pPr>
        <w:sectPr>
          <w:pgSz w:w="11900" w:h="16838" w:orient="portrait"/>
          <w:cols w:equalWidth="0" w:num="1">
            <w:col w:w="11280"/>
          </w:cols>
          <w:pgMar w:left="300" w:top="1326" w:right="319" w:bottom="1440" w:gutter="0" w:footer="0" w:header="0"/>
        </w:sectPr>
      </w:pPr>
    </w:p>
    <w:bookmarkStart w:id="81" w:name="page82"/>
    <w:bookmarkEnd w:id="81"/>
    <w:p>
      <w:pPr>
        <w:jc w:val="both"/>
        <w:ind w:firstLine="514"/>
        <w:spacing w:after="0" w:line="219" w:lineRule="auto"/>
        <w:tabs>
          <w:tab w:leader="none" w:pos="84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54" w:lineRule="exact"/>
        <w:rPr>
          <w:rFonts w:ascii="Arial" w:cs="Arial" w:eastAsia="Arial" w:hAnsi="Arial"/>
          <w:sz w:val="16"/>
          <w:szCs w:val="16"/>
          <w:color w:val="auto"/>
        </w:rPr>
      </w:pPr>
    </w:p>
    <w:p>
      <w:pPr>
        <w:ind w:left="920" w:hanging="406"/>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will be binding in all respects on your heirs, representatives, successors and assigns, and on the successors and assigns of the</w:t>
      </w:r>
    </w:p>
    <w:p>
      <w:pPr>
        <w:spacing w:after="0" w:line="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Company.</w:t>
      </w:r>
    </w:p>
    <w:p>
      <w:pPr>
        <w:spacing w:after="0" w:line="143" w:lineRule="exact"/>
        <w:rPr>
          <w:rFonts w:ascii="Arial" w:cs="Arial" w:eastAsia="Arial" w:hAnsi="Arial"/>
          <w:sz w:val="14"/>
          <w:szCs w:val="14"/>
          <w:color w:val="auto"/>
        </w:rPr>
      </w:pPr>
    </w:p>
    <w:p>
      <w:pPr>
        <w:jc w:val="both"/>
        <w:ind w:firstLine="514"/>
        <w:spacing w:after="0" w:line="223" w:lineRule="auto"/>
        <w:tabs>
          <w:tab w:leader="none" w:pos="83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Except to the extent Participant has elected to defer the Units pursuant to the terms of the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144" w:lineRule="exact"/>
        <w:rPr>
          <w:rFonts w:ascii="Arial" w:cs="Arial" w:eastAsia="Arial" w:hAnsi="Arial"/>
          <w:sz w:val="16"/>
          <w:szCs w:val="16"/>
          <w:color w:val="auto"/>
        </w:rPr>
      </w:pPr>
    </w:p>
    <w:p>
      <w:pPr>
        <w:jc w:val="both"/>
        <w:ind w:firstLine="514"/>
        <w:spacing w:after="0" w:line="263" w:lineRule="auto"/>
        <w:tabs>
          <w:tab w:leader="none" w:pos="899"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Electronic Delivery and Acceptance</w:t>
      </w:r>
      <w:r>
        <w:rPr>
          <w:rFonts w:ascii="Arial" w:cs="Arial" w:eastAsia="Arial" w:hAnsi="Arial"/>
          <w:sz w:val="14"/>
          <w:szCs w:val="14"/>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1615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340" w:val="left"/>
        </w:tabs>
        <w:rPr>
          <w:sz w:val="20"/>
          <w:szCs w:val="20"/>
          <w:color w:val="auto"/>
        </w:rPr>
      </w:pPr>
      <w:r>
        <w:rPr>
          <w:rFonts w:ascii="Arial" w:cs="Arial" w:eastAsia="Arial" w:hAnsi="Arial"/>
          <w:sz w:val="12"/>
          <w:szCs w:val="12"/>
          <w:color w:val="auto"/>
        </w:rPr>
        <w:t>RSU Agreement – Non-Employee Directors (2019 Plan – October 10, 2023 Grant)</w:t>
      </w:r>
      <w:r>
        <w:rPr>
          <w:sz w:val="20"/>
          <w:szCs w:val="20"/>
          <w:color w:val="auto"/>
        </w:rPr>
        <w:tab/>
      </w:r>
      <w:r>
        <w:rPr>
          <w:rFonts w:ascii="Arial" w:cs="Arial" w:eastAsia="Arial" w:hAnsi="Arial"/>
          <w:sz w:val="10"/>
          <w:szCs w:val="10"/>
          <w:color w:val="auto"/>
        </w:rPr>
        <w:t>Page 4</w:t>
      </w:r>
    </w:p>
    <w:p>
      <w:pPr>
        <w:sectPr>
          <w:pgSz w:w="11900" w:h="16838" w:orient="portrait"/>
          <w:cols w:equalWidth="0" w:num="1">
            <w:col w:w="11280"/>
          </w:cols>
          <w:pgMar w:left="300" w:top="1326" w:right="319" w:bottom="1440" w:gutter="0" w:footer="0" w:header="0"/>
        </w:sectPr>
      </w:pPr>
    </w:p>
    <w:bookmarkStart w:id="82" w:name="page83"/>
    <w:bookmarkEnd w:id="82"/>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tabs>
          <w:tab w:leader="none" w:pos="4340" w:val="left"/>
        </w:tabs>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tabs>
          <w:tab w:leader="none" w:pos="4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tabs>
          <w:tab w:leader="none" w:pos="4340" w:val="left"/>
        </w:tabs>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40" w:type="dxa"/>
            <w:vAlign w:val="bottom"/>
          </w:tcPr>
          <w:p>
            <w:pPr>
              <w:spacing w:after="0"/>
              <w:rPr>
                <w:sz w:val="13"/>
                <w:szCs w:val="13"/>
                <w:color w:val="auto"/>
              </w:rPr>
            </w:pPr>
          </w:p>
        </w:tc>
        <w:tc>
          <w:tcPr>
            <w:tcW w:w="588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8"/>
              </w:rPr>
              <w:t>SUBSIDIARIES OF THE REGISTRANT</w:t>
            </w:r>
          </w:p>
        </w:tc>
        <w:tc>
          <w:tcPr>
            <w:tcW w:w="2160" w:type="dxa"/>
            <w:vAlign w:val="bottom"/>
          </w:tcPr>
          <w:p>
            <w:pPr>
              <w:spacing w:after="0"/>
              <w:rPr>
                <w:sz w:val="13"/>
                <w:szCs w:val="13"/>
                <w:color w:val="auto"/>
              </w:rPr>
            </w:pPr>
          </w:p>
        </w:tc>
      </w:tr>
      <w:tr>
        <w:trPr>
          <w:trHeight w:val="177"/>
        </w:trPr>
        <w:tc>
          <w:tcPr>
            <w:tcW w:w="3240" w:type="dxa"/>
            <w:vAlign w:val="bottom"/>
          </w:tcPr>
          <w:p>
            <w:pPr>
              <w:spacing w:after="0"/>
              <w:rPr>
                <w:sz w:val="15"/>
                <w:szCs w:val="15"/>
                <w:color w:val="auto"/>
              </w:rPr>
            </w:pPr>
          </w:p>
        </w:tc>
        <w:tc>
          <w:tcPr>
            <w:tcW w:w="588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8"/>
              </w:rPr>
              <w:t>at August 26, 2023</w:t>
            </w:r>
          </w:p>
        </w:tc>
        <w:tc>
          <w:tcPr>
            <w:tcW w:w="216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Jurisdiction of</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7"/>
              </w:rPr>
              <w:t>Percent of</w:t>
            </w:r>
          </w:p>
        </w:tc>
      </w:tr>
      <w:tr>
        <w:trPr>
          <w:trHeight w:val="174"/>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Corporation</w:t>
            </w:r>
          </w:p>
        </w:tc>
        <w:tc>
          <w:tcPr>
            <w:tcW w:w="3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Ownership</w:t>
            </w:r>
          </w:p>
        </w:tc>
      </w:tr>
      <w:tr>
        <w:trPr>
          <w:trHeight w:val="16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Winnebago Industries, Inc.</w:t>
            </w:r>
          </w:p>
        </w:tc>
        <w:tc>
          <w:tcPr>
            <w:tcW w:w="3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Minnesota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Parent</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Winnebago of Indiana, LLC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Iowa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Grand Design RV,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Indiana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Winnebago Industries Holdco, LLC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Octavius Corporation</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Chris Craft USA, Inc.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CC Marine Brand Acquisition,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Chris Craft Corporation</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CC Property Acquisition,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Newmar Corporation</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Indiana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Barletta Boat Company,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Indiana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5"/>
        </w:trPr>
        <w:tc>
          <w:tcPr>
            <w:tcW w:w="3240" w:type="dxa"/>
            <w:vAlign w:val="bottom"/>
          </w:tcPr>
          <w:p>
            <w:pPr>
              <w:ind w:left="20"/>
              <w:spacing w:after="0"/>
              <w:rPr>
                <w:sz w:val="20"/>
                <w:szCs w:val="20"/>
                <w:color w:val="auto"/>
              </w:rPr>
            </w:pPr>
            <w:r>
              <w:rPr>
                <w:rFonts w:ascii="Arial" w:cs="Arial" w:eastAsia="Arial" w:hAnsi="Arial"/>
                <w:sz w:val="13"/>
                <w:szCs w:val="13"/>
                <w:color w:val="auto"/>
              </w:rPr>
              <w:t>Lithionics Battery, LLC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Florida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bl>
    <w:p>
      <w:pPr>
        <w:sectPr>
          <w:pgSz w:w="11900" w:h="16838" w:orient="portrait"/>
          <w:cols w:equalWidth="0" w:num="1">
            <w:col w:w="11280"/>
          </w:cols>
          <w:pgMar w:left="300" w:top="761"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auto"/>
        </w:rPr>
        <w:t>Exhibit 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Registration Statement Nos. 333-31595, 333-47123, 333-113246, 333-194854, 333-222261 and 333-232220 on Form S-8 of our reports dated</w:t>
      </w:r>
    </w:p>
    <w:p>
      <w:pPr>
        <w:spacing w:after="0" w:line="225" w:lineRule="auto"/>
        <w:rPr>
          <w:sz w:val="20"/>
          <w:szCs w:val="20"/>
          <w:color w:val="auto"/>
        </w:rPr>
      </w:pPr>
      <w:r>
        <w:rPr>
          <w:rFonts w:ascii="Arial" w:cs="Arial" w:eastAsia="Arial" w:hAnsi="Arial"/>
          <w:sz w:val="13"/>
          <w:szCs w:val="13"/>
          <w:color w:val="auto"/>
        </w:rPr>
        <w:t>October 18, 2023, relating to the financial statements of Winnebago Industries, Inc. and the effectiveness of Winnebago Industries, Inc.'s internal control over financial reporting appearing in this Annual Report on Form 10-K for the year ended August 26, 2023.</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October 18, 2023</w:t>
      </w:r>
    </w:p>
    <w:p>
      <w:pPr>
        <w:sectPr>
          <w:pgSz w:w="11900" w:h="16838" w:orient="portrait"/>
          <w:cols w:equalWidth="0" w:num="1">
            <w:col w:w="11280"/>
          </w:cols>
          <w:pgMar w:left="300" w:top="761"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auto"/>
        </w:rPr>
        <w:t>Exhibit 31.1</w:t>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 Michael J. Happe, Chief Executive Officer of Winnebago Industries, Inc., certify that:</w:t>
      </w:r>
    </w:p>
    <w:p>
      <w:pPr>
        <w:spacing w:after="0" w:line="73"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Winnebago Industries, Inc. (the "Registrant");</w:t>
      </w:r>
    </w:p>
    <w:p>
      <w:pPr>
        <w:spacing w:after="0" w:line="41" w:lineRule="exact"/>
        <w:rPr>
          <w:rFonts w:ascii="Arial" w:cs="Arial" w:eastAsia="Arial" w:hAnsi="Arial"/>
          <w:sz w:val="13"/>
          <w:szCs w:val="13"/>
          <w:color w:val="auto"/>
        </w:rPr>
      </w:pPr>
    </w:p>
    <w:p>
      <w:pPr>
        <w:ind w:left="260" w:right="500" w:hanging="255"/>
        <w:spacing w:after="0" w:line="274" w:lineRule="auto"/>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7" w:lineRule="exact"/>
        <w:rPr>
          <w:rFonts w:ascii="Arial" w:cs="Arial" w:eastAsia="Arial" w:hAnsi="Arial"/>
          <w:sz w:val="13"/>
          <w:szCs w:val="13"/>
          <w:color w:val="auto"/>
        </w:rPr>
      </w:pPr>
    </w:p>
    <w:p>
      <w:pPr>
        <w:ind w:left="260" w:right="220" w:hanging="255"/>
        <w:spacing w:after="0" w:line="257" w:lineRule="auto"/>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8" w:lineRule="exact"/>
        <w:rPr>
          <w:rFonts w:ascii="Arial" w:cs="Arial" w:eastAsia="Arial" w:hAnsi="Arial"/>
          <w:sz w:val="13"/>
          <w:szCs w:val="13"/>
          <w:color w:val="auto"/>
        </w:rPr>
      </w:pPr>
    </w:p>
    <w:p>
      <w:pPr>
        <w:ind w:left="260" w:right="100" w:hanging="255"/>
        <w:spacing w:after="0" w:line="257" w:lineRule="auto"/>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3"/>
          <w:szCs w:val="13"/>
          <w:color w:val="auto"/>
        </w:rPr>
      </w:pPr>
    </w:p>
    <w:p>
      <w:pPr>
        <w:ind w:left="520" w:right="60" w:hanging="260"/>
        <w:spacing w:after="0" w:line="257" w:lineRule="auto"/>
        <w:tabs>
          <w:tab w:leader="none" w:pos="520" w:val="left"/>
        </w:tabs>
        <w:numPr>
          <w:ilvl w:val="1"/>
          <w:numId w:val="5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7" w:lineRule="exact"/>
        <w:rPr>
          <w:rFonts w:ascii="Arial" w:cs="Arial" w:eastAsia="Arial" w:hAnsi="Arial"/>
          <w:sz w:val="13"/>
          <w:szCs w:val="13"/>
          <w:color w:val="auto"/>
        </w:rPr>
      </w:pPr>
    </w:p>
    <w:p>
      <w:pPr>
        <w:ind w:left="520" w:right="20" w:hanging="260"/>
        <w:spacing w:after="0" w:line="274" w:lineRule="auto"/>
        <w:tabs>
          <w:tab w:leader="none" w:pos="520" w:val="left"/>
        </w:tabs>
        <w:numPr>
          <w:ilvl w:val="1"/>
          <w:numId w:val="5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3"/>
          <w:szCs w:val="13"/>
          <w:color w:val="auto"/>
        </w:rPr>
      </w:pPr>
    </w:p>
    <w:p>
      <w:pPr>
        <w:ind w:left="520" w:right="140" w:hanging="260"/>
        <w:spacing w:after="0" w:line="257" w:lineRule="auto"/>
        <w:tabs>
          <w:tab w:leader="none" w:pos="513"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78" w:lineRule="exact"/>
        <w:rPr>
          <w:rFonts w:ascii="Arial" w:cs="Arial" w:eastAsia="Arial" w:hAnsi="Arial"/>
          <w:sz w:val="13"/>
          <w:szCs w:val="13"/>
          <w:color w:val="auto"/>
        </w:rPr>
      </w:pPr>
    </w:p>
    <w:p>
      <w:pPr>
        <w:ind w:left="520" w:right="200" w:hanging="260"/>
        <w:spacing w:after="0" w:line="257" w:lineRule="auto"/>
        <w:tabs>
          <w:tab w:leader="none" w:pos="520" w:val="left"/>
        </w:tabs>
        <w:numPr>
          <w:ilvl w:val="1"/>
          <w:numId w:val="51"/>
        </w:numPr>
        <w:rPr>
          <w:rFonts w:ascii="Arial" w:cs="Arial" w:eastAsia="Arial" w:hAnsi="Arial"/>
          <w:sz w:val="13"/>
          <w:szCs w:val="13"/>
          <w:color w:val="auto"/>
        </w:rPr>
      </w:pPr>
      <w:r>
        <w:rPr>
          <w:rFonts w:ascii="Arial" w:cs="Arial" w:eastAsia="Arial" w:hAnsi="Arial"/>
          <w:sz w:val="13"/>
          <w:szCs w:val="13"/>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8" w:lineRule="exact"/>
        <w:rPr>
          <w:rFonts w:ascii="Arial" w:cs="Arial" w:eastAsia="Arial" w:hAnsi="Arial"/>
          <w:sz w:val="13"/>
          <w:szCs w:val="13"/>
          <w:color w:val="auto"/>
        </w:rPr>
      </w:pPr>
    </w:p>
    <w:p>
      <w:pPr>
        <w:ind w:left="260" w:right="60" w:hanging="255"/>
        <w:spacing w:after="0" w:line="257" w:lineRule="auto"/>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Arial" w:cs="Arial" w:eastAsia="Arial" w:hAnsi="Arial"/>
          <w:sz w:val="13"/>
          <w:szCs w:val="13"/>
          <w:color w:val="auto"/>
        </w:rPr>
      </w:pPr>
    </w:p>
    <w:p>
      <w:pPr>
        <w:ind w:left="520" w:hanging="260"/>
        <w:spacing w:after="0" w:line="274" w:lineRule="auto"/>
        <w:tabs>
          <w:tab w:leader="none" w:pos="52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3"/>
          <w:szCs w:val="13"/>
          <w:color w:val="auto"/>
        </w:rPr>
      </w:pPr>
    </w:p>
    <w:p>
      <w:pPr>
        <w:ind w:left="520" w:hanging="260"/>
        <w:spacing w:after="0"/>
        <w:tabs>
          <w:tab w:leader="none" w:pos="52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520"/>
        <w:spacing w:after="0"/>
        <w:tabs>
          <w:tab w:leader="none" w:pos="1440" w:val="left"/>
          <w:tab w:leader="none" w:pos="6380" w:val="left"/>
          <w:tab w:leader="none" w:pos="72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18,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12700</wp:posOffset>
            </wp:positionV>
            <wp:extent cx="258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Michael J. Happe</w:t>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President, Chief Executive Officer</w:t>
      </w:r>
    </w:p>
    <w:p>
      <w:pPr>
        <w:sectPr>
          <w:pgSz w:w="11900" w:h="16838" w:orient="portrait"/>
          <w:cols w:equalWidth="0" w:num="1">
            <w:col w:w="11280"/>
          </w:cols>
          <w:pgMar w:left="300" w:top="793"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31.2</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PURSUANT TO 18 U.S.C. SECTION 1350,</w:t>
      </w: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 Bryan L. Hughes, Chief Financial Officer of Winnebago Industries, Inc., certify that:</w:t>
      </w:r>
    </w:p>
    <w:p>
      <w:pPr>
        <w:spacing w:after="0" w:line="73" w:lineRule="exact"/>
        <w:rPr>
          <w:sz w:val="20"/>
          <w:szCs w:val="20"/>
          <w:color w:val="auto"/>
        </w:rPr>
      </w:pPr>
    </w:p>
    <w:p>
      <w:pPr>
        <w:ind w:left="260" w:hanging="255"/>
        <w:spacing w:after="0"/>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Winnebago Industries, Inc. (the "Registrant");</w:t>
      </w:r>
    </w:p>
    <w:p>
      <w:pPr>
        <w:spacing w:after="0" w:line="232" w:lineRule="exact"/>
        <w:rPr>
          <w:rFonts w:ascii="Arial" w:cs="Arial" w:eastAsia="Arial" w:hAnsi="Arial"/>
          <w:sz w:val="13"/>
          <w:szCs w:val="13"/>
          <w:color w:val="auto"/>
        </w:rPr>
      </w:pPr>
    </w:p>
    <w:p>
      <w:pPr>
        <w:ind w:left="260" w:right="500" w:hanging="255"/>
        <w:spacing w:after="0" w:line="257" w:lineRule="auto"/>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7" w:lineRule="exact"/>
        <w:rPr>
          <w:rFonts w:ascii="Arial" w:cs="Arial" w:eastAsia="Arial" w:hAnsi="Arial"/>
          <w:sz w:val="13"/>
          <w:szCs w:val="13"/>
          <w:color w:val="auto"/>
        </w:rPr>
      </w:pPr>
    </w:p>
    <w:p>
      <w:pPr>
        <w:ind w:left="260" w:right="220" w:hanging="255"/>
        <w:spacing w:after="0" w:line="274" w:lineRule="auto"/>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7" w:lineRule="exact"/>
        <w:rPr>
          <w:rFonts w:ascii="Arial" w:cs="Arial" w:eastAsia="Arial" w:hAnsi="Arial"/>
          <w:sz w:val="13"/>
          <w:szCs w:val="13"/>
          <w:color w:val="auto"/>
        </w:rPr>
      </w:pPr>
    </w:p>
    <w:p>
      <w:pPr>
        <w:ind w:left="260" w:right="100" w:hanging="255"/>
        <w:spacing w:after="0" w:line="274" w:lineRule="auto"/>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3"/>
          <w:szCs w:val="13"/>
          <w:color w:val="auto"/>
        </w:rPr>
      </w:pPr>
    </w:p>
    <w:p>
      <w:pPr>
        <w:ind w:left="520" w:right="60" w:hanging="260"/>
        <w:spacing w:after="0" w:line="257"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Arial" w:cs="Arial" w:eastAsia="Arial" w:hAnsi="Arial"/>
          <w:sz w:val="13"/>
          <w:szCs w:val="13"/>
          <w:color w:val="auto"/>
        </w:rPr>
      </w:pPr>
    </w:p>
    <w:p>
      <w:pPr>
        <w:ind w:left="520" w:right="20" w:hanging="260"/>
        <w:spacing w:after="0" w:line="257"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3"/>
          <w:szCs w:val="13"/>
          <w:color w:val="auto"/>
        </w:rPr>
      </w:pPr>
    </w:p>
    <w:p>
      <w:pPr>
        <w:ind w:left="520" w:right="140" w:hanging="260"/>
        <w:spacing w:after="0" w:line="257" w:lineRule="auto"/>
        <w:tabs>
          <w:tab w:leader="none" w:pos="513" w:val="left"/>
        </w:tabs>
        <w:numPr>
          <w:ilvl w:val="1"/>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7" w:lineRule="exact"/>
        <w:rPr>
          <w:rFonts w:ascii="Arial" w:cs="Arial" w:eastAsia="Arial" w:hAnsi="Arial"/>
          <w:sz w:val="13"/>
          <w:szCs w:val="13"/>
          <w:color w:val="auto"/>
        </w:rPr>
      </w:pPr>
    </w:p>
    <w:p>
      <w:pPr>
        <w:ind w:left="520" w:right="200" w:hanging="260"/>
        <w:spacing w:after="0" w:line="274"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57" w:lineRule="exact"/>
        <w:rPr>
          <w:rFonts w:ascii="Arial" w:cs="Arial" w:eastAsia="Arial" w:hAnsi="Arial"/>
          <w:sz w:val="13"/>
          <w:szCs w:val="13"/>
          <w:color w:val="auto"/>
        </w:rPr>
      </w:pPr>
    </w:p>
    <w:p>
      <w:pPr>
        <w:ind w:left="260" w:right="60" w:hanging="255"/>
        <w:spacing w:after="0" w:line="274" w:lineRule="auto"/>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7" w:lineRule="exact"/>
        <w:rPr>
          <w:rFonts w:ascii="Arial" w:cs="Arial" w:eastAsia="Arial" w:hAnsi="Arial"/>
          <w:sz w:val="13"/>
          <w:szCs w:val="13"/>
          <w:color w:val="auto"/>
        </w:rPr>
      </w:pPr>
    </w:p>
    <w:p>
      <w:pPr>
        <w:ind w:left="520" w:hanging="260"/>
        <w:spacing w:after="0" w:line="257"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400"/>
        <w:spacing w:after="0"/>
        <w:tabs>
          <w:tab w:leader="none" w:pos="1100" w:val="left"/>
          <w:tab w:leader="none" w:pos="6220" w:val="left"/>
          <w:tab w:leader="none" w:pos="69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18,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12700</wp:posOffset>
            </wp:positionV>
            <wp:extent cx="250634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2506345" cy="698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3"/>
          <w:szCs w:val="13"/>
          <w:color w:val="auto"/>
        </w:rPr>
        <w:t>Bryan L. Hughes</w:t>
      </w:r>
    </w:p>
    <w:p>
      <w:pPr>
        <w:spacing w:after="0" w:line="6" w:lineRule="exact"/>
        <w:rPr>
          <w:sz w:val="20"/>
          <w:szCs w:val="20"/>
          <w:color w:val="auto"/>
        </w:rPr>
      </w:pPr>
    </w:p>
    <w:p>
      <w:pPr>
        <w:ind w:left="6960"/>
        <w:spacing w:after="0"/>
        <w:rPr>
          <w:sz w:val="20"/>
          <w:szCs w:val="20"/>
          <w:color w:val="auto"/>
        </w:rPr>
      </w:pPr>
      <w:r>
        <w:rPr>
          <w:rFonts w:ascii="Arial" w:cs="Arial" w:eastAsia="Arial" w:hAnsi="Arial"/>
          <w:sz w:val="13"/>
          <w:szCs w:val="13"/>
          <w:color w:val="auto"/>
        </w:rPr>
        <w:t>Senior Vice President, Chief Financial Officer</w:t>
      </w:r>
    </w:p>
    <w:p>
      <w:pPr>
        <w:ind w:left="6960"/>
        <w:spacing w:after="0"/>
        <w:rPr>
          <w:sz w:val="20"/>
          <w:szCs w:val="20"/>
          <w:color w:val="auto"/>
        </w:rPr>
      </w:pPr>
      <w:r>
        <w:rPr>
          <w:rFonts w:ascii="Arial" w:cs="Arial" w:eastAsia="Arial" w:hAnsi="Arial"/>
          <w:sz w:val="13"/>
          <w:szCs w:val="13"/>
          <w:color w:val="auto"/>
        </w:rPr>
        <w:t>(Principal Financial and Accounting Officer)</w:t>
      </w:r>
    </w:p>
    <w:p>
      <w:pPr>
        <w:sectPr>
          <w:pgSz w:w="11900" w:h="16838" w:orient="portrait"/>
          <w:cols w:equalWidth="0" w:num="1">
            <w:col w:w="11280"/>
          </w:cols>
          <w:pgMar w:left="300" w:top="761" w:right="3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32.1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14" w:lineRule="exact"/>
        <w:rPr>
          <w:sz w:val="20"/>
          <w:szCs w:val="20"/>
          <w:color w:val="auto"/>
        </w:rPr>
      </w:pPr>
    </w:p>
    <w:p>
      <w:pPr>
        <w:ind w:right="740"/>
        <w:spacing w:after="0" w:line="274"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Michael J. Happe, Chief Executive Officer of Winnebago Industries, Inc. (the "Company"), hereby certify that to my knowledge:</w:t>
      </w:r>
    </w:p>
    <w:p>
      <w:pPr>
        <w:spacing w:after="0" w:line="157" w:lineRule="exact"/>
        <w:rPr>
          <w:sz w:val="20"/>
          <w:szCs w:val="20"/>
          <w:color w:val="auto"/>
        </w:rPr>
      </w:pPr>
    </w:p>
    <w:p>
      <w:pPr>
        <w:ind w:left="520" w:right="100" w:hanging="260"/>
        <w:spacing w:after="0" w:line="257" w:lineRule="auto"/>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Annual Report on Form 10-K for the year ended August 26, 2023 (the "Report") of the Company fully complies with the requirements of Section 13(a) or 15(d) of the Securities Exchange Act of 1934,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40" w:type="dxa"/>
            <w:vAlign w:val="bottom"/>
          </w:tcPr>
          <w:p>
            <w:pPr>
              <w:spacing w:after="0"/>
              <w:rPr>
                <w:sz w:val="20"/>
                <w:szCs w:val="20"/>
                <w:color w:val="auto"/>
              </w:rPr>
            </w:pPr>
            <w:r>
              <w:rPr>
                <w:rFonts w:ascii="Arial" w:cs="Arial" w:eastAsia="Arial" w:hAnsi="Arial"/>
                <w:sz w:val="13"/>
                <w:szCs w:val="13"/>
                <w:color w:val="auto"/>
              </w:rPr>
              <w:t>Date:</w:t>
            </w:r>
          </w:p>
        </w:tc>
        <w:tc>
          <w:tcPr>
            <w:tcW w:w="3420" w:type="dxa"/>
            <w:vAlign w:val="bottom"/>
          </w:tcPr>
          <w:p>
            <w:pPr>
              <w:ind w:left="340"/>
              <w:spacing w:after="0"/>
              <w:rPr>
                <w:sz w:val="20"/>
                <w:szCs w:val="20"/>
                <w:color w:val="auto"/>
              </w:rPr>
            </w:pPr>
            <w:r>
              <w:rPr>
                <w:rFonts w:ascii="Arial" w:cs="Arial" w:eastAsia="Arial" w:hAnsi="Arial"/>
                <w:sz w:val="13"/>
                <w:szCs w:val="13"/>
                <w:color w:val="auto"/>
              </w:rPr>
              <w:t>October 18, 2023</w:t>
            </w:r>
          </w:p>
        </w:tc>
        <w:tc>
          <w:tcPr>
            <w:tcW w:w="2940" w:type="dxa"/>
            <w:vAlign w:val="bottom"/>
          </w:tcPr>
          <w:p>
            <w:pPr>
              <w:ind w:left="2100"/>
              <w:spacing w:after="0"/>
              <w:rPr>
                <w:sz w:val="20"/>
                <w:szCs w:val="20"/>
                <w:color w:val="auto"/>
              </w:rPr>
            </w:pPr>
            <w:r>
              <w:rPr>
                <w:rFonts w:ascii="Arial" w:cs="Arial" w:eastAsia="Arial" w:hAnsi="Arial"/>
                <w:sz w:val="13"/>
                <w:szCs w:val="13"/>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r>
      <w:tr>
        <w:trPr>
          <w:trHeight w:val="158"/>
        </w:trPr>
        <w:tc>
          <w:tcPr>
            <w:tcW w:w="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Michael J. Happe</w:t>
            </w:r>
          </w:p>
        </w:tc>
      </w:tr>
      <w:tr>
        <w:trPr>
          <w:trHeight w:val="170"/>
        </w:trPr>
        <w:tc>
          <w:tcPr>
            <w:tcW w:w="6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President, Chief Executive Officer</w:t>
            </w:r>
          </w:p>
        </w:tc>
      </w:tr>
    </w:tbl>
    <w:p>
      <w:pPr>
        <w:sectPr>
          <w:pgSz w:w="11900" w:h="16838" w:orient="portrait"/>
          <w:cols w:equalWidth="0" w:num="1">
            <w:col w:w="11280"/>
          </w:cols>
          <w:pgMar w:left="300" w:top="793"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b w:val="1"/>
          <w:bCs w:val="1"/>
          <w:color w:val="auto"/>
        </w:rPr>
        <w:t>Exhibit 32.2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14"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Bryan L. Hughes, Chief Financial Officer of Winnebago Industries, Inc. (the "Company"), hereby certify that to my knowledge:</w:t>
      </w:r>
    </w:p>
    <w:p>
      <w:pPr>
        <w:spacing w:after="0" w:line="157" w:lineRule="exact"/>
        <w:rPr>
          <w:sz w:val="20"/>
          <w:szCs w:val="20"/>
          <w:color w:val="auto"/>
        </w:rPr>
      </w:pPr>
    </w:p>
    <w:p>
      <w:pPr>
        <w:ind w:left="520" w:right="100" w:hanging="260"/>
        <w:spacing w:after="0" w:line="257" w:lineRule="auto"/>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Annual Report on Form 10-K for the year ended August 26, 2023 (the "Report") of the Company fully complies with the requirements of Section 13(a) or 15(d) of the Securities Exchange Act of 1934,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40" w:type="dxa"/>
            <w:vAlign w:val="bottom"/>
          </w:tcPr>
          <w:p>
            <w:pPr>
              <w:spacing w:after="0"/>
              <w:rPr>
                <w:sz w:val="20"/>
                <w:szCs w:val="20"/>
                <w:color w:val="auto"/>
              </w:rPr>
            </w:pPr>
            <w:r>
              <w:rPr>
                <w:rFonts w:ascii="Arial" w:cs="Arial" w:eastAsia="Arial" w:hAnsi="Arial"/>
                <w:sz w:val="13"/>
                <w:szCs w:val="13"/>
                <w:color w:val="auto"/>
              </w:rPr>
              <w:t>Date:</w:t>
            </w:r>
          </w:p>
        </w:tc>
        <w:tc>
          <w:tcPr>
            <w:tcW w:w="3420" w:type="dxa"/>
            <w:vAlign w:val="bottom"/>
          </w:tcPr>
          <w:p>
            <w:pPr>
              <w:ind w:left="340"/>
              <w:spacing w:after="0"/>
              <w:rPr>
                <w:sz w:val="20"/>
                <w:szCs w:val="20"/>
                <w:color w:val="auto"/>
              </w:rPr>
            </w:pPr>
            <w:r>
              <w:rPr>
                <w:rFonts w:ascii="Arial" w:cs="Arial" w:eastAsia="Arial" w:hAnsi="Arial"/>
                <w:sz w:val="13"/>
                <w:szCs w:val="13"/>
                <w:color w:val="auto"/>
              </w:rPr>
              <w:t>October 18, 2023</w:t>
            </w:r>
          </w:p>
        </w:tc>
        <w:tc>
          <w:tcPr>
            <w:tcW w:w="2940" w:type="dxa"/>
            <w:vAlign w:val="bottom"/>
          </w:tcPr>
          <w:p>
            <w:pPr>
              <w:ind w:left="2100"/>
              <w:spacing w:after="0"/>
              <w:rPr>
                <w:sz w:val="20"/>
                <w:szCs w:val="20"/>
                <w:color w:val="auto"/>
              </w:rPr>
            </w:pPr>
            <w:r>
              <w:rPr>
                <w:rFonts w:ascii="Arial" w:cs="Arial" w:eastAsia="Arial" w:hAnsi="Arial"/>
                <w:sz w:val="13"/>
                <w:szCs w:val="13"/>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58"/>
        </w:trPr>
        <w:tc>
          <w:tcPr>
            <w:tcW w:w="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136"/>
        </w:trPr>
        <w:tc>
          <w:tcPr>
            <w:tcW w:w="6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260" w:type="dxa"/>
            <w:vAlign w:val="bottom"/>
          </w:tcPr>
          <w:p>
            <w:pPr>
              <w:ind w:left="20"/>
              <w:spacing w:after="0" w:line="136" w:lineRule="exact"/>
              <w:rPr>
                <w:sz w:val="20"/>
                <w:szCs w:val="20"/>
                <w:color w:val="auto"/>
              </w:rPr>
            </w:pPr>
            <w:r>
              <w:rPr>
                <w:rFonts w:ascii="Arial" w:cs="Arial" w:eastAsia="Arial" w:hAnsi="Arial"/>
                <w:sz w:val="13"/>
                <w:szCs w:val="13"/>
                <w:color w:val="auto"/>
              </w:rPr>
              <w:t>Senior Vice President, Chief Financial Officer</w:t>
            </w:r>
          </w:p>
        </w:tc>
      </w:tr>
      <w:tr>
        <w:trPr>
          <w:trHeight w:val="161"/>
        </w:trPr>
        <w:tc>
          <w:tcPr>
            <w:tcW w:w="6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(Principal Financial and Accounting Officer)</w:t>
            </w:r>
          </w:p>
        </w:tc>
      </w:tr>
    </w:tbl>
    <w:p>
      <w:pPr>
        <w:spacing w:after="0" w:line="1" w:lineRule="exact"/>
        <w:rPr>
          <w:sz w:val="20"/>
          <w:szCs w:val="20"/>
          <w:color w:val="auto"/>
        </w:rPr>
      </w:pPr>
    </w:p>
    <w:sectPr>
      <w:pgSz w:w="11900" w:h="16838" w:orient="portrait"/>
      <w:cols w:equalWidth="0" w:num="1">
        <w:col w:w="11280"/>
      </w:cols>
      <w:pgMar w:left="300" w:top="79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lowerLetter"/>
      <w:start w:val="2"/>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3"/>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5">
    <w:nsid w:val="57E4CCA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36">
    <w:nsid w:val="7A6D8D3C"/>
    <w:multiLevelType w:val="hybridMultilevel"/>
    <w:lvl w:ilvl="0">
      <w:lvlJc w:val="left"/>
      <w:lvlText w:val="%1."/>
      <w:numFmt w:val="lowerRoman"/>
      <w:start w:val="1"/>
    </w:lvl>
  </w:abstractNum>
  <w:abstractNum w:abstractNumId="37">
    <w:nsid w:val="4B588F54"/>
    <w:multiLevelType w:val="hybridMultilevel"/>
    <w:lvl w:ilvl="0">
      <w:lvlJc w:val="left"/>
      <w:lvlText w:val="%1."/>
      <w:numFmt w:val="lowerRoman"/>
      <w:start w:val="2"/>
    </w:lvl>
  </w:abstractNum>
  <w:abstractNum w:abstractNumId="38">
    <w:nsid w:val="542289E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39">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0">
    <w:nsid w:val="38437FDB"/>
    <w:multiLevelType w:val="hybridMultilevel"/>
    <w:lvl w:ilvl="0">
      <w:lvlJc w:val="left"/>
      <w:lvlText w:val="%1."/>
      <w:numFmt w:val="decimal"/>
      <w:start w:val="8"/>
    </w:lvl>
    <w:lvl w:ilvl="1">
      <w:lvlJc w:val="left"/>
      <w:lvlText w:val="(%2)"/>
      <w:numFmt w:val="lowerLetter"/>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3">
    <w:nsid w:val="684A481A"/>
    <w:multiLevelType w:val="hybridMultilevel"/>
    <w:lvl w:ilvl="0">
      <w:lvlJc w:val="left"/>
      <w:lvlText w:val="%1"/>
      <w:numFmt w:val="decimal"/>
      <w:start w:val="1"/>
    </w:lvl>
    <w:lvl w:ilvl="1">
      <w:lvlJc w:val="left"/>
      <w:lvlText w:val="(%2)"/>
      <w:numFmt w:val="decimal"/>
      <w:start w:val="2"/>
    </w:lvl>
  </w:abstractNum>
  <w:abstractNum w:abstractNumId="44">
    <w:nsid w:val="579478FE"/>
    <w:multiLevelType w:val="hybridMultilevel"/>
    <w:lvl w:ilvl="0">
      <w:lvlJc w:val="left"/>
      <w:lvlText w:val="%1."/>
      <w:numFmt w:val="decimal"/>
      <w:start w:val="6"/>
    </w:lvl>
    <w:lvl w:ilvl="1">
      <w:lvlJc w:val="left"/>
      <w:lvlText w:val="%2"/>
      <w:numFmt w:val="decimal"/>
      <w:start w:val="1"/>
    </w:lvl>
  </w:abstractNum>
  <w:abstractNum w:abstractNumId="45">
    <w:nsid w:val="749ABB43"/>
    <w:multiLevelType w:val="hybridMultilevel"/>
    <w:lvl w:ilvl="0">
      <w:lvlJc w:val="left"/>
      <w:lvlText w:val="%1."/>
      <w:numFmt w:val="decimal"/>
      <w:start w:val="11"/>
    </w:lvl>
    <w:lvl w:ilvl="1">
      <w:lvlJc w:val="left"/>
      <w:lvlText w:val="(%2)"/>
      <w:numFmt w:val="lowerLetter"/>
      <w:start w:val="1"/>
    </w:lvl>
  </w:abstractNum>
  <w:abstractNum w:abstractNumId="46">
    <w:nsid w:val="3DC240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7">
    <w:nsid w:val="1BA026FA"/>
    <w:multiLevelType w:val="hybridMultilevel"/>
    <w:lvl w:ilvl="0">
      <w:lvlJc w:val="left"/>
      <w:lvlText w:val="%1"/>
      <w:numFmt w:val="decimal"/>
      <w:start w:val="1"/>
    </w:lvl>
    <w:lvl w:ilvl="1">
      <w:lvlJc w:val="left"/>
      <w:lvlText w:val="(%2)"/>
      <w:numFmt w:val="lowerLetter"/>
      <w:start w:val="1"/>
    </w:lvl>
  </w:abstractNum>
  <w:abstractNum w:abstractNumId="48">
    <w:nsid w:val="79A1DEAA"/>
    <w:multiLevelType w:val="hybridMultilevel"/>
    <w:lvl w:ilvl="0">
      <w:lvlJc w:val="left"/>
      <w:lvlText w:val="%1."/>
      <w:numFmt w:val="decimal"/>
      <w:start w:val="7"/>
    </w:lvl>
    <w:lvl w:ilvl="1">
      <w:lvlJc w:val="left"/>
      <w:lvlText w:val="(%2)"/>
      <w:numFmt w:val="lowerLetter"/>
      <w:start w:val="1"/>
    </w:lvl>
  </w:abstractNum>
  <w:abstractNum w:abstractNumId="49">
    <w:nsid w:val="75C6C33A"/>
    <w:multiLevelType w:val="hybridMultilevel"/>
    <w:lvl w:ilvl="0">
      <w:lvlJc w:val="left"/>
      <w:lvlText w:val="(%1)"/>
      <w:numFmt w:val="lowerLetter"/>
      <w:start w:val="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9" Type="http://schemas.openxmlformats.org/officeDocument/2006/relationships/image" Target="media/image77.png"/><Relationship Id="rId91" Type="http://schemas.openxmlformats.org/officeDocument/2006/relationships/image" Target="media/image78.png"/><Relationship Id="rId93" Type="http://schemas.openxmlformats.org/officeDocument/2006/relationships/image" Target="media/image79.png"/><Relationship Id="rId95" Type="http://schemas.openxmlformats.org/officeDocument/2006/relationships/image" Target="media/image80.png"/><Relationship Id="rId98"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3" Type="http://schemas.openxmlformats.org/officeDocument/2006/relationships/image" Target="media/image84.png"/><Relationship Id="rId105" Type="http://schemas.openxmlformats.org/officeDocument/2006/relationships/image" Target="media/image85.png"/><Relationship Id="rId108" Type="http://schemas.openxmlformats.org/officeDocument/2006/relationships/image" Target="media/image86.png"/><Relationship Id="rId110" Type="http://schemas.openxmlformats.org/officeDocument/2006/relationships/image" Target="media/image87.png"/><Relationship Id="rId113" Type="http://schemas.openxmlformats.org/officeDocument/2006/relationships/image" Target="media/image88.png"/><Relationship Id="rId115" Type="http://schemas.openxmlformats.org/officeDocument/2006/relationships/image" Target="media/image89.png"/><Relationship Id="rId118"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4" Type="http://schemas.openxmlformats.org/officeDocument/2006/relationships/image" Target="media/image93.png"/><Relationship Id="rId127" Type="http://schemas.openxmlformats.org/officeDocument/2006/relationships/image" Target="media/image94.png"/><Relationship Id="rId130" Type="http://schemas.openxmlformats.org/officeDocument/2006/relationships/image" Target="media/image95.png"/><Relationship Id="rId133"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40" Type="http://schemas.openxmlformats.org/officeDocument/2006/relationships/image" Target="media/image99.png"/><Relationship Id="rId143"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50" Type="http://schemas.openxmlformats.org/officeDocument/2006/relationships/image" Target="media/image103.png"/><Relationship Id="rId153" Type="http://schemas.openxmlformats.org/officeDocument/2006/relationships/image" Target="media/image104.png"/><Relationship Id="rId156" Type="http://schemas.openxmlformats.org/officeDocument/2006/relationships/image" Target="media/image105.png"/><Relationship Id="rId159" Type="http://schemas.openxmlformats.org/officeDocument/2006/relationships/image" Target="media/image106.png"/><Relationship Id="rId162" Type="http://schemas.openxmlformats.org/officeDocument/2006/relationships/image" Target="media/image107.png"/><Relationship Id="rId165"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83" Type="http://schemas.openxmlformats.org/officeDocument/2006/relationships/hyperlink" Target="http://www.sec.gov/Archives/edgar/data/107687/000010768719000017/ex2120198-k0916.htm" TargetMode="External"/><Relationship Id="rId84" Type="http://schemas.openxmlformats.org/officeDocument/2006/relationships/hyperlink" Target="https://www.sec.gov/Archives/edgar/data/107687/000010768721000030/wgo-deltaxxpurchaseagreeme.htm" TargetMode="External"/><Relationship Id="rId86" Type="http://schemas.openxmlformats.org/officeDocument/2006/relationships/hyperlink" Target="https://www.sec.gov/Archives/edgar/data/0000107687/000010768722000004/wgo-mnarticlesreincorporat.htm" TargetMode="External"/><Relationship Id="rId87" Type="http://schemas.openxmlformats.org/officeDocument/2006/relationships/hyperlink" Target="https://www.sec.gov/Archives/edgar/data/107687/000010768723000018/wgo-bylawsxaugust152023xfi.htm" TargetMode="External"/><Relationship Id="rId88" Type="http://schemas.openxmlformats.org/officeDocument/2006/relationships/hyperlink" Target="https://www.sec.gov/Archives/edgar/data/107687/000010768722000024/exh4a202210-k.htm" TargetMode="External"/><Relationship Id="rId90" Type="http://schemas.openxmlformats.org/officeDocument/2006/relationships/hyperlink" Target="https://www.sec.gov/Archives/edgar/data/107687/000110465919059604/a19-21005_2ex4d1.htm#Exhibit4_1_114535" TargetMode="External"/><Relationship Id="rId92" Type="http://schemas.openxmlformats.org/officeDocument/2006/relationships/hyperlink" Target="https://www.sec.gov/Archives/edgar/data/107687/000110465920082433/tm2024371d1_ex4-1.htm" TargetMode="External"/><Relationship Id="rId94" Type="http://schemas.openxmlformats.org/officeDocument/2006/relationships/hyperlink" Target="http://www.sec.gov/Archives/edgar/data/107687/0000897101-95-000449.txt" TargetMode="External"/><Relationship Id="rId96" Type="http://schemas.openxmlformats.org/officeDocument/2006/relationships/hyperlink" Target="http://www.sec.gov/Archives/edgar/data/107687/000089710101500122/winnebago010807_ex10-i.txt" TargetMode="External"/><Relationship Id="rId97" Type="http://schemas.openxmlformats.org/officeDocument/2006/relationships/hyperlink" Target="http://www.sec.gov/Archives/edgar/data/107687/000010768711000049/exh10bbexecdefcompplan.htm" TargetMode="External"/><Relationship Id="rId99" Type="http://schemas.openxmlformats.org/officeDocument/2006/relationships/hyperlink" Target="http://www.sec.gov/Archives/edgar/data/107687/000010768713000055/exh1012014omnibusequityper.htm" TargetMode="External"/><Relationship Id="rId102" Type="http://schemas.openxmlformats.org/officeDocument/2006/relationships/hyperlink" Target="http://www.sec.gov/Archives/edgar/data/107687/000010768718000029/wgo2018proxy.htm" TargetMode="External"/><Relationship Id="rId104" Type="http://schemas.openxmlformats.org/officeDocument/2006/relationships/hyperlink" Target="http://www.sec.gov/Archives/edgar/data/107687/000010768713000040/wgo2013q3exh101.htm" TargetMode="External"/><Relationship Id="rId106" Type="http://schemas.openxmlformats.org/officeDocument/2006/relationships/hyperlink" Target="http://www.sec.gov/Archives/edgar/data/107687/000010768718000038/a2019q1exh10boptions.htm" TargetMode="External"/><Relationship Id="rId107" Type="http://schemas.openxmlformats.org/officeDocument/2006/relationships/hyperlink" Target="https://www.sec.gov/Archives/edgar/data/107687/000010768722000024/winnebagonqsooptionagreeme.htm" TargetMode="External"/><Relationship Id="rId109" Type="http://schemas.openxmlformats.org/officeDocument/2006/relationships/hyperlink" Target="https://www.sec.gov/Archives/edgar/data/107687/000010768722000024/wgo-nqsooptionagreement201.htm" TargetMode="External"/><Relationship Id="rId111" Type="http://schemas.openxmlformats.org/officeDocument/2006/relationships/hyperlink" Target="https://www.sec.gov/Archives/edgar/data/107687/000010768722000024/winnebago-executiversuawar.htm" TargetMode="External"/><Relationship Id="rId112" Type="http://schemas.openxmlformats.org/officeDocument/2006/relationships/hyperlink" Target="https://www.sec.gov/Archives/edgar/data/107687/000010768722000024/wgo-executiversuaward2019p.htm" TargetMode="External"/><Relationship Id="rId114" Type="http://schemas.openxmlformats.org/officeDocument/2006/relationships/hyperlink" Target="http://www.sec.gov/Archives/edgar/data/107687/000010768718000038/a2019q1exh10ersudirector.htm" TargetMode="External"/><Relationship Id="rId116" Type="http://schemas.openxmlformats.org/officeDocument/2006/relationships/hyperlink" Target="https://www.sec.gov/Archives/edgar/data/107687/000010768722000024/winnebago-directorrsuaward.htm" TargetMode="External"/><Relationship Id="rId117" Type="http://schemas.openxmlformats.org/officeDocument/2006/relationships/hyperlink" Target="https://www.sec.gov/Archives/edgar/data/107687/000010768722000024/wgo-directorrsuaward2019pl.htm" TargetMode="External"/><Relationship Id="rId119" Type="http://schemas.openxmlformats.org/officeDocument/2006/relationships/hyperlink" Target="http://www.sec.gov/Archives/edgar/data/107687/000010768718000038/a2019q1exh10fcic.htm" TargetMode="External"/><Relationship Id="rId122" Type="http://schemas.openxmlformats.org/officeDocument/2006/relationships/hyperlink" Target="http://www.sec.gov/Archives/edgar/data/107687/000089710109002143/wgo094796_ex10z.htm" TargetMode="External"/><Relationship Id="rId123" Type="http://schemas.openxmlformats.org/officeDocument/2006/relationships/hyperlink" Target="https://www.sec.gov/Archives/edgar/data/107687/000010768720000035/fy21aipplandocforeltfi.htm" TargetMode="External"/><Relationship Id="rId125" Type="http://schemas.openxmlformats.org/officeDocument/2006/relationships/hyperlink" Target="https://www.sec.gov/Archives/edgar/data/107687/000010768720000035/psuawardagreementfy21-.htm" TargetMode="External"/><Relationship Id="rId126" Type="http://schemas.openxmlformats.org/officeDocument/2006/relationships/hyperlink" Target="https://www.sec.gov/Archives/edgar/data/0000107687/000010768721000043/winnebago-psuawardagreemen.htm" TargetMode="External"/><Relationship Id="rId128" Type="http://schemas.openxmlformats.org/officeDocument/2006/relationships/hyperlink" Target="https://www.sec.gov/Archives/edgar/data/107687/000010768722000024/wgo-psuawardagreementfy23x.htm" TargetMode="External"/><Relationship Id="rId129" Type="http://schemas.openxmlformats.org/officeDocument/2006/relationships/hyperlink" Target="http://www.sec.gov/Archives/edgar/data/107687/000010768716000120/exh101non-compnonxsolicita.htm" TargetMode="External"/><Relationship Id="rId131" Type="http://schemas.openxmlformats.org/officeDocument/2006/relationships/hyperlink" Target="http://www.sec.gov/Archives/edgar/data/107687/000010768716000120/exh102non-solicitationandc.htm" TargetMode="External"/><Relationship Id="rId132" Type="http://schemas.openxmlformats.org/officeDocument/2006/relationships/hyperlink" Target="http://www.sec.gov/Archives/edgar/data/107687/000010768716000120/exh103registrationrights.htm" TargetMode="External"/><Relationship Id="rId134" Type="http://schemas.openxmlformats.org/officeDocument/2006/relationships/hyperlink" Target="http://www.sec.gov/Archives/edgar/data/107687/000010768719000015/employmentagreementdclar.htm" TargetMode="External"/><Relationship Id="rId135" Type="http://schemas.openxmlformats.org/officeDocument/2006/relationships/hyperlink" Target="http://www.sec.gov/Archives/edgar/data/107687/000010768719000015/changeincontrolagreement.htm" TargetMode="External"/><Relationship Id="rId138" Type="http://schemas.openxmlformats.org/officeDocument/2006/relationships/hyperlink" Target="http://www.sec.gov/Archives/edgar/data/107687/000010768719000017/ex10120198-k0916.htm" TargetMode="External"/><Relationship Id="rId139" Type="http://schemas.openxmlformats.org/officeDocument/2006/relationships/hyperlink" Target="https://www.sec.gov/Archives/edgar/data/107687/000010768719000022/wgoamendedandrestatedcre.htm" TargetMode="External"/><Relationship Id="rId141" Type="http://schemas.openxmlformats.org/officeDocument/2006/relationships/hyperlink" Target="https://www.sec.gov/Archives/edgar/data/107687/000110465919059604/a19-21005_2ex10d1.htm#Exhibit10_1_034908" TargetMode="External"/><Relationship Id="rId142" Type="http://schemas.openxmlformats.org/officeDocument/2006/relationships/hyperlink" Target="https://www.sec.gov/Archives/edgar/data/107687/000110465919059604/a19-21005_2ex10d2.htm#Exhibit10_2_040203" TargetMode="External"/><Relationship Id="rId144" Type="http://schemas.openxmlformats.org/officeDocument/2006/relationships/hyperlink" Target="https://www.sec.gov/Archives/edgar/data/107687/000110465919059604/a19-21005_2ex10d3.htm#Exhibit10_3_041616" TargetMode="External"/><Relationship Id="rId145" Type="http://schemas.openxmlformats.org/officeDocument/2006/relationships/hyperlink" Target="https://www.sec.gov/Archives/edgar/data/107687/000110465919059604/a19-21005_2ex10d4.htm#Exhibit10_5_074927" TargetMode="External"/><Relationship Id="rId148" Type="http://schemas.openxmlformats.org/officeDocument/2006/relationships/hyperlink" Target="https://www.sec.gov/Archives/edgar/data/107687/000110465919059604/a19-21005_2ex10d5.htm#Exhibit10_45_010935" TargetMode="External"/><Relationship Id="rId149" Type="http://schemas.openxmlformats.org/officeDocument/2006/relationships/hyperlink" Target="https://www.sec.gov/Archives/edgar/data/107687/000110465919059604/a19-21005_2ex10d6.htm#Exhibit10_6_042233" TargetMode="External"/><Relationship Id="rId151" Type="http://schemas.openxmlformats.org/officeDocument/2006/relationships/hyperlink" Target="https://www.sec.gov/Archives/edgar/data/107687/000110465919059604/a19-21005_2ex10d7.htm#Exhibit10_7_043941" TargetMode="External"/><Relationship Id="rId152" Type="http://schemas.openxmlformats.org/officeDocument/2006/relationships/hyperlink" Target="https://www.sec.gov/Archives/edgar/data/107687/000110465919059604/a19-21005_2ex10d8.htm#Exhibit10_8_085444" TargetMode="External"/><Relationship Id="rId154" Type="http://schemas.openxmlformats.org/officeDocument/2006/relationships/hyperlink" Target="https://www.sec.gov/Archives/edgar/data/107687/000110465919059604/a19-21005_2ex10d9.htm#Exhibit10_9_105341" TargetMode="External"/><Relationship Id="rId155" Type="http://schemas.openxmlformats.org/officeDocument/2006/relationships/hyperlink" Target="https://www.sec.gov/Archives/edgar/data/107687/000010768719000036/amendmentno1toaandrcredi.htm" TargetMode="External"/><Relationship Id="rId157" Type="http://schemas.openxmlformats.org/officeDocument/2006/relationships/hyperlink" Target="https://www.sec.gov/Archives/edgar/data/107687/000010768719000036/firstrestatedandamendedl.htm" TargetMode="External"/><Relationship Id="rId158" Type="http://schemas.openxmlformats.org/officeDocument/2006/relationships/hyperlink" Target="https://www.sec.gov/Archives/edgar/data/107687/000010768719000036/secondrestatedandamended.htm" TargetMode="External"/><Relationship Id="rId160" Type="http://schemas.openxmlformats.org/officeDocument/2006/relationships/hyperlink" Target="https://www.sec.gov/Archives/edgar/data/107687/000110465920082433/tm2024371d1_ex10-1.htm" TargetMode="External"/><Relationship Id="rId161" Type="http://schemas.openxmlformats.org/officeDocument/2006/relationships/hyperlink" Target="https://www.sec.gov/Archives/edgar/data/107687/000110465920082433/tm2024371d1_ex10-2.htm" TargetMode="External"/><Relationship Id="rId163" Type="http://schemas.openxmlformats.org/officeDocument/2006/relationships/hyperlink" Target="https://www.sec.gov/Archives/edgar/data/0000107687/000010768721000048/winnebago-happeamendedandr.htm" TargetMode="External"/><Relationship Id="rId164" Type="http://schemas.openxmlformats.org/officeDocument/2006/relationships/hyperlink" Target="https://www.sec.gov/Archives/edgar/data/0000107687/000010768721000048/winnebago-executiveofficer.htm" TargetMode="External"/><Relationship Id="rId166" Type="http://schemas.openxmlformats.org/officeDocument/2006/relationships/hyperlink" Target="https://www.sec.gov/Archives/edgar/data/0000107687/000110465922080691/tm222130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2023-10-18T15:39:20Z</dcterms:created>
  <dcterms:modified xsi:type="dcterms:W3CDTF">2023-10-18T15:39:20Z</dcterms:modified>
</cp:coreProperties>
</file>