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left="1660"/>
        <w:spacing w:after="0"/>
        <w:rPr>
          <w:sz w:val="20"/>
          <w:szCs w:val="20"/>
          <w:color w:val="auto"/>
        </w:rPr>
      </w:pPr>
      <w:r>
        <w:rPr>
          <w:rFonts w:ascii="Arial" w:cs="Arial" w:eastAsia="Arial" w:hAnsi="Arial"/>
          <w:sz w:val="16"/>
          <w:szCs w:val="16"/>
          <w:color w:val="auto"/>
        </w:rPr>
        <w:t>(Mark One)</w:t>
      </w:r>
    </w:p>
    <w:p>
      <w:pPr>
        <w:spacing w:after="0" w:line="262" w:lineRule="exact"/>
        <w:rPr>
          <w:sz w:val="24"/>
          <w:szCs w:val="24"/>
          <w:color w:val="auto"/>
        </w:rPr>
      </w:pPr>
    </w:p>
    <w:p>
      <w:pPr>
        <w:ind w:left="2020"/>
        <w:spacing w:after="0"/>
        <w:rPr>
          <w:sz w:val="20"/>
          <w:szCs w:val="20"/>
          <w:color w:val="auto"/>
        </w:rPr>
      </w:pPr>
      <w:r>
        <w:rPr>
          <w:rFonts w:ascii="Arial" w:cs="Arial" w:eastAsia="Arial" w:hAnsi="Arial"/>
          <w:sz w:val="22"/>
          <w:szCs w:val="22"/>
          <w:color w:val="auto"/>
        </w:rPr>
        <w:t>x</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2620"/>
        <w:spacing w:after="0"/>
        <w:rPr>
          <w:sz w:val="20"/>
          <w:szCs w:val="20"/>
          <w:color w:val="auto"/>
        </w:rPr>
      </w:pPr>
      <w:r>
        <w:rPr>
          <w:rFonts w:ascii="Arial" w:cs="Arial" w:eastAsia="Arial" w:hAnsi="Arial"/>
          <w:sz w:val="18"/>
          <w:szCs w:val="18"/>
          <w:b w:val="1"/>
          <w:bCs w:val="1"/>
          <w:color w:val="auto"/>
        </w:rPr>
        <w:t>Washington, D.C. 20549</w:t>
      </w:r>
    </w:p>
    <w:p>
      <w:pPr>
        <w:spacing w:after="0" w:line="266" w:lineRule="exact"/>
        <w:rPr>
          <w:sz w:val="24"/>
          <w:szCs w:val="24"/>
          <w:color w:val="auto"/>
        </w:rPr>
      </w:pPr>
    </w:p>
    <w:p>
      <w:pPr>
        <w:ind w:left="2240"/>
        <w:spacing w:after="0"/>
        <w:rPr>
          <w:sz w:val="20"/>
          <w:szCs w:val="20"/>
          <w:color w:val="auto"/>
        </w:rPr>
      </w:pPr>
      <w:r>
        <w:rPr>
          <w:rFonts w:ascii="Arial" w:cs="Arial" w:eastAsia="Arial" w:hAnsi="Arial"/>
          <w:sz w:val="24"/>
          <w:szCs w:val="24"/>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3040"/>
        <w:spacing w:after="0" w:line="268" w:lineRule="auto"/>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2500" w:space="320"/>
            <w:col w:w="8400"/>
          </w:cols>
          <w:pgMar w:left="240" w:top="233" w:right="439" w:bottom="0" w:gutter="0" w:footer="0" w:header="0"/>
        </w:sectPr>
      </w:pPr>
    </w:p>
    <w:p>
      <w:pPr>
        <w:spacing w:after="0" w:line="13" w:lineRule="exact"/>
        <w:rPr>
          <w:sz w:val="24"/>
          <w:szCs w:val="24"/>
          <w:color w:val="auto"/>
        </w:rPr>
      </w:pPr>
    </w:p>
    <w:p>
      <w:pPr>
        <w:ind w:left="1660"/>
        <w:spacing w:after="0"/>
        <w:tabs>
          <w:tab w:leader="none" w:pos="47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February 28,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-13970</wp:posOffset>
            </wp:positionV>
            <wp:extent cx="1991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232"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2820" w:right="3020" w:hanging="793"/>
        <w:spacing w:after="0" w:line="228" w:lineRule="auto"/>
        <w:tabs>
          <w:tab w:leader="none" w:pos="2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w:t>
      </w:r>
    </w:p>
    <w:p>
      <w:pPr>
        <w:spacing w:after="0" w:line="238"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For the transition period from _______________________ to _____________________</w:t>
      </w:r>
    </w:p>
    <w:p>
      <w:pPr>
        <w:spacing w:after="0" w:line="225"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2818130</wp:posOffset>
            </wp:positionH>
            <wp:positionV relativeFrom="paragraph">
              <wp:posOffset>320040</wp:posOffset>
            </wp:positionV>
            <wp:extent cx="151765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91440</wp:posOffset>
            </wp:positionV>
            <wp:extent cx="5042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rPr>
              <w:t>IOWA</w:t>
            </w:r>
          </w:p>
        </w:tc>
        <w:tc>
          <w:tcPr>
            <w:tcW w:w="4140" w:type="dxa"/>
            <w:vAlign w:val="bottom"/>
            <w:gridSpan w:val="2"/>
          </w:tcPr>
          <w:p>
            <w:pPr>
              <w:jc w:val="right"/>
              <w:ind w:right="1412"/>
              <w:spacing w:after="0"/>
              <w:rPr>
                <w:sz w:val="20"/>
                <w:szCs w:val="20"/>
                <w:color w:val="auto"/>
              </w:rPr>
            </w:pPr>
            <w:r>
              <w:rPr>
                <w:rFonts w:ascii="Arial" w:cs="Arial" w:eastAsia="Arial" w:hAnsi="Arial"/>
                <w:sz w:val="18"/>
                <w:szCs w:val="18"/>
                <w:b w:val="1"/>
                <w:bCs w:val="1"/>
                <w:color w:val="auto"/>
              </w:rPr>
              <w:t>42-0802678</w:t>
            </w:r>
          </w:p>
        </w:tc>
      </w:tr>
      <w:tr>
        <w:trPr>
          <w:trHeight w:val="110"/>
        </w:trPr>
        <w:tc>
          <w:tcPr>
            <w:tcW w:w="166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r>
      <w:tr>
        <w:trPr>
          <w:trHeight w:val="309"/>
        </w:trPr>
        <w:tc>
          <w:tcPr>
            <w:tcW w:w="16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3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166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incorporation or organization)</w:t>
            </w:r>
          </w:p>
        </w:tc>
        <w:tc>
          <w:tcPr>
            <w:tcW w:w="3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59"/>
        </w:trPr>
        <w:tc>
          <w:tcPr>
            <w:tcW w:w="16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8"/>
              </w:rPr>
              <w:t>P. O. Box 152, Forest City, Iowa</w:t>
            </w:r>
          </w:p>
        </w:tc>
        <w:tc>
          <w:tcPr>
            <w:tcW w:w="4140" w:type="dxa"/>
            <w:vAlign w:val="bottom"/>
            <w:gridSpan w:val="2"/>
          </w:tcPr>
          <w:p>
            <w:pPr>
              <w:jc w:val="right"/>
              <w:ind w:right="1612"/>
              <w:spacing w:after="0"/>
              <w:rPr>
                <w:sz w:val="20"/>
                <w:szCs w:val="20"/>
                <w:color w:val="auto"/>
              </w:rPr>
            </w:pPr>
            <w:r>
              <w:rPr>
                <w:rFonts w:ascii="Arial" w:cs="Arial" w:eastAsia="Arial" w:hAnsi="Arial"/>
                <w:sz w:val="18"/>
                <w:szCs w:val="18"/>
                <w:b w:val="1"/>
                <w:bCs w:val="1"/>
                <w:color w:val="auto"/>
              </w:rPr>
              <w:t>50436</w:t>
            </w:r>
          </w:p>
        </w:tc>
      </w:tr>
      <w:tr>
        <w:trPr>
          <w:trHeight w:val="110"/>
        </w:trPr>
        <w:tc>
          <w:tcPr>
            <w:tcW w:w="166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r>
      <w:tr>
        <w:trPr>
          <w:trHeight w:val="316"/>
        </w:trPr>
        <w:tc>
          <w:tcPr>
            <w:tcW w:w="16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(Zip Code)</w:t>
            </w:r>
          </w:p>
        </w:tc>
      </w:tr>
      <w:tr>
        <w:trPr>
          <w:trHeight w:val="432"/>
        </w:trPr>
        <w:tc>
          <w:tcPr>
            <w:tcW w:w="548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 (641) 585-3535</w:t>
            </w:r>
          </w:p>
        </w:tc>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pacing w:after="0" w:line="210" w:lineRule="exact"/>
        <w:rPr>
          <w:sz w:val="24"/>
          <w:szCs w:val="24"/>
          <w:color w:val="auto"/>
        </w:rPr>
      </w:pPr>
    </w:p>
    <w:p>
      <w:pPr>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680" w:val="left"/>
          <w:tab w:leader="none" w:pos="2060" w:val="left"/>
          <w:tab w:leader="none" w:pos="2720" w:val="left"/>
        </w:tabs>
        <w:rPr>
          <w:sz w:val="20"/>
          <w:szCs w:val="20"/>
          <w:color w:val="auto"/>
        </w:rPr>
      </w:pPr>
      <w:r>
        <w:rPr>
          <w:rFonts w:ascii="Arial" w:cs="Arial" w:eastAsia="Arial" w:hAnsi="Arial"/>
          <w:sz w:val="18"/>
          <w:szCs w:val="18"/>
          <w:color w:val="auto"/>
        </w:rPr>
        <w:t>the past 90 days. Yes</w:t>
        <w:tab/>
        <w:t>X</w:t>
        <w:tab/>
        <w:t>No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993775</wp:posOffset>
            </wp:positionH>
            <wp:positionV relativeFrom="paragraph">
              <wp:posOffset>-17780</wp:posOffset>
            </wp:positionV>
            <wp:extent cx="24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-17780</wp:posOffset>
            </wp:positionV>
            <wp:extent cx="222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spacing w:after="0"/>
        <w:tabs>
          <w:tab w:leader="none" w:pos="460" w:val="left"/>
          <w:tab w:leader="none" w:pos="860" w:val="left"/>
          <w:tab w:leader="none" w:pos="150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-17780</wp:posOffset>
            </wp:positionV>
            <wp:extent cx="24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-17780</wp:posOffset>
            </wp:positionV>
            <wp:extent cx="222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There were 34,020,387 shares of $.50 par value common stock outstanding on April 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712470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INDEX TO REPORT ON FORM 10-Q</w:t>
      </w:r>
    </w:p>
    <w:p>
      <w:pPr>
        <w:spacing w:after="0" w:line="221" w:lineRule="exact"/>
        <w:rPr>
          <w:sz w:val="24"/>
          <w:szCs w:val="24"/>
          <w:color w:val="auto"/>
        </w:rPr>
      </w:pPr>
    </w:p>
    <w:tbl>
      <w:tblPr>
        <w:tblLayout w:type="fixed"/>
        <w:tblInd w:w="166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95"/>
        </w:trPr>
        <w:tc>
          <w:tcPr>
            <w:tcW w:w="580" w:type="dxa"/>
            <w:vAlign w:val="bottom"/>
            <w:gridSpan w:val="2"/>
            <w:vMerge w:val="restart"/>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PART I.</w:t>
              </w:r>
            </w:hyperlink>
          </w:p>
        </w:tc>
        <w:tc>
          <w:tcPr>
            <w:tcW w:w="360" w:type="dxa"/>
            <w:vAlign w:val="bottom"/>
            <w:vMerge w:val="restart"/>
          </w:tcPr>
          <w:p>
            <w:pPr>
              <w:spacing w:after="0"/>
              <w:rPr>
                <w:sz w:val="8"/>
                <w:szCs w:val="8"/>
                <w:color w:val="auto"/>
              </w:rPr>
            </w:pPr>
          </w:p>
        </w:tc>
        <w:tc>
          <w:tcPr>
            <w:tcW w:w="2260" w:type="dxa"/>
            <w:vAlign w:val="bottom"/>
            <w:vMerge w:val="restart"/>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FINANCIAL INFORMATION:</w:t>
              </w:r>
            </w:hyperlink>
          </w:p>
        </w:tc>
        <w:tc>
          <w:tcPr>
            <w:tcW w:w="3940" w:type="dxa"/>
            <w:vAlign w:val="bottom"/>
            <w:gridSpan w:val="5"/>
            <w:vMerge w:val="restart"/>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gridSpan w:val="2"/>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2260" w:type="dxa"/>
            <w:vAlign w:val="bottom"/>
            <w:tcBorders>
              <w:bottom w:val="single" w:sz="8" w:color="0000EE"/>
            </w:tcBorders>
            <w:vMerge w:val="continue"/>
          </w:tcPr>
          <w:p>
            <w:pPr>
              <w:spacing w:after="0"/>
              <w:rPr>
                <w:sz w:val="24"/>
                <w:szCs w:val="24"/>
                <w:color w:val="auto"/>
              </w:rPr>
            </w:pPr>
          </w:p>
        </w:tc>
        <w:tc>
          <w:tcPr>
            <w:tcW w:w="3940" w:type="dxa"/>
            <w:vAlign w:val="bottom"/>
            <w:gridSpan w:val="5"/>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440" w:type="dxa"/>
            <w:vAlign w:val="bottom"/>
            <w:gridSpan w:val="2"/>
          </w:tcPr>
          <w:p>
            <w:pPr>
              <w:spacing w:after="0"/>
              <w:rPr>
                <w:sz w:val="24"/>
                <w:szCs w:val="24"/>
                <w:color w:val="auto"/>
              </w:rPr>
            </w:pPr>
          </w:p>
        </w:tc>
        <w:tc>
          <w:tcPr>
            <w:tcW w:w="62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4"/>
              </w:rPr>
              <w:t>1 – 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Income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Cash Flows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Condensed Notes to Consolidated Financial Statements</w:t>
              </w:r>
            </w:hyperlink>
          </w:p>
        </w:tc>
        <w:tc>
          <w:tcPr>
            <w:tcW w:w="15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5 – 10</w:t>
            </w:r>
          </w:p>
        </w:tc>
        <w:tc>
          <w:tcPr>
            <w:tcW w:w="0" w:type="dxa"/>
            <w:vAlign w:val="bottom"/>
          </w:tcPr>
          <w:p>
            <w:pPr>
              <w:spacing w:after="0"/>
              <w:rPr>
                <w:sz w:val="1"/>
                <w:szCs w:val="1"/>
                <w:color w:val="auto"/>
              </w:rPr>
            </w:pPr>
          </w:p>
        </w:tc>
      </w:tr>
    </w:tbl>
    <w:p>
      <w:pPr>
        <w:sectPr>
          <w:pgSz w:w="11900" w:h="16838" w:orient="portrait"/>
          <w:cols w:equalWidth="0" w:num="1">
            <w:col w:w="11220"/>
          </w:cols>
          <w:pgMar w:left="240" w:top="233"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500" w:type="dxa"/>
            <w:vAlign w:val="bottom"/>
            <w:vMerge w:val="restart"/>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Item 2.</w:t>
              </w:r>
            </w:hyperlink>
          </w:p>
        </w:tc>
        <w:tc>
          <w:tcPr>
            <w:tcW w:w="440" w:type="dxa"/>
            <w:vAlign w:val="bottom"/>
            <w:gridSpan w:val="2"/>
            <w:vMerge w:val="restart"/>
          </w:tcPr>
          <w:p>
            <w:pPr>
              <w:spacing w:after="0"/>
              <w:rPr>
                <w:sz w:val="17"/>
                <w:szCs w:val="17"/>
                <w:color w:val="auto"/>
              </w:rPr>
            </w:pPr>
          </w:p>
        </w:tc>
        <w:tc>
          <w:tcPr>
            <w:tcW w:w="540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w:t>
              </w:r>
            </w:hyperlink>
          </w:p>
        </w:tc>
        <w:tc>
          <w:tcPr>
            <w:tcW w:w="1500" w:type="dxa"/>
            <w:vAlign w:val="bottom"/>
          </w:tcPr>
          <w:p>
            <w:pPr>
              <w:jc w:val="center"/>
              <w:ind w:left="892"/>
              <w:spacing w:after="0"/>
              <w:rPr>
                <w:sz w:val="20"/>
                <w:szCs w:val="20"/>
                <w:color w:val="auto"/>
              </w:rPr>
            </w:pPr>
            <w:r>
              <w:rPr>
                <w:rFonts w:ascii="Arial" w:cs="Arial" w:eastAsia="Arial" w:hAnsi="Arial"/>
                <w:sz w:val="18"/>
                <w:szCs w:val="18"/>
                <w:color w:val="auto"/>
                <w:w w:val="86"/>
              </w:rPr>
              <w:t>11 – 17</w:t>
            </w:r>
          </w:p>
        </w:tc>
        <w:tc>
          <w:tcPr>
            <w:tcW w:w="0" w:type="dxa"/>
            <w:vAlign w:val="bottom"/>
          </w:tcPr>
          <w:p>
            <w:pPr>
              <w:spacing w:after="0"/>
              <w:rPr>
                <w:sz w:val="1"/>
                <w:szCs w:val="1"/>
                <w:color w:val="auto"/>
              </w:rPr>
            </w:pPr>
          </w:p>
        </w:tc>
      </w:tr>
      <w:tr>
        <w:trPr>
          <w:trHeight w:val="201"/>
        </w:trPr>
        <w:tc>
          <w:tcPr>
            <w:tcW w:w="500" w:type="dxa"/>
            <w:vAlign w:val="bottom"/>
            <w:tcBorders>
              <w:bottom w:val="single" w:sz="8" w:color="0000EE"/>
            </w:tcBorders>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440" w:type="dxa"/>
            <w:vAlign w:val="bottom"/>
            <w:gridSpan w:val="2"/>
          </w:tcPr>
          <w:p>
            <w:pPr>
              <w:spacing w:after="0"/>
              <w:rPr>
                <w:sz w:val="24"/>
                <w:szCs w:val="24"/>
                <w:color w:val="auto"/>
              </w:rPr>
            </w:pP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Quantitative and Qualitative Disclosures About Market Risk</w:t>
              </w:r>
            </w:hyperlink>
          </w:p>
        </w:tc>
        <w:tc>
          <w:tcPr>
            <w:tcW w:w="1140" w:type="dxa"/>
            <w:vAlign w:val="bottom"/>
            <w:gridSpan w:val="2"/>
          </w:tcPr>
          <w:p>
            <w:pPr>
              <w:spacing w:after="0"/>
              <w:rPr>
                <w:sz w:val="24"/>
                <w:szCs w:val="24"/>
                <w:color w:val="auto"/>
              </w:rPr>
            </w:pPr>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4.</w:t>
              </w:r>
            </w:hyperlink>
          </w:p>
        </w:tc>
        <w:tc>
          <w:tcPr>
            <w:tcW w:w="440" w:type="dxa"/>
            <w:vAlign w:val="bottom"/>
            <w:gridSpan w:val="2"/>
          </w:tcPr>
          <w:p>
            <w:pPr>
              <w:spacing w:after="0"/>
              <w:rPr>
                <w:sz w:val="24"/>
                <w:szCs w:val="24"/>
                <w:color w:val="auto"/>
              </w:rPr>
            </w:pPr>
          </w:p>
        </w:tc>
        <w:tc>
          <w:tcPr>
            <w:tcW w:w="17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Controls and Procedures</w:t>
              </w:r>
            </w:hyperlink>
          </w:p>
        </w:tc>
        <w:tc>
          <w:tcPr>
            <w:tcW w:w="3660" w:type="dxa"/>
            <w:vAlign w:val="bottom"/>
            <w:gridSpan w:val="6"/>
          </w:tcPr>
          <w:p>
            <w:pPr>
              <w:spacing w:after="0"/>
              <w:rPr>
                <w:sz w:val="24"/>
                <w:szCs w:val="24"/>
                <w:color w:val="auto"/>
              </w:rPr>
            </w:pPr>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Independent Accountants’ Report</w:t>
              </w:r>
            </w:hyperlink>
          </w:p>
        </w:tc>
        <w:tc>
          <w:tcPr>
            <w:tcW w:w="2960" w:type="dxa"/>
            <w:vAlign w:val="bottom"/>
            <w:gridSpan w:val="4"/>
          </w:tcPr>
          <w:p>
            <w:pPr>
              <w:spacing w:after="0"/>
              <w:rPr>
                <w:sz w:val="24"/>
                <w:szCs w:val="24"/>
                <w:color w:val="auto"/>
              </w:rPr>
            </w:pPr>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12"/>
        </w:trPr>
        <w:tc>
          <w:tcPr>
            <w:tcW w:w="94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540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19 – 22</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1.</w:t>
              </w:r>
            </w:hyperlink>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Borders>
              <w:top w:val="single" w:sz="8" w:color="0000EE"/>
            </w:tcBorders>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3500" w:type="dxa"/>
            <w:vAlign w:val="bottom"/>
            <w:gridSpan w:val="5"/>
          </w:tcPr>
          <w:p>
            <w:pPr>
              <w:spacing w:after="0"/>
              <w:rPr>
                <w:sz w:val="24"/>
                <w:szCs w:val="24"/>
                <w:color w:val="auto"/>
              </w:rPr>
            </w:pPr>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4.</w:t>
              </w:r>
            </w:hyperlink>
          </w:p>
        </w:tc>
        <w:tc>
          <w:tcPr>
            <w:tcW w:w="440" w:type="dxa"/>
            <w:vAlign w:val="bottom"/>
            <w:gridSpan w:val="2"/>
          </w:tcPr>
          <w:p>
            <w:pPr>
              <w:spacing w:after="0"/>
              <w:rPr>
                <w:sz w:val="24"/>
                <w:szCs w:val="24"/>
                <w:color w:val="auto"/>
              </w:rPr>
            </w:pPr>
          </w:p>
        </w:tc>
        <w:tc>
          <w:tcPr>
            <w:tcW w:w="540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19 – 20</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6.</w:t>
              </w:r>
            </w:hyperlink>
          </w:p>
        </w:tc>
        <w:tc>
          <w:tcPr>
            <w:tcW w:w="440" w:type="dxa"/>
            <w:vAlign w:val="bottom"/>
            <w:gridSpan w:val="2"/>
          </w:tcPr>
          <w:p>
            <w:pPr>
              <w:spacing w:after="0"/>
              <w:rPr>
                <w:sz w:val="24"/>
                <w:szCs w:val="24"/>
                <w:color w:val="auto"/>
              </w:rPr>
            </w:pPr>
          </w:p>
        </w:tc>
        <w:tc>
          <w:tcPr>
            <w:tcW w:w="3680" w:type="dxa"/>
            <w:vAlign w:val="bottom"/>
            <w:tcBorders>
              <w:top w:val="single" w:sz="8" w:color="0000EE"/>
            </w:tcBorders>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 and Reports on Form 8-K</w:t>
              </w:r>
            </w:hyperlink>
          </w:p>
        </w:tc>
        <w:tc>
          <w:tcPr>
            <w:tcW w:w="1720" w:type="dxa"/>
            <w:vAlign w:val="bottom"/>
            <w:gridSpan w:val="3"/>
          </w:tcPr>
          <w:p>
            <w:pPr>
              <w:spacing w:after="0"/>
              <w:rPr>
                <w:sz w:val="24"/>
                <w:szCs w:val="24"/>
                <w:color w:val="auto"/>
              </w:rPr>
            </w:pPr>
          </w:p>
        </w:tc>
        <w:tc>
          <w:tcPr>
            <w:tcW w:w="1500" w:type="dxa"/>
            <w:vAlign w:val="bottom"/>
          </w:tcPr>
          <w:p>
            <w:pPr>
              <w:jc w:val="center"/>
              <w:ind w:left="872"/>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UNAUDITED CONSOLIDATED BALANCE SHEETS</w:t>
      </w:r>
    </w:p>
    <w:p>
      <w:pPr>
        <w:spacing w:after="0" w:line="28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 except par value</w:t>
      </w:r>
    </w:p>
    <w:tbl>
      <w:tblPr>
        <w:tblLayout w:type="fixed"/>
        <w:tblInd w:w="1660" w:type="dxa"/>
        <w:tblCellMar>
          <w:top w:w="0" w:type="dxa"/>
          <w:left w:w="0" w:type="dxa"/>
          <w:bottom w:w="0" w:type="dxa"/>
          <w:right w:w="0" w:type="dxa"/>
        </w:tblCellMar>
      </w:tblPr>
      <w:tr>
        <w:trPr>
          <w:trHeight w:val="153"/>
        </w:trPr>
        <w:tc>
          <w:tcPr>
            <w:tcW w:w="544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28,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August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48"/>
        </w:trPr>
        <w:tc>
          <w:tcPr>
            <w:tcW w:w="54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56,716</w:t>
            </w:r>
          </w:p>
        </w:tc>
        <w:tc>
          <w:tcPr>
            <w:tcW w:w="320" w:type="dxa"/>
            <w:vAlign w:val="bottom"/>
            <w:shd w:val="clear" w:color="auto" w:fill="CCCCCC"/>
          </w:tcPr>
          <w:p>
            <w:pPr>
              <w:spacing w:after="0"/>
              <w:rPr>
                <w:sz w:val="18"/>
                <w:szCs w:val="18"/>
                <w:color w:val="auto"/>
              </w:rPr>
            </w:pPr>
          </w:p>
        </w:tc>
        <w:tc>
          <w:tcPr>
            <w:tcW w:w="2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99,381</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Receivables, less allowance for doubtful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40"/>
              <w:spacing w:after="0"/>
              <w:rPr>
                <w:sz w:val="20"/>
                <w:szCs w:val="20"/>
                <w:color w:val="auto"/>
              </w:rPr>
            </w:pPr>
            <w:r>
              <w:rPr>
                <w:rFonts w:ascii="Arial" w:cs="Arial" w:eastAsia="Arial" w:hAnsi="Arial"/>
                <w:sz w:val="18"/>
                <w:szCs w:val="18"/>
                <w:color w:val="auto"/>
              </w:rPr>
              <w:t>accounts ($136 and $134,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137,383</w:t>
            </w: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114,282</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9,499</w:t>
            </w: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7,925</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4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249,291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257,289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40" w:type="dxa"/>
            <w:vAlign w:val="bottom"/>
            <w:vMerge w:val="restart"/>
          </w:tcPr>
          <w:p>
            <w:pPr>
              <w:spacing w:after="0"/>
              <w:rPr>
                <w:sz w:val="20"/>
                <w:szCs w:val="20"/>
                <w:color w:val="auto"/>
              </w:rPr>
            </w:pPr>
            <w:r>
              <w:rPr>
                <w:rFonts w:ascii="Arial" w:cs="Arial" w:eastAsia="Arial" w:hAnsi="Arial"/>
                <w:sz w:val="18"/>
                <w:szCs w:val="18"/>
                <w:color w:val="auto"/>
              </w:rPr>
              <w:t>PROPERTY AND EQUIPMENT, at cost</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97,106</w:t>
            </w: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94,208</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163,778</w:t>
            </w: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159,583</w:t>
            </w:r>
          </w:p>
        </w:tc>
        <w:tc>
          <w:tcPr>
            <w:tcW w:w="160" w:type="dxa"/>
            <w:vAlign w:val="bottom"/>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100,366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44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63,412</w:t>
            </w:r>
          </w:p>
        </w:tc>
        <w:tc>
          <w:tcPr>
            <w:tcW w:w="32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63,318</w:t>
            </w:r>
          </w:p>
        </w:tc>
        <w:tc>
          <w:tcPr>
            <w:tcW w:w="160" w:type="dxa"/>
            <w:vAlign w:val="bottom"/>
            <w:shd w:val="clear" w:color="auto" w:fill="CCCCC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23,165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440" w:type="dxa"/>
            <w:vAlign w:val="bottom"/>
            <w:shd w:val="clear" w:color="auto" w:fill="CCCCCC"/>
          </w:tcPr>
          <w:p>
            <w:pPr>
              <w:spacing w:after="0"/>
              <w:rPr>
                <w:sz w:val="20"/>
                <w:szCs w:val="20"/>
                <w:color w:val="auto"/>
              </w:rPr>
            </w:pPr>
            <w:r>
              <w:rPr>
                <w:rFonts w:ascii="Arial" w:cs="Arial" w:eastAsia="Arial" w:hAnsi="Arial"/>
                <w:sz w:val="18"/>
                <w:szCs w:val="18"/>
                <w:color w:val="auto"/>
              </w:rPr>
              <w:t>INVESTMENT IN LIFE INSURANCE</w:t>
            </w:r>
          </w:p>
        </w:tc>
        <w:tc>
          <w:tcPr>
            <w:tcW w:w="220" w:type="dxa"/>
            <w:vAlign w:val="bottom"/>
            <w:shd w:val="clear" w:color="auto" w:fill="CCCCCC"/>
          </w:tcPr>
          <w:p>
            <w:pPr>
              <w:spacing w:after="0"/>
              <w:rPr>
                <w:sz w:val="24"/>
                <w:szCs w:val="24"/>
                <w:color w:val="auto"/>
              </w:rPr>
            </w:pP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22,421</w:t>
            </w:r>
          </w:p>
        </w:tc>
        <w:tc>
          <w:tcPr>
            <w:tcW w:w="32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60" w:type="dxa"/>
            <w:vAlign w:val="bottom"/>
            <w:shd w:val="clear" w:color="auto" w:fill="CCCCCC"/>
          </w:tcPr>
          <w:p>
            <w:pPr>
              <w:spacing w:after="0"/>
              <w:rPr>
                <w:sz w:val="24"/>
                <w:szCs w:val="24"/>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shd w:val="clear" w:color="auto" w:fill="CCCCC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4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11,570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4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371,180</w:t>
            </w:r>
          </w:p>
        </w:tc>
        <w:tc>
          <w:tcPr>
            <w:tcW w:w="320" w:type="dxa"/>
            <w:vAlign w:val="bottom"/>
            <w:shd w:val="clear" w:color="auto" w:fill="CCCCCC"/>
          </w:tcPr>
          <w:p>
            <w:pPr>
              <w:spacing w:after="0"/>
              <w:rPr>
                <w:sz w:val="24"/>
                <w:szCs w:val="24"/>
                <w:color w:val="auto"/>
              </w:rPr>
            </w:pPr>
          </w:p>
        </w:tc>
        <w:tc>
          <w:tcPr>
            <w:tcW w:w="2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377,462</w:t>
            </w:r>
          </w:p>
        </w:tc>
        <w:tc>
          <w:tcPr>
            <w:tcW w:w="160" w:type="dxa"/>
            <w:vAlign w:val="bottom"/>
            <w:shd w:val="clear" w:color="auto" w:fill="CCCCC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08" w:right="1440" w:bottom="209"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See Unaudited Condensed Notes to Consolidated Financial Statements.</w:t>
      </w:r>
    </w:p>
    <w:p>
      <w:pPr>
        <w:sectPr>
          <w:pgSz w:w="11900" w:h="16838" w:orient="portrait"/>
          <w:cols w:equalWidth="0" w:num="1">
            <w:col w:w="10219"/>
          </w:cols>
          <w:pgMar w:left="240" w:top="108" w:right="1440" w:bottom="209" w:gutter="0" w:footer="0" w:header="0"/>
          <w:type w:val="continuous"/>
        </w:sectPr>
      </w:pPr>
    </w:p>
    <w:bookmarkStart w:id="2" w:name="page3"/>
    <w:bookmarkEnd w:id="2"/>
    <w:p>
      <w:pPr>
        <w:spacing w:after="0" w:line="18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79"/>
        <w:spacing w:after="0"/>
        <w:rPr>
          <w:sz w:val="20"/>
          <w:szCs w:val="20"/>
          <w:color w:val="auto"/>
        </w:rPr>
      </w:pPr>
      <w:r>
        <w:rPr>
          <w:rFonts w:ascii="Arial" w:cs="Arial" w:eastAsia="Arial" w:hAnsi="Arial"/>
          <w:sz w:val="21"/>
          <w:szCs w:val="21"/>
          <w:b w:val="1"/>
          <w:bCs w:val="1"/>
          <w:color w:val="auto"/>
        </w:rPr>
        <w:t>WINNEBAGO INDUSTRIES, INC. AND SUBSIDIARIES</w:t>
      </w:r>
    </w:p>
    <w:p>
      <w:pPr>
        <w:spacing w:after="0" w:line="26"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UNAUDITED CONSOLIDATED BALANCE SHEETS</w:t>
      </w:r>
    </w:p>
    <w:p>
      <w:pPr>
        <w:spacing w:after="0" w:line="28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 except par value</w:t>
      </w:r>
    </w:p>
    <w:p>
      <w:pPr>
        <w:sectPr>
          <w:pgSz w:w="11900" w:h="16900" w:orient="portrait"/>
          <w:cols w:equalWidth="0" w:num="1">
            <w:col w:w="10440"/>
          </w:cols>
          <w:pgMar w:left="240" w:top="1440" w:right="1219" w:bottom="0" w:gutter="0" w:footer="0" w:header="0"/>
        </w:sectPr>
      </w:pPr>
    </w:p>
    <w:p>
      <w:pPr>
        <w:spacing w:after="0" w:line="8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83820</wp:posOffset>
            </wp:positionV>
            <wp:extent cx="3447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February 28,</w:t>
            </w:r>
          </w:p>
        </w:tc>
        <w:tc>
          <w:tcPr>
            <w:tcW w:w="6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3"/>
              </w:rPr>
              <w:t>August 30,</w:t>
            </w:r>
          </w:p>
        </w:tc>
      </w:tr>
      <w:tr>
        <w:trPr>
          <w:trHeight w:val="174"/>
        </w:trPr>
        <w:tc>
          <w:tcPr>
            <w:tcW w:w="1420" w:type="dxa"/>
            <w:vAlign w:val="bottom"/>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10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2003</w:t>
            </w:r>
          </w:p>
        </w:tc>
      </w:tr>
      <w:tr>
        <w:trPr>
          <w:trHeight w:val="95"/>
        </w:trPr>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900" w:orient="portrait"/>
          <w:cols w:equalWidth="0" w:num="2">
            <w:col w:w="6600" w:space="720"/>
            <w:col w:w="3120"/>
          </w:cols>
          <w:pgMar w:left="240" w:top="1440" w:right="1219" w:bottom="0" w:gutter="0" w:footer="0" w:header="0"/>
          <w:type w:val="continuous"/>
        </w:sectPr>
      </w:pPr>
    </w:p>
    <w:p>
      <w:pPr>
        <w:spacing w:after="0" w:line="332"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CCCC"/>
          </w:tcPr>
          <w:p>
            <w:pPr>
              <w:spacing w:after="0"/>
              <w:rPr>
                <w:sz w:val="20"/>
                <w:szCs w:val="20"/>
                <w:color w:val="auto"/>
              </w:rPr>
            </w:pPr>
            <w:r>
              <w:rPr>
                <w:rFonts w:ascii="Arial" w:cs="Arial" w:eastAsia="Arial" w:hAnsi="Arial"/>
                <w:sz w:val="18"/>
                <w:szCs w:val="18"/>
                <w:color w:val="auto"/>
              </w:rPr>
              <w:t>Accounts payable, trade</w:t>
            </w:r>
          </w:p>
        </w:tc>
        <w:tc>
          <w:tcPr>
            <w:tcW w:w="200" w:type="dxa"/>
            <w:vAlign w:val="bottom"/>
            <w:shd w:val="clear" w:color="auto" w:fill="CCCCCC"/>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50,598</w:t>
            </w:r>
          </w:p>
        </w:tc>
        <w:tc>
          <w:tcPr>
            <w:tcW w:w="7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52,239</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16,636</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15,749</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Product warranties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11,890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Promotional</w:t>
            </w: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11,345</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4,599</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7,177</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4,969</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6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109,026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92,398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60" w:type="dxa"/>
            <w:vAlign w:val="bottom"/>
            <w:vMerge w:val="restart"/>
          </w:tcPr>
          <w:p>
            <w:pPr>
              <w:spacing w:after="0"/>
              <w:rPr>
                <w:sz w:val="20"/>
                <w:szCs w:val="20"/>
                <w:color w:val="auto"/>
              </w:rPr>
            </w:pPr>
            <w:r>
              <w:rPr>
                <w:rFonts w:ascii="Arial" w:cs="Arial" w:eastAsia="Arial" w:hAnsi="Arial"/>
                <w:sz w:val="18"/>
                <w:szCs w:val="18"/>
                <w:color w:val="auto"/>
              </w:rPr>
              <w:t>POSTRETIREMENT HEALTH CARE AND DEFERRED</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3"/>
        </w:trPr>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CCCC"/>
          </w:tcPr>
          <w:p>
            <w:pPr>
              <w:ind w:left="140"/>
              <w:spacing w:after="0"/>
              <w:rPr>
                <w:sz w:val="20"/>
                <w:szCs w:val="20"/>
                <w:color w:val="auto"/>
              </w:rPr>
            </w:pPr>
            <w:r>
              <w:rPr>
                <w:rFonts w:ascii="Arial" w:cs="Arial" w:eastAsia="Arial" w:hAnsi="Arial"/>
                <w:sz w:val="18"/>
                <w:szCs w:val="18"/>
                <w:color w:val="auto"/>
              </w:rPr>
              <w:t>COMPENSATION BENEFITS</w:t>
            </w: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78,523</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74,438</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Capital stock, common, par value $.50; authorized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Arial" w:cs="Arial" w:eastAsia="Arial" w:hAnsi="Arial"/>
                <w:sz w:val="18"/>
                <w:szCs w:val="18"/>
                <w:color w:val="auto"/>
              </w:rPr>
              <w:t>60,000,000 shares: issued 51,776,000 shares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CCC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14,639</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13,025</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Reinvested earnings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361,469</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331,039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401,996</w:t>
            </w:r>
          </w:p>
        </w:tc>
        <w:tc>
          <w:tcPr>
            <w:tcW w:w="48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369,952</w:t>
            </w: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218,365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159,326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5660" w:type="dxa"/>
            <w:vAlign w:val="bottom"/>
            <w:shd w:val="clear" w:color="auto" w:fill="CCCCCC"/>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183,631</w:t>
            </w:r>
          </w:p>
        </w:tc>
        <w:tc>
          <w:tcPr>
            <w:tcW w:w="48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210,626</w:t>
            </w:r>
          </w:p>
        </w:tc>
        <w:tc>
          <w:tcPr>
            <w:tcW w:w="16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660" w:type="dxa"/>
            <w:vAlign w:val="bottom"/>
            <w:vMerge w:val="continue"/>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371,180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377,462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jc w:val="center"/>
        <w:ind w:right="-979"/>
        <w:spacing w:after="0"/>
        <w:rPr>
          <w:sz w:val="20"/>
          <w:szCs w:val="20"/>
          <w:color w:val="auto"/>
        </w:rPr>
      </w:pPr>
      <w:r>
        <w:rPr>
          <w:rFonts w:ascii="Arial" w:cs="Arial" w:eastAsia="Arial" w:hAnsi="Arial"/>
          <w:sz w:val="22"/>
          <w:szCs w:val="22"/>
          <w:b w:val="1"/>
          <w:bCs w:val="1"/>
          <w:color w:val="auto"/>
        </w:rPr>
        <w:t>UNAUDITED CONSOLIDATED STATEMENTS OF INCOME</w:t>
      </w: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thousands, except per share data</w:t>
      </w:r>
    </w:p>
    <w:p>
      <w:pPr>
        <w:spacing w:after="0" w:line="15"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7"/>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6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CCCC"/>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266,033</w:t>
            </w:r>
          </w:p>
        </w:tc>
        <w:tc>
          <w:tcPr>
            <w:tcW w:w="40" w:type="dxa"/>
            <w:vAlign w:val="bottom"/>
            <w:shd w:val="clear" w:color="auto" w:fill="CCCCCC"/>
          </w:tcPr>
          <w:p>
            <w:pPr>
              <w:spacing w:after="0"/>
              <w:rPr>
                <w:sz w:val="18"/>
                <w:szCs w:val="18"/>
                <w:color w:val="auto"/>
              </w:rPr>
            </w:pPr>
          </w:p>
        </w:tc>
        <w:tc>
          <w:tcPr>
            <w:tcW w:w="500" w:type="dxa"/>
            <w:vAlign w:val="bottom"/>
            <w:gridSpan w:val="2"/>
            <w:shd w:val="clear" w:color="auto" w:fill="CCCCC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185,958</w:t>
            </w:r>
          </w:p>
        </w:tc>
        <w:tc>
          <w:tcPr>
            <w:tcW w:w="20" w:type="dxa"/>
            <w:vAlign w:val="bottom"/>
            <w:shd w:val="clear" w:color="auto" w:fill="CCCCCC"/>
          </w:tcPr>
          <w:p>
            <w:pPr>
              <w:spacing w:after="0"/>
              <w:rPr>
                <w:sz w:val="18"/>
                <w:szCs w:val="18"/>
                <w:color w:val="auto"/>
              </w:rPr>
            </w:pPr>
          </w:p>
        </w:tc>
        <w:tc>
          <w:tcPr>
            <w:tcW w:w="5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520,966</w:t>
            </w:r>
          </w:p>
        </w:tc>
        <w:tc>
          <w:tcPr>
            <w:tcW w:w="20" w:type="dxa"/>
            <w:vAlign w:val="bottom"/>
            <w:shd w:val="clear" w:color="auto" w:fill="CCCCCC"/>
          </w:tcPr>
          <w:p>
            <w:pPr>
              <w:spacing w:after="0"/>
              <w:rPr>
                <w:sz w:val="18"/>
                <w:szCs w:val="18"/>
                <w:color w:val="auto"/>
              </w:rPr>
            </w:pPr>
          </w:p>
        </w:tc>
        <w:tc>
          <w:tcPr>
            <w:tcW w:w="500" w:type="dxa"/>
            <w:vAlign w:val="bottom"/>
            <w:gridSpan w:val="2"/>
            <w:shd w:val="clear" w:color="auto" w:fill="CCCCC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419,305</w:t>
            </w:r>
          </w:p>
        </w:tc>
        <w:tc>
          <w:tcPr>
            <w:tcW w:w="4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231,004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159,590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446,472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357,865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8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860" w:type="dxa"/>
            <w:vAlign w:val="bottom"/>
            <w:tcBorders>
              <w:bottom w:val="single" w:sz="8" w:color="CCCCCC"/>
            </w:tcBorders>
          </w:tcPr>
          <w:p>
            <w:pPr>
              <w:spacing w:after="0"/>
              <w:rPr>
                <w:sz w:val="10"/>
                <w:szCs w:val="10"/>
                <w:color w:val="auto"/>
              </w:rPr>
            </w:pPr>
          </w:p>
        </w:tc>
        <w:tc>
          <w:tcPr>
            <w:tcW w:w="40" w:type="dxa"/>
            <w:vAlign w:val="bottom"/>
            <w:tcBorders>
              <w:bottom w:val="single" w:sz="8" w:color="CCCCCC"/>
            </w:tcBorders>
          </w:tcPr>
          <w:p>
            <w:pPr>
              <w:spacing w:after="0"/>
              <w:rPr>
                <w:sz w:val="10"/>
                <w:szCs w:val="10"/>
                <w:color w:val="auto"/>
              </w:rPr>
            </w:pPr>
          </w:p>
        </w:tc>
        <w:tc>
          <w:tcPr>
            <w:tcW w:w="340" w:type="dxa"/>
            <w:vAlign w:val="bottom"/>
            <w:tcBorders>
              <w:bottom w:val="single" w:sz="8" w:color="CCCCCC"/>
            </w:tcBorders>
          </w:tcPr>
          <w:p>
            <w:pPr>
              <w:spacing w:after="0"/>
              <w:rPr>
                <w:sz w:val="10"/>
                <w:szCs w:val="10"/>
                <w:color w:val="auto"/>
              </w:rPr>
            </w:pPr>
          </w:p>
        </w:tc>
        <w:tc>
          <w:tcPr>
            <w:tcW w:w="160" w:type="dxa"/>
            <w:vAlign w:val="bottom"/>
            <w:tcBorders>
              <w:bottom w:val="single" w:sz="8" w:color="CCCCCC"/>
            </w:tcBorders>
          </w:tcPr>
          <w:p>
            <w:pPr>
              <w:spacing w:after="0"/>
              <w:rPr>
                <w:sz w:val="10"/>
                <w:szCs w:val="10"/>
                <w:color w:val="auto"/>
              </w:rPr>
            </w:pPr>
          </w:p>
        </w:tc>
        <w:tc>
          <w:tcPr>
            <w:tcW w:w="800" w:type="dxa"/>
            <w:vAlign w:val="bottom"/>
            <w:tcBorders>
              <w:bottom w:val="single" w:sz="8" w:color="CCCCCC"/>
            </w:tcBorders>
          </w:tcPr>
          <w:p>
            <w:pPr>
              <w:spacing w:after="0"/>
              <w:rPr>
                <w:sz w:val="10"/>
                <w:szCs w:val="10"/>
                <w:color w:val="auto"/>
              </w:rPr>
            </w:pPr>
          </w:p>
        </w:tc>
        <w:tc>
          <w:tcPr>
            <w:tcW w:w="20" w:type="dxa"/>
            <w:vAlign w:val="bottom"/>
            <w:tcBorders>
              <w:bottom w:val="single" w:sz="8" w:color="CCCCCC"/>
            </w:tcBorders>
          </w:tcPr>
          <w:p>
            <w:pPr>
              <w:spacing w:after="0"/>
              <w:rPr>
                <w:sz w:val="10"/>
                <w:szCs w:val="10"/>
                <w:color w:val="auto"/>
              </w:rPr>
            </w:pPr>
          </w:p>
        </w:tc>
        <w:tc>
          <w:tcPr>
            <w:tcW w:w="460" w:type="dxa"/>
            <w:vAlign w:val="bottom"/>
            <w:tcBorders>
              <w:bottom w:val="single" w:sz="8" w:color="CCCCCC"/>
            </w:tcBorders>
          </w:tcPr>
          <w:p>
            <w:pPr>
              <w:spacing w:after="0"/>
              <w:rPr>
                <w:sz w:val="10"/>
                <w:szCs w:val="10"/>
                <w:color w:val="auto"/>
              </w:rPr>
            </w:pPr>
          </w:p>
        </w:tc>
        <w:tc>
          <w:tcPr>
            <w:tcW w:w="80" w:type="dxa"/>
            <w:vAlign w:val="bottom"/>
            <w:tcBorders>
              <w:bottom w:val="single" w:sz="8" w:color="CCCCCC"/>
            </w:tcBorders>
          </w:tcPr>
          <w:p>
            <w:pPr>
              <w:spacing w:after="0"/>
              <w:rPr>
                <w:sz w:val="10"/>
                <w:szCs w:val="10"/>
                <w:color w:val="auto"/>
              </w:rPr>
            </w:pPr>
          </w:p>
        </w:tc>
        <w:tc>
          <w:tcPr>
            <w:tcW w:w="880" w:type="dxa"/>
            <w:vAlign w:val="bottom"/>
            <w:tcBorders>
              <w:bottom w:val="single" w:sz="8" w:color="CCCCCC"/>
            </w:tcBorders>
          </w:tcPr>
          <w:p>
            <w:pPr>
              <w:spacing w:after="0"/>
              <w:rPr>
                <w:sz w:val="10"/>
                <w:szCs w:val="10"/>
                <w:color w:val="auto"/>
              </w:rPr>
            </w:pPr>
          </w:p>
        </w:tc>
        <w:tc>
          <w:tcPr>
            <w:tcW w:w="20" w:type="dxa"/>
            <w:vAlign w:val="bottom"/>
            <w:tcBorders>
              <w:bottom w:val="single" w:sz="8" w:color="CCCCCC"/>
            </w:tcBorders>
          </w:tcPr>
          <w:p>
            <w:pPr>
              <w:spacing w:after="0"/>
              <w:rPr>
                <w:sz w:val="10"/>
                <w:szCs w:val="10"/>
                <w:color w:val="auto"/>
              </w:rPr>
            </w:pPr>
          </w:p>
        </w:tc>
        <w:tc>
          <w:tcPr>
            <w:tcW w:w="360" w:type="dxa"/>
            <w:vAlign w:val="bottom"/>
            <w:tcBorders>
              <w:bottom w:val="single" w:sz="8" w:color="CCCCCC"/>
            </w:tcBorders>
          </w:tcPr>
          <w:p>
            <w:pPr>
              <w:spacing w:after="0"/>
              <w:rPr>
                <w:sz w:val="10"/>
                <w:szCs w:val="10"/>
                <w:color w:val="auto"/>
              </w:rPr>
            </w:pPr>
          </w:p>
        </w:tc>
        <w:tc>
          <w:tcPr>
            <w:tcW w:w="140" w:type="dxa"/>
            <w:vAlign w:val="bottom"/>
            <w:tcBorders>
              <w:bottom w:val="single" w:sz="8" w:color="CCCCCC"/>
            </w:tcBorders>
          </w:tcPr>
          <w:p>
            <w:pPr>
              <w:spacing w:after="0"/>
              <w:rPr>
                <w:sz w:val="10"/>
                <w:szCs w:val="10"/>
                <w:color w:val="auto"/>
              </w:rPr>
            </w:pPr>
          </w:p>
        </w:tc>
        <w:tc>
          <w:tcPr>
            <w:tcW w:w="820" w:type="dxa"/>
            <w:vAlign w:val="bottom"/>
            <w:tcBorders>
              <w:bottom w:val="single" w:sz="8" w:color="CCCCCC"/>
            </w:tcBorders>
          </w:tcPr>
          <w:p>
            <w:pPr>
              <w:spacing w:after="0"/>
              <w:rPr>
                <w:sz w:val="10"/>
                <w:szCs w:val="10"/>
                <w:color w:val="auto"/>
              </w:rPr>
            </w:pPr>
          </w:p>
        </w:tc>
        <w:tc>
          <w:tcPr>
            <w:tcW w:w="40" w:type="dxa"/>
            <w:vAlign w:val="bottom"/>
            <w:tcBorders>
              <w:bottom w:val="single" w:sz="8" w:color="CCCCCC"/>
            </w:tcBorders>
          </w:tcPr>
          <w:p>
            <w:pPr>
              <w:spacing w:after="0"/>
              <w:rPr>
                <w:sz w:val="10"/>
                <w:szCs w:val="10"/>
                <w:color w:val="auto"/>
              </w:rPr>
            </w:pPr>
          </w:p>
        </w:tc>
        <w:tc>
          <w:tcPr>
            <w:tcW w:w="160" w:type="dxa"/>
            <w:vAlign w:val="bottom"/>
            <w:tcBorders>
              <w:bottom w:val="single" w:sz="8" w:color="CCCCCC"/>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0440"/>
          </w:cols>
          <w:pgMar w:left="240" w:top="1440" w:right="1219" w:bottom="0" w:gutter="0" w:footer="0" w:header="0"/>
          <w:type w:val="continuous"/>
        </w:sectPr>
      </w:pPr>
    </w:p>
    <w:bookmarkStart w:id="3" w:name="page4"/>
    <w:bookmarkEnd w:id="3"/>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gridSpan w:val="3"/>
            <w:shd w:val="clear" w:color="auto" w:fill="CCCCCC"/>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35,029</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26,368</w:t>
            </w:r>
          </w:p>
        </w:tc>
        <w:tc>
          <w:tcPr>
            <w:tcW w:w="4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74,494</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61,440</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0" w:type="dxa"/>
            <w:vAlign w:val="bottom"/>
            <w:gridSpan w:val="4"/>
            <w:vMerge w:val="restart"/>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CCC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6,039</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2,932</w:t>
            </w:r>
          </w:p>
        </w:tc>
        <w:tc>
          <w:tcPr>
            <w:tcW w:w="4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11,777</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8,036</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10,500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20,799</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16,791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CCCC"/>
          </w:tcPr>
          <w:p>
            <w:pPr>
              <w:spacing w:after="0"/>
              <w:rPr>
                <w:sz w:val="24"/>
                <w:szCs w:val="24"/>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24,529</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19,368</w:t>
            </w:r>
          </w:p>
        </w:tc>
        <w:tc>
          <w:tcPr>
            <w:tcW w:w="4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53,695</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44,649</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200" w:type="dxa"/>
            <w:vAlign w:val="bottom"/>
            <w:gridSpan w:val="4"/>
          </w:tcPr>
          <w:p>
            <w:pPr>
              <w:spacing w:after="0"/>
              <w:rPr>
                <w:sz w:val="20"/>
                <w:szCs w:val="20"/>
                <w:color w:val="auto"/>
              </w:rPr>
            </w:pPr>
            <w:r>
              <w:rPr>
                <w:rFonts w:ascii="Arial" w:cs="Arial" w:eastAsia="Arial" w:hAnsi="Arial"/>
                <w:sz w:val="18"/>
                <w:szCs w:val="18"/>
                <w:color w:val="auto"/>
              </w:rPr>
              <w:t>Financial income</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CCCC"/>
          </w:tcPr>
          <w:p>
            <w:pPr>
              <w:spacing w:after="0"/>
              <w:rPr>
                <w:sz w:val="24"/>
                <w:szCs w:val="24"/>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24,812</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19,788</w:t>
            </w:r>
          </w:p>
        </w:tc>
        <w:tc>
          <w:tcPr>
            <w:tcW w:w="4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54,281</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45,344</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200" w:type="dxa"/>
            <w:vAlign w:val="bottom"/>
            <w:gridSpan w:val="4"/>
          </w:tcPr>
          <w:p>
            <w:pPr>
              <w:spacing w:after="0"/>
              <w:rPr>
                <w:sz w:val="20"/>
                <w:szCs w:val="20"/>
                <w:color w:val="auto"/>
              </w:rPr>
            </w:pPr>
            <w:r>
              <w:rPr>
                <w:rFonts w:ascii="Arial" w:cs="Arial" w:eastAsia="Arial" w:hAnsi="Arial"/>
                <w:sz w:val="18"/>
                <w:szCs w:val="18"/>
                <w:color w:val="auto"/>
              </w:rPr>
              <w:t>Provision for taxes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7,898</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20,334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17,576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CCCC"/>
          </w:tcPr>
          <w:p>
            <w:pPr>
              <w:spacing w:after="0"/>
              <w:rPr>
                <w:sz w:val="24"/>
                <w:szCs w:val="24"/>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15,880</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11,890</w:t>
            </w:r>
          </w:p>
        </w:tc>
        <w:tc>
          <w:tcPr>
            <w:tcW w:w="4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33,947</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27,768</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20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taxes)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CCCC"/>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15,880</w:t>
            </w:r>
          </w:p>
        </w:tc>
        <w:tc>
          <w:tcPr>
            <w:tcW w:w="66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12,309</w:t>
            </w:r>
          </w:p>
        </w:tc>
        <w:tc>
          <w:tcPr>
            <w:tcW w:w="7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33,947</w:t>
            </w:r>
          </w:p>
        </w:tc>
        <w:tc>
          <w:tcPr>
            <w:tcW w:w="6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28,587</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w w:val="87"/>
              </w:rPr>
              <w:t>Income per share – basic (Note 10)</w:t>
            </w:r>
          </w:p>
        </w:tc>
        <w:tc>
          <w:tcPr>
            <w:tcW w:w="1720" w:type="dxa"/>
            <w:vAlign w:val="bottom"/>
            <w:gridSpan w:val="2"/>
            <w:vMerge w:val="restart"/>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2480" w:type="dxa"/>
            <w:vAlign w:val="bottom"/>
            <w:tcBorders>
              <w:bottom w:val="single" w:sz="8" w:color="auto"/>
            </w:tcBorders>
            <w:gridSpan w:val="2"/>
            <w:vMerge w:val="continue"/>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From continuing operations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From discontinued operations</w:t>
            </w:r>
          </w:p>
        </w:tc>
        <w:tc>
          <w:tcPr>
            <w:tcW w:w="28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gridSpan w:val="4"/>
            <w:vMerge w:val="restart"/>
          </w:tcPr>
          <w:p>
            <w:pPr>
              <w:spacing w:after="0"/>
              <w:rPr>
                <w:sz w:val="20"/>
                <w:szCs w:val="20"/>
                <w:color w:val="auto"/>
              </w:rPr>
            </w:pPr>
            <w:r>
              <w:rPr>
                <w:rFonts w:ascii="Arial" w:cs="Arial" w:eastAsia="Arial" w:hAnsi="Arial"/>
                <w:sz w:val="18"/>
                <w:szCs w:val="18"/>
                <w:color w:val="auto"/>
              </w:rPr>
              <w:t>Income per share – diluted (Note 10)</w:t>
            </w: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42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From continuing operations</w:t>
            </w:r>
          </w:p>
        </w:tc>
        <w:tc>
          <w:tcPr>
            <w:tcW w:w="280" w:type="dxa"/>
            <w:vAlign w:val="bottom"/>
            <w:shd w:val="clear" w:color="auto" w:fill="CCCCCC"/>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From discontinued operations</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CCCC"/>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0" w:type="dxa"/>
            <w:vAlign w:val="bottom"/>
            <w:gridSpan w:val="4"/>
            <w:vMerge w:val="restart"/>
          </w:tcPr>
          <w:p>
            <w:pPr>
              <w:spacing w:after="0"/>
              <w:rPr>
                <w:sz w:val="20"/>
                <w:szCs w:val="20"/>
                <w:color w:val="auto"/>
              </w:rPr>
            </w:pPr>
            <w:r>
              <w:rPr>
                <w:rFonts w:ascii="Arial" w:cs="Arial" w:eastAsia="Arial" w:hAnsi="Arial"/>
                <w:sz w:val="18"/>
                <w:szCs w:val="18"/>
                <w:color w:val="auto"/>
              </w:rPr>
              <w:t>Weighted average shares of common stock</w:t>
            </w: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42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3"/>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33,928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37,550</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34,613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gridSpan w:val="3"/>
            <w:shd w:val="clear" w:color="auto" w:fill="CCCCCC"/>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CCCC"/>
          </w:tcPr>
          <w:p>
            <w:pPr>
              <w:spacing w:after="0"/>
              <w:rPr>
                <w:sz w:val="24"/>
                <w:szCs w:val="24"/>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34,545</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38,224</w:t>
            </w:r>
          </w:p>
        </w:tc>
        <w:tc>
          <w:tcPr>
            <w:tcW w:w="4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35,196</w:t>
            </w:r>
          </w:p>
        </w:tc>
        <w:tc>
          <w:tcPr>
            <w:tcW w:w="38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38,226</w:t>
            </w:r>
          </w:p>
        </w:tc>
        <w:tc>
          <w:tcPr>
            <w:tcW w:w="2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-3393440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-3393440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-3393440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-3393440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-3393440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-3393440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-3393440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-3393440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-2269490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-2269490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-2269490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-2269490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-2269490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-2269490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-2269490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-2269490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-1146175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-1146175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-1146175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-1146175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-1146175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-1146175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-1146175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-1146175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-443230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-443230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-443230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-443230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-443230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-443230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-443230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January 14, 2004, the Company’s Board of Directors declared a two-for-one stock split effected in the form of a 100% stock dividend on March 5, 2004 to shareholders of record as of February 20, 2004. All share and per share amounts have been restated to give retroactive effect to the stock split.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Dollars in thousands</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62230</wp:posOffset>
            </wp:positionV>
            <wp:extent cx="12179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86" w:lineRule="exact"/>
        <w:rPr>
          <w:sz w:val="20"/>
          <w:szCs w:val="20"/>
          <w:color w:val="auto"/>
        </w:rPr>
      </w:pPr>
    </w:p>
    <w:p>
      <w:pPr>
        <w:ind w:left="8360"/>
        <w:spacing w:after="0"/>
        <w:tabs>
          <w:tab w:leader="none" w:pos="9600" w:val="left"/>
        </w:tabs>
        <w:rPr>
          <w:sz w:val="20"/>
          <w:szCs w:val="20"/>
          <w:color w:val="auto"/>
        </w:rPr>
      </w:pPr>
      <w:r>
        <w:rPr>
          <w:rFonts w:ascii="Arial" w:cs="Arial" w:eastAsia="Arial" w:hAnsi="Arial"/>
          <w:sz w:val="14"/>
          <w:szCs w:val="14"/>
          <w:b w:val="1"/>
          <w:bCs w:val="1"/>
          <w:color w:val="auto"/>
        </w:rPr>
        <w:t>February 28,</w:t>
      </w:r>
      <w:r>
        <w:rPr>
          <w:sz w:val="20"/>
          <w:szCs w:val="20"/>
          <w:color w:val="auto"/>
        </w:rPr>
        <w:tab/>
      </w:r>
      <w:r>
        <w:rPr>
          <w:rFonts w:ascii="Arial" w:cs="Arial" w:eastAsia="Arial" w:hAnsi="Arial"/>
          <w:sz w:val="12"/>
          <w:szCs w:val="12"/>
          <w:b w:val="1"/>
          <w:bCs w:val="1"/>
          <w:color w:val="auto"/>
        </w:rPr>
        <w:t>March 1,</w:t>
      </w:r>
    </w:p>
    <w:p>
      <w:pPr>
        <w:spacing w:after="0" w:line="1" w:lineRule="exact"/>
        <w:rPr>
          <w:sz w:val="20"/>
          <w:szCs w:val="20"/>
          <w:color w:val="auto"/>
        </w:rPr>
      </w:pPr>
    </w:p>
    <w:p>
      <w:pPr>
        <w:ind w:left="8600"/>
        <w:spacing w:after="0"/>
        <w:tabs>
          <w:tab w:leader="none" w:pos="97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60325</wp:posOffset>
            </wp:positionV>
            <wp:extent cx="12179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ectPr>
          <w:pgSz w:w="11900" w:h="16838" w:orient="portrait"/>
          <w:cols w:equalWidth="0" w:num="1">
            <w:col w:w="11120"/>
          </w:cols>
          <w:pgMar w:left="240" w:top="140" w:right="539" w:bottom="0" w:gutter="0" w:footer="0" w:header="0"/>
        </w:sectPr>
      </w:pP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49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340" w:type="dxa"/>
            <w:vAlign w:val="bottom"/>
          </w:tcPr>
          <w:p>
            <w:pPr>
              <w:jc w:val="right"/>
              <w:ind w:right="92"/>
              <w:spacing w:after="0"/>
              <w:rPr>
                <w:sz w:val="20"/>
                <w:szCs w:val="20"/>
                <w:color w:val="auto"/>
              </w:rPr>
            </w:pPr>
            <w:r>
              <w:rPr>
                <w:rFonts w:ascii="Arial" w:cs="Arial" w:eastAsia="Arial" w:hAnsi="Arial"/>
                <w:sz w:val="18"/>
                <w:szCs w:val="18"/>
                <w:color w:val="auto"/>
              </w:rPr>
              <w:t>$  33,947</w:t>
            </w:r>
          </w:p>
        </w:tc>
        <w:tc>
          <w:tcPr>
            <w:tcW w:w="960" w:type="dxa"/>
            <w:vAlign w:val="bottom"/>
          </w:tcPr>
          <w:p>
            <w:pPr>
              <w:jc w:val="right"/>
              <w:spacing w:after="0"/>
              <w:rPr>
                <w:sz w:val="20"/>
                <w:szCs w:val="20"/>
                <w:color w:val="auto"/>
              </w:rPr>
            </w:pPr>
            <w:r>
              <w:rPr>
                <w:rFonts w:ascii="Arial" w:cs="Arial" w:eastAsia="Arial" w:hAnsi="Arial"/>
                <w:sz w:val="18"/>
                <w:szCs w:val="18"/>
                <w:color w:val="auto"/>
              </w:rPr>
              <w:t>$  28,587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-135255</wp:posOffset>
            </wp:positionV>
            <wp:extent cx="600329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03290" cy="137160"/>
                    </a:xfrm>
                    <a:prstGeom prst="rect">
                      <a:avLst/>
                    </a:prstGeom>
                    <a:noFill/>
                  </pic:spPr>
                </pic:pic>
              </a:graphicData>
            </a:graphic>
          </wp:anchor>
        </w:drawing>
      </w:r>
    </w:p>
    <w:p>
      <w:pPr>
        <w:sectPr>
          <w:pgSz w:w="11900" w:h="16838" w:orient="portrait"/>
          <w:cols w:equalWidth="0" w:num="1">
            <w:col w:w="11120"/>
          </w:cols>
          <w:pgMar w:left="240" w:top="140" w:right="539" w:bottom="0" w:gutter="0" w:footer="0" w:header="0"/>
          <w:type w:val="continuous"/>
        </w:sectPr>
      </w:pPr>
    </w:p>
    <w:bookmarkStart w:id="4" w:name="page5"/>
    <w:bookmarkEnd w:id="4"/>
    <w:tbl>
      <w:tblPr>
        <w:tblLayout w:type="fixed"/>
        <w:tblInd w:w="9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Income from discontinued operations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33,947</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27,768</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4,759</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Tax benefit of stock options</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2,328</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Change in assets and liabilities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(Increase) decrease in receivable and other assets</w:t>
            </w:r>
          </w:p>
        </w:tc>
        <w:tc>
          <w:tcPr>
            <w:tcW w:w="98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(11,446)</w:t>
            </w: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10,479</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Increase in inventories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(23,101)</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Increase in deferred income taxes</w:t>
            </w:r>
          </w:p>
        </w:tc>
        <w:tc>
          <w:tcPr>
            <w:tcW w:w="98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(2,248)</w:t>
            </w:r>
          </w:p>
        </w:tc>
        <w:tc>
          <w:tcPr>
            <w:tcW w:w="1100" w:type="dxa"/>
            <w:vAlign w:val="bottom"/>
            <w:gridSpan w:val="3"/>
            <w:shd w:val="clear" w:color="auto" w:fill="CCCCCC"/>
          </w:tcPr>
          <w:p>
            <w:pPr>
              <w:jc w:val="right"/>
              <w:ind w:right="12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Increase (decrease) in accounts payable and accrued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10,568</w:t>
            </w:r>
          </w:p>
        </w:tc>
        <w:tc>
          <w:tcPr>
            <w:tcW w:w="2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Increase in income taxes payable</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7,485</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1,737</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Increase in postretirement benefits</w:t>
            </w:r>
          </w:p>
        </w:tc>
        <w:tc>
          <w:tcPr>
            <w:tcW w:w="760" w:type="dxa"/>
            <w:vAlign w:val="bottom"/>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Net cash provided by continuing operations</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25,687</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30,833</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Net cash provided by discontinued operations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CCCC"/>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25,687</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30,841</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73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(4,967)</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(115)</w:t>
            </w:r>
          </w:p>
        </w:tc>
        <w:tc>
          <w:tcPr>
            <w:tcW w:w="1100" w:type="dxa"/>
            <w:vAlign w:val="bottom"/>
            <w:gridSpan w:val="3"/>
            <w:shd w:val="clear" w:color="auto" w:fill="CCCCCC"/>
          </w:tcPr>
          <w:p>
            <w:pPr>
              <w:jc w:val="right"/>
              <w:ind w:right="1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Net cash used in continuing operations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(5,082)</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Net cash used in discontinued operations</w:t>
            </w:r>
          </w:p>
        </w:tc>
        <w:tc>
          <w:tcPr>
            <w:tcW w:w="980" w:type="dxa"/>
            <w:vAlign w:val="bottom"/>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CCCC"/>
          </w:tcPr>
          <w:p>
            <w:pPr>
              <w:jc w:val="right"/>
              <w:ind w:right="12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108"/>
        </w:trPr>
        <w:tc>
          <w:tcPr>
            <w:tcW w:w="7380" w:type="dxa"/>
            <w:vAlign w:val="bottom"/>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(5,082)</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(23,272)</w:t>
            </w:r>
          </w:p>
        </w:tc>
        <w:tc>
          <w:tcPr>
            <w:tcW w:w="0" w:type="dxa"/>
            <w:vAlign w:val="bottom"/>
          </w:tcPr>
          <w:p>
            <w:pPr>
              <w:spacing w:after="0"/>
              <w:rPr>
                <w:sz w:val="1"/>
                <w:szCs w:val="1"/>
                <w:color w:val="auto"/>
              </w:rPr>
            </w:pPr>
          </w:p>
        </w:tc>
      </w:tr>
      <w:tr>
        <w:trPr>
          <w:trHeight w:val="11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Cash flows used in financing activities and capital transactions</w:t>
            </w: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3"/>
        </w:trPr>
        <w:tc>
          <w:tcPr>
            <w:tcW w:w="73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Payments for purchase of common stock</w:t>
            </w:r>
          </w:p>
        </w:tc>
        <w:tc>
          <w:tcPr>
            <w:tcW w:w="98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(63,979)</w:t>
            </w:r>
          </w:p>
        </w:tc>
        <w:tc>
          <w:tcPr>
            <w:tcW w:w="1100" w:type="dxa"/>
            <w:vAlign w:val="bottom"/>
            <w:gridSpan w:val="3"/>
            <w:shd w:val="clear" w:color="auto" w:fill="CCCCCC"/>
          </w:tcPr>
          <w:p>
            <w:pPr>
              <w:jc w:val="right"/>
              <w:ind w:right="120"/>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Payment of cash dividends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(3,517)</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CCCC"/>
          </w:tcPr>
          <w:p>
            <w:pPr>
              <w:ind w:left="80"/>
              <w:spacing w:after="0"/>
              <w:rPr>
                <w:sz w:val="20"/>
                <w:szCs w:val="20"/>
                <w:color w:val="auto"/>
              </w:rPr>
            </w:pPr>
            <w:r>
              <w:rPr>
                <w:rFonts w:ascii="Arial" w:cs="Arial" w:eastAsia="Arial" w:hAnsi="Arial"/>
                <w:sz w:val="18"/>
                <w:szCs w:val="18"/>
                <w:color w:val="auto"/>
              </w:rPr>
              <w:t>Proceeds from issuance of common and treasury stock</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4,226</w:t>
            </w:r>
          </w:p>
        </w:tc>
        <w:tc>
          <w:tcPr>
            <w:tcW w:w="22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2,121</w:t>
            </w:r>
          </w:p>
        </w:tc>
        <w:tc>
          <w:tcPr>
            <w:tcW w:w="1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 and</w:t>
            </w: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3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capital transactions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(63,270)</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CCCC"/>
          </w:tcPr>
          <w:p>
            <w:pPr>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(42,665)</w:t>
            </w:r>
          </w:p>
        </w:tc>
        <w:tc>
          <w:tcPr>
            <w:tcW w:w="1100" w:type="dxa"/>
            <w:vAlign w:val="bottom"/>
            <w:gridSpan w:val="3"/>
            <w:shd w:val="clear" w:color="auto" w:fill="CCCCCC"/>
          </w:tcPr>
          <w:p>
            <w:pPr>
              <w:jc w:val="right"/>
              <w:ind w:right="12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430"/>
        </w:trPr>
        <w:tc>
          <w:tcPr>
            <w:tcW w:w="7380" w:type="dxa"/>
            <w:vAlign w:val="bottom"/>
            <w:gridSpan w:val="2"/>
          </w:tcPr>
          <w:p>
            <w:pPr>
              <w:spacing w:after="0"/>
              <w:rPr>
                <w:sz w:val="20"/>
                <w:szCs w:val="20"/>
                <w:color w:val="auto"/>
              </w:rPr>
            </w:pPr>
            <w:r>
              <w:rPr>
                <w:rFonts w:ascii="Arial" w:cs="Arial" w:eastAsia="Arial" w:hAnsi="Arial"/>
                <w:sz w:val="18"/>
                <w:szCs w:val="18"/>
                <w:color w:val="auto"/>
              </w:rPr>
              <w:t>Cash and cash equivalents – beginning of period</w:t>
            </w:r>
          </w:p>
        </w:tc>
        <w:tc>
          <w:tcPr>
            <w:tcW w:w="760" w:type="dxa"/>
            <w:vAlign w:val="bottom"/>
          </w:tcPr>
          <w:p>
            <w:pPr>
              <w:jc w:val="right"/>
              <w:spacing w:after="0"/>
              <w:rPr>
                <w:sz w:val="20"/>
                <w:szCs w:val="20"/>
                <w:color w:val="auto"/>
              </w:rPr>
            </w:pPr>
            <w:r>
              <w:rPr>
                <w:rFonts w:ascii="Arial" w:cs="Arial" w:eastAsia="Arial" w:hAnsi="Arial"/>
                <w:sz w:val="18"/>
                <w:szCs w:val="18"/>
                <w:color w:val="auto"/>
              </w:rPr>
              <w:t>99,381</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42,225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380" w:type="dxa"/>
            <w:vAlign w:val="bottom"/>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60" w:type="dxa"/>
            <w:vAlign w:val="bottom"/>
            <w:shd w:val="clear" w:color="auto" w:fill="CCCCCC"/>
          </w:tcPr>
          <w:p>
            <w:pPr>
              <w:spacing w:after="0"/>
              <w:rPr>
                <w:sz w:val="20"/>
                <w:szCs w:val="20"/>
                <w:color w:val="auto"/>
              </w:rPr>
            </w:pPr>
            <w:r>
              <w:rPr>
                <w:rFonts w:ascii="Arial" w:cs="Arial" w:eastAsia="Arial" w:hAnsi="Arial"/>
                <w:sz w:val="18"/>
                <w:szCs w:val="18"/>
                <w:color w:val="auto"/>
              </w:rPr>
              <w:t>Cash and cash equivalents – end of period</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8"/>
              </w:rPr>
              <w:t>$  56,716</w:t>
            </w:r>
          </w:p>
        </w:tc>
        <w:tc>
          <w:tcPr>
            <w:tcW w:w="220" w:type="dxa"/>
            <w:vAlign w:val="bottom"/>
            <w:shd w:val="clear" w:color="auto" w:fill="CCCCCC"/>
          </w:tcPr>
          <w:p>
            <w:pPr>
              <w:spacing w:after="0"/>
              <w:rPr>
                <w:sz w:val="24"/>
                <w:szCs w:val="24"/>
                <w:color w:val="auto"/>
              </w:rPr>
            </w:pPr>
          </w:p>
        </w:tc>
        <w:tc>
          <w:tcPr>
            <w:tcW w:w="9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  39,507</w:t>
            </w:r>
          </w:p>
        </w:tc>
        <w:tc>
          <w:tcPr>
            <w:tcW w:w="1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220" w:right="190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NOTES TO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left="480" w:right="1060"/>
        <w:spacing w:after="0" w:line="283"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accruals, necessary to present fairly the consolidated financial position as of February 28, 2004, the consolidated results of operations for the 13 and 26 weeks ended February 28, 2004 and March 1, 2003 and the consolidated cash flows for the 26 weeks ended February 28, 2004 and March 1, 2003. The statement of income for the</w:t>
      </w:r>
    </w:p>
    <w:p>
      <w:pPr>
        <w:spacing w:after="0" w:line="3" w:lineRule="exact"/>
        <w:rPr>
          <w:sz w:val="20"/>
          <w:szCs w:val="20"/>
          <w:color w:val="auto"/>
        </w:rPr>
      </w:pPr>
    </w:p>
    <w:p>
      <w:pPr>
        <w:ind w:left="480" w:right="980"/>
        <w:spacing w:after="0" w:line="292" w:lineRule="auto"/>
        <w:rPr>
          <w:sz w:val="20"/>
          <w:szCs w:val="20"/>
          <w:color w:val="auto"/>
        </w:rPr>
      </w:pPr>
      <w:r>
        <w:rPr>
          <w:rFonts w:ascii="Arial" w:cs="Arial" w:eastAsia="Arial" w:hAnsi="Arial"/>
          <w:sz w:val="16"/>
          <w:szCs w:val="16"/>
          <w:color w:val="auto"/>
        </w:rPr>
        <w:t>26 weeks ended February 28, 2004, is not necessarily indicative of the results to be expected for the full year. The balance sheet data as of August 30, 2003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30, 2003.</w:t>
      </w:r>
    </w:p>
    <w:p>
      <w:pPr>
        <w:sectPr>
          <w:pgSz w:w="11900" w:h="16838" w:orient="portrait"/>
          <w:cols w:equalWidth="0" w:num="1">
            <w:col w:w="10440"/>
          </w:cols>
          <w:pgMar w:left="240" w:top="131" w:right="1219" w:bottom="0" w:gutter="0" w:footer="0" w:header="0"/>
        </w:sectPr>
      </w:pPr>
    </w:p>
    <w:bookmarkStart w:id="5" w:name="page6"/>
    <w:bookmarkEnd w:id="5"/>
    <w:p>
      <w:pPr>
        <w:spacing w:after="0" w:line="46" w:lineRule="exact"/>
        <w:rPr>
          <w:sz w:val="20"/>
          <w:szCs w:val="20"/>
          <w:color w:val="auto"/>
        </w:rPr>
      </w:pPr>
    </w:p>
    <w:p>
      <w:pPr>
        <w:jc w:val="both"/>
        <w:ind w:left="480" w:right="1040"/>
        <w:spacing w:after="0" w:line="259" w:lineRule="auto"/>
        <w:rPr>
          <w:sz w:val="20"/>
          <w:szCs w:val="20"/>
          <w:color w:val="auto"/>
        </w:rPr>
      </w:pPr>
      <w:r>
        <w:rPr>
          <w:rFonts w:ascii="Arial" w:cs="Arial" w:eastAsia="Arial" w:hAnsi="Arial"/>
          <w:sz w:val="18"/>
          <w:szCs w:val="18"/>
          <w:color w:val="auto"/>
        </w:rPr>
        <w:t>Certain prior year balances have been reclassified to conform to the current year presentation. These reclassifications had no impact on previously reported net income or shareholders’ equity. All share and per share amounts have been restated to give retroactive effect to the stock split.</w:t>
      </w:r>
    </w:p>
    <w:p>
      <w:pPr>
        <w:spacing w:after="0" w:line="229" w:lineRule="exact"/>
        <w:rPr>
          <w:sz w:val="20"/>
          <w:szCs w:val="20"/>
          <w:color w:val="auto"/>
        </w:rPr>
      </w:pPr>
    </w:p>
    <w:p>
      <w:pPr>
        <w:ind w:left="480" w:right="940"/>
        <w:spacing w:after="0" w:line="290" w:lineRule="auto"/>
        <w:rPr>
          <w:sz w:val="20"/>
          <w:szCs w:val="20"/>
          <w:color w:val="auto"/>
        </w:rPr>
      </w:pPr>
      <w:r>
        <w:rPr>
          <w:rFonts w:ascii="Arial" w:cs="Arial" w:eastAsia="Arial" w:hAnsi="Arial"/>
          <w:sz w:val="16"/>
          <w:szCs w:val="16"/>
          <w:b w:val="1"/>
          <w:bCs w:val="1"/>
          <w:color w:val="auto"/>
        </w:rPr>
        <w:t xml:space="preserve">Accounting for Stock-Based Compensation. </w:t>
      </w:r>
      <w:r>
        <w:rPr>
          <w:rFonts w:ascii="Arial" w:cs="Arial" w:eastAsia="Arial" w:hAnsi="Arial"/>
          <w:sz w:val="16"/>
          <w:szCs w:val="16"/>
          <w:color w:val="auto"/>
        </w:rPr>
        <w:t>The Company adopted SFAS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Stock-Based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in fiscal 1997. The Company has elected to continue following the accounting guidance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and 26 weeks ended February 28, 2004 and March 1, 2003 would have been changed to the proforma amounts indicated as follows:</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5"/>
              </w:rPr>
              <w:t>Thirteen Weeks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1"/>
              </w:rPr>
              <w:t>Twenty-Six Weeks Ended</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February 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March 1,</w:t>
            </w:r>
          </w:p>
        </w:tc>
        <w:tc>
          <w:tcPr>
            <w:tcW w:w="120" w:type="dxa"/>
            <w:vAlign w:val="bottom"/>
          </w:tcPr>
          <w:p>
            <w:pPr>
              <w:spacing w:after="0"/>
              <w:rPr>
                <w:sz w:val="20"/>
                <w:szCs w:val="20"/>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March 1,</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20" w:type="dxa"/>
            <w:vAlign w:val="bottom"/>
            <w:vMerge w:val="restart"/>
          </w:tcPr>
          <w:p>
            <w:pPr>
              <w:spacing w:after="0"/>
              <w:rPr>
                <w:sz w:val="20"/>
                <w:szCs w:val="20"/>
                <w:color w:val="auto"/>
              </w:rPr>
            </w:pPr>
            <w:r>
              <w:rPr>
                <w:rFonts w:ascii="Arial" w:cs="Arial" w:eastAsia="Arial" w:hAnsi="Arial"/>
                <w:sz w:val="14"/>
                <w:szCs w:val="14"/>
                <w:color w:val="auto"/>
              </w:rPr>
              <w:t>In thousands, except per-share amounts</w:t>
            </w: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Net income – as reported</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28,587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tcPr>
          <w:p>
            <w:pPr>
              <w:ind w:left="100"/>
              <w:spacing w:after="0"/>
              <w:rPr>
                <w:sz w:val="20"/>
                <w:szCs w:val="20"/>
                <w:color w:val="auto"/>
              </w:rPr>
            </w:pPr>
            <w:r>
              <w:rPr>
                <w:rFonts w:ascii="Arial" w:cs="Arial" w:eastAsia="Arial" w:hAnsi="Arial"/>
                <w:sz w:val="18"/>
                <w:szCs w:val="18"/>
                <w:color w:val="auto"/>
              </w:rPr>
              <w:t>Net income – proforma</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15,072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11,751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Basic – as reported</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tcPr>
          <w:p>
            <w:pPr>
              <w:ind w:left="100"/>
              <w:spacing w:after="0"/>
              <w:rPr>
                <w:sz w:val="20"/>
                <w:szCs w:val="20"/>
                <w:color w:val="auto"/>
              </w:rPr>
            </w:pPr>
            <w:r>
              <w:rPr>
                <w:rFonts w:ascii="Arial" w:cs="Arial" w:eastAsia="Arial" w:hAnsi="Arial"/>
                <w:sz w:val="18"/>
                <w:szCs w:val="18"/>
                <w:color w:val="auto"/>
              </w:rPr>
              <w:t>Basic – proforma</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020" w:type="dxa"/>
            <w:vAlign w:val="bottom"/>
          </w:tcPr>
          <w:p>
            <w:pPr>
              <w:ind w:left="100"/>
              <w:spacing w:after="0"/>
              <w:rPr>
                <w:sz w:val="20"/>
                <w:szCs w:val="20"/>
                <w:color w:val="auto"/>
              </w:rPr>
            </w:pPr>
            <w:r>
              <w:rPr>
                <w:rFonts w:ascii="Arial" w:cs="Arial" w:eastAsia="Arial" w:hAnsi="Arial"/>
                <w:sz w:val="18"/>
                <w:szCs w:val="18"/>
                <w:color w:val="auto"/>
              </w:rPr>
              <w:t>Diluted – as reported</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Less estimated stock-based employee compensation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00"/>
              <w:spacing w:after="0"/>
              <w:rPr>
                <w:sz w:val="20"/>
                <w:szCs w:val="20"/>
                <w:color w:val="auto"/>
              </w:rPr>
            </w:pPr>
            <w:r>
              <w:rPr>
                <w:rFonts w:ascii="Arial" w:cs="Arial" w:eastAsia="Arial" w:hAnsi="Arial"/>
                <w:sz w:val="18"/>
                <w:szCs w:val="18"/>
                <w:color w:val="auto"/>
              </w:rPr>
              <w:t>determined under fair value based method</w:t>
            </w:r>
          </w:p>
        </w:tc>
        <w:tc>
          <w:tcPr>
            <w:tcW w:w="20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tcPr>
          <w:p>
            <w:pPr>
              <w:ind w:left="100"/>
              <w:spacing w:after="0"/>
              <w:rPr>
                <w:sz w:val="20"/>
                <w:szCs w:val="20"/>
                <w:color w:val="auto"/>
              </w:rPr>
            </w:pPr>
            <w:r>
              <w:rPr>
                <w:rFonts w:ascii="Arial" w:cs="Arial" w:eastAsia="Arial" w:hAnsi="Arial"/>
                <w:sz w:val="18"/>
                <w:szCs w:val="18"/>
                <w:color w:val="auto"/>
              </w:rPr>
              <w:t>Diluted – proforma</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37,550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34,613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20" w:type="dxa"/>
            <w:vAlign w:val="bottom"/>
          </w:tcPr>
          <w:p>
            <w:pPr>
              <w:ind w:left="1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34,545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38,224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-2981325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-2981325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-2981325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-2981325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-2981325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-2981325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-2981325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-2981325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-1858010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-1858010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-1858010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-1858010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-1858010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-1858010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-1858010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-1858010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-871855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-871855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-871855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-871855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-871855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-871855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-871855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-871855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-306070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-306070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-306070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-306070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-306070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-306070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-306070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-306070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80" w:right="1140"/>
        <w:spacing w:after="0" w:line="268" w:lineRule="auto"/>
        <w:rPr>
          <w:sz w:val="20"/>
          <w:szCs w:val="20"/>
          <w:color w:val="auto"/>
        </w:rPr>
      </w:pPr>
      <w:r>
        <w:rPr>
          <w:rFonts w:ascii="Arial" w:cs="Arial" w:eastAsia="Arial" w:hAnsi="Arial"/>
          <w:sz w:val="18"/>
          <w:szCs w:val="18"/>
          <w:color w:val="auto"/>
        </w:rPr>
        <w:t>The Company estimated the fair values using the Black-Scholes option-pricing model, modified for dividends and using the following assumptions:</w:t>
      </w:r>
    </w:p>
    <w:p>
      <w:pPr>
        <w:spacing w:after="0" w:line="209"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2004</w:t>
            </w:r>
          </w:p>
        </w:tc>
        <w:tc>
          <w:tcPr>
            <w:tcW w:w="226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2003</w:t>
            </w:r>
          </w:p>
        </w:tc>
      </w:tr>
      <w:tr>
        <w:trPr>
          <w:trHeight w:val="95"/>
        </w:trPr>
        <w:tc>
          <w:tcPr>
            <w:tcW w:w="36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color w:val="auto"/>
              </w:rPr>
              <w:t>Risk-free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2.60 – 2.81%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2.99%</w:t>
            </w: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.72 – .73%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40" w:type="dxa"/>
            <w:vAlign w:val="bottom"/>
          </w:tcPr>
          <w:p>
            <w:pPr>
              <w:jc w:val="right"/>
              <w:spacing w:after="0"/>
              <w:rPr>
                <w:sz w:val="20"/>
                <w:szCs w:val="20"/>
                <w:color w:val="auto"/>
              </w:rPr>
            </w:pPr>
            <w:r>
              <w:rPr>
                <w:rFonts w:ascii="Arial" w:cs="Arial" w:eastAsia="Arial" w:hAnsi="Arial"/>
                <w:sz w:val="18"/>
                <w:szCs w:val="18"/>
                <w:color w:val="auto"/>
                <w:w w:val="93"/>
              </w:rPr>
              <w:t>48.19 – 48.54%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49.25%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Expected option term</w:t>
            </w:r>
          </w:p>
        </w:tc>
        <w:tc>
          <w:tcPr>
            <w:tcW w:w="1240" w:type="dxa"/>
            <w:vAlign w:val="bottom"/>
          </w:tcPr>
          <w:p>
            <w:pPr>
              <w:jc w:val="right"/>
              <w:spacing w:after="0"/>
              <w:rPr>
                <w:sz w:val="20"/>
                <w:szCs w:val="20"/>
                <w:color w:val="auto"/>
              </w:rPr>
            </w:pPr>
            <w:r>
              <w:rPr>
                <w:rFonts w:ascii="Arial" w:cs="Arial" w:eastAsia="Arial" w:hAnsi="Arial"/>
                <w:sz w:val="18"/>
                <w:szCs w:val="18"/>
                <w:color w:val="auto"/>
              </w:rPr>
              <w:t>4 years</w:t>
            </w:r>
          </w:p>
        </w:tc>
        <w:tc>
          <w:tcPr>
            <w:tcW w:w="1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years</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Fair value per option</w:t>
            </w:r>
          </w:p>
        </w:tc>
        <w:tc>
          <w:tcPr>
            <w:tcW w:w="1240" w:type="dxa"/>
            <w:vAlign w:val="bottom"/>
          </w:tcPr>
          <w:p>
            <w:pPr>
              <w:jc w:val="right"/>
              <w:ind w:right="176"/>
              <w:spacing w:after="0"/>
              <w:rPr>
                <w:sz w:val="20"/>
                <w:szCs w:val="20"/>
                <w:color w:val="auto"/>
              </w:rPr>
            </w:pPr>
            <w:r>
              <w:rPr>
                <w:rFonts w:ascii="Arial" w:cs="Arial" w:eastAsia="Arial" w:hAnsi="Arial"/>
                <w:sz w:val="18"/>
                <w:szCs w:val="18"/>
                <w:color w:val="auto"/>
              </w:rPr>
              <w:t>$ 10.04</w:t>
            </w:r>
          </w:p>
        </w:tc>
        <w:tc>
          <w:tcPr>
            <w:tcW w:w="2260" w:type="dxa"/>
            <w:vAlign w:val="bottom"/>
            <w:gridSpan w:val="2"/>
          </w:tcPr>
          <w:p>
            <w:pPr>
              <w:jc w:val="right"/>
              <w:ind w:right="152"/>
              <w:spacing w:after="0"/>
              <w:rPr>
                <w:sz w:val="20"/>
                <w:szCs w:val="20"/>
                <w:color w:val="auto"/>
              </w:rPr>
            </w:pPr>
            <w:r>
              <w:rPr>
                <w:rFonts w:ascii="Arial" w:cs="Arial" w:eastAsia="Arial" w:hAnsi="Arial"/>
                <w:sz w:val="18"/>
                <w:szCs w:val="18"/>
                <w:color w:val="auto"/>
              </w:rPr>
              <w:t>$ 7.11</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31" w:lineRule="exact"/>
        <w:rPr>
          <w:sz w:val="20"/>
          <w:szCs w:val="20"/>
          <w:color w:val="auto"/>
        </w:rPr>
      </w:pPr>
    </w:p>
    <w:p>
      <w:pPr>
        <w:ind w:left="480" w:right="900"/>
        <w:spacing w:after="0" w:line="255" w:lineRule="auto"/>
        <w:rPr>
          <w:sz w:val="20"/>
          <w:szCs w:val="20"/>
          <w:color w:val="auto"/>
        </w:rPr>
      </w:pPr>
      <w:r>
        <w:rPr>
          <w:rFonts w:ascii="Arial" w:cs="Arial" w:eastAsia="Arial" w:hAnsi="Arial"/>
          <w:sz w:val="18"/>
          <w:szCs w:val="18"/>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dealer financing operations of WAC. Therefore, WAC’s operations were accounted for as discontinued operations in the accompanying consolidated financial statements.</w:t>
      </w:r>
    </w:p>
    <w:p>
      <w:pPr>
        <w:sectPr>
          <w:pgSz w:w="11900" w:h="16884" w:orient="portrait"/>
          <w:cols w:equalWidth="0" w:num="1">
            <w:col w:w="10320"/>
          </w:cols>
          <w:pgMar w:left="240" w:top="131" w:right="1339" w:bottom="0" w:gutter="0" w:footer="0" w:header="0"/>
        </w:sectPr>
      </w:pPr>
    </w:p>
    <w:p>
      <w:pPr>
        <w:spacing w:after="0" w:line="207" w:lineRule="exact"/>
        <w:rPr>
          <w:sz w:val="20"/>
          <w:szCs w:val="20"/>
          <w:color w:val="auto"/>
        </w:rPr>
      </w:pPr>
    </w:p>
    <w:tbl>
      <w:tblPr>
        <w:tblLayout w:type="fixed"/>
        <w:tblInd w:w="748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Thirteen</w:t>
            </w:r>
          </w:p>
        </w:tc>
        <w:tc>
          <w:tcPr>
            <w:tcW w:w="3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Twenty-Six</w:t>
            </w:r>
          </w:p>
        </w:tc>
      </w:t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Weeks Ended</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Weeks Ended</w:t>
            </w:r>
          </w:p>
        </w:tc>
      </w:tr>
      <w:tr>
        <w:trPr>
          <w:trHeight w:val="95"/>
        </w:trPr>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84" w:orient="portrait"/>
          <w:cols w:equalWidth="0" w:num="1">
            <w:col w:w="10320"/>
          </w:cols>
          <w:pgMar w:left="240" w:top="131" w:right="1339" w:bottom="0" w:gutter="0" w:footer="0" w:header="0"/>
          <w:type w:val="continuous"/>
        </w:sectPr>
      </w:pPr>
    </w:p>
    <w:bookmarkStart w:id="6" w:name="page7"/>
    <w:bookmarkEnd w:id="6"/>
    <w:p>
      <w:pPr>
        <w:spacing w:after="0" w:line="7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Arial" w:cs="Arial" w:eastAsia="Arial" w:hAnsi="Arial"/>
                <w:sz w:val="14"/>
                <w:szCs w:val="14"/>
                <w:color w:val="auto"/>
              </w:rPr>
              <w:t>In thousands, except per-share amounts</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March 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1,</w:t>
            </w: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20" w:type="dxa"/>
            <w:vAlign w:val="bottom"/>
            <w:vMerge w:val="restart"/>
          </w:tcPr>
          <w:p>
            <w:pPr>
              <w:spacing w:after="0"/>
              <w:rPr>
                <w:sz w:val="20"/>
                <w:szCs w:val="20"/>
                <w:color w:val="auto"/>
              </w:rPr>
            </w:pPr>
            <w:r>
              <w:rPr>
                <w:rFonts w:ascii="Arial" w:cs="Arial" w:eastAsia="Arial" w:hAnsi="Arial"/>
                <w:sz w:val="18"/>
                <w:szCs w:val="18"/>
                <w:color w:val="auto"/>
              </w:rPr>
              <w:t>Winnebago Acceptance Corporation</w:t>
            </w: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Net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82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Income per share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38,224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38,226</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-1574800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-1574800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-1574800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-1574800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-306070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-306070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-306070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-306070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31" w:lineRule="exact"/>
        <w:rPr>
          <w:sz w:val="20"/>
          <w:szCs w:val="20"/>
          <w:color w:val="auto"/>
        </w:rPr>
      </w:pPr>
    </w:p>
    <w:p>
      <w:pPr>
        <w:ind w:left="480" w:right="799"/>
        <w:spacing w:after="0" w:line="289" w:lineRule="auto"/>
        <w:rPr>
          <w:sz w:val="20"/>
          <w:szCs w:val="20"/>
          <w:color w:val="auto"/>
        </w:rPr>
      </w:pPr>
      <w:r>
        <w:rPr>
          <w:rFonts w:ascii="Arial" w:cs="Arial" w:eastAsia="Arial" w:hAnsi="Arial"/>
          <w:sz w:val="16"/>
          <w:szCs w:val="16"/>
          <w:color w:val="auto"/>
        </w:rPr>
        <w:t>In January 2003, the Financial Accounting Standards Board (FASB) issued FASB Interpretation No. 46 (“FIN 46”) “Consolidation of Variable Interest Entities,” which addresses the reporting and consolidation of variable interest entities as they relate to a business enterprise. This interpretation incorporates and supercedes the guidance set forth in Accounting Research Bulletin (ARB) No. 51, “Consolidated Financial Statements.” It requires the consolidation of variable interest entities into the financial statements of a business enterprise if that enterprise holds a controlling interest via other means than the traditional voting majority. The FASB has amended FIN 46, now known as FIN 46 Revised December 2003 (FIN 46R). The requirements of FIN 46R are effective for the first reporting period ending after March 15, 2004. The Company does not believe adoption of this standard will significantly affect the Company’s financial condition or operating results.</w:t>
      </w:r>
    </w:p>
    <w:p>
      <w:pPr>
        <w:spacing w:after="0" w:line="199" w:lineRule="exact"/>
        <w:rPr>
          <w:sz w:val="20"/>
          <w:szCs w:val="20"/>
          <w:color w:val="auto"/>
        </w:rPr>
      </w:pPr>
    </w:p>
    <w:p>
      <w:pPr>
        <w:ind w:left="480" w:right="919"/>
        <w:spacing w:after="0" w:line="291" w:lineRule="auto"/>
        <w:rPr>
          <w:sz w:val="20"/>
          <w:szCs w:val="20"/>
          <w:color w:val="auto"/>
        </w:rPr>
      </w:pPr>
      <w:r>
        <w:rPr>
          <w:rFonts w:ascii="Arial" w:cs="Arial" w:eastAsia="Arial" w:hAnsi="Arial"/>
          <w:sz w:val="16"/>
          <w:szCs w:val="16"/>
          <w:color w:val="auto"/>
        </w:rPr>
        <w:t>In January 2004, the FASB issued FASB Staff Position No. FAS 106-1, “Accounting and Disclosure Requirements Related to the Medicare Prescription Drug, Improvement and Modernization Act of 2003” (Act). The Act introduced a prescription drug benefit and federal subsidy to sponsors of retiree health care benefit plans. FASB Staff Position No. FAS 106-1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80" w:right="779"/>
        <w:spacing w:after="0" w:line="289" w:lineRule="auto"/>
        <w:rPr>
          <w:sz w:val="20"/>
          <w:szCs w:val="20"/>
          <w:color w:val="auto"/>
        </w:rPr>
      </w:pPr>
      <w:r>
        <w:rPr>
          <w:rFonts w:ascii="Arial" w:cs="Arial" w:eastAsia="Arial" w:hAnsi="Arial"/>
          <w:sz w:val="16"/>
          <w:szCs w:val="16"/>
          <w:color w:val="auto"/>
        </w:rPr>
        <w:t>“Employers’ Accounting for Postretirement Benefits Other Than Pension,” requires enacted changes in relevant laws to be considered in current period measurements of postretirement benefit costs and accumulated postretirement benefit obligation. The Company provides prescription drug benefits to certain eligible retirees and has elected the one-time deferral of accounting for the effects of the Act. These unaudited condensed consolidated financial statements and accompanying notes do not reflect the effects of the Act on the postretirement benefit plan. The Company intends to analyze the Act, along with the authoritative guidance, when issued, to determine if its benefit plan needs to be amended and how to record the effects of the Act. Specific guidance on the accounting for the federal subsidy provided by the Act is pending and that guidance, when issued, could require the Company to change previously reported postretirement benefit information.</w:t>
      </w:r>
    </w:p>
    <w:p>
      <w:pPr>
        <w:spacing w:after="0" w:line="199" w:lineRule="exact"/>
        <w:rPr>
          <w:sz w:val="20"/>
          <w:szCs w:val="20"/>
          <w:color w:val="auto"/>
        </w:rPr>
      </w:pPr>
    </w:p>
    <w:p>
      <w:pPr>
        <w:ind w:left="480" w:right="879"/>
        <w:spacing w:after="0" w:line="289" w:lineRule="auto"/>
        <w:rPr>
          <w:sz w:val="20"/>
          <w:szCs w:val="20"/>
          <w:color w:val="auto"/>
        </w:rPr>
      </w:pPr>
      <w:r>
        <w:rPr>
          <w:rFonts w:ascii="Arial" w:cs="Arial" w:eastAsia="Arial" w:hAnsi="Arial"/>
          <w:sz w:val="16"/>
          <w:szCs w:val="16"/>
          <w:color w:val="auto"/>
        </w:rPr>
        <w:t>The FASB issued Financial Accounting Standards No. 132 Revised (FAS 132R), “Employers’ Disclosure About Pensions and Other Postretirement Benefits.” A revision of the pronouncement originally issued in 1998, FAS 132R expands employers’ disclosure requirements for pension and postretirement benefits to enhance information about plan assets, obligations, benefit payments, contributions and net benefit cost. FAS 132R does not change the accounting requirements for pensions and other postretirement benefits. This statement is effective for fiscal years ending after December 15, 2003, with interim-period disclosure requirements effective for interim periods beginning after December 15, 2003. Accordingly, the Company will implement FAS 132R beginning with its third quarter of fiscal 2004. The Company is currently evaluating the effect of this pronouncement on its financial statement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31" w:lineRule="exact"/>
        <w:rPr>
          <w:sz w:val="20"/>
          <w:szCs w:val="20"/>
          <w:color w:val="auto"/>
        </w:rPr>
      </w:pPr>
    </w:p>
    <w:p>
      <w:pPr>
        <w:ind w:left="480" w:right="819"/>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 consist of the following (dollars in thousands):</w:t>
      </w:r>
    </w:p>
    <w:p>
      <w:pPr>
        <w:sectPr>
          <w:pgSz w:w="11900" w:h="16910" w:orient="portrait"/>
          <w:cols w:equalWidth="0" w:num="1">
            <w:col w:w="10219"/>
          </w:cols>
          <w:pgMar w:left="240" w:top="195" w:right="1440" w:bottom="0" w:gutter="0" w:footer="0" w:header="0"/>
        </w:sectPr>
      </w:pPr>
    </w:p>
    <w:p>
      <w:pPr>
        <w:spacing w:after="0" w:line="248" w:lineRule="exact"/>
        <w:rPr>
          <w:sz w:val="20"/>
          <w:szCs w:val="20"/>
          <w:color w:val="auto"/>
        </w:rPr>
      </w:pPr>
    </w:p>
    <w:p>
      <w:pPr>
        <w:ind w:left="6080"/>
        <w:spacing w:after="0"/>
        <w:tabs>
          <w:tab w:leader="none" w:pos="7540" w:val="left"/>
        </w:tabs>
        <w:rPr>
          <w:sz w:val="20"/>
          <w:szCs w:val="20"/>
          <w:color w:val="auto"/>
        </w:rPr>
      </w:pPr>
      <w:r>
        <w:rPr>
          <w:rFonts w:ascii="Arial" w:cs="Arial" w:eastAsia="Arial" w:hAnsi="Arial"/>
          <w:sz w:val="14"/>
          <w:szCs w:val="14"/>
          <w:b w:val="1"/>
          <w:bCs w:val="1"/>
          <w:color w:val="auto"/>
        </w:rPr>
        <w:t>February 28,</w:t>
      </w:r>
      <w:r>
        <w:rPr>
          <w:sz w:val="20"/>
          <w:szCs w:val="20"/>
          <w:color w:val="auto"/>
        </w:rPr>
        <w:tab/>
      </w:r>
      <w:r>
        <w:rPr>
          <w:rFonts w:ascii="Arial" w:cs="Arial" w:eastAsia="Arial" w:hAnsi="Arial"/>
          <w:sz w:val="11"/>
          <w:szCs w:val="11"/>
          <w:b w:val="1"/>
          <w:bCs w:val="1"/>
          <w:color w:val="auto"/>
        </w:rPr>
        <w:t>August 30,</w:t>
      </w:r>
    </w:p>
    <w:p>
      <w:pPr>
        <w:spacing w:after="0" w:line="1" w:lineRule="exact"/>
        <w:rPr>
          <w:sz w:val="20"/>
          <w:szCs w:val="20"/>
          <w:color w:val="auto"/>
        </w:rPr>
      </w:pPr>
    </w:p>
    <w:p>
      <w:pPr>
        <w:ind w:left="6320"/>
        <w:spacing w:after="0"/>
        <w:tabs>
          <w:tab w:leader="none" w:pos="770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ectPr>
          <w:pgSz w:w="11900" w:h="16910" w:orient="portrait"/>
          <w:cols w:equalWidth="0" w:num="1">
            <w:col w:w="10219"/>
          </w:cols>
          <w:pgMar w:left="240" w:top="195" w:right="1440" w:bottom="0" w:gutter="0" w:footer="0" w:header="0"/>
          <w:type w:val="continuous"/>
        </w:sectPr>
      </w:pPr>
    </w:p>
    <w:bookmarkStart w:id="7" w:name="page8"/>
    <w:bookmarkEnd w:id="7"/>
    <w:tbl>
      <w:tblPr>
        <w:tblLayout w:type="fixed"/>
        <w:tblInd w:w="30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55,250</w:t>
            </w:r>
          </w:p>
        </w:tc>
        <w:tc>
          <w:tcPr>
            <w:tcW w:w="5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36,140</w:t>
            </w:r>
          </w:p>
        </w:tc>
        <w:tc>
          <w:tcPr>
            <w:tcW w:w="6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41,990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47,098</w:t>
            </w:r>
          </w:p>
        </w:tc>
        <w:tc>
          <w:tcPr>
            <w:tcW w:w="60" w:type="dxa"/>
            <w:vAlign w:val="bottom"/>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66,352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56,382</w:t>
            </w:r>
          </w:p>
        </w:tc>
        <w:tc>
          <w:tcPr>
            <w:tcW w:w="60" w:type="dxa"/>
            <w:vAlign w:val="bottom"/>
          </w:tcPr>
          <w:p>
            <w:pPr>
              <w:spacing w:after="0"/>
              <w:rPr>
                <w:sz w:val="19"/>
                <w:szCs w:val="19"/>
                <w:color w:val="auto"/>
              </w:rPr>
            </w:pPr>
          </w:p>
        </w:tc>
      </w:tr>
      <w:tr>
        <w:trPr>
          <w:trHeight w:val="110"/>
        </w:trPr>
        <w:tc>
          <w:tcPr>
            <w:tcW w:w="3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163,592</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139,620</w:t>
            </w:r>
          </w:p>
        </w:tc>
        <w:tc>
          <w:tcPr>
            <w:tcW w:w="60" w:type="dxa"/>
            <w:vAlign w:val="bottom"/>
          </w:tcPr>
          <w:p>
            <w:pPr>
              <w:spacing w:after="0"/>
              <w:rPr>
                <w:sz w:val="24"/>
                <w:szCs w:val="24"/>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(26,209)</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(25,338)</w:t>
            </w:r>
          </w:p>
        </w:tc>
      </w:tr>
      <w:tr>
        <w:trPr>
          <w:trHeight w:val="110"/>
        </w:trPr>
        <w:tc>
          <w:tcPr>
            <w:tcW w:w="3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30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137,383</w:t>
            </w:r>
          </w:p>
        </w:tc>
        <w:tc>
          <w:tcPr>
            <w:tcW w:w="54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114,282</w:t>
            </w:r>
          </w:p>
        </w:tc>
        <w:tc>
          <w:tcPr>
            <w:tcW w:w="60" w:type="dxa"/>
            <w:vAlign w:val="bottom"/>
          </w:tcPr>
          <w:p>
            <w:pPr>
              <w:spacing w:after="0"/>
              <w:rPr>
                <w:sz w:val="24"/>
                <w:szCs w:val="24"/>
                <w:color w:val="auto"/>
              </w:rPr>
            </w:pPr>
          </w:p>
        </w:tc>
      </w:tr>
      <w:tr>
        <w:trPr>
          <w:trHeight w:val="120"/>
        </w:trPr>
        <w:tc>
          <w:tcPr>
            <w:tcW w:w="30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3990975</wp:posOffset>
            </wp:positionH>
            <wp:positionV relativeFrom="page">
              <wp:posOffset>88900</wp:posOffset>
            </wp:positionV>
            <wp:extent cx="14490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Warranties</w:t>
      </w:r>
    </w:p>
    <w:p>
      <w:pPr>
        <w:spacing w:after="0" w:line="231" w:lineRule="exact"/>
        <w:rPr>
          <w:sz w:val="20"/>
          <w:szCs w:val="20"/>
          <w:color w:val="auto"/>
        </w:rPr>
      </w:pPr>
    </w:p>
    <w:p>
      <w:pPr>
        <w:ind w:left="480" w:right="1880"/>
        <w:spacing w:after="0" w:line="306" w:lineRule="auto"/>
        <w:rPr>
          <w:sz w:val="20"/>
          <w:szCs w:val="20"/>
          <w:color w:val="auto"/>
        </w:rPr>
      </w:pPr>
      <w:r>
        <w:rPr>
          <w:rFonts w:ascii="Arial" w:cs="Arial" w:eastAsia="Arial" w:hAnsi="Arial"/>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26 weeks ended February 28, 2004 and March 1, 2003 are as follows (dollars in thousands):</w:t>
      </w:r>
    </w:p>
    <w:p>
      <w:pPr>
        <w:spacing w:after="0" w:line="171" w:lineRule="exact"/>
        <w:rPr>
          <w:sz w:val="20"/>
          <w:szCs w:val="20"/>
          <w:color w:val="auto"/>
        </w:rPr>
      </w:pPr>
    </w:p>
    <w:tbl>
      <w:tblPr>
        <w:tblLayout w:type="fixed"/>
        <w:tblInd w:w="30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February 28,</w:t>
            </w:r>
          </w:p>
        </w:tc>
        <w:tc>
          <w:tcPr>
            <w:tcW w:w="12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March 1,</w:t>
            </w:r>
          </w:p>
        </w:tc>
      </w:tr>
      <w:tr>
        <w:trPr>
          <w:trHeight w:val="174"/>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32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9,755</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Claims paid</w:t>
            </w:r>
          </w:p>
        </w:tc>
        <w:tc>
          <w:tcPr>
            <w:tcW w:w="180" w:type="dxa"/>
            <w:vAlign w:val="bottom"/>
          </w:tcPr>
          <w:p>
            <w:pPr>
              <w:spacing w:after="0"/>
              <w:rPr>
                <w:sz w:val="19"/>
                <w:szCs w:val="19"/>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(5,504)</w:t>
            </w:r>
          </w:p>
        </w:tc>
      </w:tr>
      <w:tr>
        <w:trPr>
          <w:trHeight w:val="110"/>
        </w:trPr>
        <w:tc>
          <w:tcPr>
            <w:tcW w:w="3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32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11,890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9,370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3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Contingent Liabilities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$358,361,000 and $245,701,000 at February 28, 2004 and August 30, 2003, respectively. The Company did not incur any losses under these repurchase agreements during the 26 weeks ended February 28, 2004.</w:t>
      </w:r>
    </w:p>
    <w:p>
      <w:pPr>
        <w:spacing w:after="0" w:line="17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Included in these contingent liabilities are certain dealer receivables subject to full recourse to the Company with Bank of America Specialty Group. Contingent liabilities under these recourse agreements were $-0- and $898,000 at February 28, 2004 and August 30, 2003, respectively. The Company’s actual losses under these recourse agreements were approximately $40,000 and $-0- during the 26 weeks ended February 28, 2004 and March 1, 2003, respectively.</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 under this agreement was approximately $1,839,000 and $2,366,000 at February 28, 2004 and August 30, 2003, respectively. The Company did not incur any actual losses under this repurchase agreement during the 26 weeks ended February 28, 2004.</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records repurchase and recourse reserves based on prior experience and known current events. The combined repurchase and recourse reserve balances are approximately $319,000 and $241,000 as of February 28, 2004 and August 30, 2003,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During the second quarter of fiscal 2002, the Company entered into a five year services agreement (the “Agreement”) with one of its suppliers (the “Supplier”) and the Forest City Economic Development, Inc. (the “FCED”), requiring the Supplier to provide RV paint services to the Company. Two of Winnebago’s officers have board seats on the 20 member FCED board. The FCED constructed and debt financed a paint facility on its land adjoining one of the Company’s manufacturing plants for the Supplier and the Supplier leases the land and facility from the FCED under a lease that expires in August 2012. In the event of termination of the Agreement by any of the parties involved before September 1, 2007, the rights and obligations of the Supplier’s lease would be transferred to the Company. As of February 28, 2004, the Supplier is current with its lease obligations to the FCED with approximately $3,932,000 remaining to be paid through August 2012. Also, under the terms of the Agreement, the Company would be obligated to purchase from the Supplier approximately $750,000 of equipment installed in the paint facility at net book value and is obligated to assume payment obligations for approximately $45,000 in capital equipment leases.</w:t>
      </w:r>
    </w:p>
    <w:p>
      <w:pPr>
        <w:sectPr>
          <w:pgSz w:w="11900" w:h="16838" w:orient="portrait"/>
          <w:cols w:equalWidth="0" w:num="1">
            <w:col w:w="11280"/>
          </w:cols>
          <w:pgMar w:left="240" w:top="266" w:right="379" w:bottom="0" w:gutter="0" w:footer="0" w:header="0"/>
        </w:sectPr>
      </w:pPr>
    </w:p>
    <w:bookmarkStart w:id="8" w:name="page9"/>
    <w:bookmarkEnd w:id="8"/>
    <w:p>
      <w:pPr>
        <w:spacing w:after="0" w:line="332" w:lineRule="auto"/>
        <w:rPr>
          <w:sz w:val="20"/>
          <w:szCs w:val="20"/>
          <w:color w:val="auto"/>
        </w:rPr>
      </w:pPr>
      <w:r>
        <w:rPr>
          <w:rFonts w:ascii="Arial" w:cs="Arial" w:eastAsia="Arial" w:hAnsi="Arial"/>
          <w:sz w:val="16"/>
          <w:szCs w:val="16"/>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guarantee was reduced from $700,000 to $500,000 with the Company continuing to agree to pledge a $500,000 certificate of deposit to the bank. The term of the guarantee coincides with the payment of the first $500,000 of lease obligations of the Supplier scheduled to be paid by February of 2006. As a result of the new guarantee, the Company has recorded a $500,000 liability which will be amortized as the FCED makes its monthly debt payments funded by monthly lease payments from the Supplier.</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second quarter of fiscal 2004, the Company entered into a five-year limited guaranty agreement (“Guarantee Agreement”) with a leasing corporation (“Landlord”) and one of its suppliers (the “Supplier”). The Landlord will construct a paint facility through debt financing on land adjoining one of the Company’s manufacturing plants for the Supplier. The Landlord and the Supplier have signed a ten-year lease agreement that is to commence when the paint facility is completed, which is currently expected to be approximately $2,200,000. The Guarantee Agreement states that the Company will guarantee interest only payments due from the Supplier during the construction phase of the paint facility (first payment due April 1, 2004) and the first 60 monthly lease payments (totaling approximately $1,559,000) once the lease commences. As of February 28, 2004, no liability has been recorded in relation to this guarantee as the Landlord did not secure financing for construction of the paint facility until March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Item 3 (Legal Proceedings) in the Company’s Annual Report on Form 10-K for the year ended August 30, 2003 for a description of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litigation entitled </w:t>
      </w:r>
      <w:r>
        <w:rPr>
          <w:rFonts w:ascii="Arial" w:cs="Arial" w:eastAsia="Arial" w:hAnsi="Arial"/>
          <w:sz w:val="16"/>
          <w:szCs w:val="16"/>
          <w:u w:val="single" w:color="auto"/>
          <w:color w:val="auto"/>
        </w:rPr>
        <w:t>Sanft, et al vs. Winnebago Industries, Inc., et al</w:t>
      </w:r>
      <w:r>
        <w:rPr>
          <w:rFonts w:ascii="Arial" w:cs="Arial" w:eastAsia="Arial" w:hAnsi="Arial"/>
          <w:sz w:val="16"/>
          <w:szCs w:val="16"/>
          <w:color w:val="auto"/>
        </w:rPr>
        <w:t>, which is incorporated herein by this reference. Oral arguments on certain motions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with this case are scheduled to be held on April 23, 2004. In the event that such motions do not dispose of the case, trial is scheduled to commence June 21, 2004.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believe that it has meritorious defenses to the Plaintiffs’ substantive claims including the statue of limitations defense.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2004, the Company had accrued estimated legal fees for the defense of this case. However, no other amounts have been accrued for the case because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it is not possible at this time to properly assess the risk of an adverse verdict or the magnitude of possible exposure.</w:t>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Reference is made to Legal Proceedings contained in Part 2, Item 1 of this Quarterly Report on Form 10-Q for a description of other legal proceedings in which the Company is involved.</w:t>
      </w:r>
    </w:p>
    <w:p>
      <w:pPr>
        <w:spacing w:after="0" w:line="18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Company is not otherwise subject to any pending or threatened litigation other than routine litigation arising in the ordinary course of our business operations, none of which is expected to have a material adverse effect on our financial condition,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Supplemental Cash Flow Disclosure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w w:val="99"/>
              </w:rPr>
              <w:t>Twenty-Six Weeks Ended</w:t>
            </w:r>
          </w:p>
        </w:tc>
      </w:tr>
      <w:tr>
        <w:trPr>
          <w:trHeight w:val="95"/>
        </w:trPr>
        <w:tc>
          <w:tcPr>
            <w:tcW w:w="276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37"/>
        </w:trPr>
        <w:tc>
          <w:tcPr>
            <w:tcW w:w="2760" w:type="dxa"/>
            <w:vAlign w:val="bottom"/>
          </w:tcPr>
          <w:p>
            <w:pPr>
              <w:spacing w:after="0"/>
              <w:rPr>
                <w:sz w:val="20"/>
                <w:szCs w:val="20"/>
                <w:color w:val="auto"/>
              </w:rPr>
            </w:pPr>
          </w:p>
        </w:tc>
        <w:tc>
          <w:tcPr>
            <w:tcW w:w="9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w w:val="93"/>
              </w:rPr>
              <w:t>February 28,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March 1,</w:t>
            </w:r>
          </w:p>
        </w:tc>
      </w:tr>
      <w:tr>
        <w:trPr>
          <w:trHeight w:val="174"/>
        </w:trPr>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2003</w:t>
            </w:r>
          </w:p>
        </w:tc>
      </w:tr>
      <w:tr>
        <w:trPr>
          <w:trHeight w:val="95"/>
        </w:trPr>
        <w:tc>
          <w:tcPr>
            <w:tcW w:w="27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12,631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16,707</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Split Announced and Dividend Declared</w:t>
      </w:r>
    </w:p>
    <w:p>
      <w:pPr>
        <w:spacing w:after="0" w:line="231" w:lineRule="exact"/>
        <w:rPr>
          <w:sz w:val="20"/>
          <w:szCs w:val="20"/>
          <w:color w:val="auto"/>
        </w:rPr>
      </w:pPr>
    </w:p>
    <w:p>
      <w:pPr>
        <w:ind w:left="480" w:right="2080"/>
        <w:spacing w:after="0" w:line="256" w:lineRule="auto"/>
        <w:rPr>
          <w:sz w:val="20"/>
          <w:szCs w:val="20"/>
          <w:color w:val="auto"/>
        </w:rPr>
      </w:pPr>
      <w:r>
        <w:rPr>
          <w:rFonts w:ascii="Arial" w:cs="Arial" w:eastAsia="Arial" w:hAnsi="Arial"/>
          <w:sz w:val="18"/>
          <w:szCs w:val="18"/>
          <w:color w:val="auto"/>
        </w:rPr>
        <w:t>On January 14, 2004, the Board of Directors approved a 2 for 1 split of the Company’s common stock effective on March 5, 2004 to shareholders of record on Feburary 20, 2004. The stock split was effected in the form of a 100 percent stock dividend. Also on January 14, 2004, the Board of Directors declared a cash dividend of $.05 per common share payable April 5 to shareholders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record on March 5, 2004, amended on January 27, 2004 to be payable on April 15 to shareholders of record on March 15, 2004.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Repurchase of Related Party Stock</w:t>
      </w:r>
    </w:p>
    <w:p>
      <w:pPr>
        <w:spacing w:after="0" w:line="231" w:lineRule="exact"/>
        <w:rPr>
          <w:sz w:val="20"/>
          <w:szCs w:val="20"/>
          <w:color w:val="auto"/>
        </w:rPr>
      </w:pPr>
    </w:p>
    <w:p>
      <w:pPr>
        <w:ind w:left="480" w:right="1980"/>
        <w:spacing w:after="0" w:line="254" w:lineRule="auto"/>
        <w:rPr>
          <w:sz w:val="20"/>
          <w:szCs w:val="20"/>
          <w:color w:val="auto"/>
        </w:rPr>
      </w:pPr>
      <w:r>
        <w:rPr>
          <w:rFonts w:ascii="Arial" w:cs="Arial" w:eastAsia="Arial" w:hAnsi="Arial"/>
          <w:sz w:val="18"/>
          <w:szCs w:val="18"/>
          <w:color w:val="auto"/>
        </w:rPr>
        <w:t>In October 2003, pursuant to an authorization of the Board of Directors, the Company repurchased 2,900,000 shares of its common stock from Hanson Capital Partners, LLC (“HCP”). The shares were repurchased for an aggregate purchase price of $63,979,075 ($22.06 per share), plus interest in the approximate amount of $80,000. The agreement to repurchase the shares provided that the purchase price per share was at a 15 percent discount to the closing price on the New York Stock Exchange of $25.96 on October 17, 2003. The Company utilized cash on-hand and proceeds from maturing investments to pay the purchase price.</w:t>
      </w:r>
    </w:p>
    <w:p>
      <w:pPr>
        <w:sectPr>
          <w:pgSz w:w="11900" w:h="16838" w:orient="portrait"/>
          <w:cols w:equalWidth="0" w:num="1">
            <w:col w:w="11420"/>
          </w:cols>
          <w:pgMar w:left="240" w:top="13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10:  Income Per Share</w:t>
      </w:r>
    </w:p>
    <w:p>
      <w:pPr>
        <w:spacing w:after="0" w:line="231" w:lineRule="exact"/>
        <w:rPr>
          <w:sz w:val="20"/>
          <w:szCs w:val="20"/>
          <w:color w:val="auto"/>
        </w:rPr>
      </w:pPr>
    </w:p>
    <w:p>
      <w:pPr>
        <w:ind w:left="480" w:right="2000"/>
        <w:spacing w:after="0" w:line="268" w:lineRule="auto"/>
        <w:rPr>
          <w:sz w:val="20"/>
          <w:szCs w:val="20"/>
          <w:color w:val="auto"/>
        </w:rPr>
      </w:pPr>
      <w:r>
        <w:rPr>
          <w:rFonts w:ascii="Arial" w:cs="Arial" w:eastAsia="Arial" w:hAnsi="Arial"/>
          <w:sz w:val="18"/>
          <w:szCs w:val="18"/>
          <w:color w:val="auto"/>
        </w:rPr>
        <w:t>The following table reflects the calculation of basic and diluted earnings per share for the 13 and 26 weeks ended February 28, 2004 and March 1, 2003.</w:t>
      </w:r>
    </w:p>
    <w:p>
      <w:pPr>
        <w:spacing w:after="0" w:line="209"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Twenty-Six Weeks Ended</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spacing w:after="0"/>
              <w:rPr>
                <w:sz w:val="20"/>
                <w:szCs w:val="20"/>
                <w:color w:val="auto"/>
              </w:rPr>
            </w:pPr>
            <w:r>
              <w:rPr>
                <w:rFonts w:ascii="Arial" w:cs="Arial" w:eastAsia="Arial" w:hAnsi="Arial"/>
                <w:sz w:val="14"/>
                <w:szCs w:val="14"/>
                <w:color w:val="auto"/>
              </w:rPr>
              <w:t>In thousands except per share data</w:t>
            </w:r>
          </w:p>
        </w:tc>
        <w:tc>
          <w:tcPr>
            <w:tcW w:w="142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February 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March 1,</w:t>
            </w:r>
          </w:p>
        </w:tc>
        <w:tc>
          <w:tcPr>
            <w:tcW w:w="38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February 28,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1,</w:t>
            </w:r>
          </w:p>
        </w:tc>
        <w:tc>
          <w:tcPr>
            <w:tcW w:w="0" w:type="dxa"/>
            <w:vAlign w:val="bottom"/>
          </w:tcPr>
          <w:p>
            <w:pPr>
              <w:spacing w:after="0"/>
              <w:rPr>
                <w:sz w:val="1"/>
                <w:szCs w:val="1"/>
                <w:color w:val="auto"/>
              </w:rPr>
            </w:pPr>
          </w:p>
        </w:tc>
      </w:tr>
      <w:tr>
        <w:trPr>
          <w:trHeight w:val="174"/>
        </w:trPr>
        <w:tc>
          <w:tcPr>
            <w:tcW w:w="1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 basic</w:t>
            </w: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38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8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11,890</w:t>
            </w:r>
          </w:p>
        </w:tc>
        <w:tc>
          <w:tcPr>
            <w:tcW w:w="40" w:type="dxa"/>
            <w:vAlign w:val="bottom"/>
          </w:tcPr>
          <w:p>
            <w:pPr>
              <w:spacing w:after="0"/>
              <w:rPr>
                <w:sz w:val="19"/>
                <w:szCs w:val="19"/>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3"/>
          </w:tcPr>
          <w:p>
            <w:pPr>
              <w:ind w:left="180"/>
              <w:spacing w:after="0"/>
              <w:rPr>
                <w:sz w:val="20"/>
                <w:szCs w:val="20"/>
                <w:color w:val="auto"/>
              </w:rPr>
            </w:pPr>
            <w:r>
              <w:rPr>
                <w:rFonts w:ascii="Arial" w:cs="Arial" w:eastAsia="Arial" w:hAnsi="Arial"/>
                <w:sz w:val="18"/>
                <w:szCs w:val="18"/>
                <w:color w:val="auto"/>
              </w:rPr>
              <w:t>(net of taxes)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33,928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37,550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w w:val="87"/>
              </w:rPr>
              <w:t>Earnings per share – assuming dilution</w:t>
            </w:r>
          </w:p>
        </w:tc>
        <w:tc>
          <w:tcPr>
            <w:tcW w:w="64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740" w:type="dxa"/>
            <w:vAlign w:val="bottom"/>
            <w:tcBorders>
              <w:bottom w:val="single" w:sz="8" w:color="auto"/>
            </w:tcBorders>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8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11,890</w:t>
            </w:r>
          </w:p>
        </w:tc>
        <w:tc>
          <w:tcPr>
            <w:tcW w:w="40" w:type="dxa"/>
            <w:vAlign w:val="bottom"/>
          </w:tcPr>
          <w:p>
            <w:pPr>
              <w:spacing w:after="0"/>
              <w:rPr>
                <w:sz w:val="19"/>
                <w:szCs w:val="19"/>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3"/>
          </w:tcPr>
          <w:p>
            <w:pPr>
              <w:ind w:left="180"/>
              <w:spacing w:after="0"/>
              <w:rPr>
                <w:sz w:val="20"/>
                <w:szCs w:val="20"/>
                <w:color w:val="auto"/>
              </w:rPr>
            </w:pPr>
            <w:r>
              <w:rPr>
                <w:rFonts w:ascii="Arial" w:cs="Arial" w:eastAsia="Arial" w:hAnsi="Arial"/>
                <w:sz w:val="18"/>
                <w:szCs w:val="18"/>
                <w:color w:val="auto"/>
              </w:rPr>
              <w:t>(net of taxes)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15,880</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33,947</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38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33,928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37,550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8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&amp; potential</w:t>
            </w: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38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80" w:type="dxa"/>
            <w:vAlign w:val="bottom"/>
            <w:gridSpan w:val="3"/>
          </w:tcPr>
          <w:p>
            <w:pPr>
              <w:ind w:left="180"/>
              <w:spacing w:after="0"/>
              <w:rPr>
                <w:sz w:val="20"/>
                <w:szCs w:val="20"/>
                <w:color w:val="auto"/>
              </w:rPr>
            </w:pPr>
            <w:r>
              <w:rPr>
                <w:rFonts w:ascii="Arial" w:cs="Arial" w:eastAsia="Arial" w:hAnsi="Arial"/>
                <w:sz w:val="18"/>
                <w:szCs w:val="18"/>
                <w:color w:val="auto"/>
              </w:rPr>
              <w:t>dilutive shares outstanding</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34,545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38,224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35,196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80" w:type="dxa"/>
            <w:vAlign w:val="bottom"/>
            <w:gridSpan w:val="3"/>
          </w:tcPr>
          <w:p>
            <w:pPr>
              <w:spacing w:after="0"/>
              <w:rPr>
                <w:sz w:val="20"/>
                <w:szCs w:val="20"/>
                <w:color w:val="auto"/>
              </w:rPr>
            </w:pPr>
            <w:r>
              <w:rPr>
                <w:rFonts w:ascii="Arial" w:cs="Arial" w:eastAsia="Arial" w:hAnsi="Arial"/>
                <w:sz w:val="18"/>
                <w:szCs w:val="18"/>
                <w:color w:val="auto"/>
              </w:rPr>
              <w:t>Earnings per share – assuming dilution</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480" w:right="2160"/>
        <w:spacing w:after="0" w:line="306" w:lineRule="auto"/>
        <w:rPr>
          <w:sz w:val="20"/>
          <w:szCs w:val="20"/>
          <w:color w:val="auto"/>
        </w:rPr>
      </w:pPr>
      <w:r>
        <w:rPr>
          <w:rFonts w:ascii="Arial" w:cs="Arial" w:eastAsia="Arial" w:hAnsi="Arial"/>
          <w:sz w:val="16"/>
          <w:szCs w:val="16"/>
          <w:color w:val="auto"/>
        </w:rPr>
        <w:t>There were options outstanding to purchase 44,000 shares of common stock at a price of $34.855 per share, which were not included in the computation of diluted earnings per share during the 13 weeks ended February 28, 2004 because the options’ exercise price was greater than the average market price of the common stock.</w:t>
      </w:r>
    </w:p>
    <w:p>
      <w:pPr>
        <w:spacing w:after="0" w:line="188" w:lineRule="exact"/>
        <w:rPr>
          <w:sz w:val="20"/>
          <w:szCs w:val="20"/>
          <w:color w:val="auto"/>
        </w:rPr>
      </w:pPr>
    </w:p>
    <w:p>
      <w:pPr>
        <w:jc w:val="both"/>
        <w:ind w:left="480" w:right="2040"/>
        <w:spacing w:after="0" w:line="259" w:lineRule="auto"/>
        <w:rPr>
          <w:sz w:val="20"/>
          <w:szCs w:val="20"/>
          <w:color w:val="auto"/>
        </w:rPr>
      </w:pPr>
      <w:r>
        <w:rPr>
          <w:rFonts w:ascii="Arial" w:cs="Arial" w:eastAsia="Arial" w:hAnsi="Arial"/>
          <w:sz w:val="18"/>
          <w:szCs w:val="18"/>
          <w:color w:val="auto"/>
        </w:rPr>
        <w:t>For the 13 weeks ended March 1, 2003, there were options outstanding to purchase 28,000 shares of common stock at a price of $19.7375 per share, which were not included in the computation of diluted earnings per share because the options’ exercise price was greater than the average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as defined in the Private Securities Litigation Reform Act of 1995. Forward-looking statements regarding future events and the future performance of the Company involve risks and uncertainties that could cause actual results to differ materially. These risks and uncertainties include, without limitation, reactions to actual or threatened terrorist attacks, availability and price of fuel, a significant increase in interest rates, a slow down in the economy, availability of chassis,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Although management believes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6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included in the Company’s Annual Report to Shareholders for the year ended August 30,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Winnebago Industries, Inc., headquartered in Forest City, Iowa, is the leading United States (U.S.) manufacturer of motor homes, self-contained recreation vehicles used primarily in leisure travel and outdoor recreation activities. The Company’s products are subjected to what the Company believes is the most</w:t>
      </w:r>
    </w:p>
    <w:p>
      <w:pPr>
        <w:sectPr>
          <w:pgSz w:w="11900" w:h="16838" w:orient="portrait"/>
          <w:cols w:equalWidth="0" w:num="1">
            <w:col w:w="11380"/>
          </w:cols>
          <w:pgMar w:left="240" w:top="125" w:right="279" w:bottom="0" w:gutter="0" w:footer="0" w:header="0"/>
        </w:sectPr>
      </w:pPr>
    </w:p>
    <w:bookmarkStart w:id="10" w:name="page11"/>
    <w:bookmarkEnd w:id="10"/>
    <w:p>
      <w:pPr>
        <w:ind w:right="240"/>
        <w:spacing w:after="0" w:line="268" w:lineRule="auto"/>
        <w:rPr>
          <w:sz w:val="20"/>
          <w:szCs w:val="20"/>
          <w:color w:val="auto"/>
        </w:rPr>
      </w:pPr>
      <w:r>
        <w:rPr>
          <w:rFonts w:ascii="Arial" w:cs="Arial" w:eastAsia="Arial" w:hAnsi="Arial"/>
          <w:sz w:val="18"/>
          <w:szCs w:val="18"/>
          <w:color w:val="auto"/>
        </w:rPr>
        <w:t>rigorous testing in the RV industry. The Company markets its recreation vehicles on a wholesale basis to approximately 300 dealer locations as of February 28, 2004 and March 1, 2003.</w:t>
      </w:r>
    </w:p>
    <w:p>
      <w:pPr>
        <w:spacing w:after="0" w:line="18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For the calendar year ended December 31, 2003 and the calendar year ended December 31, 2002, the Company delivered 11,015 and 11,811 motor homes, respectively. These deliveries accounted for approximately 18.4 percent and approximately 20.5 percent share, respectively, of the total U.S. motor home wholesale market, per Recreation Vehicle Industry Association (RVIA)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was incorporated under the laws of the state of Iowa on February 12, 1958, and adopted its present name on February 28, 1961.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consider the accounting policies used in preparing our financial statements to be critical accounting policies when they are both important to the portrayal of our financial condition and results of operation and require us to make difficult, subjective, or complex judgments. Critical accounting policies normally result from the need to make estimates about the effect of matters that are inherently uncertain. Management has discussed the development and selection of our critical accounting policies with the audit committee of the Company’s Board of Directors. In each of the areas that were identified as critical accounting policies, our judgments, estimates, and assumptions are impacted by conditions that change over time. As a result, in the future there could be changes in our assets and liabilities, increases or decreases in our expenses, and additional losses or gains that are material to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The Company recognizes revenue in accordance with SEC Staff Accounting Bulletin (SAB) No. 101, “Revenue Recognition in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(SAB 101), as amended by SAB 101A and 101B. Revenue for manufacturing operations is generally recorded when all of the following conditions have been met:</w:t>
      </w:r>
    </w:p>
    <w:p>
      <w:pPr>
        <w:spacing w:after="0" w:line="192" w:lineRule="exact"/>
        <w:rPr>
          <w:sz w:val="20"/>
          <w:szCs w:val="20"/>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order for a product has been received from a dealer;</w:t>
      </w:r>
    </w:p>
    <w:p>
      <w:pPr>
        <w:spacing w:after="0" w:line="15" w:lineRule="exact"/>
        <w:rPr>
          <w:rFonts w:ascii="Arial" w:cs="Arial" w:eastAsia="Arial" w:hAnsi="Arial"/>
          <w:sz w:val="18"/>
          <w:szCs w:val="18"/>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or verbal approval for payment has been received from the dealer’s floorplan financing institution; and</w:t>
      </w:r>
    </w:p>
    <w:p>
      <w:pPr>
        <w:spacing w:after="0" w:line="9" w:lineRule="exact"/>
        <w:rPr>
          <w:rFonts w:ascii="Arial" w:cs="Arial" w:eastAsia="Arial" w:hAnsi="Arial"/>
          <w:sz w:val="18"/>
          <w:szCs w:val="18"/>
          <w:color w:val="auto"/>
        </w:rPr>
      </w:pPr>
    </w:p>
    <w:p>
      <w:pPr>
        <w:ind w:left="1000" w:hanging="53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product is delivered to the dealer who placed the order.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Sales are generally made to dealers who finance their purchases under floorplan financing arrangements with banks or finance companies.</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Repurchase Commitments. </w:t>
      </w:r>
      <w:r>
        <w:rPr>
          <w:rFonts w:ascii="Arial" w:cs="Arial" w:eastAsia="Arial" w:hAnsi="Arial"/>
          <w:sz w:val="16"/>
          <w:szCs w:val="16"/>
          <w:color w:val="auto"/>
        </w:rPr>
        <w:t>Companies in the recreation vehicle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These agreements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contingent obligation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The Company records an estimated expense and loss reserve in each accounting period based upon its extensive history and experience of its repurchase agreements with the lenders of the Company’s dealers.</w:t>
      </w:r>
    </w:p>
    <w:p>
      <w:pPr>
        <w:spacing w:after="0" w:line="167"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 xml:space="preserve">Warranty. </w:t>
      </w:r>
      <w:r>
        <w:rPr>
          <w:rFonts w:ascii="Arial" w:cs="Arial" w:eastAsia="Arial" w:hAnsi="Arial"/>
          <w:sz w:val="15"/>
          <w:szCs w:val="15"/>
          <w:color w:val="auto"/>
        </w:rPr>
        <w:t>The Company offers to its customers a variety of warranties on its products ranging from one to three years in length. Estimated costs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warranty are 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43"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The Company has reserves for other loss exposures, such as litigation, taxes, product liability, worker’s compensation, employee medical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Same Quarter Last Year</w:t>
      </w:r>
    </w:p>
    <w:p>
      <w:pPr>
        <w:sectPr>
          <w:pgSz w:w="11900" w:h="16838" w:orient="portrait"/>
          <w:cols w:equalWidth="0" w:num="1">
            <w:col w:w="11420"/>
          </w:cols>
          <w:pgMar w:left="240" w:top="131" w:right="239" w:bottom="0" w:gutter="0" w:footer="0" w:header="0"/>
        </w:sectPr>
      </w:pPr>
    </w:p>
    <w:bookmarkStart w:id="11" w:name="page12"/>
    <w:bookmarkEnd w:id="11"/>
    <w:p>
      <w:pPr>
        <w:ind w:right="68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13-week period ended February 28, 2004 compared to the 13-week period ended March 1, 2003.</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Thirteen Weeks Ended</w:t>
            </w:r>
          </w:p>
        </w:tc>
        <w:tc>
          <w:tcPr>
            <w:tcW w:w="10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Feb. 28,</w:t>
            </w:r>
          </w:p>
        </w:tc>
        <w:tc>
          <w:tcPr>
            <w:tcW w:w="7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Mar. 1,</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February 28, 2004</w:t>
            </w: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vMerge w:val="continue"/>
          </w:tcPr>
          <w:p>
            <w:pPr>
              <w:spacing w:after="0"/>
              <w:rPr>
                <w:sz w:val="9"/>
                <w:szCs w:val="9"/>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8"/>
              </w:rPr>
              <w:t>Increase</w:t>
            </w:r>
          </w:p>
        </w:tc>
        <w:tc>
          <w:tcPr>
            <w:tcW w:w="6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6"/>
              </w:rPr>
              <w:t>(Decrease)</w:t>
            </w:r>
          </w:p>
        </w:tc>
        <w:tc>
          <w:tcPr>
            <w:tcW w:w="12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Net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80,075</w:t>
            </w:r>
          </w:p>
        </w:tc>
        <w:tc>
          <w:tcPr>
            <w:tcW w:w="42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43.1%</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71,414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8,661</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3,107</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5,161</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(32.6)</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Net income before disc. operations</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3,990</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3,571</w:t>
            </w:r>
          </w:p>
        </w:tc>
        <w:tc>
          <w:tcPr>
            <w:tcW w:w="42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29.0%</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80" w:type="dxa"/>
            <w:vAlign w:val="bottom"/>
            <w:gridSpan w:val="2"/>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43.8%</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-306070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-306070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-306070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-306070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-306070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-306070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-306070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-306070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revenues for the 13 weeks ended February 28, 2004 increased 43.1 percent to $266.0 million in the second quarter compared to $186.0 million for the quarter ended March 1, 2003. Unit deliveries consisted of the following:</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7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7"/>
              </w:rPr>
              <w:t>Thirteen Weeks Ended</w:t>
            </w:r>
          </w:p>
        </w:tc>
        <w:tc>
          <w:tcPr>
            <w:tcW w:w="174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87"/>
              </w:rPr>
              <w:t>Thirteen Weeks Ended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February 28, 2004</w:t>
            </w:r>
          </w:p>
        </w:tc>
        <w:tc>
          <w:tcPr>
            <w:tcW w:w="380" w:type="dxa"/>
            <w:vAlign w:val="bottom"/>
          </w:tcPr>
          <w:p>
            <w:pPr>
              <w:spacing w:after="0"/>
              <w:rPr>
                <w:sz w:val="15"/>
                <w:szCs w:val="15"/>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March 1, 2003</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5"/>
                <w:szCs w:val="15"/>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2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252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4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95.6%</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Class C motor homes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41.0%</w:t>
            </w:r>
          </w:p>
        </w:tc>
      </w:tr>
      <w:tr>
        <w:trPr>
          <w:trHeight w:val="110"/>
        </w:trPr>
        <w:tc>
          <w:tcPr>
            <w:tcW w:w="2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gridSpan w:val="2"/>
          </w:tcPr>
          <w:p>
            <w:pPr>
              <w:spacing w:after="0"/>
              <w:rPr>
                <w:sz w:val="9"/>
                <w:szCs w:val="9"/>
                <w:color w:val="auto"/>
              </w:rPr>
            </w:pPr>
          </w:p>
        </w:tc>
      </w:tr>
      <w:tr>
        <w:trPr>
          <w:trHeight w:val="316"/>
        </w:trPr>
        <w:tc>
          <w:tcPr>
            <w:tcW w:w="252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3,022</w:t>
            </w:r>
          </w:p>
        </w:tc>
        <w:tc>
          <w:tcPr>
            <w:tcW w:w="4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2,259</w:t>
            </w:r>
          </w:p>
        </w:tc>
        <w:tc>
          <w:tcPr>
            <w:tcW w:w="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33.8%</w:t>
            </w:r>
          </w:p>
        </w:tc>
      </w:tr>
      <w:tr>
        <w:trPr>
          <w:trHeight w:val="120"/>
        </w:trPr>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Revenues increased 43.1 percent during the 13 weeks ended February 28, 2004, but unit deliveries increased only 33.8 percent due primarily to a mix change which included a 95.6 percent increase in Class A diesel unit deliveries. This increase in diesel deliveries as well as the overall increase in total motor home volume contributed to the increased revenues experienced by the Company during the thirteen weeks ended February 28, 2004.</w:t>
      </w:r>
    </w:p>
    <w:p>
      <w:pPr>
        <w:spacing w:after="0" w:line="16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Gross profit as a percentage of net revenues was lower during the thirteen weeks ended February 28, 2004 (13.2%) when compared to the thirteen weeks ended March 1, 2003 (14.2%). Unfavorably impacting the period ended February 28, 2004 were the recording of a reserve of $1,870,000 (representing .7% of the decline) associated with the recall of 5,143 diesel motor homes in which the liquid propane tank needs to be inspected for stress cracks and new mounting brackets installed, a more competitively priced product mix and relatively higher manufacturing expense levels.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106.0 percent in the second quarter of fiscal 2004 to $6.0 million compared to $2.9 million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1, 2003. The increases in percentage and dollar amount during the thirteen weeks ended February 28, 2004 when compared to the thirteen weeks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 2003 were due primarily to $1,450,000 of higher stock-based incentive compensation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expense and an increase of approximately $600,000 in management incentive programs in fiscal 2004 and to a reduction in product liability expenses of approximately $500,000 in fiscal 2003.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 was lower when comparing the two 13-week periods primarily due to lower interest rates during the period ended February 28, 2004.</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overall effective income tax rate decreased to 36 percent for the second quarter of fiscal 2004 from 39.9 percent during the second quarter of fiscal 2003. The decrease was primarily due to a decrease in non-deductible losses in the Winnebago Health Care Management Company.</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income and earnings per diluted share increased by 29.0 percent and 43.8 percent, respectively when comparing the second quarter of fiscal 2004 to the second quarter of fiscal 2003. The difference in percentages was primarily due to a lower number of outstanding shares of the Company’s common stock during the 13 weeks ended February 28, 2004 as a result of common stock repurchases by the Company. (See Note 9 of the Unaudited Condensed Notes to Consolidated Financial Statements.)</w:t>
      </w:r>
    </w:p>
    <w:p>
      <w:pPr>
        <w:sectPr>
          <w:pgSz w:w="11900" w:h="16838" w:orient="portrait"/>
          <w:cols w:equalWidth="0" w:num="1">
            <w:col w:w="11380"/>
          </w:cols>
          <w:pgMar w:left="240" w:top="131" w:right="279" w:bottom="0" w:gutter="0" w:footer="0" w:header="0"/>
        </w:sectPr>
      </w:pPr>
    </w:p>
    <w:bookmarkStart w:id="12" w:name="page13"/>
    <w:bookmarkEnd w:id="12"/>
    <w:p>
      <w:pPr>
        <w:ind w:right="20"/>
        <w:spacing w:after="0" w:line="332" w:lineRule="auto"/>
        <w:rPr>
          <w:sz w:val="20"/>
          <w:szCs w:val="20"/>
          <w:color w:val="auto"/>
        </w:rPr>
      </w:pPr>
      <w:r>
        <w:rPr>
          <w:rFonts w:ascii="Arial" w:cs="Arial" w:eastAsia="Arial" w:hAnsi="Arial"/>
          <w:sz w:val="16"/>
          <w:szCs w:val="16"/>
          <w:color w:val="auto"/>
        </w:rPr>
        <w:t>On January 14, 2004, the Company’s Board of Directors declared a two-for-one stock split effected in the form of a 100% stock dividend distributed on March 5, 2004 to shareholders of record as of February 20, 2004. All share and per share amounts have been restated to give retroactive effect to the stock split.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Same Period Last Year</w:t>
      </w:r>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26-week period ended February 28, 2004 compared to the 26-week period ending March 1, 2003.</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w w:val="88"/>
              </w:rPr>
              <w:t>Twenty-Six Weeks Ended</w:t>
            </w:r>
          </w:p>
        </w:tc>
        <w:tc>
          <w:tcPr>
            <w:tcW w:w="10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Feb. 28,</w:t>
            </w:r>
          </w:p>
        </w:tc>
        <w:tc>
          <w:tcPr>
            <w:tcW w:w="7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Mar. 1,</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February 28, 2004</w:t>
            </w: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4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0"/>
              </w:rPr>
              <w:t>Increase</w:t>
            </w:r>
          </w:p>
        </w:tc>
        <w:tc>
          <w:tcPr>
            <w:tcW w:w="6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3"/>
              </w:rPr>
              <w:t>(Decrease)</w:t>
            </w:r>
          </w:p>
        </w:tc>
        <w:tc>
          <w:tcPr>
            <w:tcW w:w="12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Net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101,661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24.2%</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88,607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9,046</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Financial income</w:t>
            </w:r>
          </w:p>
        </w:tc>
        <w:tc>
          <w:tcPr>
            <w:tcW w:w="8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(109)</w:t>
            </w: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(15.7)</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Provision for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Arial" w:cs="Arial" w:eastAsia="Arial" w:hAnsi="Arial"/>
                <w:sz w:val="18"/>
                <w:szCs w:val="18"/>
                <w:color w:val="auto"/>
              </w:rPr>
              <w:t>Net income before disc. operations</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6,179</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(819)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5,360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18.7%</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80" w:type="dxa"/>
            <w:vAlign w:val="bottom"/>
            <w:gridSpan w:val="2"/>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28.0%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-306070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-306070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-306070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-306070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-306070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-306070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-306070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-306070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Net revenues for the 26 weeks ended February 28, 2004 increased 24.2 percent to $521.0 million compared to $419.3 million for the 26 weeks ended March 1, 2003. Unit deliveries consisted of the following:</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Twenty-Six Weeks Ended</w:t>
            </w:r>
          </w:p>
        </w:tc>
        <w:tc>
          <w:tcPr>
            <w:tcW w:w="380" w:type="dxa"/>
            <w:vAlign w:val="bottom"/>
          </w:tcPr>
          <w:p>
            <w:pPr>
              <w:spacing w:after="0"/>
              <w:rPr>
                <w:sz w:val="14"/>
                <w:szCs w:val="14"/>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Twenty-Six Weeks Ended</w:t>
            </w:r>
          </w:p>
        </w:tc>
        <w:tc>
          <w:tcPr>
            <w:tcW w:w="38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Increase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4"/>
        </w:trPr>
        <w:tc>
          <w:tcPr>
            <w:tcW w:w="2580" w:type="dxa"/>
            <w:vAlign w:val="bottom"/>
          </w:tcPr>
          <w:p>
            <w:pPr>
              <w:spacing w:after="0"/>
              <w:rPr>
                <w:sz w:val="15"/>
                <w:szCs w:val="15"/>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February 28, 2004</w:t>
            </w:r>
          </w:p>
        </w:tc>
        <w:tc>
          <w:tcPr>
            <w:tcW w:w="380" w:type="dxa"/>
            <w:vAlign w:val="bottom"/>
          </w:tcPr>
          <w:p>
            <w:pPr>
              <w:spacing w:after="0"/>
              <w:rPr>
                <w:sz w:val="15"/>
                <w:szCs w:val="15"/>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March 1, 2003</w:t>
            </w:r>
          </w:p>
        </w:tc>
        <w:tc>
          <w:tcPr>
            <w:tcW w:w="3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25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309"/>
        </w:trPr>
        <w:tc>
          <w:tcPr>
            <w:tcW w:w="258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1520" w:type="dxa"/>
            <w:vAlign w:val="bottom"/>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2,677</w:t>
            </w:r>
          </w:p>
        </w:tc>
        <w:tc>
          <w:tcPr>
            <w:tcW w:w="20" w:type="dxa"/>
            <w:vAlign w:val="bottom"/>
          </w:tcPr>
          <w:p>
            <w:pPr>
              <w:spacing w:after="0"/>
              <w:rPr>
                <w:sz w:val="24"/>
                <w:szCs w:val="2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(67)</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520" w:type="dxa"/>
            <w:vAlign w:val="bottom"/>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61.1%</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Class C motor homes</w:t>
            </w:r>
          </w:p>
        </w:tc>
        <w:tc>
          <w:tcPr>
            <w:tcW w:w="1520" w:type="dxa"/>
            <w:vAlign w:val="bottom"/>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22.8%</w:t>
            </w:r>
          </w:p>
        </w:tc>
      </w:tr>
      <w:tr>
        <w:trPr>
          <w:trHeight w:val="110"/>
        </w:trPr>
        <w:tc>
          <w:tcPr>
            <w:tcW w:w="25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gridSpan w:val="2"/>
          </w:tcPr>
          <w:p>
            <w:pPr>
              <w:spacing w:after="0"/>
              <w:rPr>
                <w:sz w:val="9"/>
                <w:szCs w:val="9"/>
                <w:color w:val="auto"/>
              </w:rPr>
            </w:pPr>
          </w:p>
        </w:tc>
      </w:tr>
      <w:tr>
        <w:trPr>
          <w:trHeight w:val="316"/>
        </w:trPr>
        <w:tc>
          <w:tcPr>
            <w:tcW w:w="258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1520" w:type="dxa"/>
            <w:vAlign w:val="bottom"/>
          </w:tcPr>
          <w:p>
            <w:pPr>
              <w:jc w:val="right"/>
              <w:spacing w:after="0"/>
              <w:rPr>
                <w:sz w:val="20"/>
                <w:szCs w:val="20"/>
                <w:color w:val="auto"/>
              </w:rPr>
            </w:pPr>
            <w:r>
              <w:rPr>
                <w:rFonts w:ascii="Arial" w:cs="Arial" w:eastAsia="Arial" w:hAnsi="Arial"/>
                <w:sz w:val="18"/>
                <w:szCs w:val="18"/>
                <w:color w:val="auto"/>
              </w:rPr>
              <w:t>5,984</w:t>
            </w:r>
          </w:p>
        </w:tc>
        <w:tc>
          <w:tcPr>
            <w:tcW w:w="2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5,184</w:t>
            </w:r>
          </w:p>
        </w:tc>
        <w:tc>
          <w:tcPr>
            <w:tcW w:w="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15.4%</w:t>
            </w:r>
          </w:p>
        </w:tc>
      </w:tr>
      <w:tr>
        <w:trPr>
          <w:trHeight w:val="120"/>
        </w:trPr>
        <w:tc>
          <w:tcPr>
            <w:tcW w:w="258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61.1 percent increase in Class A diesel unit deliveries as well as the overall increase in total motor home volume contributed to the increased revenues experienced by the Company during the twenty-six weeks ended February 28, 2004.</w:t>
      </w:r>
    </w:p>
    <w:p>
      <w:pPr>
        <w:spacing w:after="0" w:line="186"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Gross profit as a percentage of net revenues was lower during the twenty-six weeks ended February 28, 2004 (14.3%) when compared to the twenty-six weeks ended March 1, 2003 (14.6%). Unfavorably impacting the period ended February 28, 2004 were the recording of a reserve of $1,870,000 (representing almost</w:t>
      </w:r>
    </w:p>
    <w:p>
      <w:pPr>
        <w:ind w:right="480"/>
        <w:spacing w:after="0" w:line="323" w:lineRule="auto"/>
        <w:rPr>
          <w:sz w:val="20"/>
          <w:szCs w:val="20"/>
          <w:color w:val="auto"/>
        </w:rPr>
      </w:pPr>
      <w:r>
        <w:rPr>
          <w:rFonts w:ascii="Arial" w:cs="Arial" w:eastAsia="Arial" w:hAnsi="Arial"/>
          <w:sz w:val="16"/>
          <w:szCs w:val="16"/>
          <w:color w:val="auto"/>
        </w:rPr>
        <w:t>.4% of the decline) associated with the recall of 5,143 diesel motor homes in which the liquid propane tank needs to be inspected for stress cracks and new mounting brackets installed, a more competitively priced product mix and relatively higher manufacturing expense levels.</w:t>
      </w:r>
    </w:p>
    <w:p>
      <w:pPr>
        <w:spacing w:after="0" w:line="14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General and administrative expenses increased 46.6 percent during the first half of fiscal 2004 to $11.8 million compared to $8.0 million from the first half of fiscal 2003. The increases in percentage and dollar amount during the twenty-six weeks ended February 28, 2004 when compared to the twenty-six weeks ended March 1, 2003 were due primarily to $950,000 of higher stock-based incentive compensation expense and increases of approximately $800,000 in management incentive programs in fiscal 2004 and to a reduction in product liability expenses of approximately $550,000 in the first half of fiscal 2003.</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overall effective income tax rate decreased to 37.5 percent for the first half of fiscal 2004 from 38.8 percent during the first half of fiscal 2003. The decrease was primarily due to a decrease in non-deductible losses in the Winnebago Health Care Management Company. Net income and earnings per diluted share increased by 18.7 percent and 28.0 percent, respectively when comparing the first half of fiscal 2004 to the first half of fiscal 2003. The difference in percentages was primarily due to a lower number of outstanding shares of the Company’s common stock during the 26 weeks ended February 28, 2004 as a result of common stock repurchases by the Company. (See Note 9 of the Unaudited Condensed Notes to Consolidated Financial Statements.)</w:t>
      </w:r>
    </w:p>
    <w:p>
      <w:pPr>
        <w:spacing w:after="0" w:line="17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January 14, 2004, the Company’s Board of Directors declared a two-for-one stock split effected in the form of a 100% stock dividend distributed on March 5, 2004 to shareholders of record as of February 20, 2004. All share and per share amounts have been restated to give retroactive effect to the stock split.</w:t>
      </w:r>
    </w:p>
    <w:p>
      <w:pPr>
        <w:sectPr>
          <w:pgSz w:w="11900" w:h="16838" w:orient="portrait"/>
          <w:cols w:equalWidth="0" w:num="1">
            <w:col w:w="11360"/>
          </w:cols>
          <w:pgMar w:left="240" w:top="131" w:right="29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meets its working capital, capital equipment and other cash requirements with funds generated from operations. The Company’s capital equipment requirements for the 26-week periods ended February 28, 2004 and March 1, 2003 were $5.0 million and $17.6 million, respectively.</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six months ended February 28, 2004, the Company’s working capital decreased by $24,626,000. The primary causes of the decrease were the repurchase of shares of the Company’s common stock, purchases of property and equipment and payment of cash dividends partially offset by cash generated by the Company’s operations.</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cash provided by operating activities for the 26 weeks ended February 28, 2004 was $25,687,000, which was relatively consistent with the $30,841,000 provided by operating activities for the twenty-six weeks ended March 1, 2003. During the 26-week period ended February 28, 2004, operating activities were effected by the following:</w:t>
      </w:r>
    </w:p>
    <w:p>
      <w:pPr>
        <w:spacing w:after="0" w:line="194" w:lineRule="exact"/>
        <w:rPr>
          <w:sz w:val="20"/>
          <w:szCs w:val="20"/>
          <w:color w:val="auto"/>
        </w:rPr>
      </w:pPr>
    </w:p>
    <w:p>
      <w:pPr>
        <w:ind w:left="480" w:right="1980"/>
        <w:spacing w:after="0" w:line="256" w:lineRule="auto"/>
        <w:rPr>
          <w:sz w:val="20"/>
          <w:szCs w:val="20"/>
          <w:color w:val="auto"/>
        </w:rPr>
      </w:pPr>
      <w:r>
        <w:rPr>
          <w:rFonts w:ascii="Arial" w:cs="Arial" w:eastAsia="Arial" w:hAnsi="Arial"/>
          <w:sz w:val="18"/>
          <w:szCs w:val="18"/>
          <w:color w:val="auto"/>
        </w:rPr>
        <w:t>Cash from operations of $33,947,000 and production schedule increases causing larger accounts payable and accrued expense balances providing $10,568,000, whereas uses of cash were $23,101,000 for increased inventory levels due to higher production levels and to meet seasonal demand for motor home deliveries and $11,446,000 for increase trade receivables which historically are collected within eight business days.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primary uses of cash for investing activities were for capital equipment requirements. Property and equipment purchases decreased $12,592,000 from last year due to the completion of the production assembly facility in Charles City, Iowa in the first half of 2003.</w:t>
      </w:r>
    </w:p>
    <w:p>
      <w:pPr>
        <w:spacing w:after="0" w:line="18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Repurchases of the Company’s common stock from HCP for $63,979,000 and payments of $3,517,000 in quarterly dividends, were the primary uses of cash in financing activities for the period ended February 28, 2004. Company common stock repurchases of $10,521,000 and the $1,887,000 payment of semiannual dividends were the primary uses of cash in financing activities for the period ended March 1, 2003.</w:t>
      </w:r>
    </w:p>
    <w:p>
      <w:pPr>
        <w:spacing w:after="0" w:line="1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More complete disclosure of the Company’s sources and uses of cash during the 26 weeks, ended February 28, 2004, are set forth in the unaudited consolidated condensed statement of cash flows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On February 28, 2004 the Company’s cash and cash equivalents balance was $56,716,000. Estimated demands at February 28, 2004 on the Company’s liquid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assets for the remainder of fiscal 2004 include capital expenditures of approximately $5,300,000, primarily for production equipment,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$3,500,000 for the payment of cash dividends. On March 19, 2003, the Board of Directors authorized the repurchase of outstanding shares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depending on market conditions, for an aggregate purchase price of up to $20 million. As of February 28, 2004 (not including the repurchase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HCP which was authorized separately, See Note 9), 691,798 shares had been repurchased under this authorization for an aggregate consideration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$9,700,000. As of February 28, 2004, there was no contracted obligation between the Company and HCP to repurchase additional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231"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The Company’s long-term growth demographics are in its favor as its target market of consumers age 50 and older is expected to increase for the next 30 years. In addition to growth in the target market due to the aging of the baby boom generation, a study conducted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the Company’s motor homes is as follows:</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3080" w:type="dxa"/>
            <w:vAlign w:val="bottom"/>
          </w:tcPr>
          <w:p>
            <w:pPr>
              <w:spacing w:after="0"/>
              <w:rPr>
                <w:sz w:val="15"/>
                <w:szCs w:val="15"/>
                <w:color w:val="auto"/>
              </w:rPr>
            </w:pPr>
          </w:p>
        </w:tc>
        <w:tc>
          <w:tcPr>
            <w:tcW w:w="2080" w:type="dxa"/>
            <w:vAlign w:val="bottom"/>
            <w:gridSpan w:val="3"/>
          </w:tcPr>
          <w:p>
            <w:pPr>
              <w:ind w:left="980"/>
              <w:spacing w:after="0"/>
              <w:rPr>
                <w:sz w:val="20"/>
                <w:szCs w:val="20"/>
                <w:color w:val="auto"/>
              </w:rPr>
            </w:pPr>
            <w:r>
              <w:rPr>
                <w:rFonts w:ascii="Arial" w:cs="Arial" w:eastAsia="Arial" w:hAnsi="Arial"/>
                <w:sz w:val="14"/>
                <w:szCs w:val="14"/>
                <w:b w:val="1"/>
                <w:bCs w:val="1"/>
                <w:color w:val="auto"/>
                <w:w w:val="91"/>
              </w:rPr>
              <w:t>February 28, 2004</w:t>
            </w:r>
          </w:p>
        </w:tc>
        <w:tc>
          <w:tcPr>
            <w:tcW w:w="28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1, 2003</w:t>
            </w:r>
          </w:p>
        </w:tc>
        <w:tc>
          <w:tcPr>
            <w:tcW w:w="80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85"/>
              </w:rPr>
              <w:t>Change</w:t>
            </w:r>
          </w:p>
        </w:tc>
      </w:tr>
      <w:tr>
        <w:trPr>
          <w:trHeight w:val="95"/>
        </w:trPr>
        <w:tc>
          <w:tcPr>
            <w:tcW w:w="3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3080" w:type="dxa"/>
            <w:vAlign w:val="bottom"/>
          </w:tcPr>
          <w:p>
            <w:pPr>
              <w:spacing w:after="0"/>
              <w:rPr>
                <w:sz w:val="20"/>
                <w:szCs w:val="20"/>
                <w:color w:val="auto"/>
              </w:rPr>
            </w:pPr>
            <w:r>
              <w:rPr>
                <w:rFonts w:ascii="Arial" w:cs="Arial" w:eastAsia="Arial" w:hAnsi="Arial"/>
                <w:sz w:val="18"/>
                <w:szCs w:val="18"/>
                <w:color w:val="auto"/>
              </w:rPr>
              <w:t>Class A motor homes (gas)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167.3%</w:t>
            </w: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Class C motor homes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5.1%</w:t>
            </w:r>
          </w:p>
        </w:tc>
      </w:tr>
      <w:tr>
        <w:trPr>
          <w:trHeight w:val="110"/>
        </w:trPr>
        <w:tc>
          <w:tcPr>
            <w:tcW w:w="3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gridSpan w:val="2"/>
          </w:tcPr>
          <w:p>
            <w:pPr>
              <w:spacing w:after="0"/>
              <w:rPr>
                <w:sz w:val="9"/>
                <w:szCs w:val="9"/>
                <w:color w:val="auto"/>
              </w:rPr>
            </w:pPr>
          </w:p>
        </w:tc>
      </w:tr>
      <w:tr>
        <w:trPr>
          <w:trHeight w:val="316"/>
        </w:trPr>
        <w:tc>
          <w:tcPr>
            <w:tcW w:w="3080" w:type="dxa"/>
            <w:vAlign w:val="bottom"/>
          </w:tcPr>
          <w:p>
            <w:pPr>
              <w:ind w:left="220"/>
              <w:spacing w:after="0"/>
              <w:rPr>
                <w:sz w:val="20"/>
                <w:szCs w:val="20"/>
                <w:color w:val="auto"/>
              </w:rPr>
            </w:pPr>
            <w:r>
              <w:rPr>
                <w:rFonts w:ascii="Arial" w:cs="Arial" w:eastAsia="Arial" w:hAnsi="Arial"/>
                <w:sz w:val="18"/>
                <w:szCs w:val="18"/>
                <w:color w:val="auto"/>
              </w:rPr>
              <w:t>Total backlog</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2,933</w:t>
            </w:r>
          </w:p>
        </w:tc>
        <w:tc>
          <w:tcPr>
            <w:tcW w:w="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55.2%</w:t>
            </w: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1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February 28, 2004, the Company had an investment portfolio of short-term investments, which are classified as cash and cash equivalents of $56,716,000, of which $50,899,000 are fixed income investments that are subject to interest rate risk and a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Chief Executive Officer and our Chief Financial Officer evaluated the effectiveness of our disclosure controls and procedures as of the end of the period covered by this Form 10-Q. Based on their evaluation, they concluded that our disclosure controls and procedures were effective in achieving the objectives for which they were designed.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Furthermore, there have been no changes in our internal control over financial reporting during the fiscal quarter covered by this Form 10-Q that have materially affected, or are reasonably likely to materially effect,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reviewed the accompanying consolidated balance sheets of Winnebago Industries, Inc. and subsidiaries (the Company) as of February 28, 2004, and the related consolidated statements of income for the 13-week and 26-week periods and the condensed consolidated statements of cash flows for the 26-week periods ended February 28, 2004 and March 1, 2003, respectively. These financial statements are the responsibility of the Company’s management.</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previously audited, in accordance with generally accepted auditing standards, the consolidated balance sheet of the Company as of August 30, 2003, and the related consolidated statements of income, stockholders’ equity, and cash flows for the year then ended (not presented herein); and in our report dated November 21, 2003, we expressed an unqualified opinion on those consolidated financial statements. In our opinion, the information set forth in the accompanying condensed consolidated balance sheet as of August 30, 2003 is fairly stated, in all material respects, in relation to the consolidated balance sheet from which it has been derived.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2004</w:t>
      </w:r>
    </w:p>
    <w:p>
      <w:pPr>
        <w:sectPr>
          <w:pgSz w:w="11900" w:h="16838" w:orient="portrait"/>
          <w:cols w:equalWidth="0" w:num="1">
            <w:col w:w="11380"/>
          </w:cols>
          <w:pgMar w:left="240" w:top="652" w:right="279" w:bottom="1073"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252" w:lineRule="exact"/>
        <w:rPr>
          <w:sz w:val="20"/>
          <w:szCs w:val="20"/>
          <w:color w:val="auto"/>
        </w:rPr>
      </w:pPr>
    </w:p>
    <w:p>
      <w:pPr>
        <w:ind w:left="480" w:right="759"/>
        <w:spacing w:after="0" w:line="286" w:lineRule="auto"/>
        <w:rPr>
          <w:sz w:val="20"/>
          <w:szCs w:val="20"/>
          <w:color w:val="auto"/>
        </w:rPr>
      </w:pPr>
      <w:r>
        <w:rPr>
          <w:rFonts w:ascii="Arial" w:cs="Arial" w:eastAsia="Arial" w:hAnsi="Arial"/>
          <w:sz w:val="16"/>
          <w:szCs w:val="16"/>
          <w:color w:val="auto"/>
        </w:rPr>
        <w:t xml:space="preserve">Reference is made to Item 3 (Legal Proceedings) in the Company’s Annual Report on Form 10-K for the year ended August 30, 2003, for a description of certain litigation entitled </w:t>
      </w:r>
      <w:r>
        <w:rPr>
          <w:rFonts w:ascii="Arial" w:cs="Arial" w:eastAsia="Arial" w:hAnsi="Arial"/>
          <w:sz w:val="16"/>
          <w:szCs w:val="16"/>
          <w:u w:val="single" w:color="auto"/>
          <w:color w:val="auto"/>
        </w:rPr>
        <w:t>Sanft, et al vs. Winnebago Industries, Inc., et al</w:t>
      </w:r>
      <w:r>
        <w:rPr>
          <w:rFonts w:ascii="Arial" w:cs="Arial" w:eastAsia="Arial" w:hAnsi="Arial"/>
          <w:sz w:val="16"/>
          <w:szCs w:val="16"/>
          <w:color w:val="auto"/>
        </w:rPr>
        <w:t xml:space="preserve"> which is incorporated herein by this reference. In late 2003 and early 2004 extensive discovery was conducted by both parties. In February the Company filed its Second Motion for Summary Judgment and the Plaintiffs filed a Motion for Partial Summary Judgment. The Company’s Motion suggests that following substantial discovery in the case there can be no dispute that all of the Plaintiffs’claims are barred by the applicable statute of limitations. The Plaintiffs’ Motion for Partial Summary Judgment on Count I of their Complaint requests that the Court declare that the amendments made to the Plan in 1994 were illegal and unenforceable. Oral arguments on both such Motions are scheduled to be held before Chief Judge Bennett on April 23, 2004. In the event that such Motions do not dispose of the case, trial is scheduled to commence before Chief Judge Bennett (“bench trial”) commencing on June 21, 2004. The Company continues to believe that it has meritorious defenses to the Plaintiffs’ substantive claims, including the statute of limitations defense. As of February 28, 2004,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202" w:lineRule="exact"/>
        <w:rPr>
          <w:sz w:val="20"/>
          <w:szCs w:val="20"/>
          <w:color w:val="auto"/>
        </w:rPr>
      </w:pPr>
    </w:p>
    <w:p>
      <w:pPr>
        <w:ind w:left="480" w:right="899"/>
        <w:spacing w:after="0" w:line="259" w:lineRule="auto"/>
        <w:rPr>
          <w:sz w:val="20"/>
          <w:szCs w:val="20"/>
          <w:color w:val="auto"/>
        </w:rPr>
      </w:pPr>
      <w:r>
        <w:rPr>
          <w:rFonts w:ascii="Arial" w:cs="Arial" w:eastAsia="Arial" w:hAnsi="Arial"/>
          <w:sz w:val="18"/>
          <w:szCs w:val="18"/>
          <w:color w:val="auto"/>
        </w:rPr>
        <w:t xml:space="preserve">Reference is also made to Item 3 (Legal Proceedings) in the Company’s Annual Report on Form 10-K for the year ended August 30, 2003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 xml:space="preserve"> which is incorporated herein by this reference.</w:t>
      </w:r>
    </w:p>
    <w:p>
      <w:pPr>
        <w:spacing w:after="0" w:line="221" w:lineRule="exact"/>
        <w:rPr>
          <w:sz w:val="20"/>
          <w:szCs w:val="20"/>
          <w:color w:val="auto"/>
        </w:rPr>
      </w:pPr>
    </w:p>
    <w:p>
      <w:pPr>
        <w:ind w:left="480" w:right="879"/>
        <w:spacing w:after="0" w:line="254"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Submission of Matters to a Vote of Security Holders</w:t>
      </w:r>
    </w:p>
    <w:p>
      <w:pPr>
        <w:spacing w:after="0" w:line="252" w:lineRule="exact"/>
        <w:rPr>
          <w:sz w:val="20"/>
          <w:szCs w:val="20"/>
          <w:color w:val="auto"/>
        </w:rPr>
      </w:pPr>
    </w:p>
    <w:p>
      <w:pPr>
        <w:ind w:left="1000" w:hanging="53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Meeting of shareholders was held January 13, 2004.</w:t>
      </w:r>
    </w:p>
    <w:p>
      <w:pPr>
        <w:spacing w:after="0" w:line="252" w:lineRule="exact"/>
        <w:rPr>
          <w:rFonts w:ascii="Arial" w:cs="Arial" w:eastAsia="Arial" w:hAnsi="Arial"/>
          <w:sz w:val="18"/>
          <w:szCs w:val="18"/>
          <w:color w:val="auto"/>
        </w:rPr>
      </w:pPr>
    </w:p>
    <w:p>
      <w:pPr>
        <w:ind w:left="1000" w:hanging="53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breakdown of votes for the election of two directors was as follows*:</w:t>
      </w:r>
    </w:p>
    <w:p>
      <w:pPr>
        <w:spacing w:after="0" w:line="248"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Votes Cast For</w:t>
            </w:r>
          </w:p>
        </w:tc>
        <w:tc>
          <w:tcPr>
            <w:tcW w:w="166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1"/>
              </w:rPr>
              <w:t>Authority Withheld</w:t>
            </w:r>
          </w:p>
        </w:tc>
      </w:tr>
      <w:tr>
        <w:trPr>
          <w:trHeight w:val="95"/>
        </w:trPr>
        <w:tc>
          <w:tcPr>
            <w:tcW w:w="2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309"/>
        </w:trPr>
        <w:tc>
          <w:tcPr>
            <w:tcW w:w="2660" w:type="dxa"/>
            <w:vAlign w:val="bottom"/>
          </w:tcPr>
          <w:p>
            <w:pPr>
              <w:spacing w:after="0"/>
              <w:rPr>
                <w:sz w:val="20"/>
                <w:szCs w:val="20"/>
                <w:color w:val="auto"/>
              </w:rPr>
            </w:pPr>
            <w:r>
              <w:rPr>
                <w:rFonts w:ascii="Arial" w:cs="Arial" w:eastAsia="Arial" w:hAnsi="Arial"/>
                <w:sz w:val="18"/>
                <w:szCs w:val="18"/>
                <w:color w:val="auto"/>
              </w:rPr>
              <w:t>Irvin E. Aal (2007)</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15,800,575</w:t>
            </w:r>
          </w:p>
        </w:tc>
        <w:tc>
          <w:tcPr>
            <w:tcW w:w="1660" w:type="dxa"/>
            <w:vAlign w:val="bottom"/>
            <w:gridSpan w:val="2"/>
          </w:tcPr>
          <w:p>
            <w:pPr>
              <w:jc w:val="center"/>
              <w:ind w:left="379"/>
              <w:spacing w:after="0"/>
              <w:rPr>
                <w:sz w:val="20"/>
                <w:szCs w:val="20"/>
                <w:color w:val="auto"/>
              </w:rPr>
            </w:pPr>
            <w:r>
              <w:rPr>
                <w:rFonts w:ascii="Arial" w:cs="Arial" w:eastAsia="Arial" w:hAnsi="Arial"/>
                <w:sz w:val="18"/>
                <w:szCs w:val="18"/>
                <w:color w:val="auto"/>
                <w:w w:val="87"/>
              </w:rPr>
              <w:t>65,335</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Joseph W. England (2007)</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15,811,069</w:t>
            </w:r>
          </w:p>
        </w:tc>
        <w:tc>
          <w:tcPr>
            <w:tcW w:w="1660" w:type="dxa"/>
            <w:vAlign w:val="bottom"/>
            <w:gridSpan w:val="2"/>
          </w:tcPr>
          <w:p>
            <w:pPr>
              <w:jc w:val="center"/>
              <w:ind w:left="379"/>
              <w:spacing w:after="0"/>
              <w:rPr>
                <w:sz w:val="20"/>
                <w:szCs w:val="20"/>
                <w:color w:val="auto"/>
              </w:rPr>
            </w:pPr>
            <w:r>
              <w:rPr>
                <w:rFonts w:ascii="Arial" w:cs="Arial" w:eastAsia="Arial" w:hAnsi="Arial"/>
                <w:sz w:val="18"/>
                <w:szCs w:val="18"/>
                <w:color w:val="auto"/>
                <w:w w:val="87"/>
              </w:rPr>
              <w:t>54,841</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000" w:hanging="53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Directors whose terms continued after the shareholders meeting:</w:t>
      </w:r>
    </w:p>
    <w:p>
      <w:pPr>
        <w:spacing w:after="0" w:line="252"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Gerald E. Boman</w:t>
            </w:r>
          </w:p>
        </w:tc>
        <w:tc>
          <w:tcPr>
            <w:tcW w:w="186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Jerry N. Currie</w:t>
            </w:r>
          </w:p>
        </w:tc>
        <w:tc>
          <w:tcPr>
            <w:tcW w:w="186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Frederick M. Zimmerman</w:t>
            </w:r>
          </w:p>
        </w:tc>
        <w:tc>
          <w:tcPr>
            <w:tcW w:w="186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John V. Hanson</w:t>
            </w:r>
          </w:p>
        </w:tc>
        <w:tc>
          <w:tcPr>
            <w:tcW w:w="1860" w:type="dxa"/>
            <w:vAlign w:val="bottom"/>
          </w:tcPr>
          <w:p>
            <w:pPr>
              <w:jc w:val="right"/>
              <w:spacing w:after="0"/>
              <w:rPr>
                <w:sz w:val="20"/>
                <w:szCs w:val="20"/>
                <w:color w:val="auto"/>
              </w:rPr>
            </w:pPr>
            <w:r>
              <w:rPr>
                <w:rFonts w:ascii="Arial" w:cs="Arial" w:eastAsia="Arial" w:hAnsi="Arial"/>
                <w:sz w:val="18"/>
                <w:szCs w:val="18"/>
                <w:color w:val="auto"/>
              </w:rPr>
              <w:t>(2006)</w:t>
            </w:r>
          </w:p>
        </w:tc>
      </w:tr>
    </w:tbl>
    <w:p>
      <w:pPr>
        <w:sectPr>
          <w:pgSz w:w="11900" w:h="16838" w:orient="portrait"/>
          <w:cols w:equalWidth="0" w:num="1">
            <w:col w:w="10219"/>
          </w:cols>
          <w:pgMar w:left="240" w:top="1440" w:right="1440" w:bottom="0" w:gutter="0" w:footer="0" w:header="0"/>
        </w:sectPr>
      </w:pPr>
    </w:p>
    <w:bookmarkStart w:id="16" w:name="page17"/>
    <w:bookmarkEnd w:id="16"/>
    <w:p>
      <w:pPr>
        <w:spacing w:after="0" w:line="1"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Bruce D. Hertzke</w:t>
            </w:r>
          </w:p>
        </w:tc>
        <w:tc>
          <w:tcPr>
            <w:tcW w:w="21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Gerald C. Kitch</w:t>
            </w:r>
          </w:p>
        </w:tc>
        <w:tc>
          <w:tcPr>
            <w:tcW w:w="2160" w:type="dxa"/>
            <w:vAlign w:val="bottom"/>
          </w:tcPr>
          <w:p>
            <w:pPr>
              <w:jc w:val="right"/>
              <w:spacing w:after="0"/>
              <w:rPr>
                <w:sz w:val="20"/>
                <w:szCs w:val="20"/>
                <w:color w:val="auto"/>
              </w:rPr>
            </w:pPr>
            <w:r>
              <w:rPr>
                <w:rFonts w:ascii="Arial" w:cs="Arial" w:eastAsia="Arial" w:hAnsi="Arial"/>
                <w:sz w:val="18"/>
                <w:szCs w:val="18"/>
                <w:color w:val="auto"/>
              </w:rPr>
              <w:t>(2006)</w:t>
            </w:r>
          </w:p>
        </w:tc>
      </w:tr>
    </w:tbl>
    <w:p>
      <w:pPr>
        <w:spacing w:after="0" w:line="200" w:lineRule="exact"/>
        <w:rPr>
          <w:sz w:val="20"/>
          <w:szCs w:val="20"/>
          <w:color w:val="auto"/>
        </w:rPr>
      </w:pPr>
    </w:p>
    <w:p>
      <w:pPr>
        <w:spacing w:after="0" w:line="253"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Represents year of Annual Meeting that individual’s term will expire.</w:t>
      </w:r>
    </w:p>
    <w:p>
      <w:pPr>
        <w:spacing w:after="0" w:line="225" w:lineRule="exact"/>
        <w:rPr>
          <w:rFonts w:ascii="Arial" w:cs="Arial" w:eastAsia="Arial" w:hAnsi="Arial"/>
          <w:sz w:val="18"/>
          <w:szCs w:val="18"/>
          <w:color w:val="auto"/>
        </w:rPr>
      </w:pPr>
    </w:p>
    <w:p>
      <w:pPr>
        <w:ind w:left="1000" w:hanging="533"/>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breakdown of votes for the Winnebago Industries, Inc. 2004 Incentive Compensation Plan was as follows:</w:t>
      </w:r>
    </w:p>
    <w:p>
      <w:pPr>
        <w:spacing w:after="0" w:line="246"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Abstentions and</w:t>
            </w:r>
          </w:p>
        </w:tc>
      </w:tr>
      <w:tr>
        <w:trPr>
          <w:trHeight w:val="190"/>
        </w:trPr>
        <w:tc>
          <w:tcPr>
            <w:tcW w:w="136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84"/>
              </w:rPr>
              <w:t>Votes Cast For</w:t>
            </w:r>
          </w:p>
        </w:tc>
        <w:tc>
          <w:tcPr>
            <w:tcW w:w="2280" w:type="dxa"/>
            <w:vAlign w:val="bottom"/>
            <w:gridSpan w:val="3"/>
          </w:tcPr>
          <w:p>
            <w:pPr>
              <w:jc w:val="center"/>
              <w:ind w:right="180"/>
              <w:spacing w:after="0" w:line="190" w:lineRule="exact"/>
              <w:rPr>
                <w:sz w:val="20"/>
                <w:szCs w:val="20"/>
                <w:color w:val="auto"/>
              </w:rPr>
            </w:pPr>
            <w:r>
              <w:rPr>
                <w:rFonts w:ascii="Arial" w:cs="Arial" w:eastAsia="Arial" w:hAnsi="Arial"/>
                <w:sz w:val="18"/>
                <w:szCs w:val="18"/>
                <w:b w:val="1"/>
                <w:bCs w:val="1"/>
                <w:color w:val="auto"/>
                <w:w w:val="86"/>
              </w:rPr>
              <w:t>Votes Cast Against</w:t>
            </w:r>
          </w:p>
        </w:tc>
        <w:tc>
          <w:tcPr>
            <w:tcW w:w="136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88"/>
              </w:rPr>
              <w:t>Broker Non-Votes</w:t>
            </w:r>
          </w:p>
        </w:tc>
      </w:tr>
      <w:tr>
        <w:trPr>
          <w:trHeight w:val="235"/>
        </w:trPr>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12,707,949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24,499</w:t>
            </w:r>
          </w:p>
        </w:tc>
        <w:tc>
          <w:tcPr>
            <w:tcW w:w="5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1,827,291</w:t>
            </w:r>
          </w:p>
        </w:tc>
      </w:tr>
    </w:tbl>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252" w:lineRule="exact"/>
        <w:rPr>
          <w:sz w:val="20"/>
          <w:szCs w:val="20"/>
          <w:color w:val="auto"/>
        </w:rPr>
      </w:pPr>
    </w:p>
    <w:p>
      <w:pPr>
        <w:ind w:left="1000" w:hanging="53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 — See Exhibit Index on page 23.</w:t>
      </w:r>
    </w:p>
    <w:p>
      <w:pPr>
        <w:spacing w:after="0" w:line="252" w:lineRule="exact"/>
        <w:rPr>
          <w:rFonts w:ascii="Arial" w:cs="Arial" w:eastAsia="Arial" w:hAnsi="Arial"/>
          <w:sz w:val="18"/>
          <w:szCs w:val="18"/>
          <w:color w:val="auto"/>
        </w:rPr>
      </w:pPr>
    </w:p>
    <w:p>
      <w:pPr>
        <w:ind w:left="1000" w:hanging="53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8-K filings during quarter ended February 28, 2004.</w:t>
      </w:r>
    </w:p>
    <w:p>
      <w:pPr>
        <w:spacing w:after="0" w:line="252" w:lineRule="exact"/>
        <w:rPr>
          <w:sz w:val="20"/>
          <w:szCs w:val="20"/>
          <w:color w:val="auto"/>
        </w:rPr>
      </w:pPr>
    </w:p>
    <w:p>
      <w:pPr>
        <w:ind w:left="960" w:right="1720"/>
        <w:spacing w:after="0" w:line="332" w:lineRule="auto"/>
        <w:rPr>
          <w:sz w:val="20"/>
          <w:szCs w:val="20"/>
          <w:color w:val="auto"/>
        </w:rPr>
      </w:pPr>
      <w:r>
        <w:rPr>
          <w:rFonts w:ascii="Arial" w:cs="Arial" w:eastAsia="Arial" w:hAnsi="Arial"/>
          <w:sz w:val="16"/>
          <w:szCs w:val="16"/>
          <w:color w:val="auto"/>
        </w:rPr>
        <w:t>On December 12, 2003, the Company filed a report on Form 8-K relating to a press release issued by the Company to announce the anticipated date of its first quarter of fiscal 2004 earnings announcement.</w:t>
      </w:r>
    </w:p>
    <w:p>
      <w:pPr>
        <w:spacing w:after="0" w:line="166" w:lineRule="exact"/>
        <w:rPr>
          <w:sz w:val="20"/>
          <w:szCs w:val="20"/>
          <w:color w:val="auto"/>
        </w:rPr>
      </w:pPr>
    </w:p>
    <w:p>
      <w:pPr>
        <w:ind w:left="960" w:right="1720"/>
        <w:spacing w:after="0" w:line="268" w:lineRule="auto"/>
        <w:rPr>
          <w:sz w:val="20"/>
          <w:szCs w:val="20"/>
          <w:color w:val="auto"/>
        </w:rPr>
      </w:pPr>
      <w:r>
        <w:rPr>
          <w:rFonts w:ascii="Arial" w:cs="Arial" w:eastAsia="Arial" w:hAnsi="Arial"/>
          <w:sz w:val="18"/>
          <w:szCs w:val="18"/>
          <w:color w:val="auto"/>
        </w:rPr>
        <w:t>On December 17, 2003, the Company filed a report on Form 8-K relating to a press release issued by the Company to announce its first quarter of fiscal 2004 earnings.</w:t>
      </w:r>
    </w:p>
    <w:p>
      <w:pPr>
        <w:spacing w:after="0" w:line="213" w:lineRule="exact"/>
        <w:rPr>
          <w:sz w:val="20"/>
          <w:szCs w:val="20"/>
          <w:color w:val="auto"/>
        </w:rPr>
      </w:pPr>
    </w:p>
    <w:p>
      <w:pPr>
        <w:ind w:left="960" w:right="1640"/>
        <w:spacing w:after="0" w:line="268" w:lineRule="auto"/>
        <w:rPr>
          <w:sz w:val="20"/>
          <w:szCs w:val="20"/>
          <w:color w:val="auto"/>
        </w:rPr>
      </w:pPr>
      <w:r>
        <w:rPr>
          <w:rFonts w:ascii="Arial" w:cs="Arial" w:eastAsia="Arial" w:hAnsi="Arial"/>
          <w:sz w:val="18"/>
          <w:szCs w:val="18"/>
          <w:color w:val="auto"/>
        </w:rPr>
        <w:t>On January 27, 2004, the Company filed a report on Form 8-K to revise its previously announced cash dividend record and payment dates due to an overlap with the timing of the Company’s stock split.</w:t>
      </w:r>
    </w:p>
    <w:p>
      <w:pPr>
        <w:spacing w:after="0" w:line="213" w:lineRule="exact"/>
        <w:rPr>
          <w:sz w:val="20"/>
          <w:szCs w:val="20"/>
          <w:color w:val="auto"/>
        </w:rPr>
      </w:pPr>
    </w:p>
    <w:p>
      <w:pPr>
        <w:ind w:left="960" w:right="1800"/>
        <w:spacing w:after="0" w:line="259" w:lineRule="auto"/>
        <w:rPr>
          <w:sz w:val="20"/>
          <w:szCs w:val="20"/>
          <w:color w:val="auto"/>
        </w:rPr>
      </w:pPr>
      <w:r>
        <w:rPr>
          <w:rFonts w:ascii="Arial" w:cs="Arial" w:eastAsia="Arial" w:hAnsi="Arial"/>
          <w:sz w:val="18"/>
          <w:szCs w:val="18"/>
          <w:color w:val="auto"/>
        </w:rPr>
        <w:t>On February 13, 2004, the Company filed a report on Form 8-K relating to a press release issued by the Company to announce that Hanson Capital Partners, LLC entered into a written plan relating to future sales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left="204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80010</wp:posOffset>
            </wp:positionV>
            <wp:extent cx="22726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 w:leader="none" w:pos="4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1191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80010</wp:posOffset>
            </wp:positionV>
            <wp:extent cx="22726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of the Board, Chief Executive Officer,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President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80" w:val="left"/>
          <w:tab w:leader="none" w:pos="4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1191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80010</wp:posOffset>
            </wp:positionV>
            <wp:extent cx="22726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940"/>
          </w:cols>
          <w:pgMar w:left="240" w:top="131" w:right="719" w:bottom="1440" w:gutter="0" w:footer="0" w:header="0"/>
        </w:sectPr>
      </w:pPr>
    </w:p>
    <w:bookmarkStart w:id="17" w:name="page18"/>
    <w:bookmarkEnd w:id="17"/>
    <w:p>
      <w:pPr>
        <w:ind w:left="51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160655</wp:posOffset>
            </wp:positionV>
            <wp:extent cx="725043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39"/>
          </w:cols>
          <w:pgMar w:left="7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8"/>
          <w:szCs w:val="18"/>
          <w:color w:val="auto"/>
        </w:rPr>
        <w:t>Amended bylaws of the Registrant.</w:t>
      </w:r>
    </w:p>
    <w:p>
      <w:pPr>
        <w:spacing w:after="0" w:line="252"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4b.</w:t>
      </w:r>
      <w:r>
        <w:rPr>
          <w:sz w:val="20"/>
          <w:szCs w:val="20"/>
          <w:color w:val="auto"/>
        </w:rPr>
        <w:tab/>
      </w:r>
      <w:r>
        <w:rPr>
          <w:rFonts w:ascii="Arial" w:cs="Arial" w:eastAsia="Arial" w:hAnsi="Arial"/>
          <w:sz w:val="16"/>
          <w:szCs w:val="16"/>
          <w:color w:val="auto"/>
        </w:rPr>
        <w:t>Limited Guaranty dated February 27, 2004 whereas Winnebago Industries, Inc. will act as the Guarantor to a certain</w:t>
      </w:r>
    </w:p>
    <w:p>
      <w:pPr>
        <w:spacing w:after="0" w:line="38" w:lineRule="exact"/>
        <w:rPr>
          <w:sz w:val="20"/>
          <w:szCs w:val="20"/>
          <w:color w:val="auto"/>
        </w:rPr>
      </w:pPr>
    </w:p>
    <w:p>
      <w:pPr>
        <w:ind w:left="660" w:right="1439"/>
        <w:spacing w:after="0" w:line="261" w:lineRule="auto"/>
        <w:rPr>
          <w:sz w:val="20"/>
          <w:szCs w:val="20"/>
          <w:color w:val="auto"/>
        </w:rPr>
      </w:pPr>
      <w:r>
        <w:rPr>
          <w:rFonts w:ascii="Arial" w:cs="Arial" w:eastAsia="Arial" w:hAnsi="Arial"/>
          <w:sz w:val="18"/>
          <w:szCs w:val="18"/>
          <w:color w:val="auto"/>
        </w:rPr>
        <w:t>lease agreement between HCC Leasing Corporation (Landlord) and CDI, LLC, an Indiania Limited Liability Company (Tenant).</w:t>
      </w:r>
    </w:p>
    <w:p>
      <w:pPr>
        <w:spacing w:after="0" w:line="219" w:lineRule="exact"/>
        <w:rPr>
          <w:sz w:val="20"/>
          <w:szCs w:val="20"/>
          <w:color w:val="auto"/>
        </w:rPr>
      </w:pPr>
    </w:p>
    <w:p>
      <w:pPr>
        <w:ind w:left="660" w:right="1179" w:hanging="539"/>
        <w:spacing w:after="0" w:line="268" w:lineRule="auto"/>
        <w:tabs>
          <w:tab w:leader="none" w:pos="64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Winnebago Industries, Inc. Officers’ Long-Term Incentive Plan, fiscal three-year period 2002, 2003 and 2004 as amended on March 16, 2004*.</w:t>
      </w:r>
    </w:p>
    <w:p>
      <w:pPr>
        <w:spacing w:after="0" w:line="213" w:lineRule="exact"/>
        <w:rPr>
          <w:sz w:val="20"/>
          <w:szCs w:val="20"/>
          <w:color w:val="auto"/>
        </w:rPr>
      </w:pPr>
    </w:p>
    <w:p>
      <w:pPr>
        <w:ind w:left="660" w:right="1179" w:hanging="539"/>
        <w:spacing w:after="0" w:line="268" w:lineRule="auto"/>
        <w:tabs>
          <w:tab w:leader="none" w:pos="64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Winnebago Industries, Inc. Officers’ Long-Term Incentive Plan, fiscal three-year period 2003, 2004 and 2005 as amended on March 16, 2004*.</w:t>
      </w:r>
    </w:p>
    <w:p>
      <w:pPr>
        <w:spacing w:after="0" w:line="213" w:lineRule="exact"/>
        <w:rPr>
          <w:sz w:val="20"/>
          <w:szCs w:val="20"/>
          <w:color w:val="auto"/>
        </w:rPr>
      </w:pPr>
    </w:p>
    <w:p>
      <w:pPr>
        <w:ind w:left="660" w:hanging="50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Letter regarding Unaudited Interim Financial Statement.</w:t>
      </w:r>
    </w:p>
    <w:p>
      <w:pPr>
        <w:spacing w:after="0" w:line="252" w:lineRule="exact"/>
        <w:rPr>
          <w:sz w:val="20"/>
          <w:szCs w:val="20"/>
          <w:color w:val="auto"/>
        </w:rPr>
      </w:pPr>
    </w:p>
    <w:p>
      <w:pPr>
        <w:ind w:left="660" w:right="1299" w:hanging="501"/>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Item 3 (Legal Proceedings) from Winnebago Industries, Inc.'s Annual Report on Form 10-K for the year ended August 30, 2003.</w:t>
      </w:r>
    </w:p>
    <w:p>
      <w:pPr>
        <w:spacing w:after="0" w:line="213"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April 8,</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2004.</w:t>
      </w:r>
    </w:p>
    <w:p>
      <w:pPr>
        <w:spacing w:after="0" w:line="246"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April 8,</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2004.</w:t>
      </w:r>
    </w:p>
    <w:p>
      <w:pPr>
        <w:spacing w:after="0" w:line="246" w:lineRule="exact"/>
        <w:rPr>
          <w:sz w:val="20"/>
          <w:szCs w:val="20"/>
          <w:color w:val="auto"/>
        </w:rPr>
      </w:pPr>
    </w:p>
    <w:p>
      <w:pPr>
        <w:ind w:left="660" w:right="1199" w:hanging="590"/>
        <w:spacing w:after="0" w:line="268"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April 8, 2004.</w:t>
      </w:r>
    </w:p>
    <w:p>
      <w:pPr>
        <w:spacing w:after="0" w:line="213" w:lineRule="exact"/>
        <w:rPr>
          <w:sz w:val="20"/>
          <w:szCs w:val="20"/>
          <w:color w:val="auto"/>
        </w:rPr>
      </w:pPr>
    </w:p>
    <w:p>
      <w:pPr>
        <w:ind w:left="660" w:right="1239" w:hanging="634"/>
        <w:spacing w:after="0" w:line="268" w:lineRule="auto"/>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April 8,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146050</wp:posOffset>
            </wp:positionV>
            <wp:extent cx="725043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39"/>
          </w:cols>
          <w:pgMar w:left="720" w:top="131" w:right="1440" w:bottom="1440" w:gutter="0" w:footer="0" w:header="0"/>
          <w:type w:val="continuous"/>
        </w:sectPr>
      </w:pPr>
    </w:p>
    <w:bookmarkStart w:id="18" w:name="page19"/>
    <w:bookmarkEnd w:id="18"/>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3b</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OFFICES</w:t>
      </w:r>
    </w:p>
    <w:p>
      <w:pPr>
        <w:spacing w:after="0" w:line="225" w:lineRule="exact"/>
        <w:rPr>
          <w:sz w:val="20"/>
          <w:szCs w:val="20"/>
          <w:color w:val="auto"/>
        </w:rPr>
      </w:pPr>
    </w:p>
    <w:p>
      <w:pPr>
        <w:ind w:left="100" w:right="639" w:firstLine="348"/>
        <w:spacing w:after="0" w:line="268" w:lineRule="auto"/>
        <w:rPr>
          <w:sz w:val="20"/>
          <w:szCs w:val="20"/>
          <w:color w:val="auto"/>
        </w:rPr>
      </w:pPr>
      <w:r>
        <w:rPr>
          <w:rFonts w:ascii="Arial" w:cs="Arial" w:eastAsia="Arial" w:hAnsi="Arial"/>
          <w:sz w:val="18"/>
          <w:szCs w:val="18"/>
          <w:color w:val="auto"/>
        </w:rPr>
        <w:t>The principal office of the Corporation in the State of Iowa, shall be located in the City of Forest City, County of Winnebago, State of Iowa.</w:t>
      </w:r>
    </w:p>
    <w:p>
      <w:pPr>
        <w:spacing w:after="0" w:line="186" w:lineRule="exact"/>
        <w:rPr>
          <w:sz w:val="20"/>
          <w:szCs w:val="20"/>
          <w:color w:val="auto"/>
        </w:rPr>
      </w:pPr>
    </w:p>
    <w:p>
      <w:pPr>
        <w:ind w:left="100" w:right="359" w:firstLine="348"/>
        <w:spacing w:after="0" w:line="268" w:lineRule="auto"/>
        <w:rPr>
          <w:sz w:val="20"/>
          <w:szCs w:val="20"/>
          <w:color w:val="auto"/>
        </w:rPr>
      </w:pPr>
      <w:r>
        <w:rPr>
          <w:rFonts w:ascii="Arial" w:cs="Arial" w:eastAsia="Arial" w:hAnsi="Arial"/>
          <w:sz w:val="18"/>
          <w:szCs w:val="18"/>
          <w:color w:val="auto"/>
        </w:rPr>
        <w:t>The Corporation may have such other offices, either within or without of the State of Iowa, as the Board of Directors may designate or as the business of the Corporation may require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  SHAREHOLDERS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p>
    <w:p>
      <w:pPr>
        <w:spacing w:after="0" w:line="225" w:lineRule="exact"/>
        <w:rPr>
          <w:sz w:val="20"/>
          <w:szCs w:val="20"/>
          <w:color w:val="auto"/>
        </w:rPr>
      </w:pPr>
    </w:p>
    <w:p>
      <w:pPr>
        <w:ind w:left="100" w:right="139" w:firstLine="348"/>
        <w:spacing w:after="0" w:line="255" w:lineRule="auto"/>
        <w:rPr>
          <w:sz w:val="20"/>
          <w:szCs w:val="20"/>
          <w:color w:val="auto"/>
        </w:rPr>
      </w:pPr>
      <w:r>
        <w:rPr>
          <w:rFonts w:ascii="Arial" w:cs="Arial" w:eastAsia="Arial" w:hAnsi="Arial"/>
          <w:sz w:val="18"/>
          <w:szCs w:val="18"/>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Shareholder Business and Nominations</w:t>
      </w:r>
    </w:p>
    <w:p>
      <w:pPr>
        <w:spacing w:after="0" w:line="225" w:lineRule="exact"/>
        <w:rPr>
          <w:sz w:val="20"/>
          <w:szCs w:val="20"/>
          <w:color w:val="auto"/>
        </w:rPr>
      </w:pPr>
    </w:p>
    <w:p>
      <w:pPr>
        <w:ind w:left="100" w:right="139" w:firstLine="180"/>
        <w:spacing w:after="0" w:line="294" w:lineRule="auto"/>
        <w:tabs>
          <w:tab w:leader="none" w:pos="787" w:val="left"/>
        </w:tabs>
        <w:numPr>
          <w:ilvl w:val="0"/>
          <w:numId w:val="9"/>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business to be considered by the shareholders may be made at an annual meeting of shareholders (a) pursuant to the Corporation’s notice of meeting, (b) by or at the direction of the Board of Directors or (c) by any shareholder of the Corporation who was a shareholder of record at the time of giving of notice provided for in this Section 2 who is entitled to vote at the meeting and who complies with the notice procedures set forth in this Section 2.</w:t>
      </w:r>
    </w:p>
    <w:p>
      <w:pPr>
        <w:spacing w:after="0" w:line="169" w:lineRule="exact"/>
        <w:rPr>
          <w:rFonts w:ascii="Arial" w:cs="Arial" w:eastAsia="Arial" w:hAnsi="Arial"/>
          <w:sz w:val="16"/>
          <w:szCs w:val="16"/>
          <w:color w:val="auto"/>
        </w:rPr>
      </w:pPr>
    </w:p>
    <w:p>
      <w:pPr>
        <w:ind w:left="100" w:right="159" w:firstLine="180"/>
        <w:spacing w:after="0" w:line="285" w:lineRule="auto"/>
        <w:tabs>
          <w:tab w:leader="none" w:pos="787"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shareholder pursuant to clause (c) of Section 2(1) of these By-laws, the shareholder must have given timely notice thereof in writing to the Secretary of 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of shareholders; provided however, that in the event that the date of the annual meeting to which such shareholder’s notice relates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first made by the Corporation. In no event shall the public announcement of an adjournment of an annual meeting commence a new time period for the giving of a shareholder’s notice as described above. Such shareholder’s notice shall set forth (a) as to each person whom the shareholder proposes to nominate for election or re-election as a director all information relating to such person that is required to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119380</wp:posOffset>
            </wp:positionV>
            <wp:extent cx="56038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0" w:right="219"/>
        <w:spacing w:after="0" w:line="301" w:lineRule="auto"/>
        <w:rPr>
          <w:sz w:val="20"/>
          <w:szCs w:val="20"/>
          <w:color w:val="auto"/>
        </w:rPr>
      </w:pPr>
      <w:r>
        <w:rPr>
          <w:rFonts w:ascii="Arial" w:cs="Arial" w:eastAsia="Arial" w:hAnsi="Arial"/>
          <w:sz w:val="15"/>
          <w:szCs w:val="15"/>
          <w:color w:val="auto"/>
        </w:rPr>
        <w:t>in solicitations of proxies for election of directors in an election contest,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the beneficial owner, if any, on whose behalf the proposal is made; and (c) as to the shareholder giving the notice and the beneficial owner, if any, on whose behalf the nomination or proposal is made</w:t>
      </w:r>
    </w:p>
    <w:p>
      <w:pPr>
        <w:spacing w:after="0" w:line="5" w:lineRule="exact"/>
        <w:rPr>
          <w:sz w:val="20"/>
          <w:szCs w:val="20"/>
          <w:color w:val="auto"/>
        </w:rPr>
      </w:pPr>
    </w:p>
    <w:p>
      <w:pPr>
        <w:ind w:left="320" w:hanging="215"/>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name and address of such shareholder, as they appear on the Corporation’s books, and of such beneficial owner and</w:t>
      </w:r>
    </w:p>
    <w:p>
      <w:pPr>
        <w:spacing w:after="0" w:line="43" w:lineRule="exact"/>
        <w:rPr>
          <w:rFonts w:ascii="Arial" w:cs="Arial" w:eastAsia="Arial" w:hAnsi="Arial"/>
          <w:sz w:val="15"/>
          <w:szCs w:val="15"/>
          <w:color w:val="auto"/>
        </w:rPr>
      </w:pPr>
    </w:p>
    <w:p>
      <w:pPr>
        <w:ind w:left="100" w:right="319" w:firstLine="5"/>
        <w:spacing w:after="0" w:line="261" w:lineRule="auto"/>
        <w:tabs>
          <w:tab w:leader="none" w:pos="3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and number of shares of the Corporation which are owned beneficially and of record by such shareholder and such beneficial owner.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  BOARD OF DIRECTORS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and affairs of this Corporation shall be managed by its Board of Directors.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Qualifications</w:t>
      </w:r>
    </w:p>
    <w:p>
      <w:pPr>
        <w:spacing w:after="0" w:line="225" w:lineRule="exact"/>
        <w:rPr>
          <w:sz w:val="20"/>
          <w:szCs w:val="20"/>
          <w:color w:val="auto"/>
        </w:rPr>
      </w:pPr>
    </w:p>
    <w:p>
      <w:pPr>
        <w:ind w:left="100" w:right="299" w:firstLine="348"/>
        <w:spacing w:after="0" w:line="332" w:lineRule="auto"/>
        <w:rPr>
          <w:sz w:val="20"/>
          <w:szCs w:val="20"/>
          <w:color w:val="auto"/>
        </w:rPr>
      </w:pPr>
      <w:r>
        <w:rPr>
          <w:rFonts w:ascii="Arial" w:cs="Arial" w:eastAsia="Arial" w:hAnsi="Arial"/>
          <w:sz w:val="16"/>
          <w:szCs w:val="16"/>
          <w:color w:val="auto"/>
        </w:rPr>
        <w:t>The number of directors constituting the Board of Directors of the Corporation shall be not more than fifteen (15) and not less than three (3), the precise number to be determined by resolution of the Board of Directors from time to time.</w:t>
      </w:r>
    </w:p>
    <w:p>
      <w:pPr>
        <w:sectPr>
          <w:pgSz w:w="11900" w:h="16979" w:orient="portrait"/>
          <w:cols w:equalWidth="0" w:num="1">
            <w:col w:w="9019"/>
          </w:cols>
          <w:pgMar w:left="1440" w:top="112" w:right="1440" w:bottom="0" w:gutter="0" w:footer="0" w:header="0"/>
        </w:sectPr>
      </w:pPr>
    </w:p>
    <w:bookmarkStart w:id="19" w:name="page20"/>
    <w:bookmarkEnd w:id="19"/>
    <w:p>
      <w:pPr>
        <w:ind w:left="100" w:right="119"/>
        <w:spacing w:after="0" w:line="286" w:lineRule="auto"/>
        <w:rPr>
          <w:sz w:val="20"/>
          <w:szCs w:val="20"/>
          <w:color w:val="auto"/>
        </w:rPr>
      </w:pPr>
      <w:r>
        <w:rPr>
          <w:rFonts w:ascii="Arial" w:cs="Arial" w:eastAsia="Arial" w:hAnsi="Arial"/>
          <w:sz w:val="16"/>
          <w:szCs w:val="16"/>
          <w:color w:val="auto"/>
        </w:rPr>
        <w:t>Effective with the election of the directors at the annual meeting of shareholders to be held in 2000, the directors shall be classified, with respect to the time for which they severally hold office, into three classes, as nearly equal in number as possible, with the Board of Directors consisting of eight (8) members existing at the time of the annual meeting of shareholders to be held in 2000 to be classified as follows: Two directors to hold office initially for a term expiring at the annual meeting of shareholders to be held in 2001,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increase or decrease in the number of directors shall be apportioned among the classes so as to make all classes as nearly equal in number as possible.</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Regular Meetings</w:t>
      </w:r>
    </w:p>
    <w:p>
      <w:pPr>
        <w:spacing w:after="0" w:line="225" w:lineRule="exact"/>
        <w:rPr>
          <w:sz w:val="20"/>
          <w:szCs w:val="20"/>
          <w:color w:val="auto"/>
        </w:rPr>
      </w:pPr>
    </w:p>
    <w:p>
      <w:pPr>
        <w:ind w:left="100" w:right="139" w:firstLine="348"/>
        <w:spacing w:after="0" w:line="256" w:lineRule="auto"/>
        <w:rPr>
          <w:sz w:val="20"/>
          <w:szCs w:val="20"/>
          <w:color w:val="auto"/>
        </w:rPr>
      </w:pPr>
      <w:r>
        <w:rPr>
          <w:rFonts w:ascii="Arial" w:cs="Arial" w:eastAsia="Arial" w:hAnsi="Arial"/>
          <w:sz w:val="18"/>
          <w:szCs w:val="18"/>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Special Meetings</w:t>
      </w:r>
    </w:p>
    <w:p>
      <w:pPr>
        <w:spacing w:after="0" w:line="225" w:lineRule="exact"/>
        <w:rPr>
          <w:sz w:val="20"/>
          <w:szCs w:val="20"/>
          <w:color w:val="auto"/>
        </w:rPr>
      </w:pPr>
    </w:p>
    <w:p>
      <w:pPr>
        <w:ind w:left="100" w:right="99" w:firstLine="351"/>
        <w:spacing w:after="0" w:line="298" w:lineRule="auto"/>
        <w:rPr>
          <w:sz w:val="20"/>
          <w:szCs w:val="20"/>
          <w:color w:val="auto"/>
        </w:rPr>
      </w:pPr>
      <w:r>
        <w:rPr>
          <w:rFonts w:ascii="Arial" w:cs="Arial" w:eastAsia="Arial" w:hAnsi="Arial"/>
          <w:sz w:val="16"/>
          <w:szCs w:val="16"/>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109220</wp:posOffset>
            </wp:positionV>
            <wp:extent cx="56038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Notice of Meetings</w:t>
      </w:r>
    </w:p>
    <w:p>
      <w:pPr>
        <w:spacing w:after="0" w:line="225" w:lineRule="exact"/>
        <w:rPr>
          <w:sz w:val="20"/>
          <w:szCs w:val="20"/>
          <w:color w:val="auto"/>
        </w:rPr>
      </w:pPr>
    </w:p>
    <w:p>
      <w:pPr>
        <w:ind w:left="100" w:right="99" w:firstLine="351"/>
        <w:spacing w:after="0" w:line="288" w:lineRule="auto"/>
        <w:rPr>
          <w:sz w:val="20"/>
          <w:szCs w:val="20"/>
          <w:color w:val="auto"/>
        </w:rPr>
      </w:pPr>
      <w:r>
        <w:rPr>
          <w:rFonts w:ascii="Arial" w:cs="Arial" w:eastAsia="Arial" w:hAnsi="Arial"/>
          <w:sz w:val="16"/>
          <w:szCs w:val="16"/>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Committees</w:t>
      </w:r>
    </w:p>
    <w:p>
      <w:pPr>
        <w:spacing w:after="0" w:line="225" w:lineRule="exact"/>
        <w:rPr>
          <w:sz w:val="20"/>
          <w:szCs w:val="20"/>
          <w:color w:val="auto"/>
        </w:rPr>
      </w:pPr>
    </w:p>
    <w:p>
      <w:pPr>
        <w:ind w:left="100" w:right="199" w:firstLine="348"/>
        <w:spacing w:after="0" w:line="291" w:lineRule="auto"/>
        <w:rPr>
          <w:sz w:val="20"/>
          <w:szCs w:val="20"/>
          <w:color w:val="auto"/>
        </w:rPr>
      </w:pPr>
      <w:r>
        <w:rPr>
          <w:rFonts w:ascii="Arial" w:cs="Arial" w:eastAsia="Arial" w:hAnsi="Arial"/>
          <w:sz w:val="16"/>
          <w:szCs w:val="16"/>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 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  OFFICERS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w:t>
      </w:r>
    </w:p>
    <w:p>
      <w:pPr>
        <w:spacing w:after="0" w:line="225" w:lineRule="exact"/>
        <w:rPr>
          <w:sz w:val="20"/>
          <w:szCs w:val="20"/>
          <w:color w:val="auto"/>
        </w:rPr>
      </w:pPr>
    </w:p>
    <w:p>
      <w:pPr>
        <w:jc w:val="both"/>
        <w:ind w:left="100" w:right="399" w:firstLine="348"/>
        <w:spacing w:after="0" w:line="306" w:lineRule="auto"/>
        <w:rPr>
          <w:sz w:val="20"/>
          <w:szCs w:val="20"/>
          <w:color w:val="auto"/>
        </w:rPr>
      </w:pPr>
      <w:r>
        <w:rPr>
          <w:rFonts w:ascii="Arial" w:cs="Arial" w:eastAsia="Arial" w:hAnsi="Arial"/>
          <w:sz w:val="16"/>
          <w:szCs w:val="16"/>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p>
    <w:p>
      <w:pPr>
        <w:spacing w:after="0" w:line="225" w:lineRule="exact"/>
        <w:rPr>
          <w:sz w:val="20"/>
          <w:szCs w:val="20"/>
          <w:color w:val="auto"/>
        </w:rPr>
      </w:pPr>
    </w:p>
    <w:p>
      <w:pPr>
        <w:ind w:left="100" w:right="179" w:firstLine="348"/>
        <w:spacing w:after="0" w:line="291" w:lineRule="auto"/>
        <w:rPr>
          <w:sz w:val="20"/>
          <w:szCs w:val="20"/>
          <w:color w:val="auto"/>
        </w:rPr>
      </w:pPr>
      <w:r>
        <w:rPr>
          <w:rFonts w:ascii="Arial" w:cs="Arial" w:eastAsia="Arial" w:hAnsi="Arial"/>
          <w:sz w:val="16"/>
          <w:szCs w:val="16"/>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  NON-CERTIFICATED STOCK</w:t>
      </w:r>
    </w:p>
    <w:p>
      <w:pPr>
        <w:spacing w:after="0" w:line="225" w:lineRule="exact"/>
        <w:rPr>
          <w:sz w:val="20"/>
          <w:szCs w:val="20"/>
          <w:color w:val="auto"/>
        </w:rPr>
      </w:pPr>
    </w:p>
    <w:p>
      <w:pPr>
        <w:ind w:left="100" w:right="239" w:firstLine="351"/>
        <w:spacing w:after="0" w:line="291" w:lineRule="auto"/>
        <w:rPr>
          <w:sz w:val="20"/>
          <w:szCs w:val="20"/>
          <w:color w:val="auto"/>
        </w:rPr>
      </w:pPr>
      <w:r>
        <w:rPr>
          <w:rFonts w:ascii="Arial" w:cs="Arial" w:eastAsia="Arial" w:hAnsi="Arial"/>
          <w:sz w:val="16"/>
          <w:szCs w:val="16"/>
          <w:color w:val="auto"/>
        </w:rPr>
        <w:t>In accordance with Section 490.626 of Code of Iowa the Board of Directors of the Corporation is hereby authorized at its discretion to issue some or all of the shares of stock of any or all of its classes or series without certificates. With any reasonable time after the issue or transfer of shares without certificates, the Corporation shall send the shareholder a written statement of the information required on certificates by Section 490.625, Subsections 2 and 3, and, if applicable Section 490.627, Code of Iowa. The rights and obligations of shareholders of the Corporation are identical whether or not their shares are represented by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113665</wp:posOffset>
            </wp:positionV>
            <wp:extent cx="56038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019"/>
          </w:cols>
          <w:pgMar w:left="1440" w:top="131" w:right="1440" w:bottom="7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color w:val="auto"/>
        </w:rPr>
        <w:t>ARTICLE VI.  FISCAL YEAR</w:t>
      </w:r>
    </w:p>
    <w:p>
      <w:pPr>
        <w:spacing w:after="0" w:line="225" w:lineRule="exact"/>
        <w:rPr>
          <w:sz w:val="20"/>
          <w:szCs w:val="20"/>
          <w:color w:val="auto"/>
        </w:rPr>
      </w:pPr>
    </w:p>
    <w:p>
      <w:pPr>
        <w:ind w:left="100" w:right="119" w:firstLine="348"/>
        <w:spacing w:after="0" w:line="268" w:lineRule="auto"/>
        <w:rPr>
          <w:sz w:val="20"/>
          <w:szCs w:val="20"/>
          <w:color w:val="auto"/>
        </w:rPr>
      </w:pPr>
      <w:r>
        <w:rPr>
          <w:rFonts w:ascii="Arial" w:cs="Arial" w:eastAsia="Arial" w:hAnsi="Arial"/>
          <w:sz w:val="18"/>
          <w:szCs w:val="18"/>
          <w:color w:val="auto"/>
        </w:rPr>
        <w:t>The fiscal year of this Corporation shall begin on the next day following the last Saturday in August of any year and end on the last Saturday in August of the succeeding year.</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VII.  AMENDMENTS</w:t>
      </w:r>
    </w:p>
    <w:p>
      <w:pPr>
        <w:spacing w:after="0" w:line="225" w:lineRule="exact"/>
        <w:rPr>
          <w:sz w:val="20"/>
          <w:szCs w:val="20"/>
          <w:color w:val="auto"/>
        </w:rPr>
      </w:pPr>
    </w:p>
    <w:p>
      <w:pPr>
        <w:ind w:left="100" w:right="339" w:firstLine="348"/>
        <w:spacing w:after="0" w:line="268" w:lineRule="auto"/>
        <w:rPr>
          <w:sz w:val="20"/>
          <w:szCs w:val="20"/>
          <w:color w:val="auto"/>
        </w:rPr>
      </w:pPr>
      <w:r>
        <w:rPr>
          <w:rFonts w:ascii="Arial" w:cs="Arial" w:eastAsia="Arial" w:hAnsi="Arial"/>
          <w:sz w:val="18"/>
          <w:szCs w:val="18"/>
          <w:color w:val="auto"/>
        </w:rPr>
        <w:t>These By-Laws may be altered, amended or repealed and new By-Laws may be adopted by the Board of Directors at any regular or special meeting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2968625</wp:posOffset>
            </wp:positionV>
            <wp:extent cx="56038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1" w:name="page22"/>
    <w:bookmarkEnd w:id="21"/>
    <w:p>
      <w:pPr>
        <w:spacing w:after="0" w:line="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LIMITED GUARANTY</w:t>
      </w:r>
    </w:p>
    <w:p>
      <w:pPr>
        <w:spacing w:after="0" w:line="231" w:lineRule="exact"/>
        <w:rPr>
          <w:sz w:val="20"/>
          <w:szCs w:val="20"/>
          <w:color w:val="auto"/>
        </w:rPr>
      </w:pPr>
    </w:p>
    <w:p>
      <w:pPr>
        <w:ind w:left="100"/>
        <w:spacing w:after="0"/>
        <w:tabs>
          <w:tab w:leader="none" w:pos="6260" w:val="left"/>
        </w:tabs>
        <w:rPr>
          <w:sz w:val="20"/>
          <w:szCs w:val="20"/>
          <w:color w:val="auto"/>
        </w:rPr>
      </w:pPr>
      <w:r>
        <w:rPr>
          <w:rFonts w:ascii="Arial" w:cs="Arial" w:eastAsia="Arial" w:hAnsi="Arial"/>
          <w:sz w:val="18"/>
          <w:szCs w:val="18"/>
          <w:color w:val="auto"/>
        </w:rPr>
        <w:t>Forest City, Iowa</w:t>
      </w:r>
      <w:r>
        <w:rPr>
          <w:sz w:val="20"/>
          <w:szCs w:val="20"/>
          <w:color w:val="auto"/>
        </w:rPr>
        <w:tab/>
      </w:r>
      <w:r>
        <w:rPr>
          <w:rFonts w:ascii="Arial" w:cs="Arial" w:eastAsia="Arial" w:hAnsi="Arial"/>
          <w:sz w:val="16"/>
          <w:szCs w:val="16"/>
          <w:color w:val="auto"/>
        </w:rPr>
        <w:t xml:space="preserve">Dated </w:t>
      </w:r>
      <w:r>
        <w:rPr>
          <w:rFonts w:ascii="Arial" w:cs="Arial" w:eastAsia="Arial" w:hAnsi="Arial"/>
          <w:sz w:val="16"/>
          <w:szCs w:val="16"/>
          <w:u w:val="single" w:color="auto"/>
          <w:color w:val="auto"/>
        </w:rPr>
        <w:t>February 27, 2004</w:t>
      </w:r>
      <w:r>
        <w:rPr>
          <w:rFonts w:ascii="Arial" w:cs="Arial" w:eastAsia="Arial" w:hAnsi="Arial"/>
          <w:sz w:val="16"/>
          <w:szCs w:val="16"/>
          <w:color w:val="auto"/>
        </w:rPr>
        <w:t>.</w:t>
      </w:r>
    </w:p>
    <w:p>
      <w:pPr>
        <w:spacing w:after="0" w:line="225" w:lineRule="exact"/>
        <w:rPr>
          <w:sz w:val="20"/>
          <w:szCs w:val="20"/>
          <w:color w:val="auto"/>
        </w:rPr>
      </w:pPr>
    </w:p>
    <w:p>
      <w:pPr>
        <w:ind w:left="100" w:right="219" w:firstLine="351"/>
        <w:spacing w:after="0" w:line="290" w:lineRule="auto"/>
        <w:rPr>
          <w:sz w:val="20"/>
          <w:szCs w:val="20"/>
          <w:color w:val="auto"/>
        </w:rPr>
      </w:pPr>
      <w:r>
        <w:rPr>
          <w:rFonts w:ascii="Arial" w:cs="Arial" w:eastAsia="Arial" w:hAnsi="Arial"/>
          <w:sz w:val="16"/>
          <w:szCs w:val="16"/>
          <w:color w:val="auto"/>
        </w:rPr>
        <w:t>For good and valuable consideration, the receipt and sufficiency of which is hereby acknowledged, and to induce HCC Leasing Corporation (“Landlord”) to enter into a certain Lease-Business Property, (“Lease”), a copy of which is attached hereto and made a part of this Agreement, with CDI, LLC, an Indiana Limited Liability Company (“Tenant”) the undersigned, Winnebago Industries, Inc. (the “Guarantor”), hereby guarantees to Landlord the full reimbursement of the interest-only loan payments made during the period of construction of the improvements and the first 60 rental payments of the Lease which Tenant fails to pay pursuant to the terms of the Lease. The attached schedule described as Exhibit A is the sole document reflecting said payment schedule and interest-only payments.</w:t>
      </w:r>
    </w:p>
    <w:p>
      <w:pPr>
        <w:spacing w:after="0" w:line="172" w:lineRule="exact"/>
        <w:rPr>
          <w:sz w:val="20"/>
          <w:szCs w:val="20"/>
          <w:color w:val="auto"/>
        </w:rPr>
      </w:pPr>
    </w:p>
    <w:p>
      <w:pPr>
        <w:ind w:left="100" w:right="259" w:firstLine="351"/>
        <w:spacing w:after="0" w:line="290" w:lineRule="auto"/>
        <w:rPr>
          <w:sz w:val="20"/>
          <w:szCs w:val="20"/>
          <w:color w:val="auto"/>
        </w:rPr>
      </w:pPr>
      <w:r>
        <w:rPr>
          <w:rFonts w:ascii="Arial" w:cs="Arial" w:eastAsia="Arial" w:hAnsi="Arial"/>
          <w:sz w:val="16"/>
          <w:szCs w:val="16"/>
          <w:color w:val="auto"/>
        </w:rPr>
        <w:t>In the event of rental default, Landlord shall give Tenant, Jeffrey W. Schwartz and John V. Bibbo, Jr. written notice, with copy to Guarantor, specifying the rental payment in default and will pursue reasonable means of correcting the default from Tenant, Jeffrey W. Schwartz and John V. Bibbo, Jr. as provided for in the terms of the Lease (Paragraph 21). “Reasonable means” shall include written notice of default given by Landlord to Tenant, Jeffrey W. Schwartz and John V. Bibbo, Jr. as provided herein, but shall not require termination of the lease, notice to quit, forfeiture of the Lease, or filing suit, either at law or in equity, against the Tenant during the sixty day period of Tenant, Jeffrey W. Schwartz and John V. Bibbo, Jr. to correct the rental default.</w:t>
      </w:r>
    </w:p>
    <w:p>
      <w:pPr>
        <w:spacing w:after="0" w:line="172" w:lineRule="exact"/>
        <w:rPr>
          <w:sz w:val="20"/>
          <w:szCs w:val="20"/>
          <w:color w:val="auto"/>
        </w:rPr>
      </w:pPr>
    </w:p>
    <w:p>
      <w:pPr>
        <w:jc w:val="both"/>
        <w:ind w:left="100" w:right="259" w:firstLine="351"/>
        <w:spacing w:after="0" w:line="303" w:lineRule="auto"/>
        <w:rPr>
          <w:sz w:val="20"/>
          <w:szCs w:val="20"/>
          <w:color w:val="auto"/>
        </w:rPr>
      </w:pPr>
      <w:r>
        <w:rPr>
          <w:rFonts w:ascii="Arial" w:cs="Arial" w:eastAsia="Arial" w:hAnsi="Arial"/>
          <w:sz w:val="15"/>
          <w:szCs w:val="15"/>
          <w:color w:val="auto"/>
        </w:rPr>
        <w:t>In the event Tenant, Jeffrey W. Schwartz and John V. Bibbo, Jr. fail to correct said default within sixty (60) days from first notice of default, Landlord shall give Guarantor written notice specifying Tenant’s, Jeffrey W. Schwartz’s and John V. Bibbo, Jr.’s default and Landlord’s intent to terminate said Lease unless remedied by Guarantor. Guarantor shall have thirty</w:t>
      </w:r>
    </w:p>
    <w:p>
      <w:pPr>
        <w:spacing w:after="0" w:line="1" w:lineRule="exact"/>
        <w:rPr>
          <w:sz w:val="20"/>
          <w:szCs w:val="20"/>
          <w:color w:val="auto"/>
        </w:rPr>
      </w:pPr>
    </w:p>
    <w:p>
      <w:pPr>
        <w:ind w:left="100" w:right="159" w:firstLine="5"/>
        <w:spacing w:after="0" w:line="252" w:lineRule="auto"/>
        <w:tabs>
          <w:tab w:leader="none" w:pos="4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days from receipt of said notice in which to take appropriate action to remedy the default. Said remedy shall, at the sole discretion of Guarantor, include but not be limited to: reimbursement to Landlord for default arrearages, assumption of the Lease by Guarantor, or the exercise of the option to purchase said real estate and improvements. Guarantor shall give written notice to Landlord, with copy to Tenant, of its intentions and method to remedy the default within thirty (30) days of receipt of notice of default from Landlord. Tenant’s copy represents sufficient legal notice to Jeffrey W. Schwartz and John V. Bibbo, Jr.</w:t>
      </w:r>
    </w:p>
    <w:p>
      <w:pPr>
        <w:spacing w:after="0" w:line="202" w:lineRule="exact"/>
        <w:rPr>
          <w:sz w:val="20"/>
          <w:szCs w:val="20"/>
          <w:color w:val="auto"/>
        </w:rPr>
      </w:pPr>
    </w:p>
    <w:p>
      <w:pPr>
        <w:ind w:left="100" w:right="179" w:firstLine="351"/>
        <w:spacing w:after="0" w:line="291" w:lineRule="auto"/>
        <w:rPr>
          <w:sz w:val="20"/>
          <w:szCs w:val="20"/>
          <w:color w:val="auto"/>
        </w:rPr>
      </w:pPr>
      <w:r>
        <w:rPr>
          <w:rFonts w:ascii="Arial" w:cs="Arial" w:eastAsia="Arial" w:hAnsi="Arial"/>
          <w:sz w:val="16"/>
          <w:szCs w:val="16"/>
          <w:color w:val="auto"/>
        </w:rPr>
        <w:t>In the event of Guarantor’s exercise of option to reimburse Landlord for default arrearages, Guarantor shall make prompt payment to Landlord for all overdue rents, including all reasonable penalties, late fees and bank charges associated with the default. Guarantor shall have the right to seek reimbursement from Tenant, Jeffrey W. Schwartz and John V. Bibbo, Jr. for any and all advancements made to remedy the default of the Lease. In the process of seeking reimbursement, Guarantor shall have the right to withhold an amount equal to the payment(s) made to Landlord from its accounts payable to Tenant as a result of services provided to Guarantor in conjunction with the Lease.</w:t>
      </w:r>
    </w:p>
    <w:p>
      <w:pPr>
        <w:spacing w:after="0" w:line="174" w:lineRule="exact"/>
        <w:rPr>
          <w:sz w:val="20"/>
          <w:szCs w:val="20"/>
          <w:color w:val="auto"/>
        </w:rPr>
      </w:pPr>
    </w:p>
    <w:p>
      <w:pPr>
        <w:ind w:left="100" w:right="199" w:firstLine="351"/>
        <w:spacing w:after="0" w:line="290" w:lineRule="auto"/>
        <w:rPr>
          <w:sz w:val="20"/>
          <w:szCs w:val="20"/>
          <w:color w:val="auto"/>
        </w:rPr>
      </w:pPr>
      <w:r>
        <w:rPr>
          <w:rFonts w:ascii="Arial" w:cs="Arial" w:eastAsia="Arial" w:hAnsi="Arial"/>
          <w:sz w:val="16"/>
          <w:szCs w:val="16"/>
          <w:color w:val="auto"/>
        </w:rPr>
        <w:t>In the event Guarantor elects to assume the Lease from Tenant, Guarantor shall provide a Notice of Assignment that it has assumed the Tenant’s obligations under the Lease and shall promptly pay all overdue rents, including all penalties, late fees and bank charges associated with the default. Landlord shall have the right to rely on said Notice of Assignment and shall recognize Guarantor as Tenant under the Lease including all rights and privileges as Tenant associated with a capital lease. The Lease will continue unabated until termination and the amortization of the remaining payments due during the term of the Lease. At Guarantor’s sole discretion, Guarantor may elect to immediately terminate the occupancy of Tenant or allow Tenant to retain occupancy as a subleasee of the Guarantor.</w:t>
      </w:r>
    </w:p>
    <w:p>
      <w:pPr>
        <w:spacing w:after="0" w:line="172" w:lineRule="exact"/>
        <w:rPr>
          <w:sz w:val="20"/>
          <w:szCs w:val="20"/>
          <w:color w:val="auto"/>
        </w:rPr>
      </w:pPr>
    </w:p>
    <w:p>
      <w:pPr>
        <w:ind w:left="100" w:right="139" w:firstLine="351"/>
        <w:spacing w:after="0" w:line="268" w:lineRule="auto"/>
        <w:rPr>
          <w:sz w:val="20"/>
          <w:szCs w:val="20"/>
          <w:color w:val="auto"/>
        </w:rPr>
      </w:pPr>
      <w:r>
        <w:rPr>
          <w:rFonts w:ascii="Arial" w:cs="Arial" w:eastAsia="Arial" w:hAnsi="Arial"/>
          <w:sz w:val="18"/>
          <w:szCs w:val="18"/>
          <w:color w:val="auto"/>
        </w:rPr>
        <w:t>In the event of Guarantor’s exercise of option to purchase the real estate with improvements from Landlord, the price of the real estate shall be the outstanding indebtedness owed by Landlord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121285</wp:posOffset>
            </wp:positionV>
            <wp:extent cx="56038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0" w:right="119"/>
        <w:spacing w:after="0" w:line="289" w:lineRule="auto"/>
        <w:rPr>
          <w:sz w:val="20"/>
          <w:szCs w:val="20"/>
          <w:color w:val="auto"/>
        </w:rPr>
      </w:pPr>
      <w:r>
        <w:rPr>
          <w:rFonts w:ascii="Arial" w:cs="Arial" w:eastAsia="Arial" w:hAnsi="Arial"/>
          <w:sz w:val="16"/>
          <w:szCs w:val="16"/>
          <w:color w:val="auto"/>
        </w:rPr>
        <w:t>date of purchase by Guarantor which Landlord incurred as a direct result of the purchase of said real estate and the construction of the improvements pursuant to the plans and specifications referenced in the Lease. The amortization schedule providing such indebtedness will be the sole document reflecting said indebtedness. Future improvements not contemplated by the Lease but completed as part of Tenant’s occupancy shall be included in the purchase at no additional cost unless this Guaranty is specifically amended to reflect the cost of said improvements and Landlord’s increased indebtedness. Landlord shall authorize its lender holding the mortgage lien against the real estate that is the subject of the Lease to disclose to Guarantor all information requested by Guarantor in connection with the status of the payments and outstanding balance of the Landlord’s indebtedness.</w:t>
      </w:r>
    </w:p>
    <w:p>
      <w:pPr>
        <w:spacing w:after="0" w:line="172" w:lineRule="exact"/>
        <w:rPr>
          <w:sz w:val="20"/>
          <w:szCs w:val="20"/>
          <w:color w:val="auto"/>
        </w:rPr>
      </w:pPr>
    </w:p>
    <w:p>
      <w:pPr>
        <w:ind w:left="100" w:right="119" w:firstLine="341"/>
        <w:spacing w:after="0" w:line="290" w:lineRule="auto"/>
        <w:rPr>
          <w:sz w:val="20"/>
          <w:szCs w:val="20"/>
          <w:color w:val="auto"/>
        </w:rPr>
      </w:pPr>
      <w:r>
        <w:rPr>
          <w:rFonts w:ascii="Arial" w:cs="Arial" w:eastAsia="Arial" w:hAnsi="Arial"/>
          <w:sz w:val="16"/>
          <w:szCs w:val="16"/>
          <w:color w:val="auto"/>
        </w:rPr>
        <w:t>At the commencement of occupancy of the Tenant, Landlord will provide to Guarantor, documented evidence of the actual cost of real estate and improvements and the indebtedness incurred as a result. Included in the documentation shall be a listing of all expenditures relating to the acquisition of said real estate and construction of the improvements. Also included in the documentation shall be a copy of the indebtedness arranged with any financial authority and the amortization schedule to retire said indebtedness. Subject to the terms and conditions of this Limited Guaranty, Landlord covenants that all monthly installments of principal and interest due and payable on the mortgage indebtedness shall be paid in a timely manner when due and the amortization of said indebtedness will continue unabated.</w:t>
      </w:r>
    </w:p>
    <w:p>
      <w:pPr>
        <w:spacing w:after="0" w:line="172" w:lineRule="exact"/>
        <w:rPr>
          <w:sz w:val="20"/>
          <w:szCs w:val="20"/>
          <w:color w:val="auto"/>
        </w:rPr>
      </w:pPr>
    </w:p>
    <w:p>
      <w:pPr>
        <w:ind w:left="100" w:right="159" w:firstLine="351"/>
        <w:spacing w:after="0" w:line="314" w:lineRule="auto"/>
        <w:rPr>
          <w:sz w:val="20"/>
          <w:szCs w:val="20"/>
          <w:color w:val="auto"/>
        </w:rPr>
      </w:pPr>
      <w:r>
        <w:rPr>
          <w:rFonts w:ascii="Arial" w:cs="Arial" w:eastAsia="Arial" w:hAnsi="Arial"/>
          <w:sz w:val="15"/>
          <w:szCs w:val="15"/>
          <w:color w:val="auto"/>
        </w:rPr>
        <w:t>Landlord shall, within a reasonable time after receipt of notice of exercise of option to purchase, provide to Guarantor an Abstract of Title continued to the current date. After receipt of the Abstract, Guarantor shall be allowed up to thirty (30) days for performance of due diligence and examination of title and the making of objections thereto. Said objections shall be made in writing or deemed to be waived. If any objections are so made, Landlord shall be allowed up to ninety (90) days to make such title marketable. If said title is not marketable and is not made so within ninety (90) days or less from the date of written objection thereto, as above provided, any agreement to purchase resulting from the exercise of such option shall, at</w:t>
      </w:r>
    </w:p>
    <w:p>
      <w:pPr>
        <w:sectPr>
          <w:pgSz w:w="11900" w:h="16906" w:orient="portrait"/>
          <w:cols w:equalWidth="0" w:num="1">
            <w:col w:w="9019"/>
          </w:cols>
          <w:pgMar w:left="1440" w:top="111" w:right="1440" w:bottom="0" w:gutter="0" w:footer="0" w:header="0"/>
        </w:sectPr>
      </w:pPr>
    </w:p>
    <w:bookmarkStart w:id="22" w:name="page23"/>
    <w:bookmarkEnd w:id="22"/>
    <w:p>
      <w:pPr>
        <w:jc w:val="both"/>
        <w:ind w:left="100" w:right="239"/>
        <w:spacing w:after="0" w:line="294" w:lineRule="auto"/>
        <w:rPr>
          <w:sz w:val="20"/>
          <w:szCs w:val="20"/>
          <w:color w:val="auto"/>
        </w:rPr>
      </w:pPr>
      <w:r>
        <w:rPr>
          <w:rFonts w:ascii="Arial" w:cs="Arial" w:eastAsia="Arial" w:hAnsi="Arial"/>
          <w:sz w:val="16"/>
          <w:szCs w:val="16"/>
          <w:color w:val="auto"/>
        </w:rPr>
        <w:t>the option of the Guarantor, become null and void. In the event that Guarantor elects to purchase the real estate, Guarantor shall bring all past due rental payments current, including penalties, late fees and bank charges associated with the default, and continue to timely pay all monthly rental payments which become due until closing. For the purpose of this paragraph, both Landlord and Guarantor will pursue their representative obligations in good faith and with due diligence in an effort to expedite the referenced transaction.</w:t>
      </w:r>
    </w:p>
    <w:p>
      <w:pPr>
        <w:spacing w:after="0" w:line="170" w:lineRule="exact"/>
        <w:rPr>
          <w:sz w:val="20"/>
          <w:szCs w:val="20"/>
          <w:color w:val="auto"/>
        </w:rPr>
      </w:pPr>
    </w:p>
    <w:p>
      <w:pPr>
        <w:ind w:left="100" w:right="119" w:firstLine="351"/>
        <w:spacing w:after="0" w:line="290" w:lineRule="auto"/>
        <w:rPr>
          <w:sz w:val="20"/>
          <w:szCs w:val="20"/>
          <w:color w:val="auto"/>
        </w:rPr>
      </w:pPr>
      <w:r>
        <w:rPr>
          <w:rFonts w:ascii="Arial" w:cs="Arial" w:eastAsia="Arial" w:hAnsi="Arial"/>
          <w:sz w:val="16"/>
          <w:szCs w:val="16"/>
          <w:color w:val="auto"/>
        </w:rPr>
        <w:t>Landlord shall, upon receiving from Guarantor the purchase price, execute and deliver a Warranty Deed conveying marketable title to the property, free and clear of all encumbrances subject only to restrictions and easements of record as of the date of the exercise of the option to purchase. Landlord shall assign to Guarantor at closing all of Landlord’s right, title and interest in its Lease to the Guarantor. The closing of said sale, pursuant to the aforementioned exercise of option, shall be at the conclusion of Landlord’s period to make title marketable unless an earlier date is agreed upon in writing by the parties. Real estate taxes which would be delinquent if not paid shall be paid current as of the date of closing, but shall not be pro-rated to date of closing.</w:t>
      </w:r>
    </w:p>
    <w:p>
      <w:pPr>
        <w:spacing w:after="0" w:line="172" w:lineRule="exact"/>
        <w:rPr>
          <w:sz w:val="20"/>
          <w:szCs w:val="20"/>
          <w:color w:val="auto"/>
        </w:rPr>
      </w:pPr>
    </w:p>
    <w:p>
      <w:pPr>
        <w:ind w:left="100" w:right="99" w:firstLine="351"/>
        <w:spacing w:after="0" w:line="294" w:lineRule="auto"/>
        <w:rPr>
          <w:sz w:val="20"/>
          <w:szCs w:val="20"/>
          <w:color w:val="auto"/>
        </w:rPr>
      </w:pPr>
      <w:r>
        <w:rPr>
          <w:rFonts w:ascii="Arial" w:cs="Arial" w:eastAsia="Arial" w:hAnsi="Arial"/>
          <w:sz w:val="16"/>
          <w:szCs w:val="16"/>
          <w:color w:val="auto"/>
        </w:rPr>
        <w:t>Landlord shall have the right to place a mortgage against the leased premises as security for a loan to be obtained by Landlord; however, said loan shall expressly recognize and refer to this Guaranty and the rights of the Guarantor hereunder, and shall not allow the lender to add to, alter or modify the terms of this Guaranty. Landlord shall have the right to assign, for security purposes, all of its right, title and interest in this Guaranty to its Lender. However, such assignment will not affect the rights, obligations and duties of each party to this Agreement.</w:t>
      </w:r>
    </w:p>
    <w:p>
      <w:pPr>
        <w:spacing w:after="0" w:line="170" w:lineRule="exact"/>
        <w:rPr>
          <w:sz w:val="20"/>
          <w:szCs w:val="20"/>
          <w:color w:val="auto"/>
        </w:rPr>
      </w:pPr>
    </w:p>
    <w:p>
      <w:pPr>
        <w:ind w:left="100" w:right="339" w:firstLine="351"/>
        <w:spacing w:after="0" w:line="259" w:lineRule="auto"/>
        <w:rPr>
          <w:sz w:val="20"/>
          <w:szCs w:val="20"/>
          <w:color w:val="auto"/>
        </w:rPr>
      </w:pPr>
      <w:r>
        <w:rPr>
          <w:rFonts w:ascii="Arial" w:cs="Arial" w:eastAsia="Arial" w:hAnsi="Arial"/>
          <w:sz w:val="18"/>
          <w:szCs w:val="18"/>
          <w:color w:val="auto"/>
        </w:rPr>
        <w:t>Landlord hereby agrees during the term of this Guaranty and the term of the lease, not to attempt to refinance or alter the terms of its loan for the indebtedness of the real estate with improvements without the express written consent of Guarantor.</w:t>
      </w:r>
    </w:p>
    <w:p>
      <w:pPr>
        <w:spacing w:after="0" w:line="194" w:lineRule="exact"/>
        <w:rPr>
          <w:sz w:val="20"/>
          <w:szCs w:val="20"/>
          <w:color w:val="auto"/>
        </w:rPr>
      </w:pPr>
    </w:p>
    <w:p>
      <w:pPr>
        <w:ind w:left="100" w:right="279" w:firstLine="348"/>
        <w:spacing w:after="0" w:line="259" w:lineRule="auto"/>
        <w:rPr>
          <w:sz w:val="20"/>
          <w:szCs w:val="20"/>
          <w:color w:val="auto"/>
        </w:rPr>
      </w:pPr>
      <w:r>
        <w:rPr>
          <w:rFonts w:ascii="Arial" w:cs="Arial" w:eastAsia="Arial" w:hAnsi="Arial"/>
          <w:sz w:val="18"/>
          <w:szCs w:val="18"/>
          <w:color w:val="auto"/>
        </w:rPr>
        <w:t>This Guaranty contains the entire agreement between the parties concerning the subject matter hereof, and supercedes any and all previous agreements, whether oral or written. Any modification of the terms of this Agreement shall be ineffective to change, modify, discharge, or effect an abandonment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126365</wp:posOffset>
            </wp:positionV>
            <wp:extent cx="56038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right="299" w:firstLine="351"/>
        <w:spacing w:after="0" w:line="268" w:lineRule="auto"/>
        <w:rPr>
          <w:sz w:val="20"/>
          <w:szCs w:val="20"/>
          <w:color w:val="auto"/>
        </w:rPr>
      </w:pPr>
      <w:r>
        <w:rPr>
          <w:rFonts w:ascii="Arial" w:cs="Arial" w:eastAsia="Arial" w:hAnsi="Arial"/>
          <w:sz w:val="18"/>
          <w:szCs w:val="18"/>
          <w:color w:val="auto"/>
        </w:rPr>
        <w:t>of it, in whole or in part, unless modification is in writing and signed by the parties against whom enhancement of the modification is sought.</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WITNESS WHEREOF, this Guaranty has been duly executed by the undersigned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WINNEBAGO INDUSTRIES, INC.</w:t>
      </w: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420" w:type="dxa"/>
            <w:vAlign w:val="bottom"/>
            <w:gridSpan w:val="3"/>
          </w:tcPr>
          <w:p>
            <w:pPr>
              <w:ind w:left="60"/>
              <w:spacing w:after="0"/>
              <w:rPr>
                <w:sz w:val="20"/>
                <w:szCs w:val="20"/>
                <w:color w:val="auto"/>
              </w:rPr>
            </w:pPr>
            <w:r>
              <w:rPr>
                <w:rFonts w:ascii="Arial" w:cs="Arial" w:eastAsia="Arial" w:hAnsi="Arial"/>
                <w:sz w:val="18"/>
                <w:szCs w:val="18"/>
                <w:color w:val="auto"/>
              </w:rPr>
              <w:t>Ed Barker</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18"/>
                <w:szCs w:val="18"/>
                <w:color w:val="auto"/>
              </w:rPr>
              <w:t>Its:</w:t>
            </w:r>
          </w:p>
        </w:tc>
        <w:tc>
          <w:tcPr>
            <w:tcW w:w="3660" w:type="dxa"/>
            <w:vAlign w:val="bottom"/>
            <w:gridSpan w:val="4"/>
          </w:tcPr>
          <w:p>
            <w:pPr>
              <w:spacing w:after="0"/>
              <w:rPr>
                <w:sz w:val="20"/>
                <w:szCs w:val="20"/>
                <w:color w:val="auto"/>
              </w:rPr>
            </w:pPr>
            <w:r>
              <w:rPr>
                <w:rFonts w:ascii="Arial" w:cs="Arial" w:eastAsia="Arial" w:hAnsi="Arial"/>
                <w:sz w:val="18"/>
                <w:szCs w:val="18"/>
                <w:color w:val="auto"/>
              </w:rPr>
              <w:t>Sr. Vice President – Chief Financial Officer</w:t>
            </w:r>
          </w:p>
        </w:tc>
        <w:tc>
          <w:tcPr>
            <w:tcW w:w="0" w:type="dxa"/>
            <w:vAlign w:val="bottom"/>
          </w:tcPr>
          <w:p>
            <w:pPr>
              <w:spacing w:after="0"/>
              <w:rPr>
                <w:sz w:val="1"/>
                <w:szCs w:val="1"/>
                <w:color w:val="auto"/>
              </w:rPr>
            </w:pPr>
          </w:p>
        </w:tc>
      </w:tr>
      <w:tr>
        <w:trPr>
          <w:trHeight w:val="110"/>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rPr>
              <w:t>Concur:</w:t>
            </w: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62"/>
        </w:trPr>
        <w:tc>
          <w:tcPr>
            <w:tcW w:w="1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HCC LEASING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6"/>
              </w:rPr>
              <w:t>CORPORATION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420" w:type="dxa"/>
            <w:vAlign w:val="bottom"/>
            <w:gridSpan w:val="3"/>
          </w:tcPr>
          <w:p>
            <w:pPr>
              <w:ind w:left="60"/>
              <w:spacing w:after="0"/>
              <w:rPr>
                <w:sz w:val="20"/>
                <w:szCs w:val="20"/>
                <w:color w:val="auto"/>
              </w:rPr>
            </w:pPr>
            <w:r>
              <w:rPr>
                <w:rFonts w:ascii="Arial" w:cs="Arial" w:eastAsia="Arial" w:hAnsi="Arial"/>
                <w:sz w:val="18"/>
                <w:szCs w:val="18"/>
                <w:color w:val="auto"/>
              </w:rPr>
              <w:t>Charles S. Holland</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18"/>
                <w:szCs w:val="18"/>
                <w:color w:val="auto"/>
              </w:rPr>
              <w:t>Its:</w:t>
            </w:r>
          </w:p>
        </w:tc>
        <w:tc>
          <w:tcPr>
            <w:tcW w:w="3660" w:type="dxa"/>
            <w:vAlign w:val="bottom"/>
            <w:gridSpan w:val="4"/>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110"/>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rPr>
              <w:t>Concur:</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8"/>
        </w:trPr>
        <w:tc>
          <w:tcPr>
            <w:tcW w:w="1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20" w:type="dxa"/>
            <w:vAlign w:val="bottom"/>
            <w:gridSpan w:val="2"/>
          </w:tcPr>
          <w:p>
            <w:pPr>
              <w:spacing w:after="0" w:line="184" w:lineRule="exact"/>
              <w:rPr>
                <w:sz w:val="20"/>
                <w:szCs w:val="20"/>
                <w:color w:val="auto"/>
              </w:rPr>
            </w:pPr>
            <w:r>
              <w:rPr>
                <w:rFonts w:ascii="Arial" w:cs="Arial" w:eastAsia="Arial" w:hAnsi="Arial"/>
                <w:sz w:val="18"/>
                <w:szCs w:val="18"/>
                <w:color w:val="auto"/>
              </w:rPr>
              <w:t>CDI, LLC</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8"/>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420" w:type="dxa"/>
            <w:vAlign w:val="bottom"/>
            <w:gridSpan w:val="3"/>
          </w:tcPr>
          <w:p>
            <w:pPr>
              <w:ind w:left="60"/>
              <w:spacing w:after="0"/>
              <w:rPr>
                <w:sz w:val="20"/>
                <w:szCs w:val="20"/>
                <w:color w:val="auto"/>
              </w:rPr>
            </w:pPr>
            <w:r>
              <w:rPr>
                <w:rFonts w:ascii="Arial" w:cs="Arial" w:eastAsia="Arial" w:hAnsi="Arial"/>
                <w:sz w:val="18"/>
                <w:szCs w:val="18"/>
                <w:color w:val="auto"/>
              </w:rPr>
              <w:t>Jeff Schwartz</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18"/>
                <w:szCs w:val="18"/>
                <w:color w:val="auto"/>
              </w:rPr>
              <w:t>Its:</w:t>
            </w:r>
          </w:p>
        </w:tc>
        <w:tc>
          <w:tcPr>
            <w:tcW w:w="3660" w:type="dxa"/>
            <w:vAlign w:val="bottom"/>
            <w:gridSpan w:val="4"/>
          </w:tcPr>
          <w:p>
            <w:pPr>
              <w:spacing w:after="0"/>
              <w:rPr>
                <w:sz w:val="20"/>
                <w:szCs w:val="20"/>
                <w:color w:val="auto"/>
              </w:rPr>
            </w:pPr>
            <w:r>
              <w:rPr>
                <w:rFonts w:ascii="Arial" w:cs="Arial" w:eastAsia="Arial" w:hAnsi="Arial"/>
                <w:sz w:val="18"/>
                <w:szCs w:val="18"/>
                <w:color w:val="auto"/>
              </w:rPr>
              <w:t>Member</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420" w:type="dxa"/>
            <w:vAlign w:val="bottom"/>
            <w:gridSpan w:val="3"/>
          </w:tcPr>
          <w:p>
            <w:pPr>
              <w:ind w:left="60"/>
              <w:spacing w:after="0"/>
              <w:rPr>
                <w:sz w:val="20"/>
                <w:szCs w:val="20"/>
                <w:color w:val="auto"/>
              </w:rPr>
            </w:pPr>
            <w:r>
              <w:rPr>
                <w:rFonts w:ascii="Arial" w:cs="Arial" w:eastAsia="Arial" w:hAnsi="Arial"/>
                <w:sz w:val="18"/>
                <w:szCs w:val="18"/>
                <w:color w:val="auto"/>
              </w:rPr>
              <w:t>John Bibbo</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18"/>
                <w:szCs w:val="18"/>
                <w:color w:val="auto"/>
              </w:rPr>
              <w:t>Its:</w:t>
            </w:r>
          </w:p>
        </w:tc>
        <w:tc>
          <w:tcPr>
            <w:tcW w:w="3660" w:type="dxa"/>
            <w:vAlign w:val="bottom"/>
            <w:gridSpan w:val="4"/>
          </w:tcPr>
          <w:p>
            <w:pPr>
              <w:spacing w:after="0"/>
              <w:rPr>
                <w:sz w:val="20"/>
                <w:szCs w:val="20"/>
                <w:color w:val="auto"/>
              </w:rPr>
            </w:pPr>
            <w:r>
              <w:rPr>
                <w:rFonts w:ascii="Arial" w:cs="Arial" w:eastAsia="Arial" w:hAnsi="Arial"/>
                <w:sz w:val="18"/>
                <w:szCs w:val="18"/>
                <w:color w:val="auto"/>
              </w:rPr>
              <w:t>Member</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1440"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978535</wp:posOffset>
            </wp:positionH>
            <wp:positionV relativeFrom="page">
              <wp:posOffset>927100</wp:posOffset>
            </wp:positionV>
            <wp:extent cx="56038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4000"/>
        <w:spacing w:after="0"/>
        <w:rPr>
          <w:sz w:val="20"/>
          <w:szCs w:val="20"/>
          <w:color w:val="auto"/>
        </w:rPr>
      </w:pPr>
      <w:r>
        <w:rPr>
          <w:rFonts w:ascii="Arial" w:cs="Arial" w:eastAsia="Arial" w:hAnsi="Arial"/>
          <w:sz w:val="22"/>
          <w:szCs w:val="22"/>
          <w:b w:val="1"/>
          <w:bCs w:val="1"/>
          <w:color w:val="auto"/>
        </w:rPr>
        <w:t>Exhibit 10i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594360</wp:posOffset>
            </wp:positionV>
            <wp:extent cx="2238375" cy="814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383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00" w:right="580"/>
        <w:spacing w:after="0" w:line="452" w:lineRule="auto"/>
        <w:rPr>
          <w:sz w:val="20"/>
          <w:szCs w:val="20"/>
          <w:color w:val="auto"/>
        </w:rPr>
      </w:pPr>
      <w:r>
        <w:rPr>
          <w:rFonts w:ascii="Arial" w:cs="Arial" w:eastAsia="Arial" w:hAnsi="Arial"/>
          <w:sz w:val="24"/>
          <w:szCs w:val="24"/>
          <w:b w:val="1"/>
          <w:bCs w:val="1"/>
          <w:color w:val="auto"/>
        </w:rPr>
        <w:t>OFFICERS LONG-TERM INCENTIVE PLAN FISCAL THREE-YEAR PERIOD 2002, 2003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1281430</wp:posOffset>
            </wp:positionV>
            <wp:extent cx="56038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OFFICERS LONG-TERM INCENTIVE PLAN</w:t>
      </w:r>
    </w:p>
    <w:p>
      <w:pPr>
        <w:jc w:val="center"/>
        <w:ind w:right="480"/>
        <w:spacing w:after="0"/>
        <w:rPr>
          <w:sz w:val="20"/>
          <w:szCs w:val="20"/>
          <w:color w:val="auto"/>
        </w:rPr>
      </w:pPr>
      <w:r>
        <w:rPr>
          <w:rFonts w:ascii="Arial" w:cs="Arial" w:eastAsia="Arial" w:hAnsi="Arial"/>
          <w:sz w:val="22"/>
          <w:szCs w:val="22"/>
          <w:b w:val="1"/>
          <w:bCs w:val="1"/>
          <w:color w:val="auto"/>
        </w:rPr>
        <w:t>Fiscal Three-Year Period 2002, 2003 and 2004</w:t>
      </w:r>
    </w:p>
    <w:p>
      <w:pPr>
        <w:spacing w:after="0" w:line="195" w:lineRule="exact"/>
        <w:rPr>
          <w:sz w:val="20"/>
          <w:szCs w:val="20"/>
          <w:color w:val="auto"/>
        </w:rPr>
      </w:pPr>
    </w:p>
    <w:p>
      <w:pPr>
        <w:ind w:left="620" w:right="100" w:hanging="515"/>
        <w:spacing w:after="0" w:line="258"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Long-Term Incentive Plan (the “Plan”) is to promote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217" w:lineRule="exact"/>
        <w:rPr>
          <w:rFonts w:ascii="Arial" w:cs="Arial" w:eastAsia="Arial" w:hAnsi="Arial"/>
          <w:sz w:val="18"/>
          <w:szCs w:val="18"/>
          <w:color w:val="auto"/>
        </w:rPr>
      </w:pPr>
    </w:p>
    <w:p>
      <w:pPr>
        <w:ind w:left="620" w:hanging="515"/>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100" w:right="100" w:hanging="536"/>
        <w:spacing w:after="0" w:line="261"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Human Resources Committee</w:t>
      </w:r>
      <w:r>
        <w:rPr>
          <w:rFonts w:ascii="Arial" w:cs="Arial" w:eastAsia="Arial" w:hAnsi="Arial"/>
          <w:sz w:val="18"/>
          <w:szCs w:val="18"/>
          <w:color w:val="auto"/>
        </w:rPr>
        <w:t>. The Plan shall be administered by a Committee (the “Committee”)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w:t>
      </w:r>
    </w:p>
    <w:p>
      <w:pPr>
        <w:spacing w:after="0" w:line="212" w:lineRule="exact"/>
        <w:rPr>
          <w:rFonts w:ascii="Arial" w:cs="Arial" w:eastAsia="Arial" w:hAnsi="Arial"/>
          <w:sz w:val="18"/>
          <w:szCs w:val="18"/>
          <w:color w:val="auto"/>
        </w:rPr>
      </w:pPr>
    </w:p>
    <w:p>
      <w:pPr>
        <w:ind w:left="1100" w:right="20" w:hanging="536"/>
        <w:spacing w:after="0" w:line="258"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and Duties</w:t>
      </w:r>
      <w:r>
        <w:rPr>
          <w:rFonts w:ascii="Arial" w:cs="Arial" w:eastAsia="Arial" w:hAnsi="Arial"/>
          <w:sz w:val="18"/>
          <w:szCs w:val="18"/>
          <w:color w:val="auto"/>
        </w:rPr>
        <w:t>. The Committee shall have sole discretion and authority to make any and all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17" w:lineRule="exact"/>
        <w:rPr>
          <w:rFonts w:ascii="Arial" w:cs="Arial" w:eastAsia="Arial" w:hAnsi="Arial"/>
          <w:sz w:val="18"/>
          <w:szCs w:val="18"/>
          <w:color w:val="auto"/>
        </w:rPr>
      </w:pPr>
    </w:p>
    <w:p>
      <w:pPr>
        <w:ind w:left="1100" w:hanging="536"/>
        <w:spacing w:after="0" w:line="275"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color w:val="auto"/>
        </w:rPr>
        <w:t>. The Committee must approve the Plan prior to the beginning of each new fiscal three (3) year plan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Each year a new plan will be established for a new three-year period.</w:t>
      </w:r>
    </w:p>
    <w:p>
      <w:pPr>
        <w:spacing w:after="0" w:line="200" w:lineRule="exact"/>
        <w:rPr>
          <w:rFonts w:ascii="Arial" w:cs="Arial" w:eastAsia="Arial" w:hAnsi="Arial"/>
          <w:sz w:val="18"/>
          <w:szCs w:val="18"/>
          <w:color w:val="auto"/>
        </w:rPr>
      </w:pPr>
    </w:p>
    <w:p>
      <w:pPr>
        <w:ind w:left="620" w:hanging="515"/>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100" w:right="220" w:hanging="536"/>
        <w:spacing w:after="0" w:line="261"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1100" w:right="80" w:hanging="536"/>
        <w:spacing w:after="0" w:line="268"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program except as provided for in section c. below.</w:t>
      </w:r>
    </w:p>
    <w:p>
      <w:pPr>
        <w:spacing w:after="0" w:line="212" w:lineRule="exact"/>
        <w:rPr>
          <w:rFonts w:ascii="Arial" w:cs="Arial" w:eastAsia="Arial" w:hAnsi="Arial"/>
          <w:sz w:val="18"/>
          <w:szCs w:val="18"/>
          <w:color w:val="auto"/>
        </w:rPr>
      </w:pPr>
    </w:p>
    <w:p>
      <w:pPr>
        <w:ind w:left="1100" w:right="260" w:hanging="536"/>
        <w:spacing w:after="0" w:line="259"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President of Winnebago Industries, Inc. will make the determination on participation for new participants, for partial awards due to retirement or disability and other related partial year participation issues necessary to maintain routine and equitable administration of the Plan.</w:t>
      </w:r>
    </w:p>
    <w:p>
      <w:pPr>
        <w:spacing w:after="0" w:line="215" w:lineRule="exact"/>
        <w:rPr>
          <w:rFonts w:ascii="Arial" w:cs="Arial" w:eastAsia="Arial" w:hAnsi="Arial"/>
          <w:sz w:val="18"/>
          <w:szCs w:val="18"/>
          <w:color w:val="auto"/>
        </w:rPr>
      </w:pPr>
    </w:p>
    <w:p>
      <w:pPr>
        <w:ind w:left="620" w:hanging="515"/>
        <w:spacing w:after="0" w:line="339"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long-term incentive award is based upon financial performance of the Corporation as established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(3) year Management Plan. The Plan is a three (3) year (fiscal) program that provides for an opportunity for an</w:t>
      </w:r>
    </w:p>
    <w:p>
      <w:pPr>
        <w:sectPr>
          <w:pgSz w:w="11900" w:h="16838" w:orient="portrait"/>
          <w:cols w:equalWidth="0" w:num="1">
            <w:col w:w="9500"/>
          </w:cols>
          <w:pgMar w:left="1440" w:top="1057" w:right="959" w:bottom="0" w:gutter="0" w:footer="0" w:header="0"/>
        </w:sectPr>
      </w:pPr>
    </w:p>
    <w:bookmarkStart w:id="25" w:name="page26"/>
    <w:bookmarkEnd w:id="25"/>
    <w:p>
      <w:pPr>
        <w:ind w:left="620" w:right="100"/>
        <w:spacing w:after="0" w:line="268" w:lineRule="auto"/>
        <w:rPr>
          <w:sz w:val="20"/>
          <w:szCs w:val="20"/>
          <w:color w:val="auto"/>
        </w:rPr>
      </w:pPr>
      <w:r>
        <w:rPr>
          <w:rFonts w:ascii="Arial" w:cs="Arial" w:eastAsia="Arial" w:hAnsi="Arial"/>
          <w:sz w:val="18"/>
          <w:szCs w:val="18"/>
          <w:color w:val="auto"/>
        </w:rPr>
        <w:t>incentive award based on the achievement of long-term performance results as measured at the end of the three (3) year fiscal period.</w:t>
      </w:r>
    </w:p>
    <w:p>
      <w:pPr>
        <w:spacing w:after="0" w:line="213"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353695</wp:posOffset>
            </wp:positionV>
            <wp:extent cx="56038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right="80" w:hanging="515"/>
        <w:spacing w:after="0" w:line="256"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long-term incentive award will be paid in cash. The amount of the participants’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226"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The long-term incentive for the officers provides for an opportunity of 25% of the annualized base salary (Target) to be awarded in cash at 100% achievement of the financial long-term objectives of earnings per share and return on equity. The annualized base salary figure used shall be the salary in place for each participant as of January 2002. A unit target opportunity shall be established by dividing the base salary target by the mean stock price as of the first business day of the three (3) year fiscal period. The resultant unit opportunity (at 100% of Plan) will be adjusted up or down as determined by first, the actual financial performance expressed as a percentage (Financial Factor) and second, the resulting units will be valued at the mean stock price at the end of the three (3) year fiscal period.</w:t>
      </w:r>
    </w:p>
    <w:p>
      <w:pPr>
        <w:spacing w:after="0" w:line="199" w:lineRule="exact"/>
        <w:rPr>
          <w:sz w:val="20"/>
          <w:szCs w:val="20"/>
          <w:color w:val="auto"/>
        </w:rPr>
      </w:pPr>
    </w:p>
    <w:p>
      <w:pPr>
        <w:ind w:left="580" w:right="260"/>
        <w:spacing w:after="0" w:line="259" w:lineRule="auto"/>
        <w:rPr>
          <w:sz w:val="20"/>
          <w:szCs w:val="20"/>
          <w:color w:val="auto"/>
        </w:rPr>
      </w:pPr>
      <w:r>
        <w:rPr>
          <w:rFonts w:ascii="Arial" w:cs="Arial" w:eastAsia="Arial" w:hAnsi="Arial"/>
          <w:sz w:val="18"/>
          <w:szCs w:val="18"/>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215" w:lineRule="exact"/>
        <w:rPr>
          <w:sz w:val="20"/>
          <w:szCs w:val="20"/>
          <w:color w:val="auto"/>
        </w:rPr>
      </w:pPr>
    </w:p>
    <w:p>
      <w:pPr>
        <w:ind w:left="620" w:right="80" w:hanging="515"/>
        <w:spacing w:after="0" w:line="290"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In the event the Company undergoes a change in control during the fiscal three (3) year plan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93" w:lineRule="exact"/>
        <w:rPr>
          <w:sz w:val="20"/>
          <w:szCs w:val="20"/>
          <w:color w:val="auto"/>
        </w:rPr>
      </w:pPr>
    </w:p>
    <w:p>
      <w:pPr>
        <w:ind w:left="580" w:right="20"/>
        <w:spacing w:after="0" w:line="288"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Long-Term Incentive Plan shall mean the time when (i)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1100" w:right="20" w:hanging="536"/>
        <w:spacing w:after="0" w:line="291" w:lineRule="auto"/>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1434465</wp:posOffset>
            </wp:positionV>
            <wp:extent cx="56038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540"/>
          </w:cols>
          <w:pgMar w:left="1440" w:top="131" w:right="9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associate of such Acquiring Person and is recommended or elected to succeed the Continuing Director by a majority of the Continuing Directors.</w:t>
      </w:r>
    </w:p>
    <w:p>
      <w:pPr>
        <w:sectPr>
          <w:pgSz w:w="11900" w:h="16838" w:orient="portrait"/>
          <w:cols w:equalWidth="0" w:num="1">
            <w:col w:w="9540"/>
          </w:cols>
          <w:pgMar w:left="1440" w:top="131" w:right="919" w:bottom="0" w:gutter="0" w:footer="0" w:header="0"/>
          <w:type w:val="continuous"/>
        </w:sectPr>
      </w:pPr>
    </w:p>
    <w:bookmarkStart w:id="26" w:name="page27"/>
    <w:bookmarkEnd w:id="26"/>
    <w:p>
      <w:pPr>
        <w:ind w:left="1100" w:right="220" w:hanging="536"/>
        <w:spacing w:after="0" w:line="298" w:lineRule="auto"/>
        <w:tabs>
          <w:tab w:leader="none" w:pos="11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93" w:lineRule="exact"/>
        <w:rPr>
          <w:rFonts w:ascii="Arial" w:cs="Arial" w:eastAsia="Arial" w:hAnsi="Arial"/>
          <w:sz w:val="16"/>
          <w:szCs w:val="16"/>
          <w:color w:val="auto"/>
        </w:rPr>
      </w:pPr>
    </w:p>
    <w:p>
      <w:pPr>
        <w:ind w:left="1100" w:hanging="536"/>
        <w:spacing w:after="0" w:line="268"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212" w:lineRule="exact"/>
        <w:rPr>
          <w:rFonts w:ascii="Arial" w:cs="Arial" w:eastAsia="Arial" w:hAnsi="Arial"/>
          <w:sz w:val="18"/>
          <w:szCs w:val="18"/>
          <w:color w:val="auto"/>
        </w:rPr>
      </w:pPr>
    </w:p>
    <w:p>
      <w:pPr>
        <w:ind w:left="1100" w:right="220" w:hanging="536"/>
        <w:spacing w:after="0" w:line="284" w:lineRule="auto"/>
        <w:tabs>
          <w:tab w:leader="none" w:pos="11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w:t>
      </w:r>
    </w:p>
    <w:p>
      <w:pPr>
        <w:spacing w:after="0" w:line="1" w:lineRule="exact"/>
        <w:rPr>
          <w:rFonts w:ascii="Arial" w:cs="Arial" w:eastAsia="Arial" w:hAnsi="Arial"/>
          <w:sz w:val="16"/>
          <w:szCs w:val="16"/>
          <w:color w:val="auto"/>
        </w:rPr>
      </w:pPr>
    </w:p>
    <w:p>
      <w:pPr>
        <w:ind w:left="1100" w:right="300" w:hanging="10"/>
        <w:spacing w:after="0" w:line="300" w:lineRule="auto"/>
        <w:tabs>
          <w:tab w:leader="none" w:pos="1349" w:val="left"/>
        </w:tabs>
        <w:numPr>
          <w:ilvl w:val="2"/>
          <w:numId w:val="16"/>
        </w:numPr>
        <w:rPr>
          <w:rFonts w:ascii="Arial" w:cs="Arial" w:eastAsia="Arial" w:hAnsi="Arial"/>
          <w:sz w:val="15"/>
          <w:szCs w:val="15"/>
          <w:color w:val="auto"/>
        </w:rPr>
      </w:pPr>
      <w:r>
        <w:rPr>
          <w:rFonts w:ascii="Arial" w:cs="Arial" w:eastAsia="Arial" w:hAnsi="Arial"/>
          <w:sz w:val="15"/>
          <w:szCs w:val="15"/>
          <w:color w:val="auto"/>
        </w:rPr>
        <w:t>any trust or fund in which such person has a substantial beneficial interest or as to which such person serves as trustee or in a similar fiduciary capacity, (3) any relative or spouse of such person, or any relative of such spouse, or</w:t>
      </w:r>
    </w:p>
    <w:p>
      <w:pPr>
        <w:ind w:left="1340" w:hanging="250"/>
        <w:spacing w:after="0"/>
        <w:tabs>
          <w:tab w:leader="none" w:pos="13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investment company for which such person or any Affiliate of such person serves as investment advisor.</w:t>
      </w:r>
    </w:p>
    <w:p>
      <w:pPr>
        <w:spacing w:after="0" w:line="268" w:lineRule="exact"/>
        <w:rPr>
          <w:rFonts w:ascii="Arial" w:cs="Arial" w:eastAsia="Arial" w:hAnsi="Arial"/>
          <w:sz w:val="16"/>
          <w:szCs w:val="16"/>
          <w:color w:val="auto"/>
        </w:rPr>
      </w:pPr>
    </w:p>
    <w:p>
      <w:pPr>
        <w:ind w:left="1100" w:right="280" w:hanging="536"/>
        <w:spacing w:after="0" w:line="335"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9" w:lineRule="exact"/>
        <w:rPr>
          <w:rFonts w:ascii="Arial" w:cs="Arial" w:eastAsia="Arial" w:hAnsi="Arial"/>
          <w:sz w:val="15"/>
          <w:szCs w:val="15"/>
          <w:color w:val="auto"/>
        </w:rPr>
      </w:pPr>
    </w:p>
    <w:p>
      <w:pPr>
        <w:ind w:left="1100" w:hanging="536"/>
        <w:spacing w:after="0"/>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52" w:lineRule="exact"/>
        <w:rPr>
          <w:rFonts w:ascii="Arial" w:cs="Arial" w:eastAsia="Arial" w:hAnsi="Arial"/>
          <w:sz w:val="18"/>
          <w:szCs w:val="18"/>
          <w:color w:val="auto"/>
        </w:rPr>
      </w:pPr>
    </w:p>
    <w:p>
      <w:pPr>
        <w:ind w:left="1100" w:right="320" w:hanging="536"/>
        <w:spacing w:after="0" w:line="268" w:lineRule="auto"/>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6" w:lineRule="exact"/>
        <w:rPr>
          <w:rFonts w:ascii="Arial" w:cs="Arial" w:eastAsia="Arial" w:hAnsi="Arial"/>
          <w:sz w:val="18"/>
          <w:szCs w:val="18"/>
          <w:color w:val="auto"/>
        </w:rPr>
      </w:pPr>
    </w:p>
    <w:p>
      <w:pPr>
        <w:ind w:left="620" w:right="660" w:hanging="515"/>
        <w:spacing w:after="0" w:line="275"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Except to the extent preempted by federal law, the consideration and operation of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Iowa.</w:t>
      </w:r>
    </w:p>
    <w:p>
      <w:pPr>
        <w:spacing w:after="0" w:line="200" w:lineRule="exact"/>
        <w:rPr>
          <w:rFonts w:ascii="Arial" w:cs="Arial" w:eastAsia="Arial" w:hAnsi="Arial"/>
          <w:sz w:val="18"/>
          <w:szCs w:val="18"/>
          <w:color w:val="auto"/>
        </w:rPr>
      </w:pPr>
    </w:p>
    <w:p>
      <w:pPr>
        <w:ind w:left="620" w:right="440" w:hanging="515"/>
        <w:spacing w:after="0" w:line="378"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b w:val="1"/>
          <w:bCs w:val="1"/>
          <w:u w:val="single" w:color="auto"/>
          <w:color w:val="auto"/>
        </w:rPr>
        <w:t>Employment Rights</w:t>
      </w:r>
      <w:r>
        <w:rPr>
          <w:rFonts w:ascii="Arial" w:cs="Arial" w:eastAsia="Arial" w:hAnsi="Arial"/>
          <w:sz w:val="15"/>
          <w:szCs w:val="15"/>
          <w:color w:val="auto"/>
        </w:rPr>
        <w:t>. Nothing in this Plan shall confer upon any employee the right to continue in the employ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Bruce D. Hertzke</w:t>
            </w:r>
          </w:p>
        </w:tc>
        <w:tc>
          <w:tcPr>
            <w:tcW w:w="236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February 17, 2004</w:t>
            </w:r>
          </w:p>
        </w:tc>
        <w:tc>
          <w:tcPr>
            <w:tcW w:w="1440" w:type="dxa"/>
            <w:vAlign w:val="bottom"/>
          </w:tcPr>
          <w:p>
            <w:pPr>
              <w:spacing w:after="0"/>
              <w:rPr>
                <w:sz w:val="19"/>
                <w:szCs w:val="19"/>
                <w:color w:val="auto"/>
              </w:rPr>
            </w:pPr>
          </w:p>
        </w:tc>
      </w:tr>
      <w:tr>
        <w:trPr>
          <w:trHeight w:val="110"/>
        </w:trPr>
        <w:tc>
          <w:tcPr>
            <w:tcW w:w="3320" w:type="dxa"/>
            <w:vAlign w:val="bottom"/>
            <w:tcBorders>
              <w:bottom w:val="single" w:sz="8" w:color="auto"/>
            </w:tcBorders>
            <w:gridSpan w:val="2"/>
          </w:tcPr>
          <w:p>
            <w:pPr>
              <w:spacing w:after="0"/>
              <w:rPr>
                <w:sz w:val="9"/>
                <w:szCs w:val="9"/>
                <w:color w:val="auto"/>
              </w:rPr>
            </w:pPr>
          </w:p>
        </w:tc>
        <w:tc>
          <w:tcPr>
            <w:tcW w:w="236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w w:val="95"/>
              </w:rPr>
              <w:t>Chairman of the Board, CEO and President</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Dated</w:t>
            </w:r>
          </w:p>
        </w:tc>
        <w:tc>
          <w:tcPr>
            <w:tcW w:w="1440" w:type="dxa"/>
            <w:vAlign w:val="bottom"/>
          </w:tcPr>
          <w:p>
            <w:pPr>
              <w:spacing w:after="0"/>
              <w:rPr>
                <w:sz w:val="24"/>
                <w:szCs w:val="24"/>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Frederick M. Zimmerman</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February 16, 2004</w:t>
            </w:r>
          </w:p>
        </w:tc>
        <w:tc>
          <w:tcPr>
            <w:tcW w:w="1440" w:type="dxa"/>
            <w:vAlign w:val="bottom"/>
          </w:tcPr>
          <w:p>
            <w:pPr>
              <w:spacing w:after="0"/>
              <w:rPr>
                <w:sz w:val="24"/>
                <w:szCs w:val="24"/>
                <w:color w:val="auto"/>
              </w:rPr>
            </w:pPr>
          </w:p>
        </w:tc>
      </w:tr>
      <w:tr>
        <w:trPr>
          <w:trHeight w:val="110"/>
        </w:trPr>
        <w:tc>
          <w:tcPr>
            <w:tcW w:w="3320" w:type="dxa"/>
            <w:vAlign w:val="bottom"/>
            <w:tcBorders>
              <w:bottom w:val="single" w:sz="8" w:color="auto"/>
            </w:tcBorders>
            <w:gridSpan w:val="2"/>
          </w:tcPr>
          <w:p>
            <w:pPr>
              <w:spacing w:after="0"/>
              <w:rPr>
                <w:sz w:val="9"/>
                <w:szCs w:val="9"/>
                <w:color w:val="auto"/>
              </w:rPr>
            </w:pPr>
          </w:p>
        </w:tc>
        <w:tc>
          <w:tcPr>
            <w:tcW w:w="236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rPr>
              <w:t>Human Resources Committee Chairman</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Dated</w:t>
            </w:r>
          </w:p>
        </w:tc>
        <w:tc>
          <w:tcPr>
            <w:tcW w:w="1440" w:type="dxa"/>
            <w:vAlign w:val="bottom"/>
          </w:tcPr>
          <w:p>
            <w:pPr>
              <w:spacing w:after="0"/>
              <w:rPr>
                <w:sz w:val="24"/>
                <w:szCs w:val="24"/>
                <w:color w:val="auto"/>
              </w:rPr>
            </w:pPr>
          </w:p>
        </w:tc>
      </w:tr>
      <w:tr>
        <w:trPr>
          <w:trHeight w:val="2079"/>
        </w:trPr>
        <w:tc>
          <w:tcPr>
            <w:tcW w:w="2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9540"/>
          </w:cols>
          <w:pgMar w:left="1440" w:top="374" w:right="919" w:bottom="1440" w:gutter="0" w:footer="0" w:header="0"/>
        </w:sectPr>
      </w:pPr>
    </w:p>
    <w:bookmarkStart w:id="27" w:name="page28"/>
    <w:bookmarkEnd w:id="27"/>
    <w:p>
      <w:pPr>
        <w:ind w:left="3980"/>
        <w:spacing w:after="0"/>
        <w:rPr>
          <w:sz w:val="20"/>
          <w:szCs w:val="20"/>
          <w:color w:val="auto"/>
        </w:rPr>
      </w:pPr>
      <w:r>
        <w:rPr>
          <w:rFonts w:ascii="Arial" w:cs="Arial" w:eastAsia="Arial" w:hAnsi="Arial"/>
          <w:sz w:val="22"/>
          <w:szCs w:val="22"/>
          <w:b w:val="1"/>
          <w:bCs w:val="1"/>
          <w:color w:val="auto"/>
        </w:rPr>
        <w:t>Exhibit 10r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594360</wp:posOffset>
            </wp:positionV>
            <wp:extent cx="2238375" cy="814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383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00" w:right="600"/>
        <w:spacing w:after="0" w:line="452" w:lineRule="auto"/>
        <w:rPr>
          <w:sz w:val="20"/>
          <w:szCs w:val="20"/>
          <w:color w:val="auto"/>
        </w:rPr>
      </w:pPr>
      <w:r>
        <w:rPr>
          <w:rFonts w:ascii="Arial" w:cs="Arial" w:eastAsia="Arial" w:hAnsi="Arial"/>
          <w:sz w:val="24"/>
          <w:szCs w:val="24"/>
          <w:b w:val="1"/>
          <w:bCs w:val="1"/>
          <w:color w:val="auto"/>
        </w:rPr>
        <w:t>OFFICERS LONG-TERM INCENTIVE PLAN FISCAL THREE-YEAR PERIOD 2003, 2004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1281430</wp:posOffset>
            </wp:positionV>
            <wp:extent cx="56038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OFFICERS LONG-TERM INCENTIVE PLAN</w:t>
      </w:r>
    </w:p>
    <w:p>
      <w:pPr>
        <w:jc w:val="center"/>
        <w:ind w:right="500"/>
        <w:spacing w:after="0"/>
        <w:rPr>
          <w:sz w:val="20"/>
          <w:szCs w:val="20"/>
          <w:color w:val="auto"/>
        </w:rPr>
      </w:pPr>
      <w:r>
        <w:rPr>
          <w:rFonts w:ascii="Arial" w:cs="Arial" w:eastAsia="Arial" w:hAnsi="Arial"/>
          <w:sz w:val="22"/>
          <w:szCs w:val="22"/>
          <w:b w:val="1"/>
          <w:bCs w:val="1"/>
          <w:color w:val="auto"/>
        </w:rPr>
        <w:t>Fiscal Three-Year Period 2003, 2004 and 2005</w:t>
      </w:r>
    </w:p>
    <w:p>
      <w:pPr>
        <w:spacing w:after="0" w:line="195" w:lineRule="exact"/>
        <w:rPr>
          <w:sz w:val="20"/>
          <w:szCs w:val="20"/>
          <w:color w:val="auto"/>
        </w:rPr>
      </w:pPr>
    </w:p>
    <w:p>
      <w:pPr>
        <w:ind w:left="620" w:right="120" w:hanging="515"/>
        <w:spacing w:after="0" w:line="258"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Long-Term Incentive Plan (the “Plan”) is to promote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217" w:lineRule="exact"/>
        <w:rPr>
          <w:rFonts w:ascii="Arial" w:cs="Arial" w:eastAsia="Arial" w:hAnsi="Arial"/>
          <w:sz w:val="18"/>
          <w:szCs w:val="18"/>
          <w:color w:val="auto"/>
        </w:rPr>
      </w:pPr>
    </w:p>
    <w:p>
      <w:pPr>
        <w:ind w:left="620" w:hanging="515"/>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100" w:right="80" w:hanging="536"/>
        <w:spacing w:after="0" w:line="261" w:lineRule="auto"/>
        <w:tabs>
          <w:tab w:leader="none" w:pos="1144"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Human Resources Committee</w:t>
      </w:r>
      <w:r>
        <w:rPr>
          <w:rFonts w:ascii="Arial" w:cs="Arial" w:eastAsia="Arial" w:hAnsi="Arial"/>
          <w:sz w:val="18"/>
          <w:szCs w:val="18"/>
          <w:color w:val="auto"/>
        </w:rPr>
        <w:t>. The Plan shall be administered by a Committee (the “Committee”)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w:t>
      </w:r>
    </w:p>
    <w:p>
      <w:pPr>
        <w:spacing w:after="0" w:line="212" w:lineRule="exact"/>
        <w:rPr>
          <w:rFonts w:ascii="Arial" w:cs="Arial" w:eastAsia="Arial" w:hAnsi="Arial"/>
          <w:sz w:val="18"/>
          <w:szCs w:val="18"/>
          <w:color w:val="auto"/>
        </w:rPr>
      </w:pPr>
    </w:p>
    <w:p>
      <w:pPr>
        <w:ind w:left="1100" w:right="40" w:hanging="536"/>
        <w:spacing w:after="0" w:line="258"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and Duties.</w:t>
      </w:r>
      <w:r>
        <w:rPr>
          <w:rFonts w:ascii="Arial" w:cs="Arial" w:eastAsia="Arial" w:hAnsi="Arial"/>
          <w:sz w:val="18"/>
          <w:szCs w:val="18"/>
          <w:color w:val="auto"/>
        </w:rPr>
        <w:t>. The Committee shall have sole discretion and authority to make any and all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217" w:lineRule="exact"/>
        <w:rPr>
          <w:rFonts w:ascii="Arial" w:cs="Arial" w:eastAsia="Arial" w:hAnsi="Arial"/>
          <w:sz w:val="18"/>
          <w:szCs w:val="18"/>
          <w:color w:val="auto"/>
        </w:rPr>
      </w:pPr>
    </w:p>
    <w:p>
      <w:pPr>
        <w:ind w:left="1100" w:right="20" w:hanging="536"/>
        <w:spacing w:after="0" w:line="275"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color w:val="auto"/>
        </w:rPr>
        <w:t>. The Committee must approve the Plan prior to the beginning of each new fiscal three (3) year plan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Each year a new plan will be established for a new three-year period.</w:t>
      </w:r>
    </w:p>
    <w:p>
      <w:pPr>
        <w:spacing w:after="0" w:line="200" w:lineRule="exact"/>
        <w:rPr>
          <w:rFonts w:ascii="Arial" w:cs="Arial" w:eastAsia="Arial" w:hAnsi="Arial"/>
          <w:sz w:val="18"/>
          <w:szCs w:val="18"/>
          <w:color w:val="auto"/>
        </w:rPr>
      </w:pPr>
    </w:p>
    <w:p>
      <w:pPr>
        <w:ind w:left="620" w:hanging="515"/>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100" w:right="200" w:hanging="536"/>
        <w:spacing w:after="0" w:line="261" w:lineRule="auto"/>
        <w:tabs>
          <w:tab w:leader="none" w:pos="11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Participants must be an officer of the Company with responsibilities that can have a real impact on the Corporation’s end results.</w:t>
      </w:r>
    </w:p>
    <w:p>
      <w:pPr>
        <w:spacing w:after="0" w:line="218" w:lineRule="exact"/>
        <w:rPr>
          <w:rFonts w:ascii="Arial" w:cs="Arial" w:eastAsia="Arial" w:hAnsi="Arial"/>
          <w:sz w:val="18"/>
          <w:szCs w:val="18"/>
          <w:color w:val="auto"/>
        </w:rPr>
      </w:pPr>
    </w:p>
    <w:p>
      <w:pPr>
        <w:ind w:left="1100" w:right="60" w:hanging="536"/>
        <w:spacing w:after="0" w:line="268" w:lineRule="auto"/>
        <w:tabs>
          <w:tab w:leader="none" w:pos="11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will approve all initial participation prior to the beginning of each new program except as provided for in section c. below.</w:t>
      </w:r>
    </w:p>
    <w:p>
      <w:pPr>
        <w:spacing w:after="0" w:line="212" w:lineRule="exact"/>
        <w:rPr>
          <w:rFonts w:ascii="Arial" w:cs="Arial" w:eastAsia="Arial" w:hAnsi="Arial"/>
          <w:sz w:val="18"/>
          <w:szCs w:val="18"/>
          <w:color w:val="auto"/>
        </w:rPr>
      </w:pPr>
    </w:p>
    <w:p>
      <w:pPr>
        <w:ind w:left="1100" w:hanging="536"/>
        <w:spacing w:after="0" w:line="306" w:lineRule="auto"/>
        <w:tabs>
          <w:tab w:leader="none" w:pos="1141"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President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81" w:lineRule="exact"/>
        <w:rPr>
          <w:rFonts w:ascii="Arial" w:cs="Arial" w:eastAsia="Arial" w:hAnsi="Arial"/>
          <w:sz w:val="16"/>
          <w:szCs w:val="16"/>
          <w:color w:val="auto"/>
        </w:rPr>
      </w:pPr>
    </w:p>
    <w:p>
      <w:pPr>
        <w:ind w:left="620" w:right="20" w:hanging="515"/>
        <w:spacing w:after="0" w:line="339"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long-term incentive award is based upon financial performance of the Corporation as established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(3) year Management Plan. The Plan is a three (3) year (fiscal) program that provides for an opportunity for an</w:t>
      </w:r>
    </w:p>
    <w:p>
      <w:pPr>
        <w:sectPr>
          <w:pgSz w:w="11900" w:h="16838" w:orient="portrait"/>
          <w:cols w:equalWidth="0" w:num="1">
            <w:col w:w="9520"/>
          </w:cols>
          <w:pgMar w:left="1440" w:top="1057" w:right="939" w:bottom="0" w:gutter="0" w:footer="0" w:header="0"/>
        </w:sectPr>
      </w:pPr>
    </w:p>
    <w:bookmarkStart w:id="28" w:name="page29"/>
    <w:bookmarkEnd w:id="28"/>
    <w:p>
      <w:pPr>
        <w:ind w:left="620" w:right="100"/>
        <w:spacing w:after="0" w:line="268" w:lineRule="auto"/>
        <w:rPr>
          <w:sz w:val="20"/>
          <w:szCs w:val="20"/>
          <w:color w:val="auto"/>
        </w:rPr>
      </w:pPr>
      <w:r>
        <w:rPr>
          <w:rFonts w:ascii="Arial" w:cs="Arial" w:eastAsia="Arial" w:hAnsi="Arial"/>
          <w:sz w:val="18"/>
          <w:szCs w:val="18"/>
          <w:color w:val="auto"/>
        </w:rPr>
        <w:t>incentive award based on the achievement of long-term performance results as measured at the end of the three (3) year fiscal period.</w:t>
      </w:r>
    </w:p>
    <w:p>
      <w:pPr>
        <w:spacing w:after="0" w:line="213"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The financial performance measurements for this Plan will be earnings per share and return on equity of the Company for this period. These financial performance measurements will provide an appropriate balance between quality and quantity of earnings. The Company’s formal three-year financial plan will be the basis on which actual performance will be measured. The beginning of the fiscal year stockholders’ equity at the first year of this period will be used as the base figure for the calculation of return on equity. Any stock repurchase program, adopted or completed outside of the three (3) year Management Plan will not be considered in the earnings per share and the return on equity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353695</wp:posOffset>
            </wp:positionV>
            <wp:extent cx="56038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right="80" w:hanging="515"/>
        <w:spacing w:after="0" w:line="256"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long-term incentive award will be paid in cash. The amount of the participants’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226"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The long-term incentive for the officers provides for an opportunity of 25% of the annualized base salary (Target) to be awarded in cash at 100% achievement of the financial long-term objectives of earnings per share and return on equity. The annualized base salary figure used shall be the salary in place for each participant as of January 2003. A unit target opportunity shall be established by dividing the base salary target by the mean stock price as of the first business day of the three (3) year fiscal period. The resultant unit opportunity (at 100% of Plan) will be adjusted up or down as determined by first, the actual financial performance expressed as a percentage (Financial Factor) and second, the resulting units will be valued at the mean stock price at the end of the three (3) year fiscal period.</w:t>
      </w:r>
    </w:p>
    <w:p>
      <w:pPr>
        <w:spacing w:after="0" w:line="199" w:lineRule="exact"/>
        <w:rPr>
          <w:sz w:val="20"/>
          <w:szCs w:val="20"/>
          <w:color w:val="auto"/>
        </w:rPr>
      </w:pPr>
    </w:p>
    <w:p>
      <w:pPr>
        <w:ind w:left="580" w:right="260"/>
        <w:spacing w:after="0" w:line="259" w:lineRule="auto"/>
        <w:rPr>
          <w:sz w:val="20"/>
          <w:szCs w:val="20"/>
          <w:color w:val="auto"/>
        </w:rPr>
      </w:pPr>
      <w:r>
        <w:rPr>
          <w:rFonts w:ascii="Arial" w:cs="Arial" w:eastAsia="Arial" w:hAnsi="Arial"/>
          <w:sz w:val="18"/>
          <w:szCs w:val="18"/>
          <w:color w:val="auto"/>
        </w:rPr>
        <w:t>A participant must be employed by Winnebago Industries, Inc. at the end of the fiscal three (3) year period to be eligible for any long-term incentive award except as waived by the President of Winnebago Industries, Inc. for normal retirement and disability.</w:t>
      </w:r>
    </w:p>
    <w:p>
      <w:pPr>
        <w:spacing w:after="0" w:line="215" w:lineRule="exact"/>
        <w:rPr>
          <w:sz w:val="20"/>
          <w:szCs w:val="20"/>
          <w:color w:val="auto"/>
        </w:rPr>
      </w:pPr>
    </w:p>
    <w:p>
      <w:pPr>
        <w:ind w:left="620" w:right="80" w:hanging="515"/>
        <w:spacing w:after="0" w:line="290"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In the event the Company undergoes a change in control during the fiscal three (3) year plan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an 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99" w:lineRule="exact"/>
        <w:rPr>
          <w:sz w:val="20"/>
          <w:szCs w:val="20"/>
          <w:color w:val="auto"/>
        </w:rPr>
      </w:pPr>
    </w:p>
    <w:p>
      <w:pPr>
        <w:ind w:left="580" w:right="20"/>
        <w:spacing w:after="0" w:line="287" w:lineRule="auto"/>
        <w:rPr>
          <w:sz w:val="20"/>
          <w:szCs w:val="20"/>
          <w:color w:val="auto"/>
        </w:rPr>
      </w:pPr>
      <w:r>
        <w:rPr>
          <w:rFonts w:ascii="Arial" w:cs="Arial" w:eastAsia="Arial" w:hAnsi="Arial"/>
          <w:sz w:val="16"/>
          <w:szCs w:val="16"/>
          <w:color w:val="auto"/>
        </w:rPr>
        <w:t>“Change in Control” for the purposes of the Officers Long-Term Incentive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1100" w:right="20" w:hanging="536"/>
        <w:spacing w:after="0" w:line="291" w:lineRule="auto"/>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353695</wp:posOffset>
            </wp:positionV>
            <wp:extent cx="56038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60" w:right="120"/>
        <w:spacing w:after="0" w:line="268" w:lineRule="auto"/>
        <w:rPr>
          <w:sz w:val="20"/>
          <w:szCs w:val="20"/>
          <w:color w:val="auto"/>
        </w:rPr>
      </w:pPr>
      <w:r>
        <w:rPr>
          <w:rFonts w:ascii="Arial" w:cs="Arial" w:eastAsia="Arial" w:hAnsi="Arial"/>
          <w:sz w:val="18"/>
          <w:szCs w:val="18"/>
          <w:color w:val="auto"/>
        </w:rPr>
        <w:t>associate of such Acquiring Person and is recommended or elected to succeed the Continuing Director by a majority of the Continuing Directors.</w:t>
      </w:r>
    </w:p>
    <w:p>
      <w:pPr>
        <w:spacing w:after="0" w:line="213" w:lineRule="exact"/>
        <w:rPr>
          <w:sz w:val="20"/>
          <w:szCs w:val="20"/>
          <w:color w:val="auto"/>
        </w:rPr>
      </w:pPr>
    </w:p>
    <w:p>
      <w:pPr>
        <w:ind w:left="1100" w:right="220" w:hanging="536"/>
        <w:spacing w:after="0" w:line="298" w:lineRule="auto"/>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193" w:lineRule="exact"/>
        <w:rPr>
          <w:rFonts w:ascii="Arial" w:cs="Arial" w:eastAsia="Arial" w:hAnsi="Arial"/>
          <w:sz w:val="16"/>
          <w:szCs w:val="16"/>
          <w:color w:val="auto"/>
        </w:rPr>
      </w:pPr>
    </w:p>
    <w:p>
      <w:pPr>
        <w:ind w:left="1100" w:hanging="536"/>
        <w:spacing w:after="0" w:line="26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ectPr>
          <w:pgSz w:w="11900" w:h="16838" w:orient="portrait"/>
          <w:cols w:equalWidth="0" w:num="1">
            <w:col w:w="9540"/>
          </w:cols>
          <w:pgMar w:left="1440" w:top="131" w:right="919" w:bottom="0" w:gutter="0" w:footer="0" w:header="0"/>
        </w:sectPr>
      </w:pPr>
    </w:p>
    <w:bookmarkStart w:id="29" w:name="page30"/>
    <w:bookmarkEnd w:id="29"/>
    <w:p>
      <w:pPr>
        <w:ind w:left="1100" w:hanging="536"/>
        <w:spacing w:after="0" w:line="291" w:lineRule="auto"/>
        <w:tabs>
          <w:tab w:leader="none" w:pos="1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01" w:lineRule="exact"/>
        <w:rPr>
          <w:rFonts w:ascii="Arial" w:cs="Arial" w:eastAsia="Arial" w:hAnsi="Arial"/>
          <w:sz w:val="16"/>
          <w:szCs w:val="16"/>
          <w:color w:val="auto"/>
        </w:rPr>
      </w:pPr>
    </w:p>
    <w:p>
      <w:pPr>
        <w:ind w:left="1100" w:right="280" w:hanging="536"/>
        <w:spacing w:after="0" w:line="335" w:lineRule="auto"/>
        <w:tabs>
          <w:tab w:leader="none" w:pos="11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169" w:lineRule="exact"/>
        <w:rPr>
          <w:rFonts w:ascii="Arial" w:cs="Arial" w:eastAsia="Arial" w:hAnsi="Arial"/>
          <w:sz w:val="15"/>
          <w:szCs w:val="15"/>
          <w:color w:val="auto"/>
        </w:rPr>
      </w:pPr>
    </w:p>
    <w:p>
      <w:pPr>
        <w:ind w:left="1100" w:hanging="536"/>
        <w:spacing w:after="0"/>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52" w:lineRule="exact"/>
        <w:rPr>
          <w:rFonts w:ascii="Arial" w:cs="Arial" w:eastAsia="Arial" w:hAnsi="Arial"/>
          <w:sz w:val="18"/>
          <w:szCs w:val="18"/>
          <w:color w:val="auto"/>
        </w:rPr>
      </w:pPr>
    </w:p>
    <w:p>
      <w:pPr>
        <w:ind w:left="1100" w:right="320" w:hanging="536"/>
        <w:spacing w:after="0" w:line="268" w:lineRule="auto"/>
        <w:tabs>
          <w:tab w:leader="none" w:pos="1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6" w:lineRule="exact"/>
        <w:rPr>
          <w:rFonts w:ascii="Arial" w:cs="Arial" w:eastAsia="Arial" w:hAnsi="Arial"/>
          <w:sz w:val="18"/>
          <w:szCs w:val="18"/>
          <w:color w:val="auto"/>
        </w:rPr>
      </w:pPr>
    </w:p>
    <w:p>
      <w:pPr>
        <w:ind w:left="620" w:right="660" w:hanging="515"/>
        <w:spacing w:after="0" w:line="275"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Except to the extent preempted by federal law, the consideration and operation of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Iowa.</w:t>
      </w:r>
    </w:p>
    <w:p>
      <w:pPr>
        <w:spacing w:after="0" w:line="200" w:lineRule="exact"/>
        <w:rPr>
          <w:rFonts w:ascii="Arial" w:cs="Arial" w:eastAsia="Arial" w:hAnsi="Arial"/>
          <w:sz w:val="18"/>
          <w:szCs w:val="18"/>
          <w:color w:val="auto"/>
        </w:rPr>
      </w:pPr>
    </w:p>
    <w:p>
      <w:pPr>
        <w:ind w:left="620" w:right="440" w:hanging="515"/>
        <w:spacing w:after="0" w:line="378"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b w:val="1"/>
          <w:bCs w:val="1"/>
          <w:u w:val="single" w:color="auto"/>
          <w:color w:val="auto"/>
        </w:rPr>
        <w:t>Employment Rights</w:t>
      </w:r>
      <w:r>
        <w:rPr>
          <w:rFonts w:ascii="Arial" w:cs="Arial" w:eastAsia="Arial" w:hAnsi="Arial"/>
          <w:sz w:val="15"/>
          <w:szCs w:val="15"/>
          <w:color w:val="auto"/>
        </w:rPr>
        <w:t>. Nothing in this Plan shall confer upon any employee the right to continue in the employ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affect the right of the Company to terminate an employee’s employment at any time, with or without cause.</w:t>
      </w: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Approved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Bruce D. Hertzke</w:t>
            </w:r>
          </w:p>
        </w:tc>
        <w:tc>
          <w:tcPr>
            <w:tcW w:w="236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February 17, 2004</w:t>
            </w:r>
          </w:p>
        </w:tc>
        <w:tc>
          <w:tcPr>
            <w:tcW w:w="1440" w:type="dxa"/>
            <w:vAlign w:val="bottom"/>
          </w:tcPr>
          <w:p>
            <w:pPr>
              <w:spacing w:after="0"/>
              <w:rPr>
                <w:sz w:val="19"/>
                <w:szCs w:val="19"/>
                <w:color w:val="auto"/>
              </w:rPr>
            </w:pPr>
          </w:p>
        </w:tc>
      </w:tr>
      <w:tr>
        <w:trPr>
          <w:trHeight w:val="110"/>
        </w:trPr>
        <w:tc>
          <w:tcPr>
            <w:tcW w:w="3320" w:type="dxa"/>
            <w:vAlign w:val="bottom"/>
            <w:tcBorders>
              <w:bottom w:val="single" w:sz="8" w:color="auto"/>
            </w:tcBorders>
            <w:gridSpan w:val="2"/>
          </w:tcPr>
          <w:p>
            <w:pPr>
              <w:spacing w:after="0"/>
              <w:rPr>
                <w:sz w:val="9"/>
                <w:szCs w:val="9"/>
                <w:color w:val="auto"/>
              </w:rPr>
            </w:pPr>
          </w:p>
        </w:tc>
        <w:tc>
          <w:tcPr>
            <w:tcW w:w="236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w w:val="95"/>
              </w:rPr>
              <w:t>Chairman of the Board, CEO and President</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Dated</w:t>
            </w:r>
          </w:p>
        </w:tc>
        <w:tc>
          <w:tcPr>
            <w:tcW w:w="1440" w:type="dxa"/>
            <w:vAlign w:val="bottom"/>
          </w:tcPr>
          <w:p>
            <w:pPr>
              <w:spacing w:after="0"/>
              <w:rPr>
                <w:sz w:val="24"/>
                <w:szCs w:val="24"/>
                <w:color w:val="auto"/>
              </w:rPr>
            </w:pPr>
          </w:p>
        </w:tc>
      </w:tr>
      <w:tr>
        <w:trPr>
          <w:trHeight w:val="459"/>
        </w:trPr>
        <w:tc>
          <w:tcPr>
            <w:tcW w:w="240" w:type="dxa"/>
            <w:vAlign w:val="bottom"/>
          </w:tcPr>
          <w:p>
            <w:pPr>
              <w:spacing w:after="0"/>
              <w:rPr>
                <w:sz w:val="20"/>
                <w:szCs w:val="20"/>
                <w:color w:val="auto"/>
              </w:rPr>
            </w:pPr>
            <w:r>
              <w:rPr>
                <w:rFonts w:ascii="Arial" w:cs="Arial" w:eastAsia="Arial" w:hAnsi="Arial"/>
                <w:sz w:val="18"/>
                <w:szCs w:val="18"/>
                <w:color w:val="auto"/>
              </w:rPr>
              <w:t>/s/</w:t>
            </w:r>
          </w:p>
        </w:tc>
        <w:tc>
          <w:tcPr>
            <w:tcW w:w="3080" w:type="dxa"/>
            <w:vAlign w:val="bottom"/>
          </w:tcPr>
          <w:p>
            <w:pPr>
              <w:ind w:left="60"/>
              <w:spacing w:after="0"/>
              <w:rPr>
                <w:sz w:val="20"/>
                <w:szCs w:val="20"/>
                <w:color w:val="auto"/>
              </w:rPr>
            </w:pPr>
            <w:r>
              <w:rPr>
                <w:rFonts w:ascii="Arial" w:cs="Arial" w:eastAsia="Arial" w:hAnsi="Arial"/>
                <w:sz w:val="18"/>
                <w:szCs w:val="18"/>
                <w:color w:val="auto"/>
              </w:rPr>
              <w:t>Frederick M. Zimmerman</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February 16, 2004</w:t>
            </w:r>
          </w:p>
        </w:tc>
        <w:tc>
          <w:tcPr>
            <w:tcW w:w="1440" w:type="dxa"/>
            <w:vAlign w:val="bottom"/>
          </w:tcPr>
          <w:p>
            <w:pPr>
              <w:spacing w:after="0"/>
              <w:rPr>
                <w:sz w:val="24"/>
                <w:szCs w:val="24"/>
                <w:color w:val="auto"/>
              </w:rPr>
            </w:pPr>
          </w:p>
        </w:tc>
      </w:tr>
      <w:tr>
        <w:trPr>
          <w:trHeight w:val="110"/>
        </w:trPr>
        <w:tc>
          <w:tcPr>
            <w:tcW w:w="3320" w:type="dxa"/>
            <w:vAlign w:val="bottom"/>
            <w:tcBorders>
              <w:bottom w:val="single" w:sz="8" w:color="auto"/>
            </w:tcBorders>
            <w:gridSpan w:val="2"/>
          </w:tcPr>
          <w:p>
            <w:pPr>
              <w:spacing w:after="0"/>
              <w:rPr>
                <w:sz w:val="9"/>
                <w:szCs w:val="9"/>
                <w:color w:val="auto"/>
              </w:rPr>
            </w:pPr>
          </w:p>
        </w:tc>
        <w:tc>
          <w:tcPr>
            <w:tcW w:w="2360" w:type="dxa"/>
            <w:vAlign w:val="bottom"/>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r>
      <w:tr>
        <w:trPr>
          <w:trHeight w:val="316"/>
        </w:trPr>
        <w:tc>
          <w:tcPr>
            <w:tcW w:w="3320" w:type="dxa"/>
            <w:vAlign w:val="bottom"/>
            <w:gridSpan w:val="2"/>
          </w:tcPr>
          <w:p>
            <w:pPr>
              <w:spacing w:after="0"/>
              <w:rPr>
                <w:sz w:val="20"/>
                <w:szCs w:val="20"/>
                <w:color w:val="auto"/>
              </w:rPr>
            </w:pPr>
            <w:r>
              <w:rPr>
                <w:rFonts w:ascii="Arial" w:cs="Arial" w:eastAsia="Arial" w:hAnsi="Arial"/>
                <w:sz w:val="18"/>
                <w:szCs w:val="18"/>
                <w:color w:val="auto"/>
              </w:rPr>
              <w:t>Human Resources Committee Chairman</w:t>
            </w:r>
          </w:p>
        </w:tc>
        <w:tc>
          <w:tcPr>
            <w:tcW w:w="236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Dated</w:t>
            </w:r>
          </w:p>
        </w:tc>
        <w:tc>
          <w:tcPr>
            <w:tcW w:w="1440" w:type="dxa"/>
            <w:vAlign w:val="bottom"/>
          </w:tcPr>
          <w:p>
            <w:pPr>
              <w:spacing w:after="0"/>
              <w:rPr>
                <w:sz w:val="24"/>
                <w:szCs w:val="24"/>
                <w:color w:val="auto"/>
              </w:rPr>
            </w:pPr>
          </w:p>
        </w:tc>
      </w:tr>
      <w:tr>
        <w:trPr>
          <w:trHeight w:val="2079"/>
        </w:trPr>
        <w:tc>
          <w:tcPr>
            <w:tcW w:w="2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9540"/>
          </w:cols>
          <w:pgMar w:left="1440" w:top="374" w:right="91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left="100" w:right="319"/>
        <w:spacing w:after="0" w:line="256" w:lineRule="auto"/>
        <w:rPr>
          <w:sz w:val="20"/>
          <w:szCs w:val="20"/>
          <w:color w:val="auto"/>
        </w:rPr>
      </w:pPr>
      <w:r>
        <w:rPr>
          <w:rFonts w:ascii="Arial" w:cs="Arial" w:eastAsia="Arial" w:hAnsi="Arial"/>
          <w:sz w:val="18"/>
          <w:szCs w:val="18"/>
          <w:color w:val="auto"/>
        </w:rPr>
        <w:t>We have performed a review, in accordance with standards established by the American Institute of Certified Public Accountants, of the unaudited interim financial information of Winnebago Industries, Inc. and subsidiaries for the periods ended February 28, 2004 and March 1, 2003 as indicated in our report dated April 8, 2004; because we did not perform an audit, we express no opinion on that information.</w:t>
      </w:r>
    </w:p>
    <w:p>
      <w:pPr>
        <w:spacing w:after="0" w:line="197" w:lineRule="exact"/>
        <w:rPr>
          <w:sz w:val="20"/>
          <w:szCs w:val="20"/>
          <w:color w:val="auto"/>
        </w:rPr>
      </w:pPr>
    </w:p>
    <w:p>
      <w:pPr>
        <w:ind w:left="100" w:right="199"/>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February 28, 2004, is incorporated by reference in Registration Statements No. 2-40316, No. 2-82109, No. 33-21757, No. 33-59930, and No. 333-31595 on Form S-8.</w:t>
      </w:r>
    </w:p>
    <w:p>
      <w:pPr>
        <w:spacing w:after="0" w:line="194" w:lineRule="exact"/>
        <w:rPr>
          <w:sz w:val="20"/>
          <w:szCs w:val="20"/>
          <w:color w:val="auto"/>
        </w:rPr>
      </w:pPr>
    </w:p>
    <w:p>
      <w:pPr>
        <w:ind w:left="100" w:right="119"/>
        <w:spacing w:after="0" w:line="259" w:lineRule="auto"/>
        <w:rPr>
          <w:sz w:val="20"/>
          <w:szCs w:val="20"/>
          <w:color w:val="auto"/>
        </w:rPr>
      </w:pPr>
      <w:r>
        <w:rPr>
          <w:rFonts w:ascii="Arial" w:cs="Arial" w:eastAsia="Arial" w:hAnsi="Arial"/>
          <w:sz w:val="18"/>
          <w:szCs w:val="18"/>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8, 2004</w:t>
      </w:r>
    </w:p>
    <w:p>
      <w:pPr>
        <w:sectPr>
          <w:pgSz w:w="11900" w:h="16838" w:orient="portrait"/>
          <w:cols w:equalWidth="0" w:num="1">
            <w:col w:w="9019"/>
          </w:cols>
          <w:pgMar w:left="1440" w:top="111"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 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Company and the Winnebago Industries, Inc. Deferred Compensation Plan, Winnebago Industries, Inc. Deferred Incentive Formula Bonus Plan and Winnebago Industries, Inc. Deferred Compensation Plan and Deferred Bonus Plan Trust are Defendants in an action titled </w:t>
      </w:r>
      <w:r>
        <w:rPr>
          <w:rFonts w:ascii="Arial" w:cs="Arial" w:eastAsia="Arial" w:hAnsi="Arial"/>
          <w:sz w:val="16"/>
          <w:szCs w:val="16"/>
          <w:u w:val="single" w:color="auto"/>
          <w:color w:val="auto"/>
        </w:rPr>
        <w:t>Sanft, et al vs. WinnebagoIndustries,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 et al</w:t>
      </w:r>
      <w:r>
        <w:rPr>
          <w:rFonts w:ascii="Arial" w:cs="Arial" w:eastAsia="Arial" w:hAnsi="Arial"/>
          <w:sz w:val="16"/>
          <w:szCs w:val="16"/>
          <w:color w:val="auto"/>
        </w:rPr>
        <w:t xml:space="preserve"> which was filed in the United States District Court, Northern District of Iowa, Central Division, on August 30, 2001 and is currently pending. The Complaint includes claims by 21 of the participants in the Winnebago Industries, Inc. Deferred Compensation Plan and the Winnebago Industries, Inc. Deferred Incentive Formula Bonus Plan (the “Plans”) and alleges 23 separate causes of action including Federal common law breach of contract and unjust enrichment, breach of fiduciary duty and violation of ERISA vesting provisions and ERISA funding requirements. The suit seeks to negate certain amendments made to the Plans in 1994 which reduced the benefits which some participants would receive under the Plans. Shortly after this suit was filed, the Company moved for summary judgment on the basis that the applicable statute of limitations barred the claims of the Plaintiff and the putative class and on May 24, 2002, Chief Judge Mark W. Bennett, U.S. District Court, Northern District of Iowa, entered an Order Denying the Motion for Summary Judgment and he also denied the Company’s request for an interlocutory appeal on this issue. On January 31, 2003, the United States Magistrate Judge Paul A. Zoss, granted Plaintiff Sanft’s Motion to Amend the Complaint to add Edward Luppen as a second named representative plaintiff in this matter and also on January 31, 2003 the Plaintiffs filed a Motion for Class Certification and the Company subsequently filed a Resistance thereto. Chief Judge Bennett entered a Memorandum Opinion and Order Regarding Plaintiffs’ Motion for Class Certification on May 7, 2003 in which he denied the Plaintiffs’ Motion for Class Certification. The Plaintiffs thereafter on May 12, 2003 filed a Motion for Amendment of Order Denying Class Certification in which they requested that Chief Judge Bennett reconsider his decision to deny class certification or in the event that class certification was still denied, allow Plaintiffs’ counsel to notify the other participants in the Plan who were adversely affected by the 1994 amendments of the pendency of the litigation and their ability to join the suit as additional plaintiffs. On July 28, 2003 Chief Judge Bennett entered an Order ruling on such Motion in which he again refused to allow Class Certification but he did provide that Plaintiffs’ counsel could contact the other participants in the Plan who were adversely affected by the 1994 amendments. The Plaintiffs, on October 15, 2003, filed a Motion for Leave to Amend Complaint in which they requested that 19 additional Plan participants (of approximately 46 potential plaintiffs) be added as additional plaintiffs and by Order dated October 21, 2003, Magistrate Judge Zoss allowed such Motion. The Company believes that it has meritorious defenses to the Plaintiffs’ substantive claims including the statute of limitations defense which the Defendants plan to resubmit to the Court prior to trial which is currently scheduled for June,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is the Defendant in a class action entitled </w:t>
      </w:r>
      <w:r>
        <w:rPr>
          <w:rFonts w:ascii="Arial" w:cs="Arial" w:eastAsia="Arial" w:hAnsi="Arial"/>
          <w:sz w:val="16"/>
          <w:szCs w:val="16"/>
          <w:u w:val="single" w:color="auto"/>
          <w:color w:val="auto"/>
        </w:rPr>
        <w:t>Jody Bartleson, et al vs.Winnebago Industries, Inc.,</w:t>
      </w:r>
      <w:r>
        <w:rPr>
          <w:rFonts w:ascii="Arial" w:cs="Arial" w:eastAsia="Arial" w:hAnsi="Arial"/>
          <w:sz w:val="16"/>
          <w:szCs w:val="16"/>
          <w:color w:val="auto"/>
        </w:rPr>
        <w:t xml:space="preserve"> which was filed in the United States District Court, Northern District of Iowa, Central Division on January 28, 2002. In the Complaint Ms. Bartleson, on her own behalf and as a representative of “others similarly situated,” alleges that such Plaintiffs were wrongfully classified by the Company as exempt employees when in fact they were non-exempt employees entitled to recover overtime compensation for work performed during the preceding three years. This suit was brought under the Federal Fair Labor Standards Act as an “opt in” class action, 21 people have joined the suit to date as plaintiffs. On October 24, 2003, the Magistrate Judge Paul A. Zoss entered an order approving an amendment to the Complaint whereby Plaintiffs’ counsel sought to add a claim under the Iowa Wage Payment Collection Act. The sole purpose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4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amendment is to attempt to change the nature of the case from “opt in” class action where individual Plaintiffs must take an affirmative act to join the lawsuit to an “opt out” class, where all persons who have been exempt salaried employees over the past three years are included as plaintiffs unless they individually seek to “opt out” of the lawsuit. Even though the amendment was granted, the Court has not yet certified the action as an “opt out” class action. The Company believes that it has meritorious defenses to the Plaintiffs’ substantive claims. Trial of this case is currently scheduled to commence on September 13, 2004. As of August 30, 2003, the Company had accrued estimated legal fees for the defense of this case. However, no other amounts have been accrued for the case because it is not possible at this time to properly assess the risk of an adverse verdict or the magnitude of possible exposure.</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is also involved in various other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ectPr>
          <w:pgSz w:w="11900" w:h="16838" w:orient="portrait"/>
          <w:cols w:equalWidth="0" w:num="1">
            <w:col w:w="11400"/>
          </w:cols>
          <w:pgMar w:left="240" w:top="125" w:right="259" w:bottom="1440" w:gutter="0" w:footer="0" w:header="0"/>
        </w:sectPr>
      </w:pPr>
    </w:p>
    <w:bookmarkStart w:id="32" w:name="page33"/>
    <w:bookmarkEnd w:id="32"/>
    <w:p>
      <w:pPr>
        <w:ind w:left="3960"/>
        <w:spacing w:after="0"/>
        <w:rPr>
          <w:sz w:val="20"/>
          <w:szCs w:val="20"/>
          <w:color w:val="auto"/>
        </w:rPr>
      </w:pPr>
      <w:r>
        <w:rPr>
          <w:rFonts w:ascii="Arial" w:cs="Arial" w:eastAsia="Arial" w:hAnsi="Arial"/>
          <w:sz w:val="22"/>
          <w:szCs w:val="22"/>
          <w:b w:val="1"/>
          <w:bCs w:val="1"/>
          <w:color w:val="auto"/>
        </w:rPr>
        <w:t>Exhibit 31.1</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CERTIFICATION BY CHIEF EXECUTIVE OFFICER</w:t>
      </w:r>
    </w:p>
    <w:p>
      <w:pPr>
        <w:ind w:left="2480"/>
        <w:spacing w:after="0" w:line="230" w:lineRule="auto"/>
        <w:rPr>
          <w:sz w:val="20"/>
          <w:szCs w:val="20"/>
          <w:color w:val="auto"/>
        </w:rPr>
      </w:pPr>
      <w:r>
        <w:rPr>
          <w:rFonts w:ascii="Arial" w:cs="Arial" w:eastAsia="Arial" w:hAnsi="Arial"/>
          <w:sz w:val="22"/>
          <w:szCs w:val="22"/>
          <w:b w:val="1"/>
          <w:bCs w:val="1"/>
          <w:color w:val="auto"/>
        </w:rPr>
        <w:t>PURSUANT TO 18 U.S.C. SECTION 1350,</w:t>
      </w:r>
    </w:p>
    <w:p>
      <w:pPr>
        <w:ind w:left="232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ind w:left="2420"/>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jc w:val="both"/>
        <w:ind w:left="1100" w:right="120" w:hanging="536"/>
        <w:spacing w:after="0" w:line="306" w:lineRule="auto"/>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7" w:lineRule="exact"/>
        <w:rPr>
          <w:rFonts w:ascii="Arial" w:cs="Arial" w:eastAsia="Arial" w:hAnsi="Arial"/>
          <w:sz w:val="16"/>
          <w:szCs w:val="16"/>
          <w:color w:val="auto"/>
        </w:rPr>
      </w:pPr>
    </w:p>
    <w:p>
      <w:pPr>
        <w:ind w:left="1100" w:hanging="536"/>
        <w:spacing w:after="0" w:line="259"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00" w:right="200" w:hanging="536"/>
        <w:spacing w:after="0" w:line="332" w:lineRule="auto"/>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1560" w:right="220" w:hanging="524"/>
        <w:spacing w:after="0" w:line="256" w:lineRule="auto"/>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8"/>
          <w:szCs w:val="18"/>
          <w:color w:val="auto"/>
        </w:rPr>
      </w:pPr>
    </w:p>
    <w:p>
      <w:pPr>
        <w:ind w:left="1560" w:right="120" w:hanging="524"/>
        <w:spacing w:after="0" w:line="259" w:lineRule="auto"/>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560" w:right="140" w:hanging="524"/>
        <w:spacing w:after="0" w:line="306" w:lineRule="auto"/>
        <w:tabs>
          <w:tab w:leader="none" w:pos="15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7" w:lineRule="exact"/>
        <w:rPr>
          <w:rFonts w:ascii="Arial" w:cs="Arial" w:eastAsia="Arial" w:hAnsi="Arial"/>
          <w:sz w:val="16"/>
          <w:szCs w:val="16"/>
          <w:color w:val="auto"/>
        </w:rPr>
      </w:pPr>
    </w:p>
    <w:p>
      <w:pPr>
        <w:ind w:left="1100" w:right="240" w:hanging="536"/>
        <w:spacing w:after="0" w:line="370" w:lineRule="auto"/>
        <w:tabs>
          <w:tab w:leader="none" w:pos="1141"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43" w:lineRule="exact"/>
        <w:rPr>
          <w:rFonts w:ascii="Arial" w:cs="Arial" w:eastAsia="Arial" w:hAnsi="Arial"/>
          <w:sz w:val="15"/>
          <w:szCs w:val="15"/>
          <w:color w:val="auto"/>
        </w:rPr>
      </w:pPr>
    </w:p>
    <w:p>
      <w:pPr>
        <w:jc w:val="both"/>
        <w:ind w:left="1560" w:right="220" w:hanging="524"/>
        <w:spacing w:after="0" w:line="259" w:lineRule="auto"/>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1560" w:right="160" w:hanging="524"/>
        <w:spacing w:after="0" w:line="268" w:lineRule="auto"/>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1925955</wp:posOffset>
            </wp:positionV>
            <wp:extent cx="56038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33" w:name="page34"/>
    <w:bookmarkEnd w:id="33"/>
    <w:p>
      <w:pPr>
        <w:jc w:val="center"/>
        <w:ind w:right="540"/>
        <w:spacing w:after="0"/>
        <w:rPr>
          <w:sz w:val="20"/>
          <w:szCs w:val="20"/>
          <w:color w:val="auto"/>
        </w:rPr>
      </w:pPr>
      <w:r>
        <w:rPr>
          <w:rFonts w:ascii="Arial" w:cs="Arial" w:eastAsia="Arial" w:hAnsi="Arial"/>
          <w:sz w:val="22"/>
          <w:szCs w:val="22"/>
          <w:b w:val="1"/>
          <w:bCs w:val="1"/>
          <w:color w:val="auto"/>
        </w:rPr>
        <w:t>Exhibit 31.2</w:t>
      </w:r>
    </w:p>
    <w:p>
      <w:pPr>
        <w:spacing w:after="0" w:line="5"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CERTIFICATION BY CHIEF FINANCIAL OFFICER</w:t>
      </w:r>
    </w:p>
    <w:p>
      <w:pPr>
        <w:jc w:val="center"/>
        <w:ind w:right="540"/>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540"/>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540"/>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Edwin F. Barker, Chief Financial Officer of Winnebago Industries, Inc., certify that:</w:t>
      </w:r>
    </w:p>
    <w:p>
      <w:pPr>
        <w:spacing w:after="0" w:line="225" w:lineRule="exact"/>
        <w:rPr>
          <w:sz w:val="20"/>
          <w:szCs w:val="20"/>
          <w:color w:val="auto"/>
        </w:rPr>
      </w:pPr>
    </w:p>
    <w:p>
      <w:pPr>
        <w:ind w:left="1100" w:hanging="536"/>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jc w:val="both"/>
        <w:ind w:left="1100" w:right="120" w:hanging="536"/>
        <w:spacing w:after="0" w:line="306"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7" w:lineRule="exact"/>
        <w:rPr>
          <w:rFonts w:ascii="Arial" w:cs="Arial" w:eastAsia="Arial" w:hAnsi="Arial"/>
          <w:sz w:val="16"/>
          <w:szCs w:val="16"/>
          <w:color w:val="auto"/>
        </w:rPr>
      </w:pPr>
    </w:p>
    <w:p>
      <w:pPr>
        <w:ind w:left="1100" w:hanging="536"/>
        <w:spacing w:after="0" w:line="259"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00" w:right="200" w:hanging="536"/>
        <w:spacing w:after="0" w:line="332"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1560" w:right="220" w:hanging="524"/>
        <w:spacing w:after="0" w:line="256" w:lineRule="auto"/>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4" w:lineRule="exact"/>
        <w:rPr>
          <w:rFonts w:ascii="Arial" w:cs="Arial" w:eastAsia="Arial" w:hAnsi="Arial"/>
          <w:sz w:val="18"/>
          <w:szCs w:val="18"/>
          <w:color w:val="auto"/>
        </w:rPr>
      </w:pPr>
    </w:p>
    <w:p>
      <w:pPr>
        <w:ind w:left="1560" w:right="120" w:hanging="524"/>
        <w:spacing w:after="0" w:line="259" w:lineRule="auto"/>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560" w:right="140" w:hanging="524"/>
        <w:spacing w:after="0" w:line="306" w:lineRule="auto"/>
        <w:tabs>
          <w:tab w:leader="none" w:pos="15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financing reporting; and</w:t>
      </w:r>
    </w:p>
    <w:p>
      <w:pPr>
        <w:spacing w:after="0" w:line="187" w:lineRule="exact"/>
        <w:rPr>
          <w:rFonts w:ascii="Arial" w:cs="Arial" w:eastAsia="Arial" w:hAnsi="Arial"/>
          <w:sz w:val="16"/>
          <w:szCs w:val="16"/>
          <w:color w:val="auto"/>
        </w:rPr>
      </w:pPr>
    </w:p>
    <w:p>
      <w:pPr>
        <w:ind w:left="1100" w:right="280" w:hanging="536"/>
        <w:spacing w:after="0" w:line="370" w:lineRule="auto"/>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43" w:lineRule="exact"/>
        <w:rPr>
          <w:rFonts w:ascii="Arial" w:cs="Arial" w:eastAsia="Arial" w:hAnsi="Arial"/>
          <w:sz w:val="15"/>
          <w:szCs w:val="15"/>
          <w:color w:val="auto"/>
        </w:rPr>
      </w:pPr>
    </w:p>
    <w:p>
      <w:pPr>
        <w:jc w:val="both"/>
        <w:ind w:left="1560" w:right="220" w:hanging="524"/>
        <w:spacing w:after="0" w:line="259" w:lineRule="auto"/>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1560" w:right="160" w:hanging="524"/>
        <w:spacing w:after="0" w:line="268" w:lineRule="auto"/>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1925955</wp:posOffset>
            </wp:positionV>
            <wp:extent cx="56038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560"/>
          </w:cols>
          <w:pgMar w:left="1440" w:top="111" w:right="899" w:bottom="1440" w:gutter="0" w:footer="0" w:header="0"/>
        </w:sectPr>
      </w:pPr>
    </w:p>
    <w:bookmarkStart w:id="34" w:name="page35"/>
    <w:bookmarkEnd w:id="34"/>
    <w:p>
      <w:pPr>
        <w:jc w:val="center"/>
        <w:ind w:right="380"/>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100" w:right="520"/>
        <w:spacing w:after="0" w:line="243" w:lineRule="auto"/>
        <w:rPr>
          <w:sz w:val="20"/>
          <w:szCs w:val="20"/>
          <w:color w:val="auto"/>
        </w:rPr>
      </w:pPr>
      <w:r>
        <w:rPr>
          <w:rFonts w:ascii="Arial" w:cs="Arial" w:eastAsia="Arial" w:hAnsi="Arial"/>
          <w:sz w:val="22"/>
          <w:szCs w:val="22"/>
          <w:b w:val="1"/>
          <w:bCs w:val="1"/>
          <w:color w:val="auto"/>
        </w:rPr>
        <w:t>CERTIFICATION PURSUANT TO SECTION 906 OF THIS SARBANES-OXLEY ACT OF 2002 (18 U.S.C. SECTION 1350)</w:t>
      </w:r>
    </w:p>
    <w:p>
      <w:pPr>
        <w:spacing w:after="0" w:line="277" w:lineRule="exact"/>
        <w:rPr>
          <w:sz w:val="20"/>
          <w:szCs w:val="20"/>
          <w:color w:val="auto"/>
        </w:rPr>
      </w:pPr>
    </w:p>
    <w:p>
      <w:pPr>
        <w:ind w:left="100" w:right="660"/>
        <w:spacing w:after="0" w:line="268" w:lineRule="auto"/>
        <w:rPr>
          <w:sz w:val="20"/>
          <w:szCs w:val="20"/>
          <w:color w:val="auto"/>
        </w:rPr>
      </w:pPr>
      <w:r>
        <w:rPr>
          <w:rFonts w:ascii="Arial" w:cs="Arial" w:eastAsia="Arial" w:hAnsi="Arial"/>
          <w:sz w:val="18"/>
          <w:szCs w:val="18"/>
          <w:color w:val="auto"/>
        </w:rPr>
        <w:t>Bruce D. Hertzke, Chief Executive Officer and President, certifies that pursuant to 18 U.S.C. §1350 as adopted pursuant to §906 of the Sarbanes-Oxley Act of 2002, that:</w:t>
      </w:r>
    </w:p>
    <w:p>
      <w:pPr>
        <w:spacing w:after="0" w:line="186" w:lineRule="exact"/>
        <w:rPr>
          <w:sz w:val="20"/>
          <w:szCs w:val="20"/>
          <w:color w:val="auto"/>
        </w:rPr>
      </w:pPr>
    </w:p>
    <w:p>
      <w:pPr>
        <w:ind w:left="1100" w:hanging="536"/>
        <w:spacing w:after="0" w:line="256"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February 28, 2004 as filed with the Securities and Exchange Commission on the date of this certificate,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100" w:right="120" w:hanging="536"/>
        <w:spacing w:after="0" w:line="26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1925955</wp:posOffset>
            </wp:positionV>
            <wp:extent cx="56038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p>
      <w:pPr>
        <w:sectPr>
          <w:pgSz w:w="11900" w:h="16838" w:orient="portrait"/>
          <w:cols w:equalWidth="0" w:num="1">
            <w:col w:w="9400"/>
          </w:cols>
          <w:pgMar w:left="1440" w:top="112" w:right="1059" w:bottom="1440" w:gutter="0" w:footer="0" w:header="0"/>
        </w:sectPr>
      </w:pPr>
    </w:p>
    <w:bookmarkStart w:id="35" w:name="page36"/>
    <w:bookmarkEnd w:id="35"/>
    <w:p>
      <w:pPr>
        <w:jc w:val="center"/>
        <w:ind w:right="340"/>
        <w:spacing w:after="0"/>
        <w:rPr>
          <w:sz w:val="20"/>
          <w:szCs w:val="20"/>
          <w:color w:val="auto"/>
        </w:rPr>
      </w:pPr>
      <w:r>
        <w:rPr>
          <w:rFonts w:ascii="Arial" w:cs="Arial" w:eastAsia="Arial" w:hAnsi="Arial"/>
          <w:sz w:val="22"/>
          <w:szCs w:val="22"/>
          <w:b w:val="1"/>
          <w:bCs w:val="1"/>
          <w:color w:val="auto"/>
        </w:rPr>
        <w:t>Exhibit 32.2</w:t>
      </w:r>
    </w:p>
    <w:p>
      <w:pPr>
        <w:spacing w:after="0" w:line="274" w:lineRule="exact"/>
        <w:rPr>
          <w:sz w:val="20"/>
          <w:szCs w:val="20"/>
          <w:color w:val="auto"/>
        </w:rPr>
      </w:pPr>
    </w:p>
    <w:p>
      <w:pPr>
        <w:jc w:val="center"/>
        <w:ind w:left="100" w:right="480"/>
        <w:spacing w:after="0" w:line="243" w:lineRule="auto"/>
        <w:rPr>
          <w:sz w:val="20"/>
          <w:szCs w:val="20"/>
          <w:color w:val="auto"/>
        </w:rPr>
      </w:pPr>
      <w:r>
        <w:rPr>
          <w:rFonts w:ascii="Arial" w:cs="Arial" w:eastAsia="Arial" w:hAnsi="Arial"/>
          <w:sz w:val="22"/>
          <w:szCs w:val="22"/>
          <w:b w:val="1"/>
          <w:bCs w:val="1"/>
          <w:color w:val="auto"/>
        </w:rPr>
        <w:t>CERTIFICATION PURSUANT TO SECTION 906 OF THIS SARBANES-OXLEY ACT OF 2002 (18 U.S.C. SECTION 1350)</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Edwin F. Barker, Chief Financial Officer, certifies that pursuant to 18 U.S.C. §1350 as adopted pursuant to §906 of the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Sarbanes-Oxley Act of 2002, that:</w:t>
      </w:r>
    </w:p>
    <w:p>
      <w:pPr>
        <w:spacing w:after="0" w:line="219" w:lineRule="exact"/>
        <w:rPr>
          <w:sz w:val="20"/>
          <w:szCs w:val="20"/>
          <w:color w:val="auto"/>
        </w:rPr>
      </w:pPr>
    </w:p>
    <w:p>
      <w:pPr>
        <w:ind w:left="620" w:hanging="515"/>
        <w:spacing w:after="0" w:line="335" w:lineRule="auto"/>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This Quarterly Report on Form 10-Q (“periodic report”) of Winnebago Industries, Inc. (the “issuer”), for the quarter ended February 28, 2004 as filed with the Securities and Exchange Commission on the date of this certificate, which this statement accompanies, fully complies with the requirements of Section 13(a) or 15(d) of the Securities Exchange Act of 1934, and</w:t>
      </w:r>
    </w:p>
    <w:p>
      <w:pPr>
        <w:spacing w:after="0" w:line="169" w:lineRule="exact"/>
        <w:rPr>
          <w:rFonts w:ascii="Arial" w:cs="Arial" w:eastAsia="Arial" w:hAnsi="Arial"/>
          <w:sz w:val="15"/>
          <w:szCs w:val="15"/>
          <w:color w:val="auto"/>
        </w:rPr>
      </w:pPr>
    </w:p>
    <w:p>
      <w:pPr>
        <w:ind w:left="1100" w:right="80" w:hanging="536"/>
        <w:spacing w:after="0" w:line="268"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80010</wp:posOffset>
            </wp:positionV>
            <wp:extent cx="917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40"/>
        <w:spacing w:after="0"/>
        <w:tabs>
          <w:tab w:leader="none" w:pos="5760" w:val="left"/>
        </w:tabs>
        <w:rPr>
          <w:sz w:val="20"/>
          <w:szCs w:val="20"/>
          <w:color w:val="auto"/>
        </w:rPr>
      </w:pPr>
      <w:r>
        <w:rPr>
          <w:rFonts w:ascii="Arial" w:cs="Arial" w:eastAsia="Arial" w:hAnsi="Arial"/>
          <w:sz w:val="18"/>
          <w:szCs w:val="18"/>
          <w:color w:val="auto"/>
        </w:rPr>
        <w:t>By:</w:t>
        <w:tab/>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80010</wp:posOffset>
            </wp:positionV>
            <wp:extent cx="23069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1925955</wp:posOffset>
            </wp:positionV>
            <wp:extent cx="56038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03875" cy="29845"/>
                    </a:xfrm>
                    <a:prstGeom prst="rect">
                      <a:avLst/>
                    </a:prstGeom>
                    <a:noFill/>
                  </pic:spPr>
                </pic:pic>
              </a:graphicData>
            </a:graphic>
          </wp:anchor>
        </w:drawing>
      </w:r>
    </w:p>
    <w:sectPr>
      <w:pgSz w:w="11900" w:h="16838" w:orient="portrait"/>
      <w:cols w:equalWidth="0" w:num="1">
        <w:col w:w="9360"/>
      </w:cols>
      <w:pgMar w:left="1440" w:top="11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3"/>
    </w:lvl>
  </w:abstractNum>
  <w:abstractNum w:abstractNumId="4">
    <w:nsid w:val="519B500D"/>
    <w:multiLevelType w:val="hybridMultilevel"/>
    <w:lvl w:ilvl="0">
      <w:lvlJc w:val="left"/>
      <w:lvlText w:val="("/>
      <w:numFmt w:val="bullet"/>
      <w:start w:val="1"/>
    </w:lvl>
    <w:lvl w:ilvl="1">
      <w:lvlJc w:val="left"/>
      <w:lvlText w:val="(%2)"/>
      <w:numFmt w:val="lowerLetter"/>
      <w:start w:val="4"/>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decimal"/>
      <w:start w:val="15"/>
    </w:lvl>
  </w:abstractNum>
  <w:abstractNum w:abstractNumId="7">
    <w:nsid w:val="7C83E458"/>
    <w:multiLevelType w:val="hybridMultilevel"/>
    <w:lvl w:ilvl="0">
      <w:lvlJc w:val="left"/>
      <w:lvlText w:val="%1."/>
      <w:numFmt w:val="decimal"/>
      <w:start w:val="20"/>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1)"/>
      <w:numFmt w:val="decimal"/>
      <w:start w:val="30"/>
    </w:lvl>
  </w:abstractNum>
  <w:abstractNum w:abstractNumId="11">
    <w:nsid w:val="628C895D"/>
    <w:multiLevelType w:val="hybridMultilevel"/>
    <w:lvl w:ilvl="0">
      <w:lvlJc w:val="left"/>
      <w:lvlText w:val="%1."/>
      <w:numFmt w:val="decimal"/>
      <w:start w:val="1"/>
    </w:lvl>
    <w:lvl w:ilvl="1">
      <w:lvlJc w:val="left"/>
      <w:lvlText w:val="%2."/>
      <w:numFmt w:val="lowerLetter"/>
      <w:start w:val="1"/>
    </w:lvl>
  </w:abstractNum>
  <w:abstractNum w:abstractNumId="12">
    <w:nsid w:val="333AB105"/>
    <w:multiLevelType w:val="hybridMultilevel"/>
    <w:lvl w:ilvl="0">
      <w:lvlJc w:val="left"/>
      <w:lvlText w:val="%1."/>
      <w:numFmt w:val="decimal"/>
      <w:start w:val="5"/>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2"/>
    </w:lvl>
    <w:lvl w:ilvl="2">
      <w:lvlJc w:val="left"/>
      <w:lvlText w:val="(%3)"/>
      <w:numFmt w:val="decimal"/>
      <w:start w:val="2"/>
    </w:lvl>
  </w:abstractNum>
  <w:abstractNum w:abstractNumId="16">
    <w:nsid w:val="67638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7">
    <w:nsid w:val="75A2A8D4"/>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8">
    <w:nsid w:val="8EDBDA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9">
    <w:nsid w:val="79838CB2"/>
    <w:multiLevelType w:val="hybridMultilevel"/>
    <w:lvl w:ilvl="0">
      <w:lvlJc w:val="left"/>
      <w:lvlText w:val="%1."/>
      <w:numFmt w:val="decimal"/>
      <w:start w:val="1"/>
    </w:lvl>
    <w:lvl w:ilvl="1">
      <w:lvlJc w:val="left"/>
      <w:lvlText w:val="%2."/>
      <w:numFmt w:val="lowerLetter"/>
      <w:start w:val="1"/>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decimal"/>
      <w:start w:val="6"/>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1"/>
    </w:lvl>
    <w:lvl w:ilvl="1">
      <w:lvlJc w:val="left"/>
      <w:lvlText w:val="(%2)"/>
      <w:numFmt w:val="lowerLetter"/>
      <w:start w:val="4"/>
    </w:lvl>
  </w:abstractNum>
  <w:abstractNum w:abstractNumId="25">
    <w:nsid w:val="2CA88611"/>
    <w:multiLevelType w:val="hybridMultilevel"/>
    <w:lvl w:ilvl="0">
      <w:lvlJc w:val="left"/>
      <w:lvlText w:val="%1."/>
      <w:numFmt w:val="decimal"/>
      <w:start w:val="7"/>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2019-12-13T08:26:24Z</dcterms:created>
  <dcterms:modified xsi:type="dcterms:W3CDTF">2019-12-13T08:26:24Z</dcterms:modified>
</cp:coreProperties>
</file>