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Invesco Ltd.</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1,223,283</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1,223,283</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1,223,283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line="182" w:lineRule="auto"/>
        <w:framePr w:w="680" w:h="193" w:wrap="auto" w:vAnchor="page" w:hAnchor="page" w:x="1660" w:y="9563"/>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63"/>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29"/>
        <w:rPr>
          <w:rFonts w:ascii="Arial" w:cs="Arial" w:eastAsia="Arial" w:hAnsi="Arial"/>
          <w:sz w:val="22"/>
          <w:szCs w:val="22"/>
          <w:color w:val="auto"/>
        </w:rPr>
      </w:pPr>
      <w:r>
        <w:rPr>
          <w:rFonts w:ascii="Arial" w:cs="Arial" w:eastAsia="Arial" w:hAnsi="Arial"/>
          <w:sz w:val="22"/>
          <w:szCs w:val="22"/>
          <w:color w:val="auto"/>
        </w:rPr>
        <w:t>(d)  [ ]</w:t>
      </w:r>
    </w:p>
    <w:p>
      <w:pPr>
        <w:spacing w:after="0" w:line="26"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right="72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Winnebago Industries Inc</w:t>
      </w:r>
    </w:p>
    <w:p>
      <w:pPr>
        <w:spacing w:after="0" w:line="11" w:lineRule="exact"/>
        <w:rPr>
          <w:rFonts w:ascii="Arial" w:cs="Arial" w:eastAsia="Arial" w:hAnsi="Arial"/>
          <w:sz w:val="19"/>
          <w:szCs w:val="19"/>
          <w:b w:val="1"/>
          <w:bCs w:val="1"/>
          <w:color w:val="auto"/>
        </w:rPr>
      </w:pPr>
    </w:p>
    <w:p>
      <w:pPr>
        <w:ind w:left="1780" w:right="50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605 West Crystal Lake Road, Forest City IA 50436</w:t>
      </w:r>
    </w:p>
    <w:p>
      <w:pPr>
        <w:spacing w:after="0" w:line="1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9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974637100</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1,223,283 shares of the Issuer which are held of record by clients of Invesco Ltd. ..</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3.9%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1,223,283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1,223,283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19"/>
          <w:szCs w:val="19"/>
          <w:color w:val="auto"/>
        </w:rPr>
        <w:t>However, no one individual has greater than 5% economic ownership. The shareholders of the Fund have the</w:t>
      </w:r>
    </w:p>
    <w:p>
      <w:pPr>
        <w:sectPr>
          <w:pgSz w:w="11900" w:h="16865" w:orient="portrait"/>
          <w:cols w:equalWidth="0" w:num="1">
            <w:col w:w="11260"/>
          </w:cols>
          <w:pgMar w:left="320" w:top="423" w:right="319" w:bottom="0" w:gutter="0" w:footer="0" w:header="0"/>
        </w:sectPr>
      </w:pPr>
    </w:p>
    <w:bookmarkStart w:id="3" w:name="page4"/>
    <w:bookmarkEnd w:id="3"/>
    <w:p>
      <w:pPr>
        <w:ind w:left="1380" w:right="520"/>
        <w:spacing w:after="0" w:line="251" w:lineRule="auto"/>
        <w:rPr>
          <w:sz w:val="20"/>
          <w:szCs w:val="20"/>
          <w:color w:val="auto"/>
        </w:rPr>
      </w:pPr>
      <w:r>
        <w:rPr>
          <w:rFonts w:ascii="Arial" w:cs="Arial" w:eastAsia="Arial" w:hAnsi="Arial"/>
          <w:sz w:val="22"/>
          <w:szCs w:val="22"/>
          <w:color w:val="auto"/>
        </w:rPr>
        <w:t>right to receive or the power to direct the receipt of dividends and proceeds from the sale of securities listed above.</w:t>
      </w:r>
    </w:p>
    <w:p>
      <w:pPr>
        <w:spacing w:after="0" w:line="87"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Advisers, Inc.</w:t>
      </w:r>
    </w:p>
    <w:p>
      <w:pPr>
        <w:ind w:left="1380"/>
        <w:spacing w:after="0" w:line="238" w:lineRule="auto"/>
        <w:rPr>
          <w:sz w:val="20"/>
          <w:szCs w:val="20"/>
          <w:color w:val="auto"/>
        </w:rPr>
      </w:pPr>
      <w:r>
        <w:rPr>
          <w:rFonts w:ascii="Arial" w:cs="Arial" w:eastAsia="Arial" w:hAnsi="Arial"/>
          <w:sz w:val="22"/>
          <w:szCs w:val="22"/>
          <w:color w:val="auto"/>
        </w:rPr>
        <w:t>Invesco Investment Advisers, LLC</w:t>
      </w:r>
    </w:p>
    <w:p>
      <w:pPr>
        <w:ind w:left="138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01, 2017</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2019-12-05T08:14:46Z</dcterms:created>
  <dcterms:modified xsi:type="dcterms:W3CDTF">2019-12-05T08:14:46Z</dcterms:modified>
</cp:coreProperties>
</file>