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79"/>
        <w:spacing w:after="0"/>
        <w:rPr>
          <w:sz w:val="20"/>
          <w:szCs w:val="20"/>
          <w:color w:val="auto"/>
        </w:rPr>
      </w:pPr>
      <w:r>
        <w:rPr>
          <w:rFonts w:ascii="Courier New" w:cs="Courier New" w:eastAsia="Courier New" w:hAnsi="Courier New"/>
          <w:sz w:val="18"/>
          <w:szCs w:val="18"/>
          <w:color w:val="auto"/>
        </w:rPr>
        <w:t>UNITED STATES SECURITIES AND EXCHANGE COMMISSION</w:t>
      </w:r>
    </w:p>
    <w:p>
      <w:pPr>
        <w:jc w:val="center"/>
        <w:ind w:right="177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line="200" w:lineRule="exact"/>
        <w:rPr>
          <w:sz w:val="24"/>
          <w:szCs w:val="24"/>
          <w:color w:val="auto"/>
        </w:rPr>
      </w:pPr>
    </w:p>
    <w:p>
      <w:pPr>
        <w:spacing w:after="0" w:line="207"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SCHEDULE 13D</w:t>
      </w:r>
    </w:p>
    <w:p>
      <w:pPr>
        <w:jc w:val="center"/>
        <w:ind w:right="1659"/>
        <w:spacing w:after="0" w:line="238" w:lineRule="auto"/>
        <w:rPr>
          <w:sz w:val="20"/>
          <w:szCs w:val="20"/>
          <w:color w:val="auto"/>
        </w:rPr>
      </w:pPr>
      <w:r>
        <w:rPr>
          <w:rFonts w:ascii="Courier New" w:cs="Courier New" w:eastAsia="Courier New" w:hAnsi="Courier New"/>
          <w:sz w:val="18"/>
          <w:szCs w:val="18"/>
          <w:color w:val="auto"/>
        </w:rPr>
        <w:t>under the Securities Exchange Act of 1934</w:t>
      </w:r>
    </w:p>
    <w:p>
      <w:pPr>
        <w:jc w:val="center"/>
        <w:ind w:right="1779"/>
        <w:spacing w:after="0"/>
        <w:rPr>
          <w:sz w:val="20"/>
          <w:szCs w:val="20"/>
          <w:color w:val="auto"/>
        </w:rPr>
      </w:pPr>
      <w:r>
        <w:rPr>
          <w:rFonts w:ascii="Courier New" w:cs="Courier New" w:eastAsia="Courier New" w:hAnsi="Courier New"/>
          <w:sz w:val="18"/>
          <w:szCs w:val="18"/>
          <w:color w:val="auto"/>
        </w:rPr>
        <w:t>(Amendment No. 2)*</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8"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WINNEBAGO INDUSTRIES, INC.</w:t>
      </w:r>
    </w:p>
    <w:p>
      <w:pPr>
        <w:jc w:val="center"/>
        <w:ind w:right="1779"/>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COMMON STOCK, $.50 PAR VALUE</w:t>
      </w:r>
    </w:p>
    <w:p>
      <w:pPr>
        <w:jc w:val="center"/>
        <w:ind w:right="1779"/>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974637100</w:t>
      </w:r>
    </w:p>
    <w:p>
      <w:pPr>
        <w:ind w:left="3480"/>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WILLIAM M. LIBIT, ESQ.</w:t>
      </w:r>
    </w:p>
    <w:p>
      <w:pPr>
        <w:jc w:val="center"/>
        <w:ind w:right="1779"/>
        <w:spacing w:after="0" w:line="238" w:lineRule="auto"/>
        <w:rPr>
          <w:sz w:val="20"/>
          <w:szCs w:val="20"/>
          <w:color w:val="auto"/>
        </w:rPr>
      </w:pPr>
      <w:r>
        <w:rPr>
          <w:rFonts w:ascii="Courier New" w:cs="Courier New" w:eastAsia="Courier New" w:hAnsi="Courier New"/>
          <w:sz w:val="18"/>
          <w:szCs w:val="18"/>
          <w:color w:val="auto"/>
        </w:rPr>
        <w:t>CHAPMAN AND CUTLER</w:t>
      </w:r>
    </w:p>
    <w:p>
      <w:pPr>
        <w:jc w:val="center"/>
        <w:ind w:right="1779"/>
        <w:spacing w:after="0"/>
        <w:rPr>
          <w:sz w:val="20"/>
          <w:szCs w:val="20"/>
          <w:color w:val="auto"/>
        </w:rPr>
      </w:pPr>
      <w:r>
        <w:rPr>
          <w:rFonts w:ascii="Courier New" w:cs="Courier New" w:eastAsia="Courier New" w:hAnsi="Courier New"/>
          <w:sz w:val="18"/>
          <w:szCs w:val="18"/>
          <w:color w:val="auto"/>
        </w:rPr>
        <w:t>111 WEST MONROE STREET</w:t>
      </w:r>
    </w:p>
    <w:p>
      <w:pPr>
        <w:ind w:left="3060"/>
        <w:spacing w:after="0" w:line="237" w:lineRule="auto"/>
        <w:rPr>
          <w:sz w:val="20"/>
          <w:szCs w:val="20"/>
          <w:color w:val="auto"/>
        </w:rPr>
      </w:pPr>
      <w:r>
        <w:rPr>
          <w:rFonts w:ascii="Courier New" w:cs="Courier New" w:eastAsia="Courier New" w:hAnsi="Courier New"/>
          <w:sz w:val="18"/>
          <w:szCs w:val="18"/>
          <w:color w:val="auto"/>
        </w:rPr>
        <w:t>CHICAGO, ILLINOIS 60603</w:t>
      </w:r>
    </w:p>
    <w:p>
      <w:pPr>
        <w:ind w:left="3480"/>
        <w:spacing w:after="0" w:line="238" w:lineRule="auto"/>
        <w:rPr>
          <w:sz w:val="20"/>
          <w:szCs w:val="20"/>
          <w:color w:val="auto"/>
        </w:rPr>
      </w:pPr>
      <w:r>
        <w:rPr>
          <w:rFonts w:ascii="Courier New" w:cs="Courier New" w:eastAsia="Courier New" w:hAnsi="Courier New"/>
          <w:sz w:val="18"/>
          <w:szCs w:val="18"/>
          <w:color w:val="auto"/>
        </w:rPr>
        <w:t>(312) 845-2981</w:t>
      </w:r>
    </w:p>
    <w:p>
      <w:pPr>
        <w:jc w:val="center"/>
        <w:ind w:right="1659"/>
        <w:spacing w:after="0"/>
        <w:rPr>
          <w:sz w:val="20"/>
          <w:szCs w:val="20"/>
          <w:color w:val="auto"/>
        </w:rPr>
      </w:pPr>
      <w:r>
        <w:rPr>
          <w:rFonts w:ascii="Courier New" w:cs="Courier New" w:eastAsia="Courier New" w:hAnsi="Courier New"/>
          <w:sz w:val="18"/>
          <w:szCs w:val="18"/>
          <w:color w:val="auto"/>
        </w:rPr>
        <w:t>(Name, Address and Telephone Number of Person</w:t>
      </w:r>
    </w:p>
    <w:p>
      <w:pPr>
        <w:jc w:val="center"/>
        <w:ind w:right="1659"/>
        <w:spacing w:after="0" w:line="237" w:lineRule="auto"/>
        <w:rPr>
          <w:sz w:val="20"/>
          <w:szCs w:val="20"/>
          <w:color w:val="auto"/>
        </w:rPr>
      </w:pPr>
      <w:r>
        <w:rPr>
          <w:rFonts w:ascii="Courier New" w:cs="Courier New" w:eastAsia="Courier New" w:hAnsi="Courier New"/>
          <w:sz w:val="18"/>
          <w:szCs w:val="18"/>
          <w:color w:val="auto"/>
        </w:rPr>
        <w:t>Authorized to Receive Notices and Communications)</w:t>
      </w:r>
    </w:p>
    <w:p>
      <w:pPr>
        <w:spacing w:after="0" w:line="202" w:lineRule="exact"/>
        <w:rPr>
          <w:sz w:val="24"/>
          <w:szCs w:val="24"/>
          <w:color w:val="auto"/>
        </w:rPr>
      </w:pPr>
    </w:p>
    <w:p>
      <w:pPr>
        <w:jc w:val="center"/>
        <w:ind w:right="1659"/>
        <w:spacing w:after="0"/>
        <w:rPr>
          <w:sz w:val="20"/>
          <w:szCs w:val="20"/>
          <w:color w:val="auto"/>
        </w:rPr>
      </w:pPr>
      <w:r>
        <w:rPr>
          <w:rFonts w:ascii="Courier New" w:cs="Courier New" w:eastAsia="Courier New" w:hAnsi="Courier New"/>
          <w:sz w:val="18"/>
          <w:szCs w:val="18"/>
          <w:color w:val="auto"/>
        </w:rPr>
        <w:t>JUNE 26, 1998</w:t>
      </w:r>
    </w:p>
    <w:p>
      <w:pPr>
        <w:jc w:val="center"/>
        <w:ind w:right="1659"/>
        <w:spacing w:after="0" w:line="238" w:lineRule="auto"/>
        <w:rPr>
          <w:sz w:val="20"/>
          <w:szCs w:val="20"/>
          <w:color w:val="auto"/>
        </w:rPr>
      </w:pPr>
      <w:r>
        <w:rPr>
          <w:rFonts w:ascii="Courier New" w:cs="Courier New" w:eastAsia="Courier New" w:hAnsi="Courier New"/>
          <w:sz w:val="18"/>
          <w:szCs w:val="18"/>
          <w:color w:val="auto"/>
        </w:rPr>
        <w:t>(Date of Event which Requires</w:t>
      </w:r>
    </w:p>
    <w:p>
      <w:pPr>
        <w:jc w:val="center"/>
        <w:ind w:right="1659"/>
        <w:spacing w:after="0"/>
        <w:rPr>
          <w:sz w:val="20"/>
          <w:szCs w:val="20"/>
          <w:color w:val="auto"/>
        </w:rPr>
      </w:pPr>
      <w:r>
        <w:rPr>
          <w:rFonts w:ascii="Courier New" w:cs="Courier New" w:eastAsia="Courier New" w:hAnsi="Courier New"/>
          <w:sz w:val="18"/>
          <w:szCs w:val="18"/>
          <w:color w:val="auto"/>
        </w:rPr>
        <w:t>Filing of This Statement)</w:t>
      </w:r>
    </w:p>
    <w:p>
      <w:pPr>
        <w:spacing w:after="0" w:line="200" w:lineRule="exact"/>
        <w:rPr>
          <w:sz w:val="24"/>
          <w:szCs w:val="24"/>
          <w:color w:val="auto"/>
        </w:rPr>
      </w:pPr>
    </w:p>
    <w:p>
      <w:pPr>
        <w:spacing w:after="0" w:line="209" w:lineRule="exact"/>
        <w:rPr>
          <w:sz w:val="24"/>
          <w:szCs w:val="24"/>
          <w:color w:val="auto"/>
        </w:rPr>
      </w:pPr>
    </w:p>
    <w:p>
      <w:pPr>
        <w:ind w:right="1879"/>
        <w:spacing w:after="0" w:line="279" w:lineRule="auto"/>
        <w:rPr>
          <w:sz w:val="20"/>
          <w:szCs w:val="20"/>
          <w:color w:val="auto"/>
        </w:rPr>
      </w:pPr>
      <w:r>
        <w:rPr>
          <w:rFonts w:ascii="Courier New" w:cs="Courier New" w:eastAsia="Courier New" w:hAnsi="Courier New"/>
          <w:sz w:val="16"/>
          <w:szCs w:val="16"/>
          <w:color w:val="auto"/>
        </w:rPr>
        <w:t>If the filing person has previously filed a statement on Schedule 13G to report the acquisition which is the subject of this Schedule 13D, and is filing this schedule because of Rule 13d-1(b)(3) or (4), check the following box [ ].</w:t>
      </w:r>
    </w:p>
    <w:p>
      <w:pPr>
        <w:spacing w:after="0" w:line="178" w:lineRule="exact"/>
        <w:rPr>
          <w:sz w:val="24"/>
          <w:szCs w:val="24"/>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1" w:lineRule="exact"/>
        <w:rPr>
          <w:sz w:val="24"/>
          <w:szCs w:val="24"/>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w:t>
      </w:r>
    </w:p>
    <w:p>
      <w:pPr>
        <w:sectPr>
          <w:pgSz w:w="11900" w:h="16838" w:orient="portrait"/>
          <w:cols w:equalWidth="0" w:num="1">
            <w:col w:w="10219"/>
          </w:cols>
          <w:pgMar w:left="240" w:top="649" w:right="1440" w:bottom="1440" w:gutter="0" w:footer="0" w:header="0"/>
        </w:sectPr>
      </w:pPr>
    </w:p>
    <w:bookmarkStart w:id="1" w:name="page2"/>
    <w:bookmarkEnd w:id="1"/>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960" w:hanging="952"/>
        <w:spacing w:after="0"/>
        <w:tabs>
          <w:tab w:leader="none" w:pos="96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9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Nos. of Above Person.</w:t>
      </w:r>
    </w:p>
    <w:p>
      <w:pPr>
        <w:spacing w:after="0" w:line="202" w:lineRule="exact"/>
        <w:rPr>
          <w:sz w:val="20"/>
          <w:szCs w:val="20"/>
          <w:color w:val="auto"/>
        </w:rPr>
      </w:pPr>
    </w:p>
    <w:p>
      <w:pPr>
        <w:ind w:left="960"/>
        <w:spacing w:after="0"/>
        <w:tabs>
          <w:tab w:leader="none" w:pos="2840" w:val="left"/>
        </w:tabs>
        <w:rPr>
          <w:sz w:val="20"/>
          <w:szCs w:val="20"/>
          <w:color w:val="auto"/>
        </w:rPr>
      </w:pPr>
      <w:r>
        <w:rPr>
          <w:rFonts w:ascii="Courier New" w:cs="Courier New" w:eastAsia="Courier New" w:hAnsi="Courier New"/>
          <w:sz w:val="18"/>
          <w:szCs w:val="18"/>
          <w:color w:val="auto"/>
        </w:rPr>
        <w:t>Luise V. Hanson</w:t>
      </w:r>
      <w:r>
        <w:rPr>
          <w:sz w:val="20"/>
          <w:szCs w:val="20"/>
          <w:color w:val="auto"/>
        </w:rPr>
        <w:tab/>
      </w:r>
      <w:r>
        <w:rPr>
          <w:rFonts w:ascii="Courier New" w:cs="Courier New" w:eastAsia="Courier New" w:hAnsi="Courier New"/>
          <w:sz w:val="16"/>
          <w:szCs w:val="16"/>
          <w:color w:val="auto"/>
        </w:rPr>
        <w:t>SS# ###-##-####</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 w:lineRule="exact"/>
        <w:rPr>
          <w:sz w:val="20"/>
          <w:szCs w:val="20"/>
          <w:color w:val="auto"/>
        </w:rPr>
      </w:pPr>
    </w:p>
    <w:p>
      <w:pPr>
        <w:ind w:left="960" w:right="3479" w:hanging="952"/>
        <w:spacing w:after="0" w:line="235" w:lineRule="auto"/>
        <w:tabs>
          <w:tab w:leader="none" w:pos="96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 (See Instructions).</w:t>
      </w:r>
    </w:p>
    <w:p>
      <w:pPr>
        <w:ind w:left="7480"/>
        <w:spacing w:after="0"/>
        <w:tabs>
          <w:tab w:leader="none" w:pos="8000" w:val="left"/>
        </w:tabs>
        <w:rPr>
          <w:sz w:val="20"/>
          <w:szCs w:val="20"/>
          <w:color w:val="auto"/>
        </w:rPr>
      </w:pPr>
      <w:r>
        <w:rPr>
          <w:rFonts w:ascii="Courier New" w:cs="Courier New" w:eastAsia="Courier New" w:hAnsi="Courier New"/>
          <w:sz w:val="18"/>
          <w:szCs w:val="18"/>
          <w:color w:val="auto"/>
        </w:rPr>
        <w:t>(a)</w:t>
        <w:tab/>
        <w:t>[ ]</w:t>
      </w:r>
    </w:p>
    <w:p>
      <w:pPr>
        <w:ind w:left="7480"/>
        <w:spacing w:after="0" w:line="238" w:lineRule="auto"/>
        <w:tabs>
          <w:tab w:leader="none" w:pos="8000" w:val="left"/>
        </w:tabs>
        <w:rPr>
          <w:sz w:val="20"/>
          <w:szCs w:val="20"/>
          <w:color w:val="auto"/>
        </w:rPr>
      </w:pPr>
      <w:r>
        <w:rPr>
          <w:rFonts w:ascii="Courier New" w:cs="Courier New" w:eastAsia="Courier New" w:hAnsi="Courier New"/>
          <w:sz w:val="18"/>
          <w:szCs w:val="18"/>
          <w:color w:val="auto"/>
        </w:rPr>
        <w:t>(b)</w:t>
        <w:tab/>
        <w:t>[ ]</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(3)</w:t>
      </w:r>
      <w:r>
        <w:rPr>
          <w:sz w:val="20"/>
          <w:szCs w:val="20"/>
          <w:color w:val="auto"/>
        </w:rPr>
        <w:tab/>
      </w:r>
      <w:r>
        <w:rPr>
          <w:rFonts w:ascii="Courier New" w:cs="Courier New" w:eastAsia="Courier New" w:hAnsi="Courier New"/>
          <w:sz w:val="18"/>
          <w:szCs w:val="18"/>
          <w:color w:val="auto"/>
        </w:rPr>
        <w:t>SEC Use Only.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jc w:val="both"/>
        <w:spacing w:after="0"/>
        <w:tabs>
          <w:tab w:leader="none" w:pos="940" w:val="left"/>
        </w:tabs>
        <w:rPr>
          <w:sz w:val="20"/>
          <w:szCs w:val="20"/>
          <w:color w:val="auto"/>
        </w:rPr>
      </w:pPr>
      <w:r>
        <w:rPr>
          <w:rFonts w:ascii="Courier New" w:cs="Courier New" w:eastAsia="Courier New" w:hAnsi="Courier New"/>
          <w:sz w:val="18"/>
          <w:szCs w:val="18"/>
          <w:color w:val="auto"/>
        </w:rPr>
        <w:t>(4)</w:t>
      </w:r>
      <w:r>
        <w:rPr>
          <w:sz w:val="20"/>
          <w:szCs w:val="20"/>
          <w:color w:val="auto"/>
        </w:rPr>
        <w:tab/>
      </w:r>
      <w:r>
        <w:rPr>
          <w:rFonts w:ascii="Courier New" w:cs="Courier New" w:eastAsia="Courier New" w:hAnsi="Courier New"/>
          <w:sz w:val="18"/>
          <w:szCs w:val="18"/>
          <w:color w:val="auto"/>
        </w:rPr>
        <w:t>Source of Funds</w:t>
      </w:r>
    </w:p>
    <w:p>
      <w:pPr>
        <w:spacing w:after="0" w:line="201" w:lineRule="exact"/>
        <w:rPr>
          <w:sz w:val="20"/>
          <w:szCs w:val="20"/>
          <w:color w:val="auto"/>
        </w:rPr>
      </w:pPr>
    </w:p>
    <w:p>
      <w:pPr>
        <w:jc w:val="right"/>
        <w:ind w:right="7679"/>
        <w:spacing w:after="0"/>
        <w:rPr>
          <w:sz w:val="20"/>
          <w:szCs w:val="20"/>
          <w:color w:val="auto"/>
        </w:rPr>
      </w:pPr>
      <w:r>
        <w:rPr>
          <w:rFonts w:ascii="Courier New" w:cs="Courier New" w:eastAsia="Courier New" w:hAnsi="Courier New"/>
          <w:sz w:val="18"/>
          <w:szCs w:val="18"/>
          <w:color w:val="auto"/>
        </w:rPr>
        <w:t>Not applicable.</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640" w:type="dxa"/>
            <w:vAlign w:val="bottom"/>
          </w:tcPr>
          <w:p>
            <w:pPr>
              <w:jc w:val="right"/>
              <w:ind w:right="232"/>
              <w:spacing w:after="0"/>
              <w:rPr>
                <w:sz w:val="20"/>
                <w:szCs w:val="20"/>
                <w:color w:val="auto"/>
              </w:rPr>
            </w:pPr>
            <w:r>
              <w:rPr>
                <w:rFonts w:ascii="Courier New" w:cs="Courier New" w:eastAsia="Courier New" w:hAnsi="Courier New"/>
                <w:sz w:val="18"/>
                <w:szCs w:val="18"/>
                <w:color w:val="auto"/>
                <w:w w:val="92"/>
              </w:rPr>
              <w:t>(5)</w:t>
            </w:r>
          </w:p>
        </w:tc>
        <w:tc>
          <w:tcPr>
            <w:tcW w:w="1220" w:type="dxa"/>
            <w:vAlign w:val="bottom"/>
          </w:tcPr>
          <w:p>
            <w:pPr>
              <w:ind w:left="320"/>
              <w:spacing w:after="0"/>
              <w:rPr>
                <w:sz w:val="20"/>
                <w:szCs w:val="20"/>
                <w:color w:val="auto"/>
              </w:rPr>
            </w:pPr>
            <w:r>
              <w:rPr>
                <w:rFonts w:ascii="Courier New" w:cs="Courier New" w:eastAsia="Courier New" w:hAnsi="Courier New"/>
                <w:sz w:val="18"/>
                <w:szCs w:val="18"/>
                <w:color w:val="auto"/>
              </w:rPr>
              <w:t>Check if</w:t>
            </w:r>
          </w:p>
        </w:tc>
        <w:tc>
          <w:tcPr>
            <w:tcW w:w="1460" w:type="dxa"/>
            <w:vAlign w:val="bottom"/>
          </w:tcPr>
          <w:p>
            <w:pPr>
              <w:ind w:left="40"/>
              <w:spacing w:after="0"/>
              <w:rPr>
                <w:sz w:val="20"/>
                <w:szCs w:val="20"/>
                <w:color w:val="auto"/>
              </w:rPr>
            </w:pPr>
            <w:r>
              <w:rPr>
                <w:rFonts w:ascii="Courier New" w:cs="Courier New" w:eastAsia="Courier New" w:hAnsi="Courier New"/>
                <w:sz w:val="18"/>
                <w:szCs w:val="18"/>
                <w:color w:val="auto"/>
                <w:w w:val="99"/>
              </w:rPr>
              <w:t>Disclosure of</w:t>
            </w:r>
          </w:p>
        </w:tc>
        <w:tc>
          <w:tcPr>
            <w:tcW w:w="3900" w:type="dxa"/>
            <w:vAlign w:val="bottom"/>
          </w:tcPr>
          <w:p>
            <w:pPr>
              <w:ind w:left="60"/>
              <w:spacing w:after="0"/>
              <w:rPr>
                <w:sz w:val="20"/>
                <w:szCs w:val="20"/>
                <w:color w:val="auto"/>
              </w:rPr>
            </w:pPr>
            <w:r>
              <w:rPr>
                <w:rFonts w:ascii="Courier New" w:cs="Courier New" w:eastAsia="Courier New" w:hAnsi="Courier New"/>
                <w:sz w:val="18"/>
                <w:szCs w:val="18"/>
                <w:color w:val="auto"/>
              </w:rPr>
              <w:t>Legal Proceedings is Required</w:t>
            </w:r>
          </w:p>
        </w:tc>
        <w:tc>
          <w:tcPr>
            <w:tcW w:w="1120" w:type="dxa"/>
            <w:vAlign w:val="bottom"/>
          </w:tcPr>
          <w:p>
            <w:pPr>
              <w:spacing w:after="0"/>
              <w:rPr>
                <w:sz w:val="17"/>
                <w:szCs w:val="17"/>
                <w:color w:val="auto"/>
              </w:rPr>
            </w:pPr>
          </w:p>
        </w:tc>
      </w:tr>
      <w:tr>
        <w:trPr>
          <w:trHeight w:val="203"/>
        </w:trPr>
        <w:tc>
          <w:tcPr>
            <w:tcW w:w="640" w:type="dxa"/>
            <w:vAlign w:val="bottom"/>
          </w:tcPr>
          <w:p>
            <w:pPr>
              <w:spacing w:after="0"/>
              <w:rPr>
                <w:sz w:val="17"/>
                <w:szCs w:val="17"/>
                <w:color w:val="auto"/>
              </w:rPr>
            </w:pPr>
          </w:p>
        </w:tc>
        <w:tc>
          <w:tcPr>
            <w:tcW w:w="12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Pursuant</w:t>
            </w:r>
          </w:p>
        </w:tc>
        <w:tc>
          <w:tcPr>
            <w:tcW w:w="14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9"/>
              </w:rPr>
              <w:t>to Items 2(d)</w:t>
            </w:r>
          </w:p>
        </w:tc>
        <w:tc>
          <w:tcPr>
            <w:tcW w:w="39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or 2(e)</w:t>
            </w:r>
          </w:p>
        </w:tc>
        <w:tc>
          <w:tcPr>
            <w:tcW w:w="1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w:t>
            </w:r>
          </w:p>
        </w:tc>
      </w:tr>
    </w:tbl>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80" w:type="dxa"/>
            <w:vAlign w:val="bottom"/>
          </w:tcPr>
          <w:p>
            <w:pPr>
              <w:jc w:val="right"/>
              <w:spacing w:after="0"/>
              <w:rPr>
                <w:sz w:val="20"/>
                <w:szCs w:val="20"/>
                <w:color w:val="auto"/>
              </w:rPr>
            </w:pPr>
            <w:r>
              <w:rPr>
                <w:rFonts w:ascii="Courier New" w:cs="Courier New" w:eastAsia="Courier New" w:hAnsi="Courier New"/>
                <w:sz w:val="18"/>
                <w:szCs w:val="18"/>
                <w:color w:val="auto"/>
                <w:w w:val="92"/>
              </w:rPr>
              <w:t>(6)</w:t>
            </w:r>
          </w:p>
        </w:tc>
        <w:tc>
          <w:tcPr>
            <w:tcW w:w="5640" w:type="dxa"/>
            <w:vAlign w:val="bottom"/>
            <w:gridSpan w:val="3"/>
          </w:tcPr>
          <w:p>
            <w:pPr>
              <w:ind w:left="580"/>
              <w:spacing w:after="0"/>
              <w:rPr>
                <w:sz w:val="20"/>
                <w:szCs w:val="20"/>
                <w:color w:val="auto"/>
              </w:rPr>
            </w:pPr>
            <w:r>
              <w:rPr>
                <w:rFonts w:ascii="Courier New" w:cs="Courier New" w:eastAsia="Courier New" w:hAnsi="Courier New"/>
                <w:sz w:val="18"/>
                <w:szCs w:val="18"/>
                <w:color w:val="auto"/>
              </w:rPr>
              <w:t>Citizenship or Place of Organization.</w:t>
            </w:r>
          </w:p>
        </w:tc>
        <w:tc>
          <w:tcPr>
            <w:tcW w:w="2420" w:type="dxa"/>
            <w:vAlign w:val="bottom"/>
          </w:tcPr>
          <w:p>
            <w:pPr>
              <w:spacing w:after="0"/>
              <w:rPr>
                <w:sz w:val="17"/>
                <w:szCs w:val="17"/>
                <w:color w:val="auto"/>
              </w:rPr>
            </w:pPr>
          </w:p>
        </w:tc>
      </w:tr>
      <w:tr>
        <w:trPr>
          <w:trHeight w:val="405"/>
        </w:trPr>
        <w:tc>
          <w:tcPr>
            <w:tcW w:w="380" w:type="dxa"/>
            <w:vAlign w:val="bottom"/>
          </w:tcPr>
          <w:p>
            <w:pPr>
              <w:spacing w:after="0"/>
              <w:rPr>
                <w:sz w:val="24"/>
                <w:szCs w:val="24"/>
                <w:color w:val="auto"/>
              </w:rPr>
            </w:pPr>
          </w:p>
        </w:tc>
        <w:tc>
          <w:tcPr>
            <w:tcW w:w="2480" w:type="dxa"/>
            <w:vAlign w:val="bottom"/>
            <w:gridSpan w:val="2"/>
          </w:tcPr>
          <w:p>
            <w:pPr>
              <w:ind w:left="580"/>
              <w:spacing w:after="0"/>
              <w:rPr>
                <w:sz w:val="20"/>
                <w:szCs w:val="20"/>
                <w:color w:val="auto"/>
              </w:rPr>
            </w:pPr>
            <w:r>
              <w:rPr>
                <w:rFonts w:ascii="Courier New" w:cs="Courier New" w:eastAsia="Courier New" w:hAnsi="Courier New"/>
                <w:sz w:val="18"/>
                <w:szCs w:val="18"/>
                <w:color w:val="auto"/>
              </w:rPr>
              <w:t>United States</w:t>
            </w:r>
          </w:p>
        </w:tc>
        <w:tc>
          <w:tcPr>
            <w:tcW w:w="3160" w:type="dxa"/>
            <w:vAlign w:val="bottom"/>
          </w:tcPr>
          <w:p>
            <w:pPr>
              <w:spacing w:after="0"/>
              <w:rPr>
                <w:sz w:val="24"/>
                <w:szCs w:val="24"/>
                <w:color w:val="auto"/>
              </w:rPr>
            </w:pPr>
          </w:p>
        </w:tc>
        <w:tc>
          <w:tcPr>
            <w:tcW w:w="2420" w:type="dxa"/>
            <w:vAlign w:val="bottom"/>
          </w:tcPr>
          <w:p>
            <w:pPr>
              <w:spacing w:after="0"/>
              <w:rPr>
                <w:sz w:val="24"/>
                <w:szCs w:val="24"/>
                <w:color w:val="auto"/>
              </w:rPr>
            </w:pPr>
          </w:p>
        </w:tc>
      </w:tr>
      <w:tr>
        <w:trPr>
          <w:trHeight w:val="608"/>
        </w:trPr>
        <w:tc>
          <w:tcPr>
            <w:tcW w:w="3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6640" w:type="dxa"/>
            <w:vAlign w:val="bottom"/>
            <w:gridSpan w:val="3"/>
          </w:tcPr>
          <w:p>
            <w:pPr>
              <w:ind w:left="100"/>
              <w:spacing w:after="0"/>
              <w:rPr>
                <w:sz w:val="20"/>
                <w:szCs w:val="20"/>
                <w:color w:val="auto"/>
              </w:rPr>
            </w:pPr>
            <w:r>
              <w:rPr>
                <w:rFonts w:ascii="Courier New" w:cs="Courier New" w:eastAsia="Courier New" w:hAnsi="Courier New"/>
                <w:sz w:val="18"/>
                <w:szCs w:val="18"/>
                <w:color w:val="auto"/>
                <w:w w:val="97"/>
              </w:rPr>
              <w:t>--------------------------------------------------------------</w:t>
            </w:r>
          </w:p>
        </w:tc>
      </w:tr>
      <w:tr>
        <w:trPr>
          <w:trHeight w:val="203"/>
        </w:trPr>
        <w:tc>
          <w:tcPr>
            <w:tcW w:w="3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(7)</w:t>
            </w:r>
          </w:p>
        </w:tc>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Voting Power.</w:t>
            </w:r>
          </w:p>
        </w:tc>
        <w:tc>
          <w:tcPr>
            <w:tcW w:w="2420" w:type="dxa"/>
            <w:vAlign w:val="bottom"/>
          </w:tcPr>
          <w:p>
            <w:pPr>
              <w:spacing w:after="0"/>
              <w:rPr>
                <w:sz w:val="17"/>
                <w:szCs w:val="17"/>
                <w:color w:val="auto"/>
              </w:rPr>
            </w:pPr>
          </w:p>
        </w:tc>
      </w:tr>
      <w:tr>
        <w:trPr>
          <w:trHeight w:val="203"/>
        </w:trPr>
        <w:tc>
          <w:tcPr>
            <w:tcW w:w="380" w:type="dxa"/>
            <w:vAlign w:val="bottom"/>
          </w:tcPr>
          <w:p>
            <w:pPr>
              <w:spacing w:after="0"/>
              <w:rPr>
                <w:sz w:val="17"/>
                <w:szCs w:val="17"/>
                <w:color w:val="auto"/>
              </w:rPr>
            </w:pPr>
          </w:p>
        </w:tc>
        <w:tc>
          <w:tcPr>
            <w:tcW w:w="142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NUMBER OF</w:t>
            </w:r>
          </w:p>
        </w:tc>
        <w:tc>
          <w:tcPr>
            <w:tcW w:w="1060" w:type="dxa"/>
            <w:vAlign w:val="bottom"/>
          </w:tcPr>
          <w:p>
            <w:pPr>
              <w:spacing w:after="0"/>
              <w:rPr>
                <w:sz w:val="17"/>
                <w:szCs w:val="17"/>
                <w:color w:val="auto"/>
              </w:rPr>
            </w:pPr>
          </w:p>
        </w:tc>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Luise V. Hanson</w:t>
            </w:r>
          </w:p>
        </w:tc>
        <w:tc>
          <w:tcPr>
            <w:tcW w:w="2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4,963,374 (21.5%)</w:t>
            </w:r>
          </w:p>
        </w:tc>
      </w:tr>
      <w:tr>
        <w:trPr>
          <w:trHeight w:val="203"/>
        </w:trPr>
        <w:tc>
          <w:tcPr>
            <w:tcW w:w="3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Estate of John K. Hanson</w:t>
            </w:r>
          </w:p>
        </w:tc>
        <w:tc>
          <w:tcPr>
            <w:tcW w:w="2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3,017,932 (13.1%)</w:t>
            </w:r>
          </w:p>
        </w:tc>
      </w:tr>
      <w:tr>
        <w:trPr>
          <w:trHeight w:val="203"/>
        </w:trPr>
        <w:tc>
          <w:tcPr>
            <w:tcW w:w="380" w:type="dxa"/>
            <w:vAlign w:val="bottom"/>
          </w:tcPr>
          <w:p>
            <w:pPr>
              <w:spacing w:after="0"/>
              <w:rPr>
                <w:sz w:val="17"/>
                <w:szCs w:val="17"/>
                <w:color w:val="auto"/>
              </w:rPr>
            </w:pPr>
          </w:p>
        </w:tc>
        <w:tc>
          <w:tcPr>
            <w:tcW w:w="142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8"/>
              </w:rPr>
              <w:t>SHARES</w:t>
            </w:r>
          </w:p>
        </w:tc>
        <w:tc>
          <w:tcPr>
            <w:tcW w:w="1060" w:type="dxa"/>
            <w:vAlign w:val="bottom"/>
          </w:tcPr>
          <w:p>
            <w:pPr>
              <w:spacing w:after="0"/>
              <w:rPr>
                <w:sz w:val="17"/>
                <w:szCs w:val="17"/>
                <w:color w:val="auto"/>
              </w:rPr>
            </w:pPr>
          </w:p>
        </w:tc>
        <w:tc>
          <w:tcPr>
            <w:tcW w:w="3160" w:type="dxa"/>
            <w:vAlign w:val="bottom"/>
          </w:tcPr>
          <w:p>
            <w:pPr>
              <w:spacing w:after="0"/>
              <w:rPr>
                <w:sz w:val="17"/>
                <w:szCs w:val="17"/>
                <w:color w:val="auto"/>
              </w:rPr>
            </w:pPr>
          </w:p>
        </w:tc>
        <w:tc>
          <w:tcPr>
            <w:tcW w:w="2420" w:type="dxa"/>
            <w:vAlign w:val="bottom"/>
          </w:tcPr>
          <w:p>
            <w:pPr>
              <w:spacing w:after="0"/>
              <w:rPr>
                <w:sz w:val="17"/>
                <w:szCs w:val="17"/>
                <w:color w:val="auto"/>
              </w:rPr>
            </w:pPr>
          </w:p>
        </w:tc>
      </w:tr>
      <w:tr>
        <w:trPr>
          <w:trHeight w:val="203"/>
        </w:trPr>
        <w:tc>
          <w:tcPr>
            <w:tcW w:w="3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6640" w:type="dxa"/>
            <w:vAlign w:val="bottom"/>
            <w:gridSpan w:val="3"/>
          </w:tcPr>
          <w:p>
            <w:pPr>
              <w:ind w:left="10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380" w:type="dxa"/>
            <w:vAlign w:val="bottom"/>
          </w:tcPr>
          <w:p>
            <w:pPr>
              <w:spacing w:after="0"/>
              <w:rPr>
                <w:sz w:val="17"/>
                <w:szCs w:val="17"/>
                <w:color w:val="auto"/>
              </w:rPr>
            </w:pPr>
          </w:p>
        </w:tc>
        <w:tc>
          <w:tcPr>
            <w:tcW w:w="142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8"/>
              </w:rPr>
              <w:t>BENEFICIALLY</w:t>
            </w:r>
          </w:p>
        </w:tc>
        <w:tc>
          <w:tcPr>
            <w:tcW w:w="10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(8)</w:t>
            </w:r>
          </w:p>
        </w:tc>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c>
          <w:tcPr>
            <w:tcW w:w="2420" w:type="dxa"/>
            <w:vAlign w:val="bottom"/>
          </w:tcPr>
          <w:p>
            <w:pPr>
              <w:spacing w:after="0"/>
              <w:rPr>
                <w:sz w:val="17"/>
                <w:szCs w:val="17"/>
                <w:color w:val="auto"/>
              </w:rPr>
            </w:pPr>
          </w:p>
        </w:tc>
      </w:tr>
      <w:tr>
        <w:trPr>
          <w:trHeight w:val="405"/>
        </w:trPr>
        <w:tc>
          <w:tcPr>
            <w:tcW w:w="380" w:type="dxa"/>
            <w:vAlign w:val="bottom"/>
          </w:tcPr>
          <w:p>
            <w:pPr>
              <w:spacing w:after="0"/>
              <w:rPr>
                <w:sz w:val="24"/>
                <w:szCs w:val="24"/>
                <w:color w:val="auto"/>
              </w:rPr>
            </w:pPr>
          </w:p>
        </w:tc>
        <w:tc>
          <w:tcPr>
            <w:tcW w:w="1420" w:type="dxa"/>
            <w:vAlign w:val="bottom"/>
          </w:tcPr>
          <w:p>
            <w:pPr>
              <w:jc w:val="center"/>
              <w:spacing w:after="0"/>
              <w:rPr>
                <w:sz w:val="20"/>
                <w:szCs w:val="20"/>
                <w:color w:val="auto"/>
              </w:rPr>
            </w:pPr>
            <w:r>
              <w:rPr>
                <w:rFonts w:ascii="Courier New" w:cs="Courier New" w:eastAsia="Courier New" w:hAnsi="Courier New"/>
                <w:sz w:val="18"/>
                <w:szCs w:val="18"/>
                <w:color w:val="auto"/>
                <w:w w:val="97"/>
              </w:rPr>
              <w:t>OWNED BY</w:t>
            </w:r>
          </w:p>
        </w:tc>
        <w:tc>
          <w:tcPr>
            <w:tcW w:w="1060" w:type="dxa"/>
            <w:vAlign w:val="bottom"/>
          </w:tcPr>
          <w:p>
            <w:pPr>
              <w:spacing w:after="0"/>
              <w:rPr>
                <w:sz w:val="24"/>
                <w:szCs w:val="24"/>
                <w:color w:val="auto"/>
              </w:rPr>
            </w:pPr>
          </w:p>
        </w:tc>
        <w:tc>
          <w:tcPr>
            <w:tcW w:w="3160" w:type="dxa"/>
            <w:vAlign w:val="bottom"/>
          </w:tcPr>
          <w:p>
            <w:pPr>
              <w:spacing w:after="0"/>
              <w:rPr>
                <w:sz w:val="20"/>
                <w:szCs w:val="20"/>
                <w:color w:val="auto"/>
              </w:rPr>
            </w:pPr>
            <w:r>
              <w:rPr>
                <w:rFonts w:ascii="Courier New" w:cs="Courier New" w:eastAsia="Courier New" w:hAnsi="Courier New"/>
                <w:sz w:val="18"/>
                <w:szCs w:val="18"/>
                <w:color w:val="auto"/>
              </w:rPr>
              <w:t>Not applicable.</w:t>
            </w:r>
          </w:p>
        </w:tc>
        <w:tc>
          <w:tcPr>
            <w:tcW w:w="2420" w:type="dxa"/>
            <w:vAlign w:val="bottom"/>
          </w:tcPr>
          <w:p>
            <w:pPr>
              <w:spacing w:after="0"/>
              <w:rPr>
                <w:sz w:val="24"/>
                <w:szCs w:val="24"/>
                <w:color w:val="auto"/>
              </w:rPr>
            </w:pPr>
          </w:p>
        </w:tc>
      </w:tr>
      <w:tr>
        <w:trPr>
          <w:trHeight w:val="405"/>
        </w:trPr>
        <w:tc>
          <w:tcPr>
            <w:tcW w:w="380" w:type="dxa"/>
            <w:vAlign w:val="bottom"/>
          </w:tcPr>
          <w:p>
            <w:pPr>
              <w:spacing w:after="0"/>
              <w:rPr>
                <w:sz w:val="24"/>
                <w:szCs w:val="24"/>
                <w:color w:val="auto"/>
              </w:rPr>
            </w:pPr>
          </w:p>
        </w:tc>
        <w:tc>
          <w:tcPr>
            <w:tcW w:w="1420" w:type="dxa"/>
            <w:vAlign w:val="bottom"/>
          </w:tcPr>
          <w:p>
            <w:pPr>
              <w:jc w:val="center"/>
              <w:spacing w:after="0"/>
              <w:rPr>
                <w:sz w:val="20"/>
                <w:szCs w:val="20"/>
                <w:color w:val="auto"/>
              </w:rPr>
            </w:pPr>
            <w:r>
              <w:rPr>
                <w:rFonts w:ascii="Courier New" w:cs="Courier New" w:eastAsia="Courier New" w:hAnsi="Courier New"/>
                <w:sz w:val="18"/>
                <w:szCs w:val="18"/>
                <w:color w:val="auto"/>
                <w:w w:val="97"/>
              </w:rPr>
              <w:t>EACH</w:t>
            </w:r>
          </w:p>
        </w:tc>
        <w:tc>
          <w:tcPr>
            <w:tcW w:w="4220" w:type="dxa"/>
            <w:vAlign w:val="bottom"/>
            <w:gridSpan w:val="2"/>
          </w:tcPr>
          <w:p>
            <w:pPr>
              <w:ind w:left="100"/>
              <w:spacing w:after="0"/>
              <w:rPr>
                <w:sz w:val="20"/>
                <w:szCs w:val="20"/>
                <w:color w:val="auto"/>
              </w:rPr>
            </w:pPr>
            <w:r>
              <w:rPr>
                <w:rFonts w:ascii="Courier New" w:cs="Courier New" w:eastAsia="Courier New" w:hAnsi="Courier New"/>
                <w:sz w:val="15"/>
                <w:szCs w:val="15"/>
                <w:color w:val="auto"/>
                <w:w w:val="73"/>
              </w:rPr>
              <w:t>--------------------------------------------------------------</w:t>
            </w:r>
          </w:p>
        </w:tc>
        <w:tc>
          <w:tcPr>
            <w:tcW w:w="2420" w:type="dxa"/>
            <w:vAlign w:val="bottom"/>
          </w:tcPr>
          <w:p>
            <w:pPr>
              <w:spacing w:after="0"/>
              <w:rPr>
                <w:sz w:val="24"/>
                <w:szCs w:val="24"/>
                <w:color w:val="auto"/>
              </w:rPr>
            </w:pPr>
          </w:p>
        </w:tc>
      </w:tr>
      <w:tr>
        <w:trPr>
          <w:trHeight w:val="203"/>
        </w:trPr>
        <w:tc>
          <w:tcPr>
            <w:tcW w:w="3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(9)</w:t>
            </w:r>
          </w:p>
        </w:tc>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c>
          <w:tcPr>
            <w:tcW w:w="2420" w:type="dxa"/>
            <w:vAlign w:val="bottom"/>
          </w:tcPr>
          <w:p>
            <w:pPr>
              <w:spacing w:after="0"/>
              <w:rPr>
                <w:sz w:val="17"/>
                <w:szCs w:val="17"/>
                <w:color w:val="auto"/>
              </w:rPr>
            </w:pPr>
          </w:p>
        </w:tc>
      </w:tr>
      <w:tr>
        <w:trPr>
          <w:trHeight w:val="203"/>
        </w:trPr>
        <w:tc>
          <w:tcPr>
            <w:tcW w:w="380" w:type="dxa"/>
            <w:vAlign w:val="bottom"/>
          </w:tcPr>
          <w:p>
            <w:pPr>
              <w:spacing w:after="0"/>
              <w:rPr>
                <w:sz w:val="17"/>
                <w:szCs w:val="17"/>
                <w:color w:val="auto"/>
              </w:rPr>
            </w:pPr>
          </w:p>
        </w:tc>
        <w:tc>
          <w:tcPr>
            <w:tcW w:w="142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REPORTING</w:t>
            </w:r>
          </w:p>
        </w:tc>
        <w:tc>
          <w:tcPr>
            <w:tcW w:w="1060" w:type="dxa"/>
            <w:vAlign w:val="bottom"/>
          </w:tcPr>
          <w:p>
            <w:pPr>
              <w:spacing w:after="0"/>
              <w:rPr>
                <w:sz w:val="17"/>
                <w:szCs w:val="17"/>
                <w:color w:val="auto"/>
              </w:rPr>
            </w:pPr>
          </w:p>
        </w:tc>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Luise V. Hanson</w:t>
            </w:r>
          </w:p>
        </w:tc>
        <w:tc>
          <w:tcPr>
            <w:tcW w:w="2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4,963,374 (21.5%)</w:t>
            </w:r>
          </w:p>
        </w:tc>
      </w:tr>
      <w:tr>
        <w:trPr>
          <w:trHeight w:val="203"/>
        </w:trPr>
        <w:tc>
          <w:tcPr>
            <w:tcW w:w="3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Estate of John K. Hanson</w:t>
            </w:r>
          </w:p>
        </w:tc>
        <w:tc>
          <w:tcPr>
            <w:tcW w:w="2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3,017,932 (13.1%)</w:t>
            </w:r>
          </w:p>
        </w:tc>
      </w:tr>
      <w:tr>
        <w:trPr>
          <w:trHeight w:val="203"/>
        </w:trPr>
        <w:tc>
          <w:tcPr>
            <w:tcW w:w="380" w:type="dxa"/>
            <w:vAlign w:val="bottom"/>
          </w:tcPr>
          <w:p>
            <w:pPr>
              <w:spacing w:after="0"/>
              <w:rPr>
                <w:sz w:val="17"/>
                <w:szCs w:val="17"/>
                <w:color w:val="auto"/>
              </w:rPr>
            </w:pPr>
          </w:p>
        </w:tc>
        <w:tc>
          <w:tcPr>
            <w:tcW w:w="142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8"/>
              </w:rPr>
              <w:t>PERSON</w:t>
            </w:r>
          </w:p>
        </w:tc>
        <w:tc>
          <w:tcPr>
            <w:tcW w:w="1060" w:type="dxa"/>
            <w:vAlign w:val="bottom"/>
          </w:tcPr>
          <w:p>
            <w:pPr>
              <w:spacing w:after="0"/>
              <w:rPr>
                <w:sz w:val="17"/>
                <w:szCs w:val="17"/>
                <w:color w:val="auto"/>
              </w:rPr>
            </w:pPr>
          </w:p>
        </w:tc>
        <w:tc>
          <w:tcPr>
            <w:tcW w:w="3160" w:type="dxa"/>
            <w:vAlign w:val="bottom"/>
          </w:tcPr>
          <w:p>
            <w:pPr>
              <w:spacing w:after="0"/>
              <w:rPr>
                <w:sz w:val="17"/>
                <w:szCs w:val="17"/>
                <w:color w:val="auto"/>
              </w:rPr>
            </w:pPr>
          </w:p>
        </w:tc>
        <w:tc>
          <w:tcPr>
            <w:tcW w:w="2420" w:type="dxa"/>
            <w:vAlign w:val="bottom"/>
          </w:tcPr>
          <w:p>
            <w:pPr>
              <w:spacing w:after="0"/>
              <w:rPr>
                <w:sz w:val="17"/>
                <w:szCs w:val="17"/>
                <w:color w:val="auto"/>
              </w:rPr>
            </w:pPr>
          </w:p>
        </w:tc>
      </w:tr>
      <w:tr>
        <w:trPr>
          <w:trHeight w:val="203"/>
        </w:trPr>
        <w:tc>
          <w:tcPr>
            <w:tcW w:w="3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6640" w:type="dxa"/>
            <w:vAlign w:val="bottom"/>
            <w:gridSpan w:val="3"/>
          </w:tcPr>
          <w:p>
            <w:pPr>
              <w:ind w:left="10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380" w:type="dxa"/>
            <w:vAlign w:val="bottom"/>
          </w:tcPr>
          <w:p>
            <w:pPr>
              <w:spacing w:after="0"/>
              <w:rPr>
                <w:sz w:val="17"/>
                <w:szCs w:val="17"/>
                <w:color w:val="auto"/>
              </w:rPr>
            </w:pPr>
          </w:p>
        </w:tc>
        <w:tc>
          <w:tcPr>
            <w:tcW w:w="142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WITH</w:t>
            </w:r>
          </w:p>
        </w:tc>
        <w:tc>
          <w:tcPr>
            <w:tcW w:w="10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(10)</w:t>
            </w:r>
          </w:p>
        </w:tc>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Dispositive Power.</w:t>
            </w:r>
          </w:p>
        </w:tc>
        <w:tc>
          <w:tcPr>
            <w:tcW w:w="2420" w:type="dxa"/>
            <w:vAlign w:val="bottom"/>
          </w:tcPr>
          <w:p>
            <w:pPr>
              <w:spacing w:after="0"/>
              <w:rPr>
                <w:sz w:val="17"/>
                <w:szCs w:val="17"/>
                <w:color w:val="auto"/>
              </w:rPr>
            </w:pPr>
          </w:p>
        </w:tc>
      </w:tr>
    </w:tbl>
    <w:p>
      <w:pPr>
        <w:sectPr>
          <w:pgSz w:w="11900" w:h="16838" w:orient="portrait"/>
          <w:cols w:equalWidth="0" w:num="1">
            <w:col w:w="10219"/>
          </w:cols>
          <w:pgMar w:left="240" w:top="925" w:right="1440" w:bottom="1440" w:gutter="0" w:footer="0" w:header="0"/>
        </w:sectPr>
      </w:pPr>
    </w:p>
    <w:bookmarkStart w:id="2" w:name="page3"/>
    <w:bookmarkEnd w:id="2"/>
    <w:p>
      <w:pPr>
        <w:spacing w:after="0"/>
        <w:tabs>
          <w:tab w:leader="none" w:pos="7780" w:val="left"/>
        </w:tabs>
        <w:rPr>
          <w:sz w:val="20"/>
          <w:szCs w:val="20"/>
          <w:color w:val="auto"/>
        </w:rPr>
      </w:pPr>
      <w:r>
        <w:rPr>
          <w:rFonts w:ascii="Courier New" w:cs="Courier New" w:eastAsia="Courier New" w:hAnsi="Courier New"/>
          <w:sz w:val="18"/>
          <w:szCs w:val="18"/>
          <w:color w:val="auto"/>
        </w:rPr>
        <w:t>CUSIP NO. 974637100</w:t>
      </w:r>
      <w:r>
        <w:rPr>
          <w:sz w:val="20"/>
          <w:szCs w:val="20"/>
          <w:color w:val="auto"/>
        </w:rPr>
        <w:tab/>
      </w:r>
      <w:r>
        <w:rPr>
          <w:rFonts w:ascii="Courier New" w:cs="Courier New" w:eastAsia="Courier New" w:hAnsi="Courier New"/>
          <w:sz w:val="16"/>
          <w:szCs w:val="16"/>
          <w:color w:val="auto"/>
        </w:rPr>
        <w:t>PAGE 4</w:t>
      </w:r>
    </w:p>
    <w:p>
      <w:pPr>
        <w:spacing w:after="0" w:line="4" w:lineRule="exact"/>
        <w:rPr>
          <w:sz w:val="20"/>
          <w:szCs w:val="20"/>
          <w:color w:val="auto"/>
        </w:rPr>
      </w:pPr>
    </w:p>
    <w:p>
      <w:pPr>
        <w:ind w:left="220" w:hanging="212"/>
        <w:spacing w:after="0"/>
        <w:tabs>
          <w:tab w:leader="none" w:pos="2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00" w:lineRule="exact"/>
        <w:rPr>
          <w:rFonts w:ascii="Courier New" w:cs="Courier New" w:eastAsia="Courier New" w:hAnsi="Courier New"/>
          <w:sz w:val="16"/>
          <w:szCs w:val="16"/>
          <w:color w:val="auto"/>
        </w:rPr>
      </w:pPr>
    </w:p>
    <w:p>
      <w:pPr>
        <w:spacing w:after="0" w:line="220" w:lineRule="exact"/>
        <w:rPr>
          <w:rFonts w:ascii="Courier New" w:cs="Courier New" w:eastAsia="Courier New" w:hAnsi="Courier New"/>
          <w:sz w:val="16"/>
          <w:szCs w:val="16"/>
          <w:color w:val="auto"/>
        </w:rPr>
      </w:pPr>
    </w:p>
    <w:p>
      <w:pPr>
        <w:ind w:left="286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Not applicable.</w:t>
      </w:r>
    </w:p>
    <w:p>
      <w:pPr>
        <w:spacing w:after="0" w:line="200" w:lineRule="exact"/>
        <w:rPr>
          <w:rFonts w:ascii="Courier New" w:cs="Courier New" w:eastAsia="Courier New" w:hAnsi="Courier New"/>
          <w:sz w:val="16"/>
          <w:szCs w:val="16"/>
          <w:color w:val="auto"/>
        </w:rPr>
      </w:pPr>
    </w:p>
    <w:p>
      <w:pPr>
        <w:spacing w:after="0" w:line="209"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960" w:right="2839" w:hanging="952"/>
        <w:spacing w:after="0" w:line="470" w:lineRule="auto"/>
        <w:tabs>
          <w:tab w:leader="none" w:pos="96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7,981,306</w:t>
      </w:r>
    </w:p>
    <w:p>
      <w:pPr>
        <w:sectPr>
          <w:pgSz w:w="11900" w:h="16838" w:orient="portrait"/>
          <w:cols w:equalWidth="0" w:num="1">
            <w:col w:w="10219"/>
          </w:cols>
          <w:pgMar w:left="240" w:top="919" w:right="1440" w:bottom="1440" w:gutter="0" w:footer="0" w:header="0"/>
        </w:sectPr>
      </w:pPr>
    </w:p>
    <w:bookmarkStart w:id="3" w:name="page4"/>
    <w:bookmarkEnd w:id="3"/>
    <w:p>
      <w:pPr>
        <w:spacing w:after="0"/>
        <w:tabs>
          <w:tab w:leader="none" w:pos="7780" w:val="left"/>
        </w:tabs>
        <w:rPr>
          <w:sz w:val="20"/>
          <w:szCs w:val="20"/>
          <w:color w:val="auto"/>
        </w:rPr>
      </w:pPr>
      <w:r>
        <w:rPr>
          <w:rFonts w:ascii="Courier New" w:cs="Courier New" w:eastAsia="Courier New" w:hAnsi="Courier New"/>
          <w:sz w:val="18"/>
          <w:szCs w:val="18"/>
          <w:color w:val="auto"/>
        </w:rPr>
        <w:t>CUSIP NO. 974637100</w:t>
      </w:r>
      <w:r>
        <w:rPr>
          <w:sz w:val="20"/>
          <w:szCs w:val="20"/>
          <w:color w:val="auto"/>
        </w:rPr>
        <w:tab/>
      </w:r>
      <w:r>
        <w:rPr>
          <w:rFonts w:ascii="Courier New" w:cs="Courier New" w:eastAsia="Courier New" w:hAnsi="Courier New"/>
          <w:sz w:val="16"/>
          <w:szCs w:val="16"/>
          <w:color w:val="auto"/>
        </w:rPr>
        <w:t>PAGE 5</w:t>
      </w:r>
    </w:p>
    <w:p>
      <w:pPr>
        <w:spacing w:after="0" w:line="4" w:lineRule="exact"/>
        <w:rPr>
          <w:sz w:val="20"/>
          <w:szCs w:val="20"/>
          <w:color w:val="auto"/>
        </w:rPr>
      </w:pPr>
    </w:p>
    <w:p>
      <w:pPr>
        <w:ind w:left="220" w:hanging="212"/>
        <w:spacing w:after="0"/>
        <w:tabs>
          <w:tab w:leader="none" w:pos="22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00" w:lineRule="exact"/>
        <w:rPr>
          <w:rFonts w:ascii="Courier New" w:cs="Courier New" w:eastAsia="Courier New" w:hAnsi="Courier New"/>
          <w:sz w:val="16"/>
          <w:szCs w:val="16"/>
          <w:color w:val="auto"/>
        </w:rPr>
      </w:pPr>
    </w:p>
    <w:p>
      <w:pPr>
        <w:spacing w:after="0" w:line="200" w:lineRule="exact"/>
        <w:rPr>
          <w:rFonts w:ascii="Courier New" w:cs="Courier New" w:eastAsia="Courier New" w:hAnsi="Courier New"/>
          <w:sz w:val="16"/>
          <w:szCs w:val="16"/>
          <w:color w:val="auto"/>
        </w:rPr>
      </w:pPr>
    </w:p>
    <w:p>
      <w:pPr>
        <w:spacing w:after="0" w:line="200" w:lineRule="exact"/>
        <w:rPr>
          <w:rFonts w:ascii="Courier New" w:cs="Courier New" w:eastAsia="Courier New" w:hAnsi="Courier New"/>
          <w:sz w:val="16"/>
          <w:szCs w:val="16"/>
          <w:color w:val="auto"/>
        </w:rPr>
      </w:pPr>
    </w:p>
    <w:p>
      <w:pPr>
        <w:spacing w:after="0" w:line="231"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960" w:hanging="952"/>
        <w:spacing w:after="0"/>
        <w:tabs>
          <w:tab w:leader="none" w:pos="96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(11) Excludes Certain</w:t>
      </w:r>
    </w:p>
    <w:p>
      <w:pPr>
        <w:ind w:left="960"/>
        <w:spacing w:after="0"/>
        <w:tabs>
          <w:tab w:leader="none" w:pos="8100" w:val="left"/>
        </w:tabs>
        <w:rPr>
          <w:sz w:val="20"/>
          <w:szCs w:val="20"/>
          <w:color w:val="auto"/>
        </w:rPr>
      </w:pPr>
      <w:r>
        <w:rPr>
          <w:rFonts w:ascii="Courier New" w:cs="Courier New" w:eastAsia="Courier New" w:hAnsi="Courier New"/>
          <w:sz w:val="18"/>
          <w:szCs w:val="18"/>
          <w:color w:val="auto"/>
        </w:rPr>
        <w:t>Shares (See Instructions).</w:t>
      </w:r>
      <w:r>
        <w:rPr>
          <w:sz w:val="20"/>
          <w:szCs w:val="20"/>
          <w:color w:val="auto"/>
        </w:rPr>
        <w:tab/>
      </w:r>
      <w:r>
        <w:rPr>
          <w:rFonts w:ascii="Courier New" w:cs="Courier New" w:eastAsia="Courier New" w:hAnsi="Courier New"/>
          <w:sz w:val="16"/>
          <w:szCs w:val="16"/>
          <w:color w:val="auto"/>
        </w:rPr>
        <w:t>[ ]</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 w:lineRule="exact"/>
        <w:rPr>
          <w:sz w:val="20"/>
          <w:szCs w:val="20"/>
          <w:color w:val="auto"/>
        </w:rPr>
      </w:pPr>
    </w:p>
    <w:p>
      <w:pPr>
        <w:ind w:left="960" w:right="3899" w:hanging="952"/>
        <w:spacing w:after="0" w:line="470" w:lineRule="auto"/>
        <w:tabs>
          <w:tab w:leader="none" w:pos="9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(11). 34.6%</w:t>
      </w:r>
    </w:p>
    <w:p>
      <w:pPr>
        <w:spacing w:after="0" w:line="21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960" w:hanging="952"/>
        <w:spacing w:after="0"/>
        <w:tabs>
          <w:tab w:leader="none" w:pos="96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(See Instructions).</w:t>
      </w:r>
    </w:p>
    <w:p>
      <w:pPr>
        <w:spacing w:after="0" w:line="201" w:lineRule="exact"/>
        <w:rPr>
          <w:rFonts w:ascii="Courier New" w:cs="Courier New" w:eastAsia="Courier New" w:hAnsi="Courier New"/>
          <w:sz w:val="18"/>
          <w:szCs w:val="18"/>
          <w:color w:val="auto"/>
        </w:rPr>
      </w:pPr>
    </w:p>
    <w:p>
      <w:pPr>
        <w:ind w:left="9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IN</w:t>
      </w:r>
    </w:p>
    <w:p>
      <w:pPr>
        <w:spacing w:after="0" w:line="200" w:lineRule="exact"/>
        <w:rPr>
          <w:sz w:val="20"/>
          <w:szCs w:val="20"/>
          <w:color w:val="auto"/>
        </w:rPr>
      </w:pPr>
    </w:p>
    <w:p>
      <w:pPr>
        <w:spacing w:after="0" w:line="204"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1.</w:t>
      </w:r>
      <w:r>
        <w:rPr>
          <w:sz w:val="20"/>
          <w:szCs w:val="20"/>
          <w:color w:val="auto"/>
        </w:rPr>
        <w:tab/>
      </w:r>
      <w:r>
        <w:rPr>
          <w:rFonts w:ascii="Courier New" w:cs="Courier New" w:eastAsia="Courier New" w:hAnsi="Courier New"/>
          <w:sz w:val="16"/>
          <w:szCs w:val="16"/>
          <w:color w:val="auto"/>
        </w:rPr>
        <w:t>SECURITY AND ISSUER.</w:t>
      </w:r>
    </w:p>
    <w:p>
      <w:pPr>
        <w:spacing w:after="0" w:line="207" w:lineRule="exact"/>
        <w:rPr>
          <w:sz w:val="20"/>
          <w:szCs w:val="20"/>
          <w:color w:val="auto"/>
        </w:rPr>
      </w:pPr>
    </w:p>
    <w:p>
      <w:pPr>
        <w:ind w:right="2419" w:firstLine="948"/>
        <w:spacing w:after="0" w:line="275" w:lineRule="auto"/>
        <w:rPr>
          <w:sz w:val="20"/>
          <w:szCs w:val="20"/>
          <w:color w:val="auto"/>
        </w:rPr>
      </w:pPr>
      <w:r>
        <w:rPr>
          <w:rFonts w:ascii="Courier New" w:cs="Courier New" w:eastAsia="Courier New" w:hAnsi="Courier New"/>
          <w:sz w:val="16"/>
          <w:szCs w:val="16"/>
          <w:color w:val="auto"/>
        </w:rPr>
        <w:t>The class of securities to which this statement relates is Common Stock, $.50 par value (the "COMMON STOCK"), of Winnebago Industries, Inc. ("WINNEBAGO"), an Iowa corporation. The address of Winnebago's principal executive offices is P.O. Box 152, Forest City, Iowa 50436.</w:t>
      </w:r>
    </w:p>
    <w:p>
      <w:pPr>
        <w:spacing w:after="0" w:line="379"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2.</w:t>
      </w:r>
      <w:r>
        <w:rPr>
          <w:sz w:val="20"/>
          <w:szCs w:val="20"/>
          <w:color w:val="auto"/>
        </w:rPr>
        <w:tab/>
      </w:r>
      <w:r>
        <w:rPr>
          <w:rFonts w:ascii="Courier New" w:cs="Courier New" w:eastAsia="Courier New" w:hAnsi="Courier New"/>
          <w:sz w:val="16"/>
          <w:szCs w:val="16"/>
          <w:color w:val="auto"/>
        </w:rPr>
        <w:t>IDENTITY AND BACKGROUND.</w:t>
      </w:r>
    </w:p>
    <w:p>
      <w:pPr>
        <w:spacing w:after="0" w:line="207" w:lineRule="exact"/>
        <w:rPr>
          <w:sz w:val="20"/>
          <w:szCs w:val="20"/>
          <w:color w:val="auto"/>
        </w:rPr>
      </w:pPr>
    </w:p>
    <w:p>
      <w:pPr>
        <w:ind w:right="2099" w:firstLine="948"/>
        <w:spacing w:after="0" w:line="236" w:lineRule="auto"/>
        <w:rPr>
          <w:sz w:val="20"/>
          <w:szCs w:val="20"/>
          <w:color w:val="auto"/>
        </w:rPr>
      </w:pPr>
      <w:r>
        <w:rPr>
          <w:rFonts w:ascii="Courier New" w:cs="Courier New" w:eastAsia="Courier New" w:hAnsi="Courier New"/>
          <w:sz w:val="18"/>
          <w:szCs w:val="18"/>
          <w:color w:val="auto"/>
        </w:rPr>
        <w:t>This statement is being filed by Luise V. Hanson. Mrs. Hanson is retired, and her residence address is 905 Highway 69 South, Forest City, Iowa 50436.</w:t>
      </w:r>
    </w:p>
    <w:p>
      <w:pPr>
        <w:spacing w:after="0" w:line="209"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Mrs. Hanson has not, during the last five years, been convicted in a criminal proceeding (excluding traffic violations or similar misdemeanors). Further, Mrs. Hanson has not, during the last five years, been a party to a civil proceeding of a judicial or administrative body of competent jurisdiction which resulted in Mrs. Hanson being subject to a judgment, decree or final order enjoining future violations of, or prohibiting or mandating activities subject to, federal or state securities law or finding any violation with respect to such laws.</w:t>
      </w:r>
    </w:p>
    <w:p>
      <w:pPr>
        <w:sectPr>
          <w:pgSz w:w="11900" w:h="16838" w:orient="portrait"/>
          <w:cols w:equalWidth="0" w:num="1">
            <w:col w:w="10219"/>
          </w:cols>
          <w:pgMar w:left="240" w:top="919" w:right="1440" w:bottom="1440" w:gutter="0" w:footer="0" w:header="0"/>
        </w:sectPr>
      </w:pPr>
    </w:p>
    <w:bookmarkStart w:id="4" w:name="page5"/>
    <w:bookmarkEnd w:id="4"/>
    <w:p>
      <w:pPr>
        <w:spacing w:after="0"/>
        <w:tabs>
          <w:tab w:leader="none" w:pos="7780" w:val="left"/>
        </w:tabs>
        <w:rPr>
          <w:sz w:val="20"/>
          <w:szCs w:val="20"/>
          <w:color w:val="auto"/>
        </w:rPr>
      </w:pPr>
      <w:r>
        <w:rPr>
          <w:rFonts w:ascii="Courier New" w:cs="Courier New" w:eastAsia="Courier New" w:hAnsi="Courier New"/>
          <w:sz w:val="18"/>
          <w:szCs w:val="18"/>
          <w:color w:val="auto"/>
        </w:rPr>
        <w:t>CUSIP NO. 974637100</w:t>
      </w:r>
      <w:r>
        <w:rPr>
          <w:sz w:val="20"/>
          <w:szCs w:val="20"/>
          <w:color w:val="auto"/>
        </w:rPr>
        <w:tab/>
      </w:r>
      <w:r>
        <w:rPr>
          <w:rFonts w:ascii="Courier New" w:cs="Courier New" w:eastAsia="Courier New" w:hAnsi="Courier New"/>
          <w:sz w:val="16"/>
          <w:szCs w:val="16"/>
          <w:color w:val="auto"/>
        </w:rPr>
        <w:t>PAGE 6</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SOURCE AND AMOUNT OF FUNDS OR OTHER CONSIDERATION.</w:t>
      </w:r>
    </w:p>
    <w:p>
      <w:pPr>
        <w:spacing w:after="0" w:line="207"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NOT APPLICABLE. This amendment is being filed to report a change in the direct and indirect beneficial ownership by Mrs. Hanson of an aggregate of 720,000 shares of Common Stock, as a result of the disposition pursuant to the will of John K. Hanson of 720,000 shares of Common Stock by Mrs. Hanson acting as the executor of the estate of John K. Hanson (the "ESTATE").</w:t>
      </w:r>
    </w:p>
    <w:p>
      <w:pPr>
        <w:spacing w:after="0" w:line="200" w:lineRule="exact"/>
        <w:rPr>
          <w:sz w:val="20"/>
          <w:szCs w:val="20"/>
          <w:color w:val="auto"/>
        </w:rPr>
      </w:pPr>
    </w:p>
    <w:p>
      <w:pPr>
        <w:spacing w:after="0" w:line="206"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PURPOSE OF TRANSACTION.</w:t>
      </w:r>
    </w:p>
    <w:p>
      <w:pPr>
        <w:spacing w:after="0" w:line="207" w:lineRule="exact"/>
        <w:rPr>
          <w:sz w:val="20"/>
          <w:szCs w:val="20"/>
          <w:color w:val="auto"/>
        </w:rPr>
      </w:pPr>
    </w:p>
    <w:p>
      <w:pPr>
        <w:ind w:right="1999" w:firstLine="948"/>
        <w:spacing w:after="0" w:line="237" w:lineRule="auto"/>
        <w:rPr>
          <w:sz w:val="20"/>
          <w:szCs w:val="20"/>
          <w:color w:val="auto"/>
        </w:rPr>
      </w:pPr>
      <w:r>
        <w:rPr>
          <w:rFonts w:ascii="Courier New" w:cs="Courier New" w:eastAsia="Courier New" w:hAnsi="Courier New"/>
          <w:sz w:val="18"/>
          <w:szCs w:val="18"/>
          <w:color w:val="auto"/>
        </w:rPr>
        <w:t>On June 26, 1998, Mrs. Hanson, as executor of the Estate, disposed of 720,000 shares of Common Stock pursuant to the will of John K. Hanson. The undersigned does not presently have any plans or proposals which relate to or would result in:</w:t>
      </w:r>
    </w:p>
    <w:p>
      <w:pPr>
        <w:spacing w:after="0" w:line="207" w:lineRule="exact"/>
        <w:rPr>
          <w:sz w:val="20"/>
          <w:szCs w:val="20"/>
          <w:color w:val="auto"/>
        </w:rPr>
      </w:pPr>
    </w:p>
    <w:p>
      <w:pPr>
        <w:ind w:left="960" w:right="1779" w:hanging="952"/>
        <w:spacing w:after="0" w:line="237" w:lineRule="auto"/>
        <w:tabs>
          <w:tab w:leader="none" w:pos="96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acquisition by any person of additional securities of Winnebago, or the disposition of securities of Winnebago, other than the continuing disposition of shares of Common Stock held by the Estate in the course of administering the Estate;</w:t>
      </w:r>
    </w:p>
    <w:p>
      <w:pPr>
        <w:spacing w:after="0" w:line="207" w:lineRule="exact"/>
        <w:rPr>
          <w:rFonts w:ascii="Courier New" w:cs="Courier New" w:eastAsia="Courier New" w:hAnsi="Courier New"/>
          <w:sz w:val="18"/>
          <w:szCs w:val="18"/>
          <w:color w:val="auto"/>
        </w:rPr>
      </w:pPr>
    </w:p>
    <w:p>
      <w:pPr>
        <w:ind w:left="960" w:right="2519" w:hanging="952"/>
        <w:spacing w:after="0" w:line="236" w:lineRule="auto"/>
        <w:tabs>
          <w:tab w:leader="none" w:pos="96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 extraordinary corporate transaction, such as a merger, reorganization or liquidation, involving Winnebago or any of its subsidiaries;</w:t>
      </w:r>
    </w:p>
    <w:p>
      <w:pPr>
        <w:spacing w:after="0" w:line="208" w:lineRule="exact"/>
        <w:rPr>
          <w:rFonts w:ascii="Courier New" w:cs="Courier New" w:eastAsia="Courier New" w:hAnsi="Courier New"/>
          <w:sz w:val="18"/>
          <w:szCs w:val="18"/>
          <w:color w:val="auto"/>
        </w:rPr>
      </w:pPr>
    </w:p>
    <w:p>
      <w:pPr>
        <w:ind w:left="960" w:right="1999" w:hanging="952"/>
        <w:spacing w:after="0" w:line="235" w:lineRule="auto"/>
        <w:tabs>
          <w:tab w:leader="none" w:pos="96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sale or transfer of a material amount of assets of Winnebago or any of its subsidiaries;</w:t>
      </w:r>
    </w:p>
    <w:p>
      <w:pPr>
        <w:spacing w:after="0" w:line="208" w:lineRule="exact"/>
        <w:rPr>
          <w:rFonts w:ascii="Courier New" w:cs="Courier New" w:eastAsia="Courier New" w:hAnsi="Courier New"/>
          <w:sz w:val="18"/>
          <w:szCs w:val="18"/>
          <w:color w:val="auto"/>
        </w:rPr>
      </w:pPr>
    </w:p>
    <w:p>
      <w:pPr>
        <w:ind w:left="960" w:right="2199" w:hanging="952"/>
        <w:spacing w:after="0" w:line="279" w:lineRule="auto"/>
        <w:tabs>
          <w:tab w:leader="none" w:pos="96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change in the present board of directors or management of Winnebago, including any plans or proposals to change the number or term of directors or to fill any existing vacancies on the board;</w:t>
      </w:r>
    </w:p>
    <w:p>
      <w:pPr>
        <w:spacing w:after="0" w:line="178" w:lineRule="exact"/>
        <w:rPr>
          <w:rFonts w:ascii="Courier New" w:cs="Courier New" w:eastAsia="Courier New" w:hAnsi="Courier New"/>
          <w:sz w:val="16"/>
          <w:szCs w:val="16"/>
          <w:color w:val="auto"/>
        </w:rPr>
      </w:pPr>
    </w:p>
    <w:p>
      <w:pPr>
        <w:ind w:left="960" w:right="1779" w:hanging="952"/>
        <w:spacing w:after="0" w:line="235" w:lineRule="auto"/>
        <w:tabs>
          <w:tab w:leader="none" w:pos="96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material change in the present capitalization or dividend policy of Winnebago;</w:t>
      </w:r>
    </w:p>
    <w:p>
      <w:pPr>
        <w:spacing w:after="0" w:line="208" w:lineRule="exact"/>
        <w:rPr>
          <w:rFonts w:ascii="Courier New" w:cs="Courier New" w:eastAsia="Courier New" w:hAnsi="Courier New"/>
          <w:sz w:val="18"/>
          <w:szCs w:val="18"/>
          <w:color w:val="auto"/>
        </w:rPr>
      </w:pPr>
    </w:p>
    <w:p>
      <w:pPr>
        <w:ind w:left="960" w:right="2739" w:hanging="952"/>
        <w:spacing w:after="0" w:line="235" w:lineRule="auto"/>
        <w:tabs>
          <w:tab w:leader="none" w:pos="96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other material change in Winnebago's business or corporate structure;</w:t>
      </w:r>
    </w:p>
    <w:p>
      <w:pPr>
        <w:sectPr>
          <w:pgSz w:w="11900" w:h="16838" w:orient="portrait"/>
          <w:cols w:equalWidth="0" w:num="1">
            <w:col w:w="10219"/>
          </w:cols>
          <w:pgMar w:left="240" w:top="919" w:right="1440" w:bottom="1440" w:gutter="0" w:footer="0" w:header="0"/>
        </w:sectPr>
      </w:pPr>
    </w:p>
    <w:bookmarkStart w:id="5" w:name="page6"/>
    <w:bookmarkEnd w:id="5"/>
    <w:p>
      <w:pPr>
        <w:spacing w:after="0"/>
        <w:tabs>
          <w:tab w:leader="none" w:pos="7780" w:val="left"/>
        </w:tabs>
        <w:rPr>
          <w:sz w:val="20"/>
          <w:szCs w:val="20"/>
          <w:color w:val="auto"/>
        </w:rPr>
      </w:pPr>
      <w:r>
        <w:rPr>
          <w:rFonts w:ascii="Courier New" w:cs="Courier New" w:eastAsia="Courier New" w:hAnsi="Courier New"/>
          <w:sz w:val="18"/>
          <w:szCs w:val="18"/>
          <w:color w:val="auto"/>
        </w:rPr>
        <w:t>CUSIP NO. 974637100</w:t>
      </w:r>
      <w:r>
        <w:rPr>
          <w:sz w:val="20"/>
          <w:szCs w:val="20"/>
          <w:color w:val="auto"/>
        </w:rPr>
        <w:tab/>
      </w:r>
      <w:r>
        <w:rPr>
          <w:rFonts w:ascii="Courier New" w:cs="Courier New" w:eastAsia="Courier New" w:hAnsi="Courier New"/>
          <w:sz w:val="16"/>
          <w:szCs w:val="16"/>
          <w:color w:val="auto"/>
        </w:rPr>
        <w:t>PAGE 7</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960" w:right="1779" w:hanging="952"/>
        <w:spacing w:after="0" w:line="236" w:lineRule="auto"/>
        <w:tabs>
          <w:tab w:leader="none" w:pos="96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Changes in Winnebago's charter, bylaws or instruments corresponding thereto or other actions which may impede the acquisition of control of Winnebago by any person;</w:t>
      </w:r>
    </w:p>
    <w:p>
      <w:pPr>
        <w:spacing w:after="0" w:line="208" w:lineRule="exact"/>
        <w:rPr>
          <w:rFonts w:ascii="Courier New" w:cs="Courier New" w:eastAsia="Courier New" w:hAnsi="Courier New"/>
          <w:sz w:val="18"/>
          <w:szCs w:val="18"/>
          <w:color w:val="auto"/>
        </w:rPr>
      </w:pPr>
    </w:p>
    <w:p>
      <w:pPr>
        <w:ind w:left="960" w:right="1779" w:hanging="952"/>
        <w:spacing w:after="0" w:line="237" w:lineRule="auto"/>
        <w:tabs>
          <w:tab w:leader="none" w:pos="96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Causing a class of securities of Winnebago to be delisted from a national securities exchange or to cease to be authorized to be quoted in an inter-dealer quotation system of a registered national securities association;</w:t>
      </w:r>
    </w:p>
    <w:p>
      <w:pPr>
        <w:spacing w:after="0" w:line="207" w:lineRule="exact"/>
        <w:rPr>
          <w:rFonts w:ascii="Courier New" w:cs="Courier New" w:eastAsia="Courier New" w:hAnsi="Courier New"/>
          <w:sz w:val="18"/>
          <w:szCs w:val="18"/>
          <w:color w:val="auto"/>
        </w:rPr>
      </w:pPr>
    </w:p>
    <w:p>
      <w:pPr>
        <w:ind w:left="960" w:right="1779" w:hanging="952"/>
        <w:spacing w:after="0" w:line="290" w:lineRule="auto"/>
        <w:tabs>
          <w:tab w:leader="none" w:pos="96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class of equity securities of Winnebago becoming eligible for termination of registration pursuant to Section 12(g)(4) of the Act; or</w:t>
      </w:r>
    </w:p>
    <w:p>
      <w:pPr>
        <w:spacing w:after="0" w:line="164" w:lineRule="exact"/>
        <w:rPr>
          <w:rFonts w:ascii="Courier New" w:cs="Courier New" w:eastAsia="Courier New" w:hAnsi="Courier New"/>
          <w:sz w:val="16"/>
          <w:szCs w:val="16"/>
          <w:color w:val="auto"/>
        </w:rPr>
      </w:pPr>
    </w:p>
    <w:p>
      <w:pPr>
        <w:ind w:left="960" w:hanging="952"/>
        <w:spacing w:after="0"/>
        <w:tabs>
          <w:tab w:leader="none" w:pos="96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action similar to any of those enumerated above.</w:t>
      </w:r>
    </w:p>
    <w:p>
      <w:pPr>
        <w:spacing w:after="0" w:line="200" w:lineRule="exact"/>
        <w:rPr>
          <w:sz w:val="20"/>
          <w:szCs w:val="20"/>
          <w:color w:val="auto"/>
        </w:rPr>
      </w:pPr>
    </w:p>
    <w:p>
      <w:pPr>
        <w:spacing w:after="0" w:line="204"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INTEREST IN SECURITIES OF THE ISSUER.</w:t>
      </w:r>
    </w:p>
    <w:p>
      <w:pPr>
        <w:spacing w:after="0" w:line="207" w:lineRule="exact"/>
        <w:rPr>
          <w:sz w:val="20"/>
          <w:szCs w:val="20"/>
          <w:color w:val="auto"/>
        </w:rPr>
      </w:pPr>
    </w:p>
    <w:p>
      <w:pPr>
        <w:ind w:left="960" w:right="1779" w:hanging="952"/>
        <w:spacing w:after="0" w:line="237" w:lineRule="auto"/>
        <w:tabs>
          <w:tab w:leader="none" w:pos="96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After the sale of the Common Stock by the Estate, as described in Item 4, Mrs. Hanson is the beneficial owner of 7,981,306 shares of Winnebago common stock, which represent approximately 34.6% of Winnebago's issued and outstanding Common Stock.</w:t>
      </w:r>
    </w:p>
    <w:p>
      <w:pPr>
        <w:spacing w:after="0" w:line="207" w:lineRule="exact"/>
        <w:rPr>
          <w:rFonts w:ascii="Courier New" w:cs="Courier New" w:eastAsia="Courier New" w:hAnsi="Courier New"/>
          <w:sz w:val="18"/>
          <w:szCs w:val="18"/>
          <w:color w:val="auto"/>
        </w:rPr>
      </w:pPr>
    </w:p>
    <w:p>
      <w:pPr>
        <w:ind w:left="960" w:right="2199" w:hanging="952"/>
        <w:spacing w:after="0" w:line="236" w:lineRule="auto"/>
        <w:tabs>
          <w:tab w:leader="none" w:pos="96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Mrs. Hanson has sole voting power and sole dispositive power with respect to the 7,981,306 shares of Common Stock of which she is the beneficial owner.</w:t>
      </w:r>
    </w:p>
    <w:p>
      <w:pPr>
        <w:spacing w:after="0" w:line="208" w:lineRule="exact"/>
        <w:rPr>
          <w:rFonts w:ascii="Courier New" w:cs="Courier New" w:eastAsia="Courier New" w:hAnsi="Courier New"/>
          <w:sz w:val="18"/>
          <w:szCs w:val="18"/>
          <w:color w:val="auto"/>
        </w:rPr>
      </w:pPr>
    </w:p>
    <w:p>
      <w:pPr>
        <w:ind w:left="960" w:right="2099" w:hanging="952"/>
        <w:spacing w:after="0" w:line="236" w:lineRule="auto"/>
        <w:tabs>
          <w:tab w:leader="none" w:pos="96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Except for the sale described in Item 4, neither Mrs. Hanson nor the Estate has had any transactions in Common Stock during the past 60 days.</w:t>
      </w:r>
    </w:p>
    <w:p>
      <w:pPr>
        <w:spacing w:after="0" w:line="203" w:lineRule="exact"/>
        <w:rPr>
          <w:rFonts w:ascii="Courier New" w:cs="Courier New" w:eastAsia="Courier New" w:hAnsi="Courier New"/>
          <w:sz w:val="18"/>
          <w:szCs w:val="18"/>
          <w:color w:val="auto"/>
        </w:rPr>
      </w:pPr>
    </w:p>
    <w:p>
      <w:pPr>
        <w:ind w:left="960" w:hanging="952"/>
        <w:spacing w:after="0"/>
        <w:tabs>
          <w:tab w:leader="none" w:pos="96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 applicable.</w:t>
      </w:r>
    </w:p>
    <w:p>
      <w:pPr>
        <w:spacing w:after="0" w:line="201" w:lineRule="exact"/>
        <w:rPr>
          <w:rFonts w:ascii="Courier New" w:cs="Courier New" w:eastAsia="Courier New" w:hAnsi="Courier New"/>
          <w:sz w:val="18"/>
          <w:szCs w:val="18"/>
          <w:color w:val="auto"/>
        </w:rPr>
      </w:pPr>
    </w:p>
    <w:p>
      <w:pPr>
        <w:ind w:left="960" w:hanging="952"/>
        <w:spacing w:after="0"/>
        <w:tabs>
          <w:tab w:leader="none" w:pos="96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 applicable.</w:t>
      </w:r>
    </w:p>
    <w:p>
      <w:pPr>
        <w:spacing w:after="0" w:line="200" w:lineRule="exact"/>
        <w:rPr>
          <w:sz w:val="20"/>
          <w:szCs w:val="20"/>
          <w:color w:val="auto"/>
        </w:rPr>
      </w:pPr>
    </w:p>
    <w:p>
      <w:pPr>
        <w:spacing w:after="0" w:line="209" w:lineRule="exact"/>
        <w:rPr>
          <w:sz w:val="20"/>
          <w:szCs w:val="20"/>
          <w:color w:val="auto"/>
        </w:rPr>
      </w:pPr>
    </w:p>
    <w:p>
      <w:pPr>
        <w:ind w:left="960" w:right="3479" w:hanging="947"/>
        <w:spacing w:after="0" w:line="290" w:lineRule="auto"/>
        <w:tabs>
          <w:tab w:leader="none" w:pos="94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CONTRACTS, ARRANGEMENTS, UNDERSTANDINGS OR RELATIONSHIPS WITH RESPECT TO SECURITIES OF THE ISSUER.</w:t>
      </w:r>
    </w:p>
    <w:p>
      <w:pPr>
        <w:sectPr>
          <w:pgSz w:w="11900" w:h="16838" w:orient="portrait"/>
          <w:cols w:equalWidth="0" w:num="1">
            <w:col w:w="10219"/>
          </w:cols>
          <w:pgMar w:left="240" w:top="919" w:right="1440" w:bottom="1440" w:gutter="0" w:footer="0" w:header="0"/>
        </w:sectPr>
      </w:pPr>
    </w:p>
    <w:bookmarkStart w:id="6" w:name="page7"/>
    <w:bookmarkEnd w:id="6"/>
    <w:p>
      <w:pPr>
        <w:spacing w:after="0"/>
        <w:tabs>
          <w:tab w:leader="none" w:pos="7780" w:val="left"/>
        </w:tabs>
        <w:rPr>
          <w:sz w:val="20"/>
          <w:szCs w:val="20"/>
          <w:color w:val="auto"/>
        </w:rPr>
      </w:pPr>
      <w:r>
        <w:rPr>
          <w:rFonts w:ascii="Courier New" w:cs="Courier New" w:eastAsia="Courier New" w:hAnsi="Courier New"/>
          <w:sz w:val="18"/>
          <w:szCs w:val="18"/>
          <w:color w:val="auto"/>
        </w:rPr>
        <w:t>CUSIP NO. 974637100</w:t>
      </w:r>
      <w:r>
        <w:rPr>
          <w:sz w:val="20"/>
          <w:szCs w:val="20"/>
          <w:color w:val="auto"/>
        </w:rPr>
        <w:tab/>
      </w:r>
      <w:r>
        <w:rPr>
          <w:rFonts w:ascii="Courier New" w:cs="Courier New" w:eastAsia="Courier New" w:hAnsi="Courier New"/>
          <w:sz w:val="16"/>
          <w:szCs w:val="16"/>
          <w:color w:val="auto"/>
        </w:rPr>
        <w:t>PAGE 8</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right="1779" w:firstLine="948"/>
        <w:spacing w:after="0" w:line="235" w:lineRule="auto"/>
        <w:rPr>
          <w:sz w:val="20"/>
          <w:szCs w:val="20"/>
          <w:color w:val="auto"/>
        </w:rPr>
      </w:pPr>
      <w:r>
        <w:rPr>
          <w:rFonts w:ascii="Courier New" w:cs="Courier New" w:eastAsia="Courier New" w:hAnsi="Courier New"/>
          <w:sz w:val="18"/>
          <w:szCs w:val="18"/>
          <w:color w:val="auto"/>
        </w:rPr>
        <w:t>None (other than with respect to the distribution of the shares held by the Estate in the course of administering the Estate).</w:t>
      </w:r>
    </w:p>
    <w:p>
      <w:pPr>
        <w:spacing w:after="0" w:line="200" w:lineRule="exact"/>
        <w:rPr>
          <w:sz w:val="20"/>
          <w:szCs w:val="20"/>
          <w:color w:val="auto"/>
        </w:rPr>
      </w:pPr>
    </w:p>
    <w:p>
      <w:pPr>
        <w:spacing w:after="0" w:line="205"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6"/>
          <w:szCs w:val="16"/>
          <w:color w:val="auto"/>
        </w:rPr>
        <w:t>MATERIAL TO BE FILED AS EXHIBITS.</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None.</w:t>
      </w:r>
    </w:p>
    <w:p>
      <w:pPr>
        <w:spacing w:after="0" w:line="200" w:lineRule="exact"/>
        <w:rPr>
          <w:sz w:val="20"/>
          <w:szCs w:val="20"/>
          <w:color w:val="auto"/>
        </w:rPr>
      </w:pPr>
    </w:p>
    <w:p>
      <w:pPr>
        <w:spacing w:after="0" w:line="204"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1879" w:firstLine="948"/>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3" w:lineRule="exact"/>
        <w:rPr>
          <w:sz w:val="20"/>
          <w:szCs w:val="20"/>
          <w:color w:val="auto"/>
        </w:rPr>
      </w:pPr>
    </w:p>
    <w:p>
      <w:pPr>
        <w:ind w:left="5700"/>
        <w:spacing w:after="0"/>
        <w:rPr>
          <w:sz w:val="20"/>
          <w:szCs w:val="20"/>
          <w:color w:val="auto"/>
        </w:rPr>
      </w:pPr>
      <w:r>
        <w:rPr>
          <w:rFonts w:ascii="Courier New" w:cs="Courier New" w:eastAsia="Courier New" w:hAnsi="Courier New"/>
          <w:sz w:val="18"/>
          <w:szCs w:val="18"/>
          <w:color w:val="auto"/>
        </w:rPr>
        <w:t>July 1, 1998</w:t>
      </w:r>
    </w:p>
    <w:p>
      <w:pPr>
        <w:ind w:left="4540"/>
        <w:spacing w:after="0" w:line="238" w:lineRule="auto"/>
        <w:rPr>
          <w:sz w:val="20"/>
          <w:szCs w:val="20"/>
          <w:color w:val="auto"/>
        </w:rPr>
      </w:pPr>
      <w:r>
        <w:rPr>
          <w:rFonts w:ascii="Courier New" w:cs="Courier New" w:eastAsia="Courier New" w:hAnsi="Courier New"/>
          <w:sz w:val="18"/>
          <w:szCs w:val="18"/>
          <w:color w:val="auto"/>
        </w:rPr>
        <w:t>-------------------------------------</w:t>
      </w:r>
    </w:p>
    <w:p>
      <w:pPr>
        <w:ind w:left="6020"/>
        <w:spacing w:after="0"/>
        <w:rPr>
          <w:sz w:val="20"/>
          <w:szCs w:val="20"/>
          <w:color w:val="auto"/>
        </w:rPr>
      </w:pPr>
      <w:r>
        <w:rPr>
          <w:rFonts w:ascii="Courier New" w:cs="Courier New" w:eastAsia="Courier New" w:hAnsi="Courier New"/>
          <w:sz w:val="18"/>
          <w:szCs w:val="18"/>
          <w:color w:val="auto"/>
        </w:rPr>
        <w:t>(Date)</w:t>
      </w:r>
    </w:p>
    <w:p>
      <w:pPr>
        <w:spacing w:after="0" w:line="200" w:lineRule="exact"/>
        <w:rPr>
          <w:sz w:val="20"/>
          <w:szCs w:val="20"/>
          <w:color w:val="auto"/>
        </w:rPr>
      </w:pPr>
    </w:p>
    <w:p>
      <w:pPr>
        <w:ind w:left="5380"/>
        <w:spacing w:after="0"/>
        <w:rPr>
          <w:sz w:val="20"/>
          <w:szCs w:val="20"/>
          <w:color w:val="auto"/>
        </w:rPr>
      </w:pPr>
      <w:r>
        <w:rPr>
          <w:rFonts w:ascii="Courier New" w:cs="Courier New" w:eastAsia="Courier New" w:hAnsi="Courier New"/>
          <w:sz w:val="18"/>
          <w:szCs w:val="18"/>
          <w:color w:val="auto"/>
        </w:rPr>
        <w:t>/s/ Luise V. Hanson</w:t>
      </w:r>
    </w:p>
    <w:p>
      <w:pPr>
        <w:ind w:left="4540"/>
        <w:spacing w:after="0" w:line="238" w:lineRule="auto"/>
        <w:rPr>
          <w:sz w:val="20"/>
          <w:szCs w:val="20"/>
          <w:color w:val="auto"/>
        </w:rPr>
      </w:pPr>
      <w:r>
        <w:rPr>
          <w:rFonts w:ascii="Courier New" w:cs="Courier New" w:eastAsia="Courier New" w:hAnsi="Courier New"/>
          <w:sz w:val="18"/>
          <w:szCs w:val="18"/>
          <w:color w:val="auto"/>
        </w:rPr>
        <w:t>-------------------------------------</w:t>
      </w:r>
    </w:p>
    <w:p>
      <w:pPr>
        <w:ind w:left="5600"/>
        <w:spacing w:after="0"/>
        <w:rPr>
          <w:sz w:val="20"/>
          <w:szCs w:val="20"/>
          <w:color w:val="auto"/>
        </w:rPr>
      </w:pPr>
      <w:r>
        <w:rPr>
          <w:rFonts w:ascii="Courier New" w:cs="Courier New" w:eastAsia="Courier New" w:hAnsi="Courier New"/>
          <w:sz w:val="18"/>
          <w:szCs w:val="18"/>
          <w:color w:val="auto"/>
        </w:rPr>
        <w:t>Luise V. Hanson</w:t>
      </w:r>
    </w:p>
    <w:sectPr>
      <w:pgSz w:w="11900" w:h="16838" w:orient="portrait"/>
      <w:cols w:equalWidth="0" w:num="1">
        <w:col w:w="10219"/>
      </w:cols>
      <w:pgMar w:left="240" w:top="91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07ED7AB"/>
    <w:multiLevelType w:val="hybridMultilevel"/>
    <w:lvl w:ilvl="0">
      <w:lvlJc w:val="left"/>
      <w:lvlText w:val="(%1)"/>
      <w:numFmt w:val="decimal"/>
      <w:start w:val="1"/>
    </w:lvl>
  </w:abstractNum>
  <w:abstractNum w:abstractNumId="1">
    <w:nsid w:val="2EB141F2"/>
    <w:multiLevelType w:val="hybridMultilevel"/>
    <w:lvl w:ilvl="0">
      <w:lvlJc w:val="left"/>
      <w:lvlText w:val="(%1)"/>
      <w:numFmt w:val="decimal"/>
      <w:start w:val="2"/>
    </w:lvl>
  </w:abstractNum>
  <w:abstractNum w:abstractNumId="2">
    <w:nsid w:val="41B71EFB"/>
    <w:multiLevelType w:val="hybridMultilevel"/>
    <w:lvl w:ilvl="0">
      <w:lvlJc w:val="left"/>
      <w:lvlText w:val="-"/>
      <w:numFmt w:val="bullet"/>
      <w:start w:val="1"/>
    </w:lvl>
  </w:abstractNum>
  <w:abstractNum w:abstractNumId="3">
    <w:nsid w:val="79E2A9E3"/>
    <w:multiLevelType w:val="hybridMultilevel"/>
    <w:lvl w:ilvl="0">
      <w:lvlJc w:val="left"/>
      <w:lvlText w:val="(%1)"/>
      <w:numFmt w:val="decimal"/>
      <w:start w:val="11"/>
    </w:lvl>
  </w:abstractNum>
  <w:abstractNum w:abstractNumId="4">
    <w:nsid w:val="7545E146"/>
    <w:multiLevelType w:val="hybridMultilevel"/>
    <w:lvl w:ilvl="0">
      <w:lvlJc w:val="left"/>
      <w:lvlText w:val="-"/>
      <w:numFmt w:val="bullet"/>
      <w:start w:val="1"/>
    </w:lvl>
  </w:abstractNum>
  <w:abstractNum w:abstractNumId="5">
    <w:nsid w:val="515F007C"/>
    <w:multiLevelType w:val="hybridMultilevel"/>
    <w:lvl w:ilvl="0">
      <w:lvlJc w:val="left"/>
      <w:lvlText w:val="(%1)"/>
      <w:numFmt w:val="decimal"/>
      <w:start w:val="12"/>
    </w:lvl>
  </w:abstractNum>
  <w:abstractNum w:abstractNumId="6">
    <w:nsid w:val="5BD062C2"/>
    <w:multiLevelType w:val="hybridMultilevel"/>
    <w:lvl w:ilvl="0">
      <w:lvlJc w:val="left"/>
      <w:lvlText w:val="(%1)"/>
      <w:numFmt w:val="decimal"/>
      <w:start w:val="13"/>
    </w:lvl>
  </w:abstractNum>
  <w:abstractNum w:abstractNumId="7">
    <w:nsid w:val="12200854"/>
    <w:multiLevelType w:val="hybridMultilevel"/>
    <w:lvl w:ilvl="0">
      <w:lvlJc w:val="left"/>
      <w:lvlText w:val="(%1)"/>
      <w:numFmt w:val="decimal"/>
      <w:start w:val="14"/>
    </w:lvl>
  </w:abstractNum>
  <w:abstractNum w:abstractNumId="8">
    <w:nsid w:val="4DB127F8"/>
    <w:multiLevelType w:val="hybridMultilevel"/>
    <w:lvl w:ilvl="0">
      <w:lvlJc w:val="left"/>
      <w:lvlText w:val="(%1)"/>
      <w:numFmt w:val="lowerLetter"/>
      <w:start w:val="1"/>
    </w:lvl>
  </w:abstractNum>
  <w:abstractNum w:abstractNumId="9">
    <w:nsid w:val="216231B"/>
    <w:multiLevelType w:val="hybridMultilevel"/>
    <w:lvl w:ilvl="0">
      <w:lvlJc w:val="left"/>
      <w:lvlText w:val="(%1)"/>
      <w:numFmt w:val="lowerLetter"/>
      <w:start w:val="7"/>
    </w:lvl>
  </w:abstractNum>
  <w:abstractNum w:abstractNumId="10">
    <w:nsid w:val="1F16E9E8"/>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2019-12-13T08:30:55Z</dcterms:created>
  <dcterms:modified xsi:type="dcterms:W3CDTF">2019-12-13T08:30:55Z</dcterms:modified>
</cp:coreProperties>
</file>