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31" w:lineRule="exact"/>
        <w:rPr>
          <w:sz w:val="24"/>
          <w:szCs w:val="24"/>
          <w:color w:val="auto"/>
        </w:rPr>
      </w:pPr>
    </w:p>
    <w:p>
      <w:pPr>
        <w:jc w:val="center"/>
        <w:ind w:right="-244"/>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44"/>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3061335</wp:posOffset>
            </wp:positionH>
            <wp:positionV relativeFrom="paragraph">
              <wp:posOffset>92075</wp:posOffset>
            </wp:positionV>
            <wp:extent cx="11150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15060" cy="17145"/>
                    </a:xfrm>
                    <a:prstGeom prst="rect">
                      <a:avLst/>
                    </a:prstGeom>
                    <a:noFill/>
                  </pic:spPr>
                </pic:pic>
              </a:graphicData>
            </a:graphic>
          </wp:anchor>
        </w:drawing>
      </w:r>
    </w:p>
    <w:p>
      <w:pPr>
        <w:spacing w:after="0" w:line="336" w:lineRule="exact"/>
        <w:rPr>
          <w:sz w:val="24"/>
          <w:szCs w:val="24"/>
          <w:color w:val="auto"/>
        </w:rPr>
      </w:pPr>
    </w:p>
    <w:p>
      <w:pPr>
        <w:jc w:val="center"/>
        <w:ind w:right="-264"/>
        <w:spacing w:after="0"/>
        <w:rPr>
          <w:sz w:val="20"/>
          <w:szCs w:val="20"/>
          <w:color w:val="auto"/>
        </w:rPr>
      </w:pPr>
      <w:r>
        <w:rPr>
          <w:rFonts w:ascii="Arial" w:cs="Arial" w:eastAsia="Arial" w:hAnsi="Arial"/>
          <w:sz w:val="22"/>
          <w:szCs w:val="22"/>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3061335</wp:posOffset>
            </wp:positionH>
            <wp:positionV relativeFrom="paragraph">
              <wp:posOffset>151765</wp:posOffset>
            </wp:positionV>
            <wp:extent cx="11150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15060" cy="1714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244"/>
        <w:spacing w:after="0"/>
        <w:rPr>
          <w:sz w:val="20"/>
          <w:szCs w:val="20"/>
          <w:color w:val="auto"/>
        </w:rPr>
      </w:pPr>
      <w:r>
        <w:rPr>
          <w:rFonts w:ascii="Arial" w:cs="Arial" w:eastAsia="Arial" w:hAnsi="Arial"/>
          <w:sz w:val="16"/>
          <w:szCs w:val="16"/>
          <w:color w:val="auto"/>
        </w:rPr>
        <w:t>Proxy Statement Pursuant to Section 14(a) of the Securities Exchange Act of 1934</w:t>
      </w:r>
    </w:p>
    <w:p>
      <w:pPr>
        <w:spacing w:after="0" w:line="196" w:lineRule="exact"/>
        <w:rPr>
          <w:sz w:val="24"/>
          <w:szCs w:val="24"/>
          <w:color w:val="auto"/>
        </w:rPr>
      </w:pPr>
    </w:p>
    <w:tbl>
      <w:tblPr>
        <w:tblLayout w:type="fixed"/>
        <w:tblInd w:w="5" w:type="dxa"/>
        <w:tblCellMar>
          <w:top w:w="0" w:type="dxa"/>
          <w:left w:w="0" w:type="dxa"/>
          <w:bottom w:w="0" w:type="dxa"/>
          <w:right w:w="0" w:type="dxa"/>
        </w:tblCellMar>
      </w:tblPr>
      <w:tr>
        <w:trPr>
          <w:trHeight w:val="220"/>
        </w:trPr>
        <w:tc>
          <w:tcPr>
            <w:tcW w:w="1900" w:type="dxa"/>
            <w:vAlign w:val="bottom"/>
          </w:tcPr>
          <w:p>
            <w:pPr>
              <w:spacing w:after="0"/>
              <w:rPr>
                <w:sz w:val="20"/>
                <w:szCs w:val="20"/>
                <w:color w:val="auto"/>
              </w:rPr>
            </w:pPr>
            <w:r>
              <w:rPr>
                <w:rFonts w:ascii="Arial" w:cs="Arial" w:eastAsia="Arial" w:hAnsi="Arial"/>
                <w:sz w:val="16"/>
                <w:szCs w:val="16"/>
                <w:color w:val="auto"/>
              </w:rPr>
              <w:t>Filed by the Registrant</w:t>
            </w:r>
          </w:p>
        </w:tc>
        <w:tc>
          <w:tcPr>
            <w:tcW w:w="1160" w:type="dxa"/>
            <w:vAlign w:val="bottom"/>
          </w:tcPr>
          <w:p>
            <w:pPr>
              <w:ind w:left="260"/>
              <w:spacing w:after="0"/>
              <w:rPr>
                <w:sz w:val="20"/>
                <w:szCs w:val="20"/>
                <w:color w:val="auto"/>
              </w:rPr>
            </w:pPr>
            <w:r>
              <w:rPr>
                <w:rFonts w:ascii="Arial" w:cs="Arial" w:eastAsia="Arial" w:hAnsi="Arial"/>
                <w:sz w:val="16"/>
                <w:szCs w:val="16"/>
                <w:color w:val="auto"/>
              </w:rPr>
              <w:t>x</w:t>
            </w:r>
          </w:p>
        </w:tc>
        <w:tc>
          <w:tcPr>
            <w:tcW w:w="360" w:type="dxa"/>
            <w:vAlign w:val="bottom"/>
          </w:tcPr>
          <w:p>
            <w:pPr>
              <w:spacing w:after="0"/>
              <w:rPr>
                <w:sz w:val="19"/>
                <w:szCs w:val="19"/>
                <w:color w:val="auto"/>
              </w:rPr>
            </w:pPr>
          </w:p>
        </w:tc>
      </w:tr>
      <w:tr>
        <w:trPr>
          <w:trHeight w:val="257"/>
        </w:trPr>
        <w:tc>
          <w:tcPr>
            <w:tcW w:w="3060" w:type="dxa"/>
            <w:vAlign w:val="bottom"/>
            <w:gridSpan w:val="2"/>
          </w:tcPr>
          <w:p>
            <w:pPr>
              <w:spacing w:after="0"/>
              <w:rPr>
                <w:sz w:val="20"/>
                <w:szCs w:val="20"/>
                <w:color w:val="auto"/>
              </w:rPr>
            </w:pPr>
            <w:r>
              <w:rPr>
                <w:rFonts w:ascii="Arial" w:cs="Arial" w:eastAsia="Arial" w:hAnsi="Arial"/>
                <w:sz w:val="16"/>
                <w:szCs w:val="16"/>
                <w:color w:val="auto"/>
              </w:rPr>
              <w:t>Filed by party other than the Registrant</w:t>
            </w:r>
          </w:p>
        </w:tc>
        <w:tc>
          <w:tcPr>
            <w:tcW w:w="360" w:type="dxa"/>
            <w:vAlign w:val="bottom"/>
          </w:tcPr>
          <w:p>
            <w:pPr>
              <w:ind w:left="280"/>
              <w:spacing w:after="0"/>
              <w:rPr>
                <w:sz w:val="20"/>
                <w:szCs w:val="20"/>
                <w:color w:val="auto"/>
              </w:rPr>
            </w:pPr>
            <w:r>
              <w:rPr>
                <w:rFonts w:ascii="Arial" w:cs="Arial" w:eastAsia="Arial" w:hAnsi="Arial"/>
                <w:sz w:val="15"/>
                <w:szCs w:val="15"/>
                <w:color w:val="auto"/>
                <w:w w:val="71"/>
              </w:rPr>
              <w:t>o</w:t>
            </w:r>
          </w:p>
        </w:tc>
      </w:tr>
    </w:tbl>
    <w:p>
      <w:pPr>
        <w:spacing w:after="0" w:line="129" w:lineRule="exact"/>
        <w:rPr>
          <w:sz w:val="24"/>
          <w:szCs w:val="24"/>
          <w:color w:val="auto"/>
        </w:rPr>
      </w:pPr>
    </w:p>
    <w:p>
      <w:pPr>
        <w:jc w:val="center"/>
        <w:ind w:right="-244"/>
        <w:spacing w:after="0"/>
        <w:rPr>
          <w:sz w:val="20"/>
          <w:szCs w:val="20"/>
          <w:color w:val="auto"/>
        </w:rPr>
      </w:pPr>
      <w:r>
        <w:rPr>
          <w:rFonts w:ascii="Arial" w:cs="Arial" w:eastAsia="Arial" w:hAnsi="Arial"/>
          <w:sz w:val="16"/>
          <w:szCs w:val="16"/>
          <w:color w:val="auto"/>
        </w:rPr>
        <w:t>Check the appropriate box:</w:t>
      </w:r>
    </w:p>
    <w:p>
      <w:pPr>
        <w:spacing w:after="0" w:line="167" w:lineRule="exact"/>
        <w:rPr>
          <w:sz w:val="24"/>
          <w:szCs w:val="24"/>
          <w:color w:val="auto"/>
        </w:rPr>
      </w:pPr>
    </w:p>
    <w:p>
      <w:pPr>
        <w:ind w:left="465" w:hanging="465"/>
        <w:spacing w:after="0"/>
        <w:tabs>
          <w:tab w:leader="none" w:pos="465"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Preliminary Proxy Statement</w:t>
      </w:r>
    </w:p>
    <w:p>
      <w:pPr>
        <w:spacing w:after="0" w:line="72" w:lineRule="exact"/>
        <w:rPr>
          <w:rFonts w:ascii="Arial" w:cs="Arial" w:eastAsia="Arial" w:hAnsi="Arial"/>
          <w:sz w:val="16"/>
          <w:szCs w:val="16"/>
          <w:color w:val="auto"/>
        </w:rPr>
      </w:pPr>
    </w:p>
    <w:p>
      <w:pPr>
        <w:ind w:left="465" w:hanging="465"/>
        <w:spacing w:after="0"/>
        <w:tabs>
          <w:tab w:leader="none" w:pos="465" w:val="left"/>
        </w:tabs>
        <w:numPr>
          <w:ilvl w:val="0"/>
          <w:numId w:val="1"/>
        </w:numPr>
        <w:rPr>
          <w:rFonts w:ascii="Arial" w:cs="Arial" w:eastAsia="Arial" w:hAnsi="Arial"/>
          <w:sz w:val="16"/>
          <w:szCs w:val="16"/>
          <w:color w:val="auto"/>
        </w:rPr>
      </w:pPr>
      <w:r>
        <w:rPr>
          <w:rFonts w:ascii="Arial" w:cs="Arial" w:eastAsia="Arial" w:hAnsi="Arial"/>
          <w:sz w:val="16"/>
          <w:szCs w:val="16"/>
          <w:color w:val="auto"/>
        </w:rPr>
        <w:t>Confidential, For Use of the Commission Only (as permitted by Rule 14a-6(e)(2))</w:t>
      </w:r>
    </w:p>
    <w:p>
      <w:pPr>
        <w:spacing w:after="0" w:line="72" w:lineRule="exact"/>
        <w:rPr>
          <w:rFonts w:ascii="Arial" w:cs="Arial" w:eastAsia="Arial" w:hAnsi="Arial"/>
          <w:sz w:val="16"/>
          <w:szCs w:val="16"/>
          <w:color w:val="auto"/>
        </w:rPr>
      </w:pPr>
    </w:p>
    <w:p>
      <w:pPr>
        <w:ind w:left="465" w:hanging="465"/>
        <w:spacing w:after="0"/>
        <w:tabs>
          <w:tab w:leader="none" w:pos="465" w:val="left"/>
        </w:tabs>
        <w:numPr>
          <w:ilvl w:val="0"/>
          <w:numId w:val="1"/>
        </w:numPr>
        <w:rPr>
          <w:rFonts w:ascii="Arial" w:cs="Arial" w:eastAsia="Arial" w:hAnsi="Arial"/>
          <w:sz w:val="16"/>
          <w:szCs w:val="16"/>
          <w:color w:val="auto"/>
        </w:rPr>
      </w:pPr>
      <w:r>
        <w:rPr>
          <w:rFonts w:ascii="Arial" w:cs="Arial" w:eastAsia="Arial" w:hAnsi="Arial"/>
          <w:sz w:val="16"/>
          <w:szCs w:val="16"/>
          <w:color w:val="auto"/>
        </w:rPr>
        <w:t>Definitive Proxy Statement</w:t>
      </w:r>
    </w:p>
    <w:p>
      <w:pPr>
        <w:spacing w:after="0" w:line="73" w:lineRule="exact"/>
        <w:rPr>
          <w:sz w:val="24"/>
          <w:szCs w:val="24"/>
          <w:color w:val="auto"/>
        </w:rPr>
      </w:pPr>
    </w:p>
    <w:p>
      <w:pPr>
        <w:ind w:left="465" w:hanging="465"/>
        <w:spacing w:after="0"/>
        <w:tabs>
          <w:tab w:leader="none" w:pos="465" w:val="left"/>
        </w:tabs>
        <w:numPr>
          <w:ilvl w:val="0"/>
          <w:numId w:val="2"/>
        </w:numPr>
        <w:rPr>
          <w:rFonts w:ascii="Arial" w:cs="Arial" w:eastAsia="Arial" w:hAnsi="Arial"/>
          <w:sz w:val="16"/>
          <w:szCs w:val="16"/>
          <w:color w:val="auto"/>
        </w:rPr>
      </w:pPr>
      <w:r>
        <w:rPr>
          <w:rFonts w:ascii="Arial" w:cs="Arial" w:eastAsia="Arial" w:hAnsi="Arial"/>
          <w:sz w:val="16"/>
          <w:szCs w:val="16"/>
          <w:color w:val="auto"/>
        </w:rPr>
        <w:t>Definitive Additional Materials</w:t>
      </w:r>
    </w:p>
    <w:p>
      <w:pPr>
        <w:spacing w:after="0" w:line="73" w:lineRule="exact"/>
        <w:rPr>
          <w:sz w:val="24"/>
          <w:szCs w:val="24"/>
          <w:color w:val="auto"/>
        </w:rPr>
      </w:pPr>
    </w:p>
    <w:p>
      <w:pPr>
        <w:ind w:left="465" w:hanging="465"/>
        <w:spacing w:after="0"/>
        <w:tabs>
          <w:tab w:leader="none" w:pos="465" w:val="left"/>
        </w:tabs>
        <w:numPr>
          <w:ilvl w:val="0"/>
          <w:numId w:val="3"/>
        </w:numPr>
        <w:rPr>
          <w:rFonts w:ascii="Arial" w:cs="Arial" w:eastAsia="Arial" w:hAnsi="Arial"/>
          <w:sz w:val="16"/>
          <w:szCs w:val="16"/>
          <w:color w:val="auto"/>
        </w:rPr>
      </w:pPr>
      <w:r>
        <w:rPr>
          <w:rFonts w:ascii="Arial" w:cs="Arial" w:eastAsia="Arial" w:hAnsi="Arial"/>
          <w:sz w:val="16"/>
          <w:szCs w:val="16"/>
          <w:color w:val="auto"/>
        </w:rPr>
        <w:t>Soliciting Material Pursuant to section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2401570</wp:posOffset>
            </wp:positionH>
            <wp:positionV relativeFrom="paragraph">
              <wp:posOffset>165100</wp:posOffset>
            </wp:positionV>
            <wp:extent cx="2418080" cy="342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18080" cy="3429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jc w:val="center"/>
        <w:ind w:right="-124"/>
        <w:spacing w:after="0"/>
        <w:rPr>
          <w:sz w:val="20"/>
          <w:szCs w:val="20"/>
          <w:color w:val="auto"/>
        </w:rPr>
      </w:pPr>
      <w:r>
        <w:rPr>
          <w:rFonts w:ascii="Arial" w:cs="Arial" w:eastAsia="Arial" w:hAnsi="Arial"/>
          <w:sz w:val="29"/>
          <w:szCs w:val="29"/>
          <w:b w:val="1"/>
          <w:bCs w:val="1"/>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45085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1" w:lineRule="exact"/>
        <w:rPr>
          <w:sz w:val="24"/>
          <w:szCs w:val="24"/>
          <w:color w:val="auto"/>
        </w:rPr>
      </w:pPr>
    </w:p>
    <w:p>
      <w:pPr>
        <w:jc w:val="center"/>
        <w:ind w:right="-124"/>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190500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0" w:lineRule="exact"/>
        <w:rPr>
          <w:sz w:val="24"/>
          <w:szCs w:val="24"/>
          <w:color w:val="auto"/>
        </w:rPr>
      </w:pPr>
    </w:p>
    <w:p>
      <w:pPr>
        <w:ind w:left="3025"/>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194" w:lineRule="exact"/>
        <w:rPr>
          <w:sz w:val="24"/>
          <w:szCs w:val="24"/>
          <w:color w:val="auto"/>
        </w:rPr>
      </w:pPr>
    </w:p>
    <w:p>
      <w:pPr>
        <w:ind w:left="5"/>
        <w:spacing w:after="0"/>
        <w:rPr>
          <w:sz w:val="20"/>
          <w:szCs w:val="20"/>
          <w:color w:val="auto"/>
        </w:rPr>
      </w:pPr>
      <w:r>
        <w:rPr>
          <w:rFonts w:ascii="Arial" w:cs="Arial" w:eastAsia="Arial" w:hAnsi="Arial"/>
          <w:sz w:val="16"/>
          <w:szCs w:val="16"/>
          <w:color w:val="auto"/>
        </w:rPr>
        <w:t>Payment of Filing Fee (Check the appropriate box):</w:t>
      </w:r>
    </w:p>
    <w:p>
      <w:pPr>
        <w:spacing w:after="0" w:line="59" w:lineRule="exact"/>
        <w:rPr>
          <w:sz w:val="24"/>
          <w:szCs w:val="24"/>
          <w:color w:val="auto"/>
        </w:rPr>
      </w:pPr>
    </w:p>
    <w:p>
      <w:pPr>
        <w:ind w:left="465" w:hanging="465"/>
        <w:spacing w:after="0"/>
        <w:tabs>
          <w:tab w:leader="none" w:pos="465" w:val="left"/>
        </w:tabs>
        <w:numPr>
          <w:ilvl w:val="0"/>
          <w:numId w:val="4"/>
        </w:numPr>
        <w:rPr>
          <w:rFonts w:ascii="Arial" w:cs="Arial" w:eastAsia="Arial" w:hAnsi="Arial"/>
          <w:sz w:val="16"/>
          <w:szCs w:val="16"/>
          <w:color w:val="auto"/>
        </w:rPr>
      </w:pPr>
      <w:r>
        <w:rPr>
          <w:rFonts w:ascii="Arial" w:cs="Arial" w:eastAsia="Arial" w:hAnsi="Arial"/>
          <w:sz w:val="16"/>
          <w:szCs w:val="16"/>
          <w:color w:val="auto"/>
        </w:rPr>
        <w:t>No fee required.</w:t>
      </w:r>
    </w:p>
    <w:p>
      <w:pPr>
        <w:spacing w:after="0" w:line="73" w:lineRule="exact"/>
        <w:rPr>
          <w:sz w:val="24"/>
          <w:szCs w:val="24"/>
          <w:color w:val="auto"/>
        </w:rPr>
      </w:pPr>
    </w:p>
    <w:p>
      <w:pPr>
        <w:ind w:left="465" w:hanging="465"/>
        <w:spacing w:after="0"/>
        <w:tabs>
          <w:tab w:leader="none" w:pos="465" w:val="left"/>
        </w:tabs>
        <w:numPr>
          <w:ilvl w:val="0"/>
          <w:numId w:val="5"/>
        </w:numPr>
        <w:rPr>
          <w:rFonts w:ascii="Arial" w:cs="Arial" w:eastAsia="Arial" w:hAnsi="Arial"/>
          <w:sz w:val="16"/>
          <w:szCs w:val="16"/>
          <w:color w:val="auto"/>
        </w:rPr>
      </w:pPr>
      <w:r>
        <w:rPr>
          <w:rFonts w:ascii="Arial" w:cs="Arial" w:eastAsia="Arial" w:hAnsi="Arial"/>
          <w:sz w:val="16"/>
          <w:szCs w:val="16"/>
          <w:color w:val="auto"/>
        </w:rPr>
        <w:t>Fee computed on table below per Exchange Act Rules 14a-6(i)(1) and 0-11.</w:t>
      </w:r>
    </w:p>
    <w:p>
      <w:pPr>
        <w:spacing w:after="0" w:line="72" w:lineRule="exact"/>
        <w:rPr>
          <w:rFonts w:ascii="Arial" w:cs="Arial" w:eastAsia="Arial" w:hAnsi="Arial"/>
          <w:sz w:val="16"/>
          <w:szCs w:val="16"/>
          <w:color w:val="auto"/>
        </w:rPr>
      </w:pPr>
    </w:p>
    <w:p>
      <w:pPr>
        <w:ind w:left="1045" w:hanging="586"/>
        <w:spacing w:after="0"/>
        <w:tabs>
          <w:tab w:leader="none" w:pos="1045"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329" w:lineRule="exact"/>
        <w:rPr>
          <w:rFonts w:ascii="Arial" w:cs="Arial" w:eastAsia="Arial" w:hAnsi="Arial"/>
          <w:sz w:val="16"/>
          <w:szCs w:val="16"/>
          <w:color w:val="auto"/>
        </w:rPr>
      </w:pPr>
    </w:p>
    <w:p>
      <w:pPr>
        <w:ind w:left="1045" w:hanging="586"/>
        <w:spacing w:after="0"/>
        <w:tabs>
          <w:tab w:leader="none" w:pos="1045"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302" w:lineRule="exact"/>
        <w:rPr>
          <w:rFonts w:ascii="Arial" w:cs="Arial" w:eastAsia="Arial" w:hAnsi="Arial"/>
          <w:sz w:val="16"/>
          <w:szCs w:val="16"/>
          <w:color w:val="auto"/>
        </w:rPr>
      </w:pPr>
    </w:p>
    <w:p>
      <w:pPr>
        <w:ind w:left="1045" w:hanging="586"/>
        <w:spacing w:after="0" w:line="260" w:lineRule="auto"/>
        <w:tabs>
          <w:tab w:leader="none" w:pos="1045"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276" w:lineRule="exact"/>
        <w:rPr>
          <w:rFonts w:ascii="Arial" w:cs="Arial" w:eastAsia="Arial" w:hAnsi="Arial"/>
          <w:sz w:val="16"/>
          <w:szCs w:val="16"/>
          <w:color w:val="auto"/>
        </w:rPr>
      </w:pPr>
    </w:p>
    <w:p>
      <w:pPr>
        <w:ind w:left="1045" w:hanging="586"/>
        <w:spacing w:after="0"/>
        <w:tabs>
          <w:tab w:leader="none" w:pos="1045"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315" w:lineRule="exact"/>
        <w:rPr>
          <w:rFonts w:ascii="Arial" w:cs="Arial" w:eastAsia="Arial" w:hAnsi="Arial"/>
          <w:sz w:val="16"/>
          <w:szCs w:val="16"/>
          <w:color w:val="auto"/>
        </w:rPr>
      </w:pPr>
    </w:p>
    <w:p>
      <w:pPr>
        <w:ind w:left="1045" w:hanging="586"/>
        <w:spacing w:after="0"/>
        <w:tabs>
          <w:tab w:leader="none" w:pos="1045"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304" w:lineRule="exact"/>
        <w:rPr>
          <w:rFonts w:ascii="Arial" w:cs="Arial" w:eastAsia="Arial" w:hAnsi="Arial"/>
          <w:sz w:val="16"/>
          <w:szCs w:val="16"/>
          <w:color w:val="auto"/>
        </w:rPr>
      </w:pPr>
    </w:p>
    <w:p>
      <w:pPr>
        <w:ind w:left="465" w:hanging="465"/>
        <w:spacing w:after="0"/>
        <w:tabs>
          <w:tab w:leader="none" w:pos="465" w:val="left"/>
        </w:tabs>
        <w:numPr>
          <w:ilvl w:val="0"/>
          <w:numId w:val="5"/>
        </w:numPr>
        <w:rPr>
          <w:rFonts w:ascii="Arial" w:cs="Arial" w:eastAsia="Arial" w:hAnsi="Arial"/>
          <w:sz w:val="16"/>
          <w:szCs w:val="16"/>
          <w:color w:val="auto"/>
        </w:rPr>
      </w:pPr>
      <w:r>
        <w:rPr>
          <w:rFonts w:ascii="Arial" w:cs="Arial" w:eastAsia="Arial" w:hAnsi="Arial"/>
          <w:sz w:val="16"/>
          <w:szCs w:val="16"/>
          <w:color w:val="auto"/>
        </w:rPr>
        <w:t>Fee paid previously with preliminary materials.</w:t>
      </w:r>
    </w:p>
    <w:p>
      <w:pPr>
        <w:spacing w:after="0" w:line="72" w:lineRule="exact"/>
        <w:rPr>
          <w:rFonts w:ascii="Arial" w:cs="Arial" w:eastAsia="Arial" w:hAnsi="Arial"/>
          <w:sz w:val="16"/>
          <w:szCs w:val="16"/>
          <w:color w:val="auto"/>
        </w:rPr>
      </w:pPr>
    </w:p>
    <w:p>
      <w:pPr>
        <w:ind w:left="465" w:right="400" w:hanging="465"/>
        <w:spacing w:after="0" w:line="260" w:lineRule="auto"/>
        <w:tabs>
          <w:tab w:leader="none" w:pos="465" w:val="left"/>
        </w:tabs>
        <w:numPr>
          <w:ilvl w:val="0"/>
          <w:numId w:val="5"/>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3" w:lineRule="exact"/>
        <w:rPr>
          <w:rFonts w:ascii="Arial" w:cs="Arial" w:eastAsia="Arial" w:hAnsi="Arial"/>
          <w:sz w:val="16"/>
          <w:szCs w:val="16"/>
          <w:color w:val="auto"/>
        </w:rPr>
      </w:pPr>
    </w:p>
    <w:p>
      <w:pPr>
        <w:ind w:left="1045" w:hanging="586"/>
        <w:spacing w:after="0"/>
        <w:tabs>
          <w:tab w:leader="none" w:pos="1045"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329" w:lineRule="exact"/>
        <w:rPr>
          <w:rFonts w:ascii="Arial" w:cs="Arial" w:eastAsia="Arial" w:hAnsi="Arial"/>
          <w:sz w:val="16"/>
          <w:szCs w:val="16"/>
          <w:color w:val="auto"/>
        </w:rPr>
      </w:pPr>
    </w:p>
    <w:p>
      <w:pPr>
        <w:ind w:left="1045" w:hanging="586"/>
        <w:spacing w:after="0"/>
        <w:tabs>
          <w:tab w:leader="none" w:pos="1045"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315" w:lineRule="exact"/>
        <w:rPr>
          <w:rFonts w:ascii="Arial" w:cs="Arial" w:eastAsia="Arial" w:hAnsi="Arial"/>
          <w:sz w:val="16"/>
          <w:szCs w:val="16"/>
          <w:color w:val="auto"/>
        </w:rPr>
      </w:pPr>
    </w:p>
    <w:p>
      <w:pPr>
        <w:ind w:left="1045" w:hanging="586"/>
        <w:spacing w:after="0"/>
        <w:tabs>
          <w:tab w:leader="none" w:pos="1045"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315" w:lineRule="exact"/>
        <w:rPr>
          <w:rFonts w:ascii="Arial" w:cs="Arial" w:eastAsia="Arial" w:hAnsi="Arial"/>
          <w:sz w:val="16"/>
          <w:szCs w:val="16"/>
          <w:color w:val="auto"/>
        </w:rPr>
      </w:pPr>
    </w:p>
    <w:p>
      <w:pPr>
        <w:ind w:left="1045" w:hanging="586"/>
        <w:spacing w:after="0"/>
        <w:tabs>
          <w:tab w:leader="none" w:pos="1045" w:val="left"/>
        </w:tabs>
        <w:numPr>
          <w:ilvl w:val="1"/>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643255</wp:posOffset>
            </wp:positionH>
            <wp:positionV relativeFrom="paragraph">
              <wp:posOffset>173355</wp:posOffset>
            </wp:positionV>
            <wp:extent cx="65862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-142875</wp:posOffset>
            </wp:positionV>
            <wp:extent cx="65862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-460375</wp:posOffset>
            </wp:positionV>
            <wp:extent cx="65862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-777875</wp:posOffset>
            </wp:positionV>
            <wp:extent cx="65862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-1661160</wp:posOffset>
            </wp:positionV>
            <wp:extent cx="65862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-1978660</wp:posOffset>
            </wp:positionV>
            <wp:extent cx="65862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-2295525</wp:posOffset>
            </wp:positionV>
            <wp:extent cx="65862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-3033395</wp:posOffset>
            </wp:positionV>
            <wp:extent cx="65862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422275</wp:posOffset>
            </wp:positionV>
            <wp:extent cx="72466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336550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25"/>
          </w:cols>
          <w:pgMar w:left="275" w:top="1211" w:right="499" w:bottom="1440" w:gutter="0" w:footer="0" w:header="0"/>
        </w:sectPr>
      </w:pPr>
    </w:p>
    <w:bookmarkStart w:id="1" w:name="page2"/>
    <w:bookmarkEnd w:id="1"/>
    <w:p>
      <w:pPr>
        <w:ind w:left="3200"/>
        <w:spacing w:after="0"/>
        <w:rPr>
          <w:sz w:val="20"/>
          <w:szCs w:val="20"/>
          <w:color w:val="auto"/>
        </w:rPr>
      </w:pPr>
      <w:r>
        <w:rPr>
          <w:rFonts w:ascii="Arial" w:cs="Arial" w:eastAsia="Arial" w:hAnsi="Arial"/>
          <w:sz w:val="16"/>
          <w:szCs w:val="16"/>
          <w:i w:val="1"/>
          <w:iCs w:val="1"/>
          <w:color w:val="auto"/>
        </w:rPr>
        <w:t>P.O. BOX 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-29845</wp:posOffset>
            </wp:positionV>
            <wp:extent cx="1406525" cy="1974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06525" cy="197485"/>
                    </a:xfrm>
                    <a:prstGeom prst="rect">
                      <a:avLst/>
                    </a:prstGeom>
                    <a:noFill/>
                  </pic:spPr>
                </pic:pic>
              </a:graphicData>
            </a:graphic>
          </wp:anchor>
        </w:drawing>
      </w:r>
    </w:p>
    <w:p>
      <w:pPr>
        <w:spacing w:after="0" w:line="1" w:lineRule="exact"/>
        <w:rPr>
          <w:sz w:val="20"/>
          <w:szCs w:val="20"/>
          <w:color w:val="auto"/>
        </w:rPr>
      </w:pPr>
    </w:p>
    <w:p>
      <w:pPr>
        <w:ind w:left="3200"/>
        <w:spacing w:after="0"/>
        <w:rPr>
          <w:sz w:val="20"/>
          <w:szCs w:val="20"/>
          <w:color w:val="auto"/>
        </w:rPr>
      </w:pPr>
      <w:r>
        <w:rPr>
          <w:rFonts w:ascii="Arial" w:cs="Arial" w:eastAsia="Arial" w:hAnsi="Arial"/>
          <w:sz w:val="16"/>
          <w:szCs w:val="16"/>
          <w:i w:val="1"/>
          <w:iCs w:val="1"/>
          <w:color w:val="auto"/>
        </w:rPr>
        <w:t>605 WEST CRYSTAL LAKE ROAD</w:t>
      </w:r>
    </w:p>
    <w:p>
      <w:pPr>
        <w:spacing w:after="0" w:line="5" w:lineRule="exact"/>
        <w:rPr>
          <w:sz w:val="20"/>
          <w:szCs w:val="20"/>
          <w:color w:val="auto"/>
        </w:rPr>
      </w:pPr>
    </w:p>
    <w:p>
      <w:pPr>
        <w:ind w:left="3200"/>
        <w:spacing w:after="0"/>
        <w:rPr>
          <w:sz w:val="20"/>
          <w:szCs w:val="20"/>
          <w:color w:val="auto"/>
        </w:rPr>
      </w:pPr>
      <w:r>
        <w:rPr>
          <w:rFonts w:ascii="Arial" w:cs="Arial" w:eastAsia="Arial" w:hAnsi="Arial"/>
          <w:sz w:val="16"/>
          <w:szCs w:val="16"/>
          <w:i w:val="1"/>
          <w:iCs w:val="1"/>
          <w:color w:val="auto"/>
        </w:rPr>
        <w:t>FOREST CITY, IA 50436</w:t>
      </w: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 xml:space="preserve">* * * Exercise Your </w:t>
      </w:r>
      <w:r>
        <w:rPr>
          <w:rFonts w:ascii="Arial" w:cs="Arial" w:eastAsia="Arial" w:hAnsi="Arial"/>
          <w:sz w:val="25"/>
          <w:szCs w:val="25"/>
          <w:b w:val="1"/>
          <w:bCs w:val="1"/>
          <w:i w:val="1"/>
          <w:iCs w:val="1"/>
          <w:color w:val="auto"/>
        </w:rPr>
        <w:t>Right</w:t>
      </w:r>
      <w:r>
        <w:rPr>
          <w:rFonts w:ascii="Arial" w:cs="Arial" w:eastAsia="Arial" w:hAnsi="Arial"/>
          <w:sz w:val="25"/>
          <w:szCs w:val="25"/>
          <w:b w:val="1"/>
          <w:bCs w:val="1"/>
          <w:color w:val="auto"/>
        </w:rPr>
        <w:t xml:space="preserve"> to Vote * * *</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Important Notice Regarding the Availability of Proxy Materials for the</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Shareholder Meeting to be Held on December 12, 2017.</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WINNEBAGO INDUSTRIES</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ANNUAL MEETING OF SHAREHOLDERS</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holders as of October 17, 2017</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Tuesday, December 12, 2017</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4:00 p.m., Central Standard Time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Winnebago Industries,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South Office Complex Theater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605 W. Crystal Lake Road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Forest City, Iowa 50436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You are receiving this communication because you hold shares in the company named above.</w:t>
      </w:r>
    </w:p>
    <w:p>
      <w:pPr>
        <w:spacing w:after="0" w:line="11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This is not a ballot. You cannot use this notice to vote these shares. This communication presents only an overview of the more complete proxy materials that are available to you on the Internet. You may view the proxy materials online at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or easily request a paper copy.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encourage you to access and review all of the important information contained int he proxy materials before voting.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the reverse side of this notice to obtain proxy materials and voting instructions.</w:t>
      </w:r>
    </w:p>
    <w:p>
      <w:pPr>
        <w:sectPr>
          <w:pgSz w:w="11900" w:h="16838" w:orient="portrait"/>
          <w:cols w:equalWidth="0" w:num="1">
            <w:col w:w="11380"/>
          </w:cols>
          <w:pgMar w:left="240" w:top="747" w:right="2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5"/>
          <w:szCs w:val="25"/>
          <w:b w:val="1"/>
          <w:bCs w:val="1"/>
          <w:color w:val="auto"/>
        </w:rPr>
        <w:t>--- Before You Vote ---</w:t>
      </w:r>
    </w:p>
    <w:p>
      <w:pPr>
        <w:spacing w:after="0" w:line="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How to Access the Proxy Materials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99" w:lineRule="exact"/>
        <w:rPr>
          <w:sz w:val="20"/>
          <w:szCs w:val="20"/>
          <w:color w:val="auto"/>
        </w:rPr>
      </w:pPr>
    </w:p>
    <w:p>
      <w:pPr>
        <w:spacing w:after="0"/>
        <w:tabs>
          <w:tab w:leader="none" w:pos="3280" w:val="left"/>
        </w:tabs>
        <w:rPr>
          <w:sz w:val="20"/>
          <w:szCs w:val="20"/>
          <w:color w:val="auto"/>
        </w:rPr>
      </w:pPr>
      <w:r>
        <w:rPr>
          <w:rFonts w:ascii="Arial" w:cs="Arial" w:eastAsia="Arial" w:hAnsi="Arial"/>
          <w:sz w:val="18"/>
          <w:szCs w:val="18"/>
          <w:color w:val="auto"/>
        </w:rPr>
        <w:t>NOTICE AND PROXY STATEMENT</w:t>
      </w:r>
      <w:r>
        <w:rPr>
          <w:sz w:val="20"/>
          <w:szCs w:val="20"/>
          <w:color w:val="auto"/>
        </w:rPr>
        <w:tab/>
      </w:r>
      <w:r>
        <w:rPr>
          <w:rFonts w:ascii="Arial" w:cs="Arial" w:eastAsia="Arial" w:hAnsi="Arial"/>
          <w:sz w:val="17"/>
          <w:szCs w:val="17"/>
          <w:color w:val="auto"/>
        </w:rPr>
        <w:t>ANNUAL REPORT/FORM 10-K</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View Online:</w:t>
      </w:r>
    </w:p>
    <w:p>
      <w:pPr>
        <w:spacing w:after="0" w:line="77" w:lineRule="exact"/>
        <w:rPr>
          <w:sz w:val="20"/>
          <w:szCs w:val="20"/>
          <w:color w:val="auto"/>
        </w:rPr>
      </w:pPr>
    </w:p>
    <w:p>
      <w:pPr>
        <w:ind w:right="500"/>
        <w:spacing w:after="0"/>
        <w:rPr>
          <w:sz w:val="20"/>
          <w:szCs w:val="20"/>
          <w:color w:val="auto"/>
        </w:rPr>
      </w:pPr>
      <w:r>
        <w:rPr>
          <w:rFonts w:ascii="Arial" w:cs="Arial" w:eastAsia="Arial" w:hAnsi="Arial"/>
          <w:sz w:val="18"/>
          <w:szCs w:val="18"/>
          <w:color w:val="auto"/>
        </w:rPr>
        <w:t xml:space="preserve">Have the infromation that is printed in the box marked by the arrow &gt;&gt; </w:t>
      </w:r>
      <w:r>
        <w:rPr>
          <w:rFonts w:ascii="Arial" w:cs="Arial" w:eastAsia="Arial" w:hAnsi="Arial"/>
          <w:sz w:val="18"/>
          <w:szCs w:val="18"/>
          <w:b w:val="1"/>
          <w:bCs w:val="1"/>
          <w:color w:val="auto"/>
        </w:rPr>
        <w:t>XXXX XXXX XXXX XXXX</w:t>
      </w:r>
      <w:r>
        <w:rPr>
          <w:rFonts w:ascii="Arial" w:cs="Arial" w:eastAsia="Arial" w:hAnsi="Arial"/>
          <w:sz w:val="18"/>
          <w:szCs w:val="18"/>
          <w:color w:val="auto"/>
        </w:rPr>
        <w:t xml:space="preserve"> (located on the following page) and visit </w:t>
      </w:r>
      <w:r>
        <w:rPr>
          <w:rFonts w:ascii="Arial" w:cs="Arial" w:eastAsia="Arial" w:hAnsi="Arial"/>
          <w:sz w:val="18"/>
          <w:szCs w:val="18"/>
          <w:i w:val="1"/>
          <w:iCs w:val="1"/>
          <w:color w:val="auto"/>
        </w:rPr>
        <w:t>www.proxyvote.com</w:t>
      </w:r>
      <w:r>
        <w:rPr>
          <w:rFonts w:ascii="Arial" w:cs="Arial" w:eastAsia="Arial" w:hAnsi="Arial"/>
          <w:sz w:val="18"/>
          <w:szCs w:val="18"/>
          <w:color w:val="auto"/>
        </w:rPr>
        <w: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45" w:lineRule="exact"/>
        <w:rPr>
          <w:sz w:val="20"/>
          <w:szCs w:val="20"/>
          <w:color w:val="auto"/>
        </w:rPr>
      </w:pPr>
    </w:p>
    <w:p>
      <w:pPr>
        <w:ind w:right="380"/>
        <w:spacing w:after="0" w:line="227" w:lineRule="auto"/>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 Please choose one of the following methods to make your request:</w:t>
      </w:r>
    </w:p>
    <w:p>
      <w:pPr>
        <w:spacing w:after="0" w:line="1" w:lineRule="exact"/>
        <w:rPr>
          <w:sz w:val="20"/>
          <w:szCs w:val="20"/>
          <w:color w:val="auto"/>
        </w:rPr>
      </w:pPr>
    </w:p>
    <w:p>
      <w:pPr>
        <w:ind w:left="860" w:hanging="204"/>
        <w:spacing w:after="0"/>
        <w:tabs>
          <w:tab w:leader="none" w:pos="86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BY INTERNET:  </w:t>
      </w:r>
      <w:r>
        <w:rPr>
          <w:rFonts w:ascii="Arial" w:cs="Arial" w:eastAsia="Arial" w:hAnsi="Arial"/>
          <w:sz w:val="18"/>
          <w:szCs w:val="18"/>
          <w:color w:val="auto"/>
        </w:rPr>
        <w:t>www.proxyvote.com</w:t>
      </w:r>
    </w:p>
    <w:p>
      <w:pPr>
        <w:spacing w:after="0" w:line="22" w:lineRule="exact"/>
        <w:rPr>
          <w:rFonts w:ascii="Arial" w:cs="Arial" w:eastAsia="Arial" w:hAnsi="Arial"/>
          <w:sz w:val="18"/>
          <w:szCs w:val="18"/>
          <w:color w:val="auto"/>
        </w:rPr>
      </w:pPr>
    </w:p>
    <w:p>
      <w:pPr>
        <w:ind w:left="860" w:hanging="204"/>
        <w:spacing w:after="0"/>
        <w:tabs>
          <w:tab w:leader="none" w:pos="86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BY TELEPHONE:  </w:t>
      </w:r>
      <w:r>
        <w:rPr>
          <w:rFonts w:ascii="Arial" w:cs="Arial" w:eastAsia="Arial" w:hAnsi="Arial"/>
          <w:sz w:val="18"/>
          <w:szCs w:val="18"/>
          <w:color w:val="auto"/>
        </w:rPr>
        <w:t>1-800-579-1639</w:t>
      </w:r>
    </w:p>
    <w:p>
      <w:pPr>
        <w:spacing w:after="0" w:line="22" w:lineRule="exact"/>
        <w:rPr>
          <w:rFonts w:ascii="Arial" w:cs="Arial" w:eastAsia="Arial" w:hAnsi="Arial"/>
          <w:sz w:val="18"/>
          <w:szCs w:val="18"/>
          <w:color w:val="auto"/>
        </w:rPr>
      </w:pPr>
    </w:p>
    <w:p>
      <w:pPr>
        <w:ind w:left="860" w:hanging="204"/>
        <w:spacing w:after="0"/>
        <w:tabs>
          <w:tab w:leader="none" w:pos="86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BY E-MAIL*:</w:t>
      </w:r>
      <w:r>
        <w:rPr>
          <w:rFonts w:ascii="Arial" w:cs="Arial" w:eastAsia="Arial" w:hAnsi="Arial"/>
          <w:sz w:val="17"/>
          <w:szCs w:val="17"/>
          <w:color w:val="auto"/>
        </w:rPr>
        <w:t>sendmaterial@proxyvote.com</w:t>
      </w:r>
    </w:p>
    <w:p>
      <w:pPr>
        <w:spacing w:after="0" w:line="242" w:lineRule="exact"/>
        <w:rPr>
          <w:rFonts w:ascii="Arial" w:cs="Arial" w:eastAsia="Arial" w:hAnsi="Arial"/>
          <w:sz w:val="18"/>
          <w:szCs w:val="18"/>
          <w:color w:val="auto"/>
        </w:rPr>
      </w:pPr>
    </w:p>
    <w:p>
      <w:pPr>
        <w:ind w:right="440"/>
        <w:spacing w:after="0"/>
        <w:rPr>
          <w:rFonts w:ascii="Arial" w:cs="Arial" w:eastAsia="Arial" w:hAnsi="Arial"/>
          <w:sz w:val="18"/>
          <w:szCs w:val="18"/>
          <w:color w:val="auto"/>
        </w:rPr>
      </w:pPr>
      <w:r>
        <w:rPr>
          <w:rFonts w:ascii="Arial" w:cs="Arial" w:eastAsia="Arial" w:hAnsi="Arial"/>
          <w:sz w:val="18"/>
          <w:szCs w:val="18"/>
          <w:color w:val="auto"/>
        </w:rPr>
        <w:t xml:space="preserve">* If requesting materials by e-mail, please send a blank e-mail with the information that is printed in the box marked by the arrow &gt;&gt; </w:t>
      </w:r>
      <w:r>
        <w:rPr>
          <w:rFonts w:ascii="Arial" w:cs="Arial" w:eastAsia="Arial" w:hAnsi="Arial"/>
          <w:sz w:val="18"/>
          <w:szCs w:val="18"/>
          <w:b w:val="1"/>
          <w:bCs w:val="1"/>
          <w:color w:val="auto"/>
        </w:rPr>
        <w:t>XXXX</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XXXX XXXX XXXX </w:t>
      </w:r>
      <w:r>
        <w:rPr>
          <w:rFonts w:ascii="Arial" w:cs="Arial" w:eastAsia="Arial" w:hAnsi="Arial"/>
          <w:sz w:val="18"/>
          <w:szCs w:val="18"/>
          <w:color w:val="auto"/>
        </w:rPr>
        <w:t>(located on the following page) in the subject line.</w:t>
      </w:r>
    </w:p>
    <w:p>
      <w:pPr>
        <w:spacing w:after="0" w:line="13" w:lineRule="exact"/>
        <w:rPr>
          <w:sz w:val="20"/>
          <w:szCs w:val="20"/>
          <w:color w:val="auto"/>
        </w:rPr>
      </w:pPr>
    </w:p>
    <w:p>
      <w:pPr>
        <w:ind w:right="540"/>
        <w:spacing w:after="0" w:line="227" w:lineRule="auto"/>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 Please make the request as instructed above on or before November 28, 2017 to facilitate timely delivery.</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 How To Vote ---</w:t>
      </w:r>
    </w:p>
    <w:p>
      <w:pPr>
        <w:spacing w:after="0" w:line="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Please Choose One of the Following Voting Methods</w:t>
      </w:r>
    </w:p>
    <w:p>
      <w:pPr>
        <w:spacing w:after="0" w:line="190" w:lineRule="exact"/>
        <w:rPr>
          <w:sz w:val="20"/>
          <w:szCs w:val="20"/>
          <w:color w:val="auto"/>
        </w:rPr>
      </w:pPr>
    </w:p>
    <w:p>
      <w:pPr>
        <w:spacing w:after="0" w:line="228"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Many shareholder meetings have attendance requirements including, but not limited to, the possession of an attendance ticket</w:t>
      </w:r>
      <w:r>
        <w:rPr>
          <w:rFonts w:ascii="Arial" w:cs="Arial" w:eastAsia="Arial" w:hAnsi="Arial"/>
          <w:sz w:val="18"/>
          <w:szCs w:val="18"/>
          <w:b w:val="1"/>
          <w:bCs w:val="1"/>
          <w:color w:val="auto"/>
        </w:rPr>
        <w:t xml:space="preserve"> </w:t>
      </w:r>
      <w:r>
        <w:rPr>
          <w:rFonts w:ascii="Arial" w:cs="Arial" w:eastAsia="Arial" w:hAnsi="Arial"/>
          <w:sz w:val="18"/>
          <w:szCs w:val="18"/>
          <w:color w:val="auto"/>
        </w:rPr>
        <w:t>issued by the entity holding the meeting. Please check the meeting materials for any special requirements for meeting attendance. At the meeting, you will need to request a ballot to vote these shares.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in Internet: </w:t>
      </w:r>
      <w:r>
        <w:rPr>
          <w:rFonts w:ascii="Arial" w:cs="Arial" w:eastAsia="Arial" w:hAnsi="Arial"/>
          <w:sz w:val="18"/>
          <w:szCs w:val="18"/>
          <w:color w:val="auto"/>
        </w:rPr>
        <w:t>To vote by Internet, go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information that is printed in the box marked by the arrow &gt;&gt;</w:t>
      </w:r>
      <w:r>
        <w:rPr>
          <w:rFonts w:ascii="Arial" w:cs="Arial" w:eastAsia="Arial" w:hAnsi="Arial"/>
          <w:sz w:val="18"/>
          <w:szCs w:val="18"/>
          <w:b w:val="1"/>
          <w:bCs w:val="1"/>
          <w:color w:val="auto"/>
        </w:rPr>
        <w:t xml:space="preserve"> XXXX</w:t>
      </w:r>
    </w:p>
    <w:p>
      <w:pPr>
        <w:ind w:left="540" w:hanging="532"/>
        <w:spacing w:after="0"/>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XXXX XXXX </w:t>
      </w:r>
      <w:r>
        <w:rPr>
          <w:rFonts w:ascii="Arial" w:cs="Arial" w:eastAsia="Arial" w:hAnsi="Arial"/>
          <w:sz w:val="18"/>
          <w:szCs w:val="18"/>
          <w:color w:val="auto"/>
        </w:rPr>
        <w:t>(located on the following page) available and follow the instructions.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in Mail: </w:t>
      </w:r>
      <w:r>
        <w:rPr>
          <w:rFonts w:ascii="Arial" w:cs="Arial" w:eastAsia="Arial" w:hAnsi="Arial"/>
          <w:sz w:val="18"/>
          <w:szCs w:val="18"/>
          <w:color w:val="auto"/>
        </w:rPr>
        <w:t>You can vote by mail by requesting a paper copy of the materials, which will include a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Voting Items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that you vote FOR the following:</w:t>
      </w:r>
    </w:p>
    <w:p>
      <w:pPr>
        <w:spacing w:after="0" w:line="45"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Election of Directors</w:t>
      </w:r>
    </w:p>
    <w:p>
      <w:pPr>
        <w:spacing w:after="0" w:line="14"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b w:val="1"/>
          <w:bCs w:val="1"/>
          <w:color w:val="auto"/>
        </w:rPr>
        <w:t>Nominees:</w:t>
      </w:r>
    </w:p>
    <w:p>
      <w:pPr>
        <w:spacing w:after="0" w:line="31" w:lineRule="exact"/>
        <w:rPr>
          <w:rFonts w:ascii="Arial" w:cs="Arial" w:eastAsia="Arial" w:hAnsi="Arial"/>
          <w:sz w:val="18"/>
          <w:szCs w:val="18"/>
          <w:color w:val="auto"/>
        </w:rPr>
      </w:pPr>
    </w:p>
    <w:p>
      <w:pPr>
        <w:ind w:left="640" w:hanging="308"/>
        <w:spacing w:after="0"/>
        <w:tabs>
          <w:tab w:leader="none" w:pos="640" w:val="left"/>
        </w:tabs>
        <w:numPr>
          <w:ilvl w:val="1"/>
          <w:numId w:val="8"/>
        </w:numPr>
        <w:rPr>
          <w:rFonts w:ascii="Arial" w:cs="Arial" w:eastAsia="Arial" w:hAnsi="Arial"/>
          <w:sz w:val="18"/>
          <w:szCs w:val="18"/>
          <w:color w:val="auto"/>
        </w:rPr>
      </w:pPr>
      <w:r>
        <w:rPr>
          <w:rFonts w:ascii="Arial" w:cs="Arial" w:eastAsia="Arial" w:hAnsi="Arial"/>
          <w:sz w:val="18"/>
          <w:szCs w:val="18"/>
          <w:color w:val="auto"/>
        </w:rPr>
        <w:t>Richard D. Moss</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1"/>
          <w:numId w:val="8"/>
        </w:numPr>
        <w:rPr>
          <w:rFonts w:ascii="Arial" w:cs="Arial" w:eastAsia="Arial" w:hAnsi="Arial"/>
          <w:sz w:val="18"/>
          <w:szCs w:val="18"/>
          <w:color w:val="auto"/>
        </w:rPr>
      </w:pPr>
      <w:r>
        <w:rPr>
          <w:rFonts w:ascii="Arial" w:cs="Arial" w:eastAsia="Arial" w:hAnsi="Arial"/>
          <w:sz w:val="18"/>
          <w:szCs w:val="18"/>
          <w:color w:val="auto"/>
        </w:rPr>
        <w:t>John M. Murabito</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1"/>
          <w:numId w:val="8"/>
        </w:numPr>
        <w:rPr>
          <w:rFonts w:ascii="Arial" w:cs="Arial" w:eastAsia="Arial" w:hAnsi="Arial"/>
          <w:sz w:val="18"/>
          <w:szCs w:val="18"/>
          <w:color w:val="auto"/>
        </w:rPr>
      </w:pPr>
      <w:r>
        <w:rPr>
          <w:rFonts w:ascii="Arial" w:cs="Arial" w:eastAsia="Arial" w:hAnsi="Arial"/>
          <w:sz w:val="18"/>
          <w:szCs w:val="18"/>
          <w:color w:val="auto"/>
        </w:rPr>
        <w:t>Michael J. Happe</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1"/>
          <w:numId w:val="8"/>
        </w:numPr>
        <w:rPr>
          <w:rFonts w:ascii="Arial" w:cs="Arial" w:eastAsia="Arial" w:hAnsi="Arial"/>
          <w:sz w:val="18"/>
          <w:szCs w:val="18"/>
          <w:color w:val="auto"/>
        </w:rPr>
      </w:pPr>
      <w:r>
        <w:rPr>
          <w:rFonts w:ascii="Arial" w:cs="Arial" w:eastAsia="Arial" w:hAnsi="Arial"/>
          <w:sz w:val="18"/>
          <w:szCs w:val="18"/>
          <w:color w:val="auto"/>
        </w:rPr>
        <w:t>William C. Fisher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you vote FOR items 2, 3 and 4.</w:t>
      </w:r>
    </w:p>
    <w:p>
      <w:pPr>
        <w:spacing w:after="0" w:line="139" w:lineRule="exact"/>
        <w:rPr>
          <w:sz w:val="20"/>
          <w:szCs w:val="20"/>
          <w:color w:val="auto"/>
        </w:rPr>
      </w:pPr>
    </w:p>
    <w:p>
      <w:pPr>
        <w:ind w:left="200" w:hanging="192"/>
        <w:spacing w:after="0"/>
        <w:tabs>
          <w:tab w:leader="none" w:pos="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Advisory approval of executive compensation, (the "say on pay" vote).</w:t>
      </w:r>
    </w:p>
    <w:p>
      <w:pPr>
        <w:spacing w:after="0" w:line="117" w:lineRule="exact"/>
        <w:rPr>
          <w:rFonts w:ascii="Arial" w:cs="Arial" w:eastAsia="Arial" w:hAnsi="Arial"/>
          <w:sz w:val="18"/>
          <w:szCs w:val="18"/>
          <w:color w:val="auto"/>
        </w:rPr>
      </w:pPr>
    </w:p>
    <w:p>
      <w:pPr>
        <w:ind w:left="200" w:hanging="192"/>
        <w:spacing w:after="0"/>
        <w:tabs>
          <w:tab w:leader="none" w:pos="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Approval of the employee stock purchase plan.</w:t>
      </w:r>
    </w:p>
    <w:p>
      <w:pPr>
        <w:spacing w:after="0" w:line="117" w:lineRule="exact"/>
        <w:rPr>
          <w:rFonts w:ascii="Arial" w:cs="Arial" w:eastAsia="Arial" w:hAnsi="Arial"/>
          <w:sz w:val="18"/>
          <w:szCs w:val="18"/>
          <w:color w:val="auto"/>
        </w:rPr>
      </w:pPr>
    </w:p>
    <w:p>
      <w:pPr>
        <w:ind w:left="340" w:right="300" w:hanging="332"/>
        <w:spacing w:after="0" w:line="262" w:lineRule="auto"/>
        <w:tabs>
          <w:tab w:leader="none" w:pos="216" w:val="left"/>
        </w:tabs>
        <w:numPr>
          <w:ilvl w:val="0"/>
          <w:numId w:val="9"/>
        </w:numPr>
        <w:rPr>
          <w:rFonts w:ascii="Arial" w:cs="Arial" w:eastAsia="Arial" w:hAnsi="Arial"/>
          <w:sz w:val="18"/>
          <w:szCs w:val="18"/>
          <w:color w:val="auto"/>
        </w:rPr>
      </w:pPr>
      <w:r>
        <w:rPr>
          <w:rFonts w:ascii="Arial" w:cs="Arial" w:eastAsia="Arial" w:hAnsi="Arial"/>
          <w:sz w:val="18"/>
          <w:szCs w:val="18"/>
          <w:color w:val="auto"/>
        </w:rPr>
        <w:t>Ratification of the appointment of Deloitte &amp; Touche LLP as Winnebago Industries, Inc. Independent Registered Public Accountant for our fiscal year 2018.</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you vote 1 year on Item 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5. Advisory approval of the frequency of an executive compensation ("say on pay") advisory vote.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Such other business shall be addressed as may properly come before the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24662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311785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5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o"/>
      <w:numFmt w:val="bullet"/>
      <w:start w:val="1"/>
    </w:lvl>
  </w:abstractNum>
  <w:abstractNum w:abstractNumId="1">
    <w:nsid w:val="3D1B58BA"/>
    <w:multiLevelType w:val="hybridMultilevel"/>
    <w:lvl w:ilvl="0">
      <w:lvlJc w:val="left"/>
      <w:lvlText w:val="x"/>
      <w:numFmt w:val="bullet"/>
      <w:start w:val="1"/>
    </w:lvl>
  </w:abstractNum>
  <w:abstractNum w:abstractNumId="2">
    <w:nsid w:val="507ED7AB"/>
    <w:multiLevelType w:val="hybridMultilevel"/>
    <w:lvl w:ilvl="0">
      <w:lvlJc w:val="left"/>
      <w:lvlText w:val="o"/>
      <w:numFmt w:val="bullet"/>
      <w:start w:val="1"/>
    </w:lvl>
  </w:abstractNum>
  <w:abstractNum w:abstractNumId="3">
    <w:nsid w:val="2EB141F2"/>
    <w:multiLevelType w:val="hybridMultilevel"/>
    <w:lvl w:ilvl="0">
      <w:lvlJc w:val="left"/>
      <w:lvlText w:val="x"/>
      <w:numFmt w:val="bullet"/>
      <w:start w:val="1"/>
    </w:lvl>
  </w:abstractNum>
  <w:abstractNum w:abstractNumId="4">
    <w:nsid w:val="41B71EFB"/>
    <w:multiLevelType w:val="hybridMultilevel"/>
    <w:lvl w:ilvl="0">
      <w:lvlJc w:val="left"/>
      <w:lvlText w:val="o"/>
      <w:numFmt w:val="bullet"/>
      <w:start w:val="1"/>
    </w:lvl>
    <w:lvl w:ilvl="1">
      <w:lvlJc w:val="left"/>
      <w:lvlText w:val="(%2)"/>
      <w:numFmt w:val="decimal"/>
      <w:start w:val="1"/>
    </w:lvl>
  </w:abstractNum>
  <w:abstractNum w:abstractNumId="5">
    <w:nsid w:val="79E2A9E3"/>
    <w:multiLevelType w:val="hybridMultilevel"/>
    <w:lvl w:ilvl="0">
      <w:lvlJc w:val="left"/>
      <w:lvlText w:val="*"/>
      <w:numFmt w:val="bullet"/>
      <w:start w:val="1"/>
    </w:lvl>
    <w:lvl w:ilvl="1">
      <w:lvlJc w:val="left"/>
      <w:lvlText w:val="%2)"/>
      <w:numFmt w:val="decimal"/>
      <w:start w:val="1"/>
    </w:lvl>
  </w:abstractNum>
  <w:abstractNum w:abstractNumId="6">
    <w:nsid w:val="7545E146"/>
    <w:multiLevelType w:val="hybridMultilevel"/>
    <w:lvl w:ilvl="0">
      <w:lvlJc w:val="left"/>
      <w:lvlText w:val="%1"/>
      <w:numFmt w:val="upperLetter"/>
      <w:start w:val="102"/>
    </w:lvl>
  </w:abstractNum>
  <w:abstractNum w:abstractNumId="7">
    <w:nsid w:val="515F007C"/>
    <w:multiLevelType w:val="hybridMultilevel"/>
    <w:lvl w:ilvl="0">
      <w:lvlJc w:val="left"/>
      <w:lvlText w:val="%1."/>
      <w:numFmt w:val="decimal"/>
      <w:start w:val="1"/>
    </w:lvl>
    <w:lvl w:ilvl="1">
      <w:lvlJc w:val="left"/>
      <w:lvlText w:val="%2)"/>
      <w:numFmt w:val="decimal"/>
      <w:start w:val="1"/>
    </w:lvl>
  </w:abstractNum>
  <w:abstractNum w:abstractNumId="8">
    <w:nsid w:val="5BD062C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2019-12-05T08:38:07Z</dcterms:created>
  <dcterms:modified xsi:type="dcterms:W3CDTF">2019-12-05T08:38:07Z</dcterms:modified>
</cp:coreProperties>
</file>