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366395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FORM SD</w:t>
      </w:r>
    </w:p>
    <w:p>
      <w:pPr>
        <w:spacing w:after="0" w:line="64"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-179705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454025</wp:posOffset>
            </wp:positionV>
            <wp:extent cx="3027045"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2704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100" w:type="dxa"/>
        <w:tblCellMar>
          <w:top w:w="0" w:type="dxa"/>
          <w:left w:w="0" w:type="dxa"/>
          <w:bottom w:w="0" w:type="dxa"/>
          <w:right w:w="0" w:type="dxa"/>
        </w:tblCellMar>
      </w:tblPr>
      <w:tr>
        <w:trPr>
          <w:trHeight w:val="228"/>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42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001-06403</w:t>
            </w:r>
          </w:p>
        </w:tc>
        <w:tc>
          <w:tcPr>
            <w:tcW w:w="326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56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420" w:type="dxa"/>
            <w:vAlign w:val="bottom"/>
          </w:tcPr>
          <w:p>
            <w:pPr>
              <w:jc w:val="center"/>
              <w:ind w:right="339"/>
              <w:spacing w:after="0"/>
              <w:rPr>
                <w:sz w:val="20"/>
                <w:szCs w:val="20"/>
                <w:color w:val="auto"/>
              </w:rPr>
            </w:pPr>
            <w:r>
              <w:rPr>
                <w:rFonts w:ascii="Arial" w:cs="Arial" w:eastAsia="Arial" w:hAnsi="Arial"/>
                <w:sz w:val="16"/>
                <w:szCs w:val="16"/>
                <w:color w:val="auto"/>
              </w:rPr>
              <w:t>(Commission</w:t>
            </w:r>
          </w:p>
        </w:tc>
        <w:tc>
          <w:tcPr>
            <w:tcW w:w="3260" w:type="dxa"/>
            <w:vAlign w:val="bottom"/>
          </w:tcPr>
          <w:p>
            <w:pPr>
              <w:jc w:val="center"/>
              <w:ind w:right="299"/>
              <w:spacing w:after="0"/>
              <w:rPr>
                <w:sz w:val="20"/>
                <w:szCs w:val="20"/>
                <w:color w:val="auto"/>
              </w:rPr>
            </w:pPr>
            <w:r>
              <w:rPr>
                <w:rFonts w:ascii="Arial" w:cs="Arial" w:eastAsia="Arial" w:hAnsi="Arial"/>
                <w:sz w:val="16"/>
                <w:szCs w:val="16"/>
                <w:color w:val="auto"/>
              </w:rPr>
              <w:t>(I.R.S. Employer</w:t>
            </w:r>
          </w:p>
        </w:tc>
      </w:tr>
      <w:tr>
        <w:trPr>
          <w:trHeight w:val="195"/>
        </w:trPr>
        <w:tc>
          <w:tcPr>
            <w:tcW w:w="3560" w:type="dxa"/>
            <w:vAlign w:val="bottom"/>
          </w:tcPr>
          <w:p>
            <w:pPr>
              <w:jc w:val="center"/>
              <w:spacing w:after="0"/>
              <w:rPr>
                <w:sz w:val="20"/>
                <w:szCs w:val="20"/>
                <w:color w:val="auto"/>
              </w:rPr>
            </w:pPr>
            <w:r>
              <w:rPr>
                <w:rFonts w:ascii="Arial" w:cs="Arial" w:eastAsia="Arial" w:hAnsi="Arial"/>
                <w:sz w:val="16"/>
                <w:szCs w:val="16"/>
                <w:color w:val="auto"/>
              </w:rPr>
              <w:t>of incorporation or organization)</w:t>
            </w:r>
          </w:p>
        </w:tc>
        <w:tc>
          <w:tcPr>
            <w:tcW w:w="2420" w:type="dxa"/>
            <w:vAlign w:val="bottom"/>
          </w:tcPr>
          <w:p>
            <w:pPr>
              <w:jc w:val="center"/>
              <w:ind w:right="339"/>
              <w:spacing w:after="0"/>
              <w:rPr>
                <w:sz w:val="20"/>
                <w:szCs w:val="20"/>
                <w:color w:val="auto"/>
              </w:rPr>
            </w:pPr>
            <w:r>
              <w:rPr>
                <w:rFonts w:ascii="Arial" w:cs="Arial" w:eastAsia="Arial" w:hAnsi="Arial"/>
                <w:sz w:val="16"/>
                <w:szCs w:val="16"/>
                <w:color w:val="auto"/>
                <w:w w:val="99"/>
              </w:rPr>
              <w:t>File Number)</w:t>
            </w:r>
          </w:p>
        </w:tc>
        <w:tc>
          <w:tcPr>
            <w:tcW w:w="3260" w:type="dxa"/>
            <w:vAlign w:val="bottom"/>
          </w:tcPr>
          <w:p>
            <w:pPr>
              <w:jc w:val="center"/>
              <w:ind w:right="319"/>
              <w:spacing w:after="0"/>
              <w:rPr>
                <w:sz w:val="20"/>
                <w:szCs w:val="20"/>
                <w:color w:val="auto"/>
              </w:rPr>
            </w:pPr>
            <w:r>
              <w:rPr>
                <w:rFonts w:ascii="Arial" w:cs="Arial" w:eastAsia="Arial" w:hAnsi="Arial"/>
                <w:sz w:val="16"/>
                <w:szCs w:val="16"/>
                <w:color w:val="auto"/>
              </w:rPr>
              <w:t>Identification No.)</w:t>
            </w:r>
          </w:p>
        </w:tc>
      </w:tr>
      <w:tr>
        <w:trPr>
          <w:trHeight w:val="580"/>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 O. Box 152, Forest City, Iowa</w:t>
            </w:r>
          </w:p>
        </w:tc>
        <w:tc>
          <w:tcPr>
            <w:tcW w:w="24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519"/>
              <w:spacing w:after="0"/>
              <w:rPr>
                <w:sz w:val="20"/>
                <w:szCs w:val="20"/>
                <w:color w:val="auto"/>
              </w:rPr>
            </w:pPr>
            <w:r>
              <w:rPr>
                <w:rFonts w:ascii="Arial" w:cs="Arial" w:eastAsia="Arial" w:hAnsi="Arial"/>
                <w:sz w:val="16"/>
                <w:szCs w:val="16"/>
                <w:b w:val="1"/>
                <w:bCs w:val="1"/>
                <w:color w:val="auto"/>
              </w:rPr>
              <w:t>50436</w:t>
            </w:r>
          </w:p>
        </w:tc>
      </w:tr>
      <w:tr>
        <w:trPr>
          <w:trHeight w:val="251"/>
        </w:trPr>
        <w:tc>
          <w:tcPr>
            <w:tcW w:w="356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420" w:type="dxa"/>
            <w:vAlign w:val="bottom"/>
          </w:tcPr>
          <w:p>
            <w:pPr>
              <w:spacing w:after="0"/>
              <w:rPr>
                <w:sz w:val="21"/>
                <w:szCs w:val="21"/>
                <w:color w:val="auto"/>
              </w:rPr>
            </w:pPr>
          </w:p>
        </w:tc>
        <w:tc>
          <w:tcPr>
            <w:tcW w:w="3260" w:type="dxa"/>
            <w:vAlign w:val="bottom"/>
          </w:tcPr>
          <w:p>
            <w:pPr>
              <w:jc w:val="center"/>
              <w:ind w:right="299"/>
              <w:spacing w:after="0"/>
              <w:rPr>
                <w:sz w:val="20"/>
                <w:szCs w:val="20"/>
                <w:color w:val="auto"/>
              </w:rPr>
            </w:pPr>
            <w:r>
              <w:rPr>
                <w:rFonts w:ascii="Arial" w:cs="Arial" w:eastAsia="Arial" w:hAnsi="Arial"/>
                <w:sz w:val="16"/>
                <w:szCs w:val="16"/>
                <w:color w:val="auto"/>
              </w:rPr>
              <w:t>(Zip Code)</w:t>
            </w:r>
          </w:p>
        </w:tc>
      </w:tr>
      <w:tr>
        <w:trPr>
          <w:trHeight w:val="540"/>
        </w:trPr>
        <w:tc>
          <w:tcPr>
            <w:tcW w:w="3560" w:type="dxa"/>
            <w:vAlign w:val="bottom"/>
          </w:tcPr>
          <w:p>
            <w:pPr>
              <w:spacing w:after="0"/>
              <w:rPr>
                <w:sz w:val="24"/>
                <w:szCs w:val="24"/>
                <w:color w:val="auto"/>
              </w:rPr>
            </w:pPr>
          </w:p>
        </w:tc>
        <w:tc>
          <w:tcPr>
            <w:tcW w:w="2420" w:type="dxa"/>
            <w:vAlign w:val="bottom"/>
          </w:tcPr>
          <w:p>
            <w:pPr>
              <w:jc w:val="center"/>
              <w:ind w:right="339"/>
              <w:spacing w:after="0"/>
              <w:rPr>
                <w:sz w:val="20"/>
                <w:szCs w:val="20"/>
                <w:color w:val="auto"/>
              </w:rPr>
            </w:pPr>
            <w:r>
              <w:rPr>
                <w:rFonts w:ascii="Arial" w:cs="Arial" w:eastAsia="Arial" w:hAnsi="Arial"/>
                <w:sz w:val="16"/>
                <w:szCs w:val="16"/>
                <w:b w:val="1"/>
                <w:bCs w:val="1"/>
                <w:color w:val="auto"/>
              </w:rPr>
              <w:t>Stacy L. Bogart</w:t>
            </w:r>
          </w:p>
        </w:tc>
        <w:tc>
          <w:tcPr>
            <w:tcW w:w="3260" w:type="dxa"/>
            <w:vAlign w:val="bottom"/>
          </w:tcPr>
          <w:p>
            <w:pPr>
              <w:spacing w:after="0"/>
              <w:rPr>
                <w:sz w:val="24"/>
                <w:szCs w:val="24"/>
                <w:color w:val="auto"/>
              </w:rPr>
            </w:pPr>
          </w:p>
        </w:tc>
      </w:tr>
      <w:tr>
        <w:trPr>
          <w:trHeight w:val="270"/>
        </w:trPr>
        <w:tc>
          <w:tcPr>
            <w:tcW w:w="3560" w:type="dxa"/>
            <w:vAlign w:val="bottom"/>
          </w:tcPr>
          <w:p>
            <w:pPr>
              <w:spacing w:after="0"/>
              <w:rPr>
                <w:sz w:val="23"/>
                <w:szCs w:val="23"/>
                <w:color w:val="auto"/>
              </w:rPr>
            </w:pPr>
          </w:p>
        </w:tc>
        <w:tc>
          <w:tcPr>
            <w:tcW w:w="2420" w:type="dxa"/>
            <w:vAlign w:val="bottom"/>
          </w:tcPr>
          <w:p>
            <w:pPr>
              <w:jc w:val="right"/>
              <w:ind w:right="779"/>
              <w:spacing w:after="0"/>
              <w:rPr>
                <w:sz w:val="20"/>
                <w:szCs w:val="20"/>
                <w:color w:val="auto"/>
              </w:rPr>
            </w:pPr>
            <w:r>
              <w:rPr>
                <w:rFonts w:ascii="Arial" w:cs="Arial" w:eastAsia="Arial" w:hAnsi="Arial"/>
                <w:sz w:val="16"/>
                <w:szCs w:val="16"/>
                <w:b w:val="1"/>
                <w:bCs w:val="1"/>
                <w:color w:val="auto"/>
              </w:rPr>
              <w:t>(952) 828-8439</w:t>
            </w:r>
          </w:p>
        </w:tc>
        <w:tc>
          <w:tcPr>
            <w:tcW w:w="32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12700</wp:posOffset>
            </wp:positionV>
            <wp:extent cx="586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42"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(Name and telephone number, including area code, of the person to contact in connection with this report)</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x Rule 13p-1 under the Securities Exchange Act (17 CFR240.13p-1)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1827530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1741805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1147" w:right="5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1 - Conflict Minerals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1.01 and 1.02 Conflict Minerals Disclosure and Report; Exhibit.</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copy of Winnebago Industries, Inc. (“Winnebago’s”) Conflict Minerals Report for the reporting period January 1, 2017 to December 31, 2017 is provided as Exhibit 1.01 hereto and is publicly available at www.winnebagoind.com under the “Company-Investor Relations” tab. Winnebago’s determination and related due diligence efforts are included in Winnebago’s Conflict Minerals Report and incorporated by reference herein.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 Exhibits</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2.01</w:t>
        <w:tab/>
        <w:t>Exhibits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1.01 is filed as part of this Specialized Disclosure Report on Form SD.</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Number</w:t>
            </w: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189"/>
        </w:trPr>
        <w:tc>
          <w:tcPr>
            <w:tcW w:w="20" w:type="dxa"/>
            <w:vAlign w:val="bottom"/>
          </w:tcPr>
          <w:p>
            <w:pPr>
              <w:spacing w:after="0"/>
              <w:rPr>
                <w:sz w:val="16"/>
                <w:szCs w:val="16"/>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1.</w:t>
            </w:r>
            <w:r>
              <w:rPr>
                <w:rFonts w:ascii="Arial" w:cs="Arial" w:eastAsia="Arial" w:hAnsi="Arial"/>
                <w:sz w:val="16"/>
                <w:szCs w:val="16"/>
                <w:u w:val="single" w:color="auto"/>
                <w:color w:val="0000FF"/>
                <w:w w:val="96"/>
              </w:rPr>
              <w:t>01</w:t>
            </w:r>
          </w:p>
        </w:tc>
        <w:tc>
          <w:tcPr>
            <w:tcW w:w="1380" w:type="dxa"/>
            <w:vAlign w:val="bottom"/>
          </w:tcPr>
          <w:p>
            <w:pPr>
              <w:spacing w:after="0"/>
              <w:rPr>
                <w:sz w:val="16"/>
                <w:szCs w:val="16"/>
                <w:color w:val="auto"/>
              </w:rPr>
            </w:pPr>
          </w:p>
        </w:tc>
        <w:tc>
          <w:tcPr>
            <w:tcW w:w="628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rPr>
              <w:t>Conflict Minerals Report for the reporting period January 1, 2017 to December 31, 2017</w:t>
            </w:r>
          </w:p>
        </w:tc>
        <w:tc>
          <w:tcPr>
            <w:tcW w:w="2000" w:type="dxa"/>
            <w:vAlign w:val="bottom"/>
          </w:tcPr>
          <w:p>
            <w:pPr>
              <w:spacing w:after="0"/>
              <w:rPr>
                <w:sz w:val="16"/>
                <w:szCs w:val="16"/>
                <w:color w:val="auto"/>
              </w:rPr>
            </w:pPr>
          </w:p>
        </w:tc>
      </w:tr>
    </w:tbl>
    <w:p>
      <w:pPr>
        <w:sectPr>
          <w:pgSz w:w="11900" w:h="16838" w:orient="portrait"/>
          <w:cols w:equalWidth="0" w:num="1">
            <w:col w:w="11200"/>
          </w:cols>
          <w:pgMar w:left="240" w:top="581" w:right="459" w:bottom="1440" w:gutter="0" w:footer="0" w:header="0"/>
        </w:sectPr>
      </w:pPr>
    </w:p>
    <w:bookmarkStart w:id="2" w:name="page3"/>
    <w:bookmarkEnd w:id="2"/>
    <w:p>
      <w:pPr>
        <w:ind w:left="5240"/>
        <w:spacing w:after="0"/>
        <w:rPr>
          <w:sz w:val="20"/>
          <w:szCs w:val="20"/>
          <w:color w:val="auto"/>
        </w:rPr>
      </w:pPr>
      <w:r>
        <w:rPr>
          <w:rFonts w:ascii="Arial" w:cs="Arial" w:eastAsia="Arial" w:hAnsi="Arial"/>
          <w:sz w:val="16"/>
          <w:szCs w:val="16"/>
          <w:color w:val="auto"/>
        </w:rPr>
        <w:t>SIGNATURE</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duly authorized undersigned.</w:t>
      </w:r>
    </w:p>
    <w:p>
      <w:pPr>
        <w:spacing w:after="0" w:line="16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WINNEBAGO INDUSTRIES, INC.</w:t>
      </w:r>
    </w:p>
    <w:p>
      <w:pPr>
        <w:spacing w:after="0" w:line="354" w:lineRule="exact"/>
        <w:rPr>
          <w:sz w:val="20"/>
          <w:szCs w:val="20"/>
          <w:color w:val="auto"/>
        </w:rPr>
      </w:pPr>
    </w:p>
    <w:p>
      <w:pPr>
        <w:ind w:left="40"/>
        <w:spacing w:after="0"/>
        <w:tabs>
          <w:tab w:leader="none" w:pos="700" w:val="left"/>
          <w:tab w:leader="none" w:pos="5060" w:val="left"/>
          <w:tab w:leader="none" w:pos="55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31,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Stacy L.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29210</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Stacy L. Bogart</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Vice President, General Counsel and Secretary</w:t>
      </w:r>
    </w:p>
    <w:p>
      <w:pPr>
        <w:spacing w:after="0" w:line="27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20"/>
          </w:cols>
          <w:pgMar w:left="240" w:top="601" w:right="10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1.01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Conflict Minerals Report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2017</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subsidiaries, Winnebago of Indiana, LLC and Grand Design RV, LLC, as appropriate in this context.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Conflict Minerals Report of Winnebago Industries, Inc. for calendar year 2017 is presented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Winnebago Industries, a manufacturer of recreation vehicles, has determined that its products were manufactured with tin, tantalum, tungsten, and gold, which were necessary for the functionality of such products. In accordance with Rule 13p-1, Winnebago Industries performed due diligence as noted below to determine the conflict minerals’ status of the necessary conflict minerals used in its product manufacturing.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Conflict Minerals Program and Reasonable Country of Origin Inquiry</w:t>
      </w:r>
    </w:p>
    <w:p>
      <w:pPr>
        <w:spacing w:after="0" w:line="214" w:lineRule="exact"/>
        <w:rPr>
          <w:sz w:val="20"/>
          <w:szCs w:val="20"/>
          <w:color w:val="auto"/>
        </w:rPr>
      </w:pPr>
    </w:p>
    <w:p>
      <w:pPr>
        <w:ind w:left="660" w:hanging="328"/>
        <w:spacing w:after="0" w:line="246"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structured compliance efforts internally to support supply chain due diligence. Winnebago Industries has developed a team responsible for the conflict minerals program. The team reports to the General Counsel.</w:t>
      </w:r>
    </w:p>
    <w:p>
      <w:pPr>
        <w:jc w:val="both"/>
        <w:ind w:left="660" w:hanging="328"/>
        <w:spacing w:after="0" w:line="246"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established a system of controls and supply chain transparency through the adoption and use of due diligence tools created by the Electronic Industry Citizenship Coalition and the Global e-Sustainability Initiative (“EICC/GeSI”). This included the use of the Conflict Minerals Reporting Template (“CMRT”), a supply-chain survey.</w:t>
      </w:r>
    </w:p>
    <w:p>
      <w:pPr>
        <w:spacing w:after="0" w:line="1"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conducted a supply chain survey of our largest suppliers that potentially provided parts and materials containing conflict minerals. The survey requested suppliers to identify smelters and refiners, using the CMRT. As a downstream manufacturer, we rely on our vendors to provide the origins of all of our conflict minerals, including the location of the smelter, mine, or transit route of the minerals.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Design of Due Diligence</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reviewed our suppliers and sourcing decisions, and integrated into our management programs the Organization for Economic Cooperation and Development Due Diligence Guidance for Responsible Supply Chains of Minerals from Conflict-Affected and High-Risk Areas: Second Edition (“OECD Framework”), an internationally-recognized due diligence framework. Winnebago Industries communicated to applicable suppliers, our efforts to comply with Rule 13p-1.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Due Diligence Measures Performed</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included a summary below of the description of the measures performed to exercise due diligence on the source and chain of custody of the necessary conflict minerals contained in our products, which may have originated from the Covered Countries and may not have come from recycled or scrap sources:</w:t>
      </w:r>
    </w:p>
    <w:p>
      <w:pPr>
        <w:spacing w:after="0" w:line="361" w:lineRule="exact"/>
        <w:rPr>
          <w:sz w:val="20"/>
          <w:szCs w:val="20"/>
          <w:color w:val="auto"/>
        </w:rPr>
      </w:pPr>
    </w:p>
    <w:p>
      <w:pPr>
        <w:ind w:left="660" w:hanging="328"/>
        <w:spacing w:after="0" w:line="24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evaluated survey responses to identify: (i) the use and source of Conflict Minerals, and; (ii) any indicators that Conflict Minerals may have come from the Democratic Republic of the Congo or an Adjoining Country.</w:t>
      </w:r>
    </w:p>
    <w:p>
      <w:pPr>
        <w:ind w:left="660" w:right="20" w:hanging="328"/>
        <w:spacing w:after="0" w:line="24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compared smelters and refiners identified by the supply chain survey against the list of smelters and refiners that are compliant with the Responsible Minerals Assurance Process assessment protocols (“RMAP”) formerly known as Conflict Free Smelter Program.</w:t>
      </w: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made additional inquiries on a case-by-case basis if smelter and refiner information was deemed inconsistent, inaccurate, or incomplete.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status of risk mitigation efforts was summarized and provided to Winnebago Industries’ management.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conflict minerals compliance results are reported annually to the SEC and are made publicly available on our website.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Determination</w:t>
      </w:r>
    </w:p>
    <w:p>
      <w:pPr>
        <w:spacing w:after="0" w:line="28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All products manufactured by Winnebago Industries are deemed to contain conflict minerals only when necessary to the products’ functionality. We produce products that include motorhomes, touring coaches, travel trailers, and fifth wheel trailers, as well as supporting RV products. Based on the surveys provided and notifications that our suppliers’ diligence efforts were incomplete, we do not have sufficient information to conclusively determine all smelters or refiners or Countries of Origin of the conflict minerals. However, based on the data provided by the Reasonable Country of Origin Inquiry, this information has been listed in Annex I. The majority of our suppliers reported conflict minerals’ use at the company level, not at the product level. As such, we cannot definitively state whether these conflict minerals were included in the products supplied to Winnebago or further validate that these smelters or refiners exist in our supply chain.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54"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i w:val="1"/>
          <w:iCs w:val="1"/>
          <w:color w:val="auto"/>
        </w:rPr>
        <w:t>Future Due Diligence</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were numerous suppliers that did not provide a listing of smelters and refiners used, and an additional group of suppliers that did not provide a response to our survey. In our efforts to obtain timely and accurate information from our supply chain, we intend to execute the following:</w:t>
      </w:r>
    </w:p>
    <w:p>
      <w:pPr>
        <w:spacing w:after="0" w:line="16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assess the presence of conflict minerals in our supply chain.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Clearly communicate expectations with newly contracted and delinquent suppliers.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improve our risk mitigation strategy.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encourage our direct suppliers to assess their supply chain risks.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encourage our direct suppliers to provide complete and accurate information.</w:t>
      </w:r>
    </w:p>
    <w:p>
      <w:pPr>
        <w:spacing w:after="0" w:line="19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As we progress, we expect that transparency in our supply chain will increase, which will allow for more accurate and detailed levels of risk assessment within our supply chain.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743" w:right="25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5"/>
        </w:trPr>
        <w:tc>
          <w:tcPr>
            <w:tcW w:w="1400" w:type="dxa"/>
            <w:vAlign w:val="bottom"/>
          </w:tcPr>
          <w:p>
            <w:pPr>
              <w:spacing w:after="0"/>
              <w:rPr>
                <w:sz w:val="18"/>
                <w:szCs w:val="18"/>
                <w:color w:val="auto"/>
              </w:rPr>
            </w:pPr>
          </w:p>
        </w:tc>
        <w:tc>
          <w:tcPr>
            <w:tcW w:w="6160" w:type="dxa"/>
            <w:vAlign w:val="bottom"/>
          </w:tcPr>
          <w:p>
            <w:pPr>
              <w:ind w:left="4020"/>
              <w:spacing w:after="0"/>
              <w:rPr>
                <w:sz w:val="20"/>
                <w:szCs w:val="20"/>
                <w:color w:val="auto"/>
              </w:rPr>
            </w:pPr>
            <w:r>
              <w:rPr>
                <w:rFonts w:ascii="Arial" w:cs="Arial" w:eastAsia="Arial" w:hAnsi="Arial"/>
                <w:sz w:val="16"/>
                <w:szCs w:val="16"/>
                <w:b w:val="1"/>
                <w:bCs w:val="1"/>
                <w:color w:val="auto"/>
              </w:rPr>
              <w:t>Annex I</w:t>
            </w:r>
          </w:p>
        </w:tc>
        <w:tc>
          <w:tcPr>
            <w:tcW w:w="3880" w:type="dxa"/>
            <w:vAlign w:val="bottom"/>
          </w:tcPr>
          <w:p>
            <w:pPr>
              <w:spacing w:after="0"/>
              <w:rPr>
                <w:sz w:val="18"/>
                <w:szCs w:val="18"/>
                <w:color w:val="auto"/>
              </w:rPr>
            </w:pPr>
          </w:p>
        </w:tc>
      </w:tr>
      <w:tr>
        <w:trPr>
          <w:trHeight w:val="128"/>
        </w:trPr>
        <w:tc>
          <w:tcPr>
            <w:tcW w:w="140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3880" w:type="dxa"/>
            <w:vAlign w:val="bottom"/>
          </w:tcPr>
          <w:p>
            <w:pPr>
              <w:spacing w:after="0"/>
              <w:rPr>
                <w:sz w:val="11"/>
                <w:szCs w:val="11"/>
                <w:color w:val="auto"/>
              </w:rPr>
            </w:pPr>
          </w:p>
        </w:tc>
      </w:tr>
      <w:tr>
        <w:trPr>
          <w:trHeight w:val="250"/>
        </w:trPr>
        <w:tc>
          <w:tcPr>
            <w:tcW w:w="1400" w:type="dxa"/>
            <w:vAlign w:val="bottom"/>
            <w:tcBorders>
              <w:left w:val="single" w:sz="8" w:color="ACACAC"/>
              <w:bottom w:val="single" w:sz="8" w:color="auto"/>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bottom w:val="single" w:sz="8" w:color="auto"/>
              <w:right w:val="single" w:sz="8" w:color="00497F"/>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bottom w:val="single" w:sz="8" w:color="auto"/>
              <w:right w:val="single" w:sz="8" w:color="00497F"/>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L'Orfebre S.A.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ANDORRA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Morris and Watson Gold Coast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Western Australian Mint (T/a The Perth Mint)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Ogussa Osterreichische Gold- und Silber-Scheideanstalt GmbH</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Metallurgie Hoboken Overpelt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Tony Goetz NV</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AngloGold Ashanti Corrego do Sitio Mineracao</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Marsam Metals</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Umicore Brasil Ltda.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Asahi Refining Canada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CCR Refinery - Glencore Canada Corporation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Royal Canadian Mint</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Planta Recuperadora de Metales SpA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CHILE</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Daye Non-Ferrous Metals Mining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Gold Refinery of Zijin Mining Group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Great Wall Precious Metals Co., Ltd. of CBPM</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Jinding Gold Limited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Guoda Safina High-Tech Environmental Refinery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Hangzhou Fuchunjiang Smelting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Heraeus Metals Hong Kong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Inner Mongolia Qiankun Gold and Silver Refinery Share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Copper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LinBao Gold Mining</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Lingbao Jinyuan Tonghui Refinery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Luoyang Zijin Yinhui Gold Refinery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Metalor Technologies (Hong Kong)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Metalor Technologies (Suzhou)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Penglai Penggang Gold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Refinery of Seemine Gold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Shandong Tarzan Bio-Gold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Shandong Zhaojin Gold &amp; Silver Refinery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Sichuan Tianze Precious Metals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The Refinery of Shandong Gold Mining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Tongling Nonferrous Metals Group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Yunnan Copper Industry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Zhongyuan Gold Smelter of Zhongjin Gold Corporation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Shandon Jin Jinyin Refining Limited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SAFINA A.S.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CZECH REPUBLIC</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SAAMP</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FRANCE</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Allgemeine Gold-und Silberscheideanstalt A.G.</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Aurubis AG</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 Hafner GmbH + Co. KG</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Degussa Sonne / Mond Goldhandel GmbH</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DODUCO Contacts and Refining GmbH</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Heimerle + Meule GmbH</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440"/>
        </w:trPr>
        <w:tc>
          <w:tcPr>
            <w:tcW w:w="1400" w:type="dxa"/>
            <w:vAlign w:val="bottom"/>
          </w:tcPr>
          <w:p>
            <w:pPr>
              <w:spacing w:after="0"/>
              <w:rPr>
                <w:sz w:val="24"/>
                <w:szCs w:val="24"/>
                <w:color w:val="auto"/>
              </w:rPr>
            </w:pPr>
          </w:p>
        </w:tc>
        <w:tc>
          <w:tcPr>
            <w:tcW w:w="6160" w:type="dxa"/>
            <w:vAlign w:val="bottom"/>
          </w:tcPr>
          <w:p>
            <w:pPr>
              <w:ind w:left="4260"/>
              <w:spacing w:after="0"/>
              <w:rPr>
                <w:sz w:val="20"/>
                <w:szCs w:val="20"/>
                <w:color w:val="auto"/>
              </w:rPr>
            </w:pPr>
            <w:r>
              <w:rPr>
                <w:rFonts w:ascii="Arial" w:cs="Arial" w:eastAsia="Arial" w:hAnsi="Arial"/>
                <w:sz w:val="16"/>
                <w:szCs w:val="16"/>
                <w:color w:val="auto"/>
              </w:rPr>
              <w:t>3</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554" w:right="21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auto"/>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3680" w:type="dxa"/>
            <w:vAlign w:val="bottom"/>
            <w:tcBorders>
              <w:bottom w:val="single" w:sz="8" w:color="auto"/>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2480" w:type="dxa"/>
            <w:vAlign w:val="bottom"/>
            <w:tcBorders>
              <w:bottom w:val="single" w:sz="8" w:color="auto"/>
              <w:right w:val="single" w:sz="8" w:color="00497F"/>
            </w:tcBorders>
            <w:shd w:val="clear" w:color="auto" w:fill="00497F"/>
          </w:tcPr>
          <w:p>
            <w:pPr>
              <w:spacing w:after="0"/>
              <w:rPr>
                <w:sz w:val="21"/>
                <w:szCs w:val="21"/>
                <w:color w:val="auto"/>
              </w:rPr>
            </w:pPr>
          </w:p>
        </w:tc>
        <w:tc>
          <w:tcPr>
            <w:tcW w:w="3880" w:type="dxa"/>
            <w:vAlign w:val="bottom"/>
            <w:tcBorders>
              <w:bottom w:val="single" w:sz="8" w:color="auto"/>
              <w:right w:val="single" w:sz="8" w:color="00497F"/>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Heraeus Precious Metals GmbH &amp; Co. KG</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SAXONIA Edelmetalle GmbH</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WIELAND Edelmetalle GmbH</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Bauer Walser AG</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Bangalore Refinery</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GCC Gujrat Gold Centre Pvt. Ltd.</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MMTC-PAMP India Pvt., Ltd.</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Sai Refinery</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Aneka Tambang (Persero) Tbk</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Chimet S.p.A.</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Faggi Enrico S.p.A.</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Italpreziosi</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Safimet S.p.A</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T.C.A S.p.A</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Aida Chemical Industries Co., Ltd.</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Asahi Pretec Corp.</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Asaka Riken Co., Ltd.</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Chugai Mining</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Dowa</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Eco-System Recycling Co., Ltd.</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Ishifuku Metal Industry Co., Ltd.</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Japan Mint</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JX Nippon Mining &amp; Metals Co., Ltd.</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Kojima Chemicals Co., Ltd.</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Matsuda Sangyo Co., Ltd.</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MEM(Sumitomo Group)</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Mitsubishi Materials Corporation</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Mitsui Kinzoku Co., Ltd.</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Nihon Material Co., Ltd.</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Ohura Precious Metal Industry Co., Ltd.</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Shonan Plant Tanaka Kikinzoku</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Tokuriki Honten Co., Ltd.</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Yamakin Co., Ltd.</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Yokohama Metal Co., Ltd.</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Kazakhmys Smelting LLC</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Kazzinc</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TOO Tau-Ken-Altyn</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Daejin Indus Co., Ltd.</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DSC (Do Sung Corporation)</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HeeSung Metal Ltd.</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HwaSeong CJ CO., LTD.</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Korea Metal Co., Ltd.</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Korea Zinc Co., Ltd.</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LS-NIKKO Copper Inc.</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Samdok Metal</w:t>
            </w:r>
          </w:p>
        </w:tc>
        <w:tc>
          <w:tcPr>
            <w:tcW w:w="24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Samwon Metals Corp.</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368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SungEel HiMetal Co., Ltd.</w:t>
            </w:r>
          </w:p>
        </w:tc>
        <w:tc>
          <w:tcPr>
            <w:tcW w:w="248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440"/>
        </w:trPr>
        <w:tc>
          <w:tcPr>
            <w:tcW w:w="14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80" w:type="dxa"/>
            <w:vAlign w:val="bottom"/>
          </w:tcPr>
          <w:p>
            <w:pPr>
              <w:jc w:val="right"/>
              <w:ind w:right="1719"/>
              <w:spacing w:after="0"/>
              <w:rPr>
                <w:sz w:val="20"/>
                <w:szCs w:val="20"/>
                <w:color w:val="auto"/>
              </w:rPr>
            </w:pPr>
            <w:r>
              <w:rPr>
                <w:rFonts w:ascii="Arial" w:cs="Arial" w:eastAsia="Arial" w:hAnsi="Arial"/>
                <w:sz w:val="16"/>
                <w:szCs w:val="16"/>
                <w:color w:val="auto"/>
              </w:rPr>
              <w:t>4</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707" w:right="2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4F81BD"/>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bottom w:val="single" w:sz="8" w:color="4F81BD"/>
              <w:right w:val="single" w:sz="8" w:color="00497F"/>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bottom w:val="single" w:sz="8" w:color="4F81BD"/>
              <w:right w:val="single" w:sz="8" w:color="00497F"/>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Torecom</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Kyrgyzaltyn JSC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KYRGYZSTAN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LITHUANIA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Modeltech Sdn Bhd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Caridad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Metal?rgica Met-Mex Pe?oles, S.A. de C.V</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Remondis Argentia B.V.</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Schone Edelmetaal B.V.</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Morris and Watson</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NEW ZEALAND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Bangko Sentral ng Pilipinas (Central Bank of the Philippines)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KGHM Polska Miedz S.A.</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POLAND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JSC Ekaterinburg Non-Ferrous Metal Processing Plant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JSC Uralelectromed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Kyshtym Copper-Electrolytic Plant ZAO</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Moscow Special Alloys Processing Plant</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OJSC "The Gulidov Krasnoyarsk Non-Ferrous Metals Plant"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OJSC Novosibirsk Refinery</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Prioksky Plant of Non-Ferrous Metals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SOE Shyolkovsky Factory of Secondary Precious Metals</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L'azurde Company For Jewelry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SAUDI ARABIA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Metalor Technologies (Singapore) Pte.,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SINGAPORE</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 Traders and Refiners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Rand Refinery (Pty)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SEMPSA Joyeria Plateria S.A.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SPAIN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Sudan Gold Refinery</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SUDAN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Boliden AB</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SWEDEN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Argor-Heraeus S.A.</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Cendres + Metaux S.A.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Metalor Switzerland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PAMP S.A.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PX Precinox S.A.</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Valcambi S.A.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Singway Technology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Solar Applied Materials Technology Corp.</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Umicore Precious Metals Thailand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Atasay Kuyumculuk Sanayi Ve Ticaret A.S.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TURKEY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Istanbul Gold Refinery</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TURKEY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Nadir Metal Rafineri San. Ve Tic. A.S.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TURKEY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Al Etihad Gold LLC</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Emirates Gold DMCC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Kaloti Precious Metals</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Abington Reldan Metals, LLC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Advanced Chemical Company</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Asahi Refining USA Inc.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AURA-II</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Elemetal Refining, LLC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Geib Refining Corporation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440"/>
        </w:trPr>
        <w:tc>
          <w:tcPr>
            <w:tcW w:w="1400" w:type="dxa"/>
            <w:vAlign w:val="bottom"/>
          </w:tcPr>
          <w:p>
            <w:pPr>
              <w:spacing w:after="0"/>
              <w:rPr>
                <w:sz w:val="24"/>
                <w:szCs w:val="24"/>
                <w:color w:val="auto"/>
              </w:rPr>
            </w:pPr>
          </w:p>
        </w:tc>
        <w:tc>
          <w:tcPr>
            <w:tcW w:w="6160" w:type="dxa"/>
            <w:vAlign w:val="bottom"/>
          </w:tcPr>
          <w:p>
            <w:pPr>
              <w:ind w:left="4260"/>
              <w:spacing w:after="0"/>
              <w:rPr>
                <w:sz w:val="20"/>
                <w:szCs w:val="20"/>
                <w:color w:val="auto"/>
              </w:rPr>
            </w:pPr>
            <w:r>
              <w:rPr>
                <w:rFonts w:ascii="Arial" w:cs="Arial" w:eastAsia="Arial" w:hAnsi="Arial"/>
                <w:sz w:val="16"/>
                <w:szCs w:val="16"/>
                <w:color w:val="auto"/>
              </w:rPr>
              <w:t>5</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707" w:right="2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auto"/>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4120" w:type="dxa"/>
            <w:vAlign w:val="bottom"/>
            <w:tcBorders>
              <w:bottom w:val="single" w:sz="8" w:color="auto"/>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2040" w:type="dxa"/>
            <w:vAlign w:val="bottom"/>
            <w:tcBorders>
              <w:bottom w:val="single" w:sz="8" w:color="auto"/>
              <w:right w:val="single" w:sz="8" w:color="00497F"/>
            </w:tcBorders>
            <w:shd w:val="clear" w:color="auto" w:fill="00497F"/>
          </w:tcPr>
          <w:p>
            <w:pPr>
              <w:spacing w:after="0"/>
              <w:rPr>
                <w:sz w:val="21"/>
                <w:szCs w:val="21"/>
                <w:color w:val="auto"/>
              </w:rPr>
            </w:pPr>
          </w:p>
        </w:tc>
        <w:tc>
          <w:tcPr>
            <w:tcW w:w="3880" w:type="dxa"/>
            <w:vAlign w:val="bottom"/>
            <w:tcBorders>
              <w:bottom w:val="single" w:sz="8" w:color="auto"/>
              <w:right w:val="single" w:sz="8" w:color="00497F"/>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Kennecott Utah Copper LLC</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Materion</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Metalor USA Refining Corporation</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Pease &amp; Curren</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Republic Metals Corporation</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Sabin Metal Corp.</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So Accurate Group, Inc.</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United Precious Metal Refining, Inc.</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Almalyk Mining and Metallurgical Complex (AMMC)</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UZBEKISTAN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Navoi Mining and Metallurgical Combinat</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UZBEKISTAN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Universal Precious Metals Refining Zambia</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ZAMBIA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Fidelity Printers and Refiners Ltd.</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ZIMBABWE</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Plansee</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Plansee SE Liezen</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Plansee SE Reutte</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LSM Brasil S.A.</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Mineracao Taboca S.A.</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Resind Ind e Com Ltda.</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Changsha South Tantalum Niobium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Duoluoshan</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F&amp;X Electro-Materials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FIR Metals &amp; Resource Ltd.</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Guangdong Rising Rare Metals-EO Materials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Guangdong Zhiyuan New Material Co., Ltd.</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Guizhou Zhenhua Xinyun Technology Ltd., Kaili branch</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Hengyang King Xing Lifeng New Materials Co., Ltd.</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Jiangxi Dinghai Tantalum &amp; Niobium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Jiangxi Tuohong New Raw Material</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JiuJiang JinXin Nonferrous Metals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Jiujiang Nonferrous Metals Smelting Company Limited</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Jiujiang Zhongao Tantalum &amp; Niobium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King-Tan Tantalum Industry Ltd.</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Ningxia Orient Tantalum Industry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RFH</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XinXing HaoRong Electronic Material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Yichun Jin Yang Rare Metal Co., Ltd.</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Zhuzhou Cemented Carbide Group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Molycorp Silmet A.S.</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ESTONIA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H.C. Starck GmbH Laufenburg</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H.C. Starck Group</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H.C. Starck Hermsdorf GmbH</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H.C. Starck Smelting GmbH &amp; Co. KG</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H.C. Starck Tantalum and Niobium GmbH</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Metallurgical Products India Pvt. Ltd. (MPIL)</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Asaka Riken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Global Advanced Metals Aizu</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1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H.C. Starck Ltd.</w:t>
            </w:r>
          </w:p>
        </w:tc>
        <w:tc>
          <w:tcPr>
            <w:tcW w:w="20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440"/>
        </w:trPr>
        <w:tc>
          <w:tcPr>
            <w:tcW w:w="14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40" w:type="dxa"/>
            <w:vAlign w:val="bottom"/>
          </w:tcPr>
          <w:p>
            <w:pPr>
              <w:jc w:val="right"/>
              <w:ind w:right="1719"/>
              <w:spacing w:after="0"/>
              <w:rPr>
                <w:sz w:val="20"/>
                <w:szCs w:val="20"/>
                <w:color w:val="auto"/>
              </w:rPr>
            </w:pPr>
            <w:r>
              <w:rPr>
                <w:rFonts w:ascii="Arial" w:cs="Arial" w:eastAsia="Arial" w:hAnsi="Arial"/>
                <w:sz w:val="16"/>
                <w:szCs w:val="16"/>
                <w:color w:val="auto"/>
              </w:rPr>
              <w:t>6</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707" w:right="2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4F81BD"/>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4020" w:type="dxa"/>
            <w:vAlign w:val="bottom"/>
            <w:tcBorders>
              <w:bottom w:val="single" w:sz="8" w:color="4F81BD"/>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2140" w:type="dxa"/>
            <w:vAlign w:val="bottom"/>
            <w:tcBorders>
              <w:bottom w:val="single" w:sz="8" w:color="4F81BD"/>
              <w:right w:val="single" w:sz="8" w:color="00497F"/>
            </w:tcBorders>
            <w:shd w:val="clear" w:color="auto" w:fill="00497F"/>
          </w:tcPr>
          <w:p>
            <w:pPr>
              <w:spacing w:after="0"/>
              <w:rPr>
                <w:sz w:val="21"/>
                <w:szCs w:val="21"/>
                <w:color w:val="auto"/>
              </w:rPr>
            </w:pPr>
          </w:p>
        </w:tc>
        <w:tc>
          <w:tcPr>
            <w:tcW w:w="3880" w:type="dxa"/>
            <w:vAlign w:val="bottom"/>
            <w:tcBorders>
              <w:bottom w:val="single" w:sz="8" w:color="4F81BD"/>
              <w:right w:val="single" w:sz="8" w:color="00497F"/>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Mitsui Mining &amp; Smelting</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Taki Chemical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ULBA</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Power Resources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MACEDONIA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KEMET Blue Metals</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Solikamsk</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H.C. Starck Co., Ltd.</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 Block Metals, LLC</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E.S.R. Electronics</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Exotech Inc.</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Global Advanced Metals</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Global Advanced Metals Boyertown</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H.C. Starck Inc.</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KEMET Blue Powder</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QuantumClean</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Telex Metals</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Tranzact, Inc.</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Metallo Belgium N.V.</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EM Vinto</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BOLIVIA (PLURINATIONAL STATE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OMSA</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BOLIVIA (PLURINATIONAL STATE OF)</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Cooperativa Metalurgica de Rondonia Ltda.</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Estanho de Rondonia S.A.</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Magnu's Minerais Metais e Ligas Ltda.</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Melt Metais e Ligas S.A.</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Mineracao Taboca S.A.</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Resind Ind e Com Ltda.</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Soft Metais Ltda.</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Super Ligas</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White Solder Metalurgia e Mineracao Ltda.</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Chenzhou Yunxiang Mining and Metallurgy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China Tin Group Co., Ltd.</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CNMC (Guangxi) PGMA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Gejiu Fengming Metallurgy Chemical Plant</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Gejiu Jinye Mineral Company</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Gejiu Kai Meng Industry and Trade LLC</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Gejiu Non-Ferrous Metal Processing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Gejiu Yunxin Nonferrous Electrolysis Co., Ltd.</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Gejiu Zili Mining And Metallurgy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Guangdong Hanhe Non-Ferrous Metal Co., Ltd.</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Guanyang Guida Nonferrous Metal Smelting Plant</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HuiChang Hill Tin Industry Co., Ltd.</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Huichang Jinshunda Tin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Jiangxi Ketai Advanced Material Co., Ltd.</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Linwu Xianggui Ore Smelting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Nankang Nanshan Tin Manufactory Co., Ltd.</w:t>
            </w:r>
          </w:p>
        </w:tc>
        <w:tc>
          <w:tcPr>
            <w:tcW w:w="21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Yunnan Chengfeng Non-ferrous Metals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Yunnan Tin Company Limited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440"/>
        </w:trPr>
        <w:tc>
          <w:tcPr>
            <w:tcW w:w="14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140" w:type="dxa"/>
            <w:vAlign w:val="bottom"/>
          </w:tcPr>
          <w:p>
            <w:pPr>
              <w:jc w:val="right"/>
              <w:ind w:right="1719"/>
              <w:spacing w:after="0"/>
              <w:rPr>
                <w:sz w:val="20"/>
                <w:szCs w:val="20"/>
                <w:color w:val="auto"/>
              </w:rPr>
            </w:pPr>
            <w:r>
              <w:rPr>
                <w:rFonts w:ascii="Arial" w:cs="Arial" w:eastAsia="Arial" w:hAnsi="Arial"/>
                <w:sz w:val="16"/>
                <w:szCs w:val="16"/>
                <w:color w:val="auto"/>
              </w:rPr>
              <w:t>7</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707" w:right="2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auto"/>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3420" w:type="dxa"/>
            <w:vAlign w:val="bottom"/>
            <w:tcBorders>
              <w:bottom w:val="single" w:sz="8" w:color="auto"/>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2740" w:type="dxa"/>
            <w:vAlign w:val="bottom"/>
            <w:tcBorders>
              <w:bottom w:val="single" w:sz="8" w:color="auto"/>
              <w:right w:val="single" w:sz="8" w:color="00497F"/>
            </w:tcBorders>
            <w:shd w:val="clear" w:color="auto" w:fill="00497F"/>
          </w:tcPr>
          <w:p>
            <w:pPr>
              <w:spacing w:after="0"/>
              <w:rPr>
                <w:sz w:val="21"/>
                <w:szCs w:val="21"/>
                <w:color w:val="auto"/>
              </w:rPr>
            </w:pPr>
          </w:p>
        </w:tc>
        <w:tc>
          <w:tcPr>
            <w:tcW w:w="3880" w:type="dxa"/>
            <w:vAlign w:val="bottom"/>
            <w:tcBorders>
              <w:bottom w:val="single" w:sz="8" w:color="auto"/>
              <w:right w:val="single" w:sz="8" w:color="00497F"/>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Feinhütte Halsbrücke GmbH</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Justindo</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CV Ayi Jaya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CV Dua Sekawan</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CV Gita Pesona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CV Serumpun Sebalai</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CV Tiga Sekawan</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CV United Smelting</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CV Venus Inti Perkasa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Kundur Smelter</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Alam Lestari Kencana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Aries Kencana Sejahtera</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Artha Cipta Langgeng</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ATD Makmur Mandiri Jaya</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Babel Inti Perkasa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Bangka Kudai Tin</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Bangka Prima Tin</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Bangka Putra Karya</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Bangka Timah Utama Sejahtera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Bangka Tin Industry</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Belitung Industri Sejahtera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BilliTin Makmur Lestari</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Bukit Timah</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Cipta Persada Mulia</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DS Jaya Abadi</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Eunindo Usaha Mandiri</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Fang Di MulTindo</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Inti Stania Prima</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Karimun Mining</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Kijang Jaya Mandiri</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Lautan Harmonis Sejahtera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Menara Cipta Mulia</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Mitra Stania Prima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O.M. Indonesia</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Panca Mega Persada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Pelat Timah Nusantara Tbk</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Prima Timah Utama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Refined Bangka Tin</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Sariwiguna Binasentosa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Seirama Tin Investment</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Stanindo Inti Perkasa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Sukses Inti Makmur</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Sumber Jaya Indah</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Timah (Persero) Tbk Mentok</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Tinindo Inter Nusa</w:t>
            </w:r>
          </w:p>
        </w:tc>
        <w:tc>
          <w:tcPr>
            <w:tcW w:w="27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Tirus Putra Mandiri</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420" w:type="dxa"/>
            <w:vAlign w:val="bottom"/>
            <w:tcBorders>
              <w:bottom w:val="single" w:sz="8" w:color="4F81BD"/>
            </w:tcBorders>
          </w:tcPr>
          <w:p>
            <w:pPr>
              <w:ind w:left="20"/>
              <w:spacing w:after="0"/>
              <w:rPr>
                <w:sz w:val="20"/>
                <w:szCs w:val="20"/>
                <w:color w:val="auto"/>
              </w:rPr>
            </w:pPr>
            <w:r>
              <w:rPr>
                <w:rFonts w:ascii="Arial" w:cs="Arial" w:eastAsia="Arial" w:hAnsi="Arial"/>
                <w:sz w:val="16"/>
                <w:szCs w:val="16"/>
                <w:color w:val="auto"/>
              </w:rPr>
              <w:t>PT Tommy Utama</w:t>
            </w:r>
          </w:p>
        </w:tc>
        <w:tc>
          <w:tcPr>
            <w:tcW w:w="2740" w:type="dxa"/>
            <w:vAlign w:val="bottom"/>
            <w:tcBorders>
              <w:bottom w:val="single" w:sz="8" w:color="4F81BD"/>
              <w:right w:val="single" w:sz="8" w:color="auto"/>
            </w:tcBorders>
          </w:tcPr>
          <w:p>
            <w:pPr>
              <w:spacing w:after="0"/>
              <w:rPr>
                <w:sz w:val="20"/>
                <w:szCs w:val="20"/>
                <w:color w:val="auto"/>
              </w:rPr>
            </w:pP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440"/>
        </w:trPr>
        <w:tc>
          <w:tcPr>
            <w:tcW w:w="14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740" w:type="dxa"/>
            <w:vAlign w:val="bottom"/>
          </w:tcPr>
          <w:p>
            <w:pPr>
              <w:jc w:val="right"/>
              <w:ind w:right="1719"/>
              <w:spacing w:after="0"/>
              <w:rPr>
                <w:sz w:val="20"/>
                <w:szCs w:val="20"/>
                <w:color w:val="auto"/>
              </w:rPr>
            </w:pPr>
            <w:r>
              <w:rPr>
                <w:rFonts w:ascii="Arial" w:cs="Arial" w:eastAsia="Arial" w:hAnsi="Arial"/>
                <w:sz w:val="16"/>
                <w:szCs w:val="16"/>
                <w:color w:val="auto"/>
              </w:rPr>
              <w:t>8</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707" w:right="2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4F81BD"/>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bottom w:val="single" w:sz="8" w:color="4F81BD"/>
              <w:right w:val="single" w:sz="8" w:color="00497F"/>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bottom w:val="single" w:sz="8" w:color="4F81BD"/>
              <w:right w:val="single" w:sz="8" w:color="00497F"/>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PT Wahana Perkit Jaya</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PT Supra Sukses Trinusa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Dowa</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Mitsubishi Materials Corporation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Malaysia Smelting Corporation (MSC)</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Modeltech Sdn Bhd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Minsur</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O.M. Manufacturing Philippines, Inc.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Fenix Metals</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Phoenix Metal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RWANDA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Metallo Spain S.L.U.</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Rui Da Hung</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O.M. Manufacturing (Thailand)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 Solder Industry Corp.,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Alpha</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Metallic Resources, Inc.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An Thai Minerals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 Nang Processing Import and Export Joint Stock</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An Vinh Joint Stock Mineral Processing Company</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Electro-Mechanical Facility of the Cao Bang Minerals &amp; Metallurgy Joint Stock</w:t>
            </w: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100"/>
        </w:trPr>
        <w:tc>
          <w:tcPr>
            <w:tcW w:w="1400" w:type="dxa"/>
            <w:vAlign w:val="bottom"/>
            <w:tcBorders>
              <w:left w:val="single" w:sz="8" w:color="auto"/>
              <w:right w:val="single" w:sz="8" w:color="auto"/>
            </w:tcBorders>
            <w:vMerge w:val="continue"/>
          </w:tcPr>
          <w:p>
            <w:pPr>
              <w:spacing w:after="0"/>
              <w:rPr>
                <w:sz w:val="8"/>
                <w:szCs w:val="8"/>
                <w:color w:val="auto"/>
              </w:rPr>
            </w:pPr>
          </w:p>
        </w:tc>
        <w:tc>
          <w:tcPr>
            <w:tcW w:w="6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Company</w:t>
            </w:r>
          </w:p>
        </w:tc>
        <w:tc>
          <w:tcPr>
            <w:tcW w:w="3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bottom w:val="single" w:sz="8" w:color="auto"/>
              <w:right w:val="single" w:sz="8" w:color="auto"/>
            </w:tcBorders>
          </w:tcPr>
          <w:p>
            <w:pPr>
              <w:spacing w:after="0"/>
              <w:rPr>
                <w:sz w:val="9"/>
                <w:szCs w:val="9"/>
                <w:color w:val="auto"/>
              </w:rPr>
            </w:pPr>
          </w:p>
        </w:tc>
        <w:tc>
          <w:tcPr>
            <w:tcW w:w="6160" w:type="dxa"/>
            <w:vAlign w:val="bottom"/>
            <w:tcBorders>
              <w:bottom w:val="single" w:sz="8" w:color="auto"/>
              <w:right w:val="single" w:sz="8" w:color="auto"/>
            </w:tcBorders>
            <w:vMerge w:val="continue"/>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Nghe Tinh Non-Ferrous Metals Joint Stock Company</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Tuyen Quang Non-Ferrous Metals Joint Stock Company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VQB Mineral and Trading Group JSC</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Metallo Belgium N.V.</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Wolfram Bergbau und Hutten AG</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ACL Metais Eireli</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Chenzhou Diamond Tungsten Products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Chongyi Zhangyuan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Dayu Jincheng Tungsten Industry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Dayu Weiliang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Fujian Jinxin Tungsten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Ganxian Shirui New Material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Ganzhou Haichuang Tungsten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Huaxing Tungsten Products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Ganzhou Jiangwu Ferrotungsten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Non-ferrous Metals Smelting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Ganzhou Seadragon W &amp; Mo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Yatai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Guangdong Xianglu Tungsten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Hunan Chuangda Vanadium Tungsten Co., Ltd. Wuji</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Chuangda Vanadium Tungsten Co., Ltd. Yanglin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Hunan Chunchang Nonferrous Metals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Litian Tungsten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Jiangwu H.C. Starck Tungsten Products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Dayu Longxintai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Gan Bei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707" w:right="21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0"/>
          </w:cols>
          <w:pgMar w:left="240" w:top="707" w:right="21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1400" w:type="dxa"/>
            <w:vAlign w:val="bottom"/>
            <w:tcBorders>
              <w:left w:val="single" w:sz="8" w:color="ACACAC"/>
              <w:bottom w:val="single" w:sz="8" w:color="auto"/>
              <w:right w:val="single" w:sz="8" w:color="ACACAC"/>
            </w:tcBorders>
            <w:shd w:val="clear" w:color="auto" w:fill="00497F"/>
          </w:tcPr>
          <w:p>
            <w:pPr>
              <w:ind w:left="4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bottom w:val="single" w:sz="8" w:color="auto"/>
              <w:right w:val="single" w:sz="8" w:color="00497F"/>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bottom w:val="single" w:sz="8" w:color="auto"/>
              <w:right w:val="single" w:sz="8" w:color="00497F"/>
            </w:tcBorders>
            <w:shd w:val="clear" w:color="auto" w:fill="00497F"/>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Minmetals Gao'an Non-ferrous Metals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Jiangxi Tonggu Non-ferrous Metallurgical &amp; Chemical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Xinsheng Tungsten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Jiangxi Xiushui Xianggan Nonferrous Metals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Yaosheng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Malipo Haiyu Tungsten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South-East Nonferrous Metal Company Limited of Hengyang City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Xiamen Tungsten (H.C.)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Xiamen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Xinfeng Huarui Tungsten &amp; Molybdenum New Material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Xinhai Rendan Shaoguan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Zhuzhou Cemented Carbide Group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Richsea New Materials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H.C. Starck Smelting GmbH &amp; Co. KG</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Tungsten GmbH</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A.L.M.T. TUNGSTEN Corp.</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 New Metals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Woltech Korea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Philippine Chuangxin Industrial Co., Inc.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Hydrometallurg, JSC</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Moliren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Pobedit, JSC</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Unecha Refractory metals plant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Global Tungsten &amp; Powders Corp.</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Kennametal Fallon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Kennametal Huntsville</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Niagara Refining LLC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Hi-Temp Specialty Metals, Inc.</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Asia Tungsten Products Vietnam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Nui Phao H.C. Starck Tungsten Chemicals Manufacturing LLC</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Sanher Tungsten Vietnam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400" w:type="dxa"/>
            <w:vAlign w:val="bottom"/>
            <w:tcBorders>
              <w:left w:val="single" w:sz="8" w:color="auto"/>
              <w:bottom w:val="single" w:sz="8" w:color="4F81BD"/>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Tejing (Vietnam) Tungsten Co., Ltd.</w:t>
            </w:r>
          </w:p>
        </w:tc>
        <w:tc>
          <w:tcPr>
            <w:tcW w:w="3880" w:type="dxa"/>
            <w:vAlign w:val="bottom"/>
            <w:tcBorders>
              <w:bottom w:val="single" w:sz="8" w:color="4F81BD"/>
              <w:right w:val="single" w:sz="8" w:color="auto"/>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Vietnam Youngsun Tungsten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r>
      <w:tr>
        <w:trPr>
          <w:trHeight w:val="440"/>
        </w:trPr>
        <w:tc>
          <w:tcPr>
            <w:tcW w:w="1400" w:type="dxa"/>
            <w:vAlign w:val="bottom"/>
          </w:tcPr>
          <w:p>
            <w:pPr>
              <w:spacing w:after="0"/>
              <w:rPr>
                <w:sz w:val="24"/>
                <w:szCs w:val="24"/>
                <w:color w:val="auto"/>
              </w:rPr>
            </w:pPr>
          </w:p>
        </w:tc>
        <w:tc>
          <w:tcPr>
            <w:tcW w:w="6160" w:type="dxa"/>
            <w:vAlign w:val="bottom"/>
          </w:tcPr>
          <w:p>
            <w:pPr>
              <w:ind w:left="4220"/>
              <w:spacing w:after="0"/>
              <w:rPr>
                <w:sz w:val="20"/>
                <w:szCs w:val="20"/>
                <w:color w:val="auto"/>
              </w:rPr>
            </w:pPr>
            <w:r>
              <w:rPr>
                <w:rFonts w:ascii="Arial" w:cs="Arial" w:eastAsia="Arial" w:hAnsi="Arial"/>
                <w:sz w:val="16"/>
                <w:szCs w:val="16"/>
                <w:color w:val="auto"/>
              </w:rPr>
              <w:t>10</w:t>
            </w:r>
          </w:p>
        </w:tc>
        <w:tc>
          <w:tcPr>
            <w:tcW w:w="3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70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2019-12-05T11:15:21Z</dcterms:created>
  <dcterms:modified xsi:type="dcterms:W3CDTF">2019-12-05T11:15:21Z</dcterms:modified>
</cp:coreProperties>
</file>