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Bhattacharya Ashis Nayan</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540" w:type="dxa"/>
            <w:vAlign w:val="bottom"/>
            <w:vMerge w:val="restart"/>
          </w:tcPr>
          <w:p>
            <w:pPr>
              <w:ind w:left="34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180"/>
              <w:spacing w:after="0" w:line="192" w:lineRule="exact"/>
              <w:rPr>
                <w:sz w:val="20"/>
                <w:szCs w:val="20"/>
                <w:color w:val="auto"/>
              </w:rPr>
            </w:pPr>
            <w:r>
              <w:rPr>
                <w:rFonts w:ascii="Arial" w:cs="Arial" w:eastAsia="Arial" w:hAnsi="Arial"/>
                <w:sz w:val="17"/>
                <w:szCs w:val="17"/>
                <w:color w:val="0000FF"/>
              </w:rPr>
              <w:t>SVP-Business Development</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12/17/2021</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477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23,606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124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23,482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12/21/2021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2021-12-21T16:59:36Z</dcterms:created>
  <dcterms:modified xsi:type="dcterms:W3CDTF">2021-12-21T16:59:36Z</dcterms:modified>
</cp:coreProperties>
</file>