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October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636905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121920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1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On October 17, 2018, Winnebago Industries, Inc. issued a press release to report financial results for the fourth quarter and full year Fiscal 2018 ended August 25, 2018. A copy of the press release is attached as Exhibit 99.1 and is incorporated by reference herein.</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fourth quarter and full year Fiscal 2018.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October 17, 2018</w:t>
        </w:r>
      </w:hyperlink>
    </w:p>
    <w:p>
      <w:pPr>
        <w:sectPr>
          <w:pgSz w:w="11900" w:h="16838" w:orient="portrait"/>
          <w:cols w:equalWidth="0" w:num="1">
            <w:col w:w="11380"/>
          </w:cols>
          <w:pgMar w:left="240" w:top="554" w:right="2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580" w:type="dxa"/>
            <w:vAlign w:val="bottom"/>
            <w:gridSpan w:val="2"/>
          </w:tcPr>
          <w:p>
            <w:pPr>
              <w:ind w:left="11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00" w:type="dxa"/>
            <w:vAlign w:val="bottom"/>
          </w:tcPr>
          <w:p>
            <w:pPr>
              <w:ind w:left="200"/>
              <w:spacing w:after="0"/>
              <w:rPr>
                <w:sz w:val="20"/>
                <w:szCs w:val="20"/>
                <w:color w:val="auto"/>
              </w:rPr>
            </w:pPr>
            <w:r>
              <w:rPr>
                <w:rFonts w:ascii="Arial" w:cs="Arial" w:eastAsia="Arial" w:hAnsi="Arial"/>
                <w:sz w:val="16"/>
                <w:szCs w:val="16"/>
                <w:color w:val="auto"/>
              </w:rPr>
              <w:t>October 17, 2018</w:t>
            </w:r>
          </w:p>
        </w:tc>
        <w:tc>
          <w:tcPr>
            <w:tcW w:w="1920" w:type="dxa"/>
            <w:vAlign w:val="bottom"/>
          </w:tcPr>
          <w:p>
            <w:pPr>
              <w:ind w:left="114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544" w:right="439" w:bottom="1440" w:gutter="0" w:footer="0" w:header="0"/>
        </w:sectPr>
      </w:pPr>
    </w:p>
    <w:bookmarkStart w:id="3" w:name="page4"/>
    <w:bookmarkEnd w:id="3"/>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36" w:lineRule="exact"/>
        <w:rPr>
          <w:sz w:val="20"/>
          <w:szCs w:val="20"/>
          <w:color w:val="auto"/>
        </w:rPr>
      </w:pPr>
    </w:p>
    <w:p>
      <w:pPr>
        <w:jc w:val="center"/>
        <w:ind w:left="360" w:right="1240"/>
        <w:spacing w:after="0" w:line="493" w:lineRule="auto"/>
        <w:rPr>
          <w:sz w:val="20"/>
          <w:szCs w:val="20"/>
          <w:color w:val="auto"/>
        </w:rPr>
      </w:pPr>
      <w:r>
        <w:rPr>
          <w:rFonts w:ascii="Arial" w:cs="Arial" w:eastAsia="Arial" w:hAnsi="Arial"/>
          <w:sz w:val="16"/>
          <w:szCs w:val="16"/>
          <w:b w:val="1"/>
          <w:bCs w:val="1"/>
          <w:color w:val="auto"/>
        </w:rPr>
        <w:t>WINNEBAGO INDUSTRIES ANNOUNCES RECORD FOURTH QUARTER AND FULL YEAR FISCAL 2018 RESULTS -- Full Year Revenues Exceed $2 Billion for First Time, an Increase of 30% on Strong Towables Segment Growth -- -- Record Full Year Diluted EPS of $3.22, Up 39% as Full Year Margins Climb 50 Basis Points to 14.9% --</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Quarterly Revenues Increased 18% to $536 Million, Delivering Quarterly Diluted EPS of $0.94, an Increase of 19% Over Prior Q4 --</w:t>
      </w:r>
    </w:p>
    <w:p>
      <w:pPr>
        <w:spacing w:after="0" w:line="336" w:lineRule="exact"/>
        <w:rPr>
          <w:sz w:val="20"/>
          <w:szCs w:val="20"/>
          <w:color w:val="auto"/>
        </w:rPr>
      </w:pPr>
    </w:p>
    <w:p>
      <w:pPr>
        <w:ind w:right="20"/>
        <w:spacing w:after="0" w:line="366" w:lineRule="auto"/>
        <w:rPr>
          <w:sz w:val="20"/>
          <w:szCs w:val="20"/>
          <w:color w:val="auto"/>
        </w:rPr>
      </w:pPr>
      <w:r>
        <w:rPr>
          <w:rFonts w:ascii="Arial" w:cs="Arial" w:eastAsia="Arial" w:hAnsi="Arial"/>
          <w:sz w:val="16"/>
          <w:szCs w:val="16"/>
          <w:color w:val="auto"/>
        </w:rPr>
        <w:t>FOREST CITY, IOWA, October 17, 2018 - Winnebago Industries, Inc. (NYSE:WGO), a leading outdoor lifestyle product manufacturer, today reported financial results for the Company's fourth quarter and full year Fiscal 2018.</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2018 Results</w:t>
      </w:r>
    </w:p>
    <w:p>
      <w:pPr>
        <w:spacing w:after="0" w:line="86"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Revenues for the Fiscal 2018 fourth quarter ended August 25, 2018, were $536.2 million, an increase of 17.9% compared to $454.9 million for the Fiscal 2017 period. Gross profit was $83.8 million, an increase of 13.9% compared to $73.6 million for the Fiscal 2017 period. Gross profit margin decreased 60 basis points in the quarter, as higher input costs were largely offset by cost savings initiatives and pricing actions, but the results compared against a favorable inventory adjustment in the prior year as well. Operating income was $45.7 million for the quarter, an improvement of 5.1% compared to $43.5 million in the fourth quarter of last year. Fiscal 2018 fourth quarter net income was $29.8 million, an increase of 19.5% compared to $24.9 million in the same period last year. Earnings per diluted share were $0.94, an increase of 19.0% compared to earnings per diluted share of $0.79 in the same period last year. Consolidated Adjusted EBITDA was $53.6 million for the quarter, compared to $47.8 million last year, an increase of 12.1%. Fourth quarter results include costs related to the Chris-Craft acquisition of $2.8 million or $0.06 per diluted share, including amortization expenses of $1.5 million related to the definite-lived intangible assets acquired and transaction costs of $1.3 million.</w:t>
      </w:r>
    </w:p>
    <w:p>
      <w:pPr>
        <w:spacing w:after="0" w:line="259"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“Fiscal 2018 was a tremendous step forward for Winnebago Industries in all aspects - strategically, financially, and culturally", stated President and Chief Executive Officer Michael Happe. "Strategically we made strong strides in the journey to transform ourselves into a premier, outdoor lifestyle company, especially with our fourth-quarter entry into the attractive marine market with the acquisition of Chris-Craft. We have also elevated our level of competitiveness within the North American RV market as a stronger full-line OEM, raising consolidated market share primarily on the strength of our sustained Towables segment growth. Both our Winnebago and Grand Design-branded towables business have material momentum, with new products and superlative quality driving increased business with dealers and end customers. Our Motorhome business continues to make sequential progress in improving its product line vitality and profitability."</w:t>
      </w:r>
    </w:p>
    <w:p>
      <w:pPr>
        <w:spacing w:after="0" w:line="261"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Happe further commented, "Financially, we are thrilled to exceed the $2.0 billion revenue mark for the first time in our Company’s storied 60-year history, and we are delivering record bottom-line results in the face of inflationary headwinds on material and labor costs. Our balance sheet is solid and appropriately positioned to allow us to pursue further smart, profitable growth in the years ahead. Culturally, our employees are extremely focused on enabling extraordinary experiences in the outdoors for our customers, around a business model platform focused on quality, service, and innovation. Our leadership is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20"/>
          </w:cols>
          <w:pgMar w:left="240" w:top="772" w:right="339" w:bottom="1440" w:gutter="0" w:footer="0" w:header="0"/>
        </w:sectPr>
      </w:pPr>
    </w:p>
    <w:bookmarkStart w:id="4" w:name="page5"/>
    <w:bookmarkEnd w:id="4"/>
    <w:p>
      <w:pPr>
        <w:jc w:val="both"/>
        <w:spacing w:after="0" w:line="359" w:lineRule="auto"/>
        <w:rPr>
          <w:sz w:val="20"/>
          <w:szCs w:val="20"/>
          <w:color w:val="auto"/>
        </w:rPr>
      </w:pPr>
      <w:r>
        <w:rPr>
          <w:rFonts w:ascii="Arial" w:cs="Arial" w:eastAsia="Arial" w:hAnsi="Arial"/>
          <w:sz w:val="16"/>
          <w:szCs w:val="16"/>
          <w:color w:val="auto"/>
        </w:rPr>
        <w:t>committed to driving an even higher level of employee engagement and we are directing more resources to giving back to the communities our team lives and works in. Our success in Fiscal 2018 is a result of the incredible hard work of our 4,700-plus employees and their dedication to ensuring our customers receive the very best products and service possible.”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Fiscal 2018 Results</w:t>
      </w:r>
    </w:p>
    <w:p>
      <w:pPr>
        <w:spacing w:after="0" w:line="86" w:lineRule="exact"/>
        <w:rPr>
          <w:sz w:val="20"/>
          <w:szCs w:val="20"/>
          <w:color w:val="auto"/>
        </w:rPr>
      </w:pPr>
    </w:p>
    <w:p>
      <w:pPr>
        <w:ind w:right="160"/>
        <w:spacing w:after="0" w:line="355" w:lineRule="auto"/>
        <w:rPr>
          <w:sz w:val="20"/>
          <w:szCs w:val="20"/>
          <w:color w:val="auto"/>
        </w:rPr>
      </w:pPr>
      <w:r>
        <w:rPr>
          <w:rFonts w:ascii="Arial" w:cs="Arial" w:eastAsia="Arial" w:hAnsi="Arial"/>
          <w:sz w:val="16"/>
          <w:szCs w:val="16"/>
          <w:color w:val="auto"/>
        </w:rPr>
        <w:t>Fiscal 2018 revenues of $2.0 billion increased 30.4% from $1.5 billion in Fiscal 2017. Gross profit improved 50 basis points, primarily due to strong growth in the Towable segment and improved operating efficiencies in that segment. Operating income was $160.4 million for Fiscal 2018, an improvement of 28.2% compared to $125.1 million in Fiscal 2017. Net income for Fiscal 2018 was $102.4 million, an increase of 43.5% compared to $71.3 million in Fiscal 2017. Earnings per diluted share were $3.22, an increase of 38.8% compared to earnings per diluted share of $2.32 in Fiscal 2017. Fiscal 2018 consolidated Adjusted EBITDA was $181.7 million, an increase of 30.9% from $138.9 million in Fiscal 2017.</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In the fourth quarter, revenues for the Motorhome segment were $228.5 million, up 2.5% from the previous year. Segment Adjusted EBITDA was $13.2 million, down 18.8% from the prior year. Adjusted EBITDA margin decreased 150 basis points, driven by investments in the business and increasing cost pressures that have not yet been overcome with recent pricing actions. Unit backlog increased 30.9% over the prior year, reflecting continued strength in our recently introduced products.</w:t>
      </w:r>
    </w:p>
    <w:p>
      <w:pPr>
        <w:spacing w:after="0" w:line="259" w:lineRule="exact"/>
        <w:rPr>
          <w:sz w:val="20"/>
          <w:szCs w:val="20"/>
          <w:color w:val="auto"/>
        </w:rPr>
      </w:pPr>
    </w:p>
    <w:p>
      <w:pPr>
        <w:ind w:right="20"/>
        <w:spacing w:after="0" w:line="366" w:lineRule="auto"/>
        <w:rPr>
          <w:sz w:val="20"/>
          <w:szCs w:val="20"/>
          <w:color w:val="auto"/>
        </w:rPr>
      </w:pPr>
      <w:r>
        <w:rPr>
          <w:rFonts w:ascii="Arial" w:cs="Arial" w:eastAsia="Arial" w:hAnsi="Arial"/>
          <w:sz w:val="16"/>
          <w:szCs w:val="16"/>
          <w:color w:val="auto"/>
        </w:rPr>
        <w:t>For the full year Fiscal 2018, revenues for the Motorhome segment were $860.7 million, up 0.9% from Fiscal 2017. Segment Adjusted EBITDA for the full year was $35.5 million, down 37.2% from Fiscal 2017. Adjusted EBITDA margin decreased 250 basis points for the full year.</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100"/>
        <w:spacing w:after="0" w:line="355" w:lineRule="auto"/>
        <w:rPr>
          <w:sz w:val="20"/>
          <w:szCs w:val="20"/>
          <w:color w:val="auto"/>
        </w:rPr>
      </w:pPr>
      <w:r>
        <w:rPr>
          <w:rFonts w:ascii="Arial" w:cs="Arial" w:eastAsia="Arial" w:hAnsi="Arial"/>
          <w:sz w:val="16"/>
          <w:szCs w:val="16"/>
          <w:color w:val="auto"/>
        </w:rPr>
        <w:t>Revenues for the Towable segment were $288.7 million for the fourth quarter, up 26.2% over the prior year, driven by continued strong organic growth across the Grand Design RV and Winnebago-branded businesses. Segment Adjusted EBITDA was $41.9 million, up 23.9% over the prior year. Adjusted EBITDA margin of 14.5% decreased 30 basis points from the prior year due to cost input pressures that were mitigated by effective price increases and cost reduction efforts, and also comparing against a favorable inventory adjustment in the prior year. Dollar backlog remained strong at over $244.9 million, growing 6.6% over last year, driven by a favorable product mix. Unit backlog was a robust 7,651 units but declined 4.4% against the prior year period, reflecting extremely high backlogs in late Fiscal 2017 and two plant expansions that have added additional production capacity during the course of calendar 2018.</w:t>
      </w:r>
    </w:p>
    <w:p>
      <w:pPr>
        <w:spacing w:after="0" w:line="258" w:lineRule="exact"/>
        <w:rPr>
          <w:sz w:val="20"/>
          <w:szCs w:val="20"/>
          <w:color w:val="auto"/>
        </w:rPr>
      </w:pPr>
    </w:p>
    <w:p>
      <w:pPr>
        <w:ind w:right="20"/>
        <w:spacing w:after="0" w:line="366" w:lineRule="auto"/>
        <w:rPr>
          <w:sz w:val="20"/>
          <w:szCs w:val="20"/>
          <w:color w:val="auto"/>
        </w:rPr>
      </w:pPr>
      <w:r>
        <w:rPr>
          <w:rFonts w:ascii="Arial" w:cs="Arial" w:eastAsia="Arial" w:hAnsi="Arial"/>
          <w:sz w:val="16"/>
          <w:szCs w:val="16"/>
          <w:color w:val="auto"/>
        </w:rPr>
        <w:t>For the full year Fiscal 2018, revenues for the Towable segment were $1,127.7 million, up 64.6% from Fiscal 2017. Segment Adjusted EBITDA for the full year was $157.0 million, up 75.0% from Fiscal 2017. Adjusted EBITDA margin increased 80 basis points for the full year.</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 in Segment Reporting</w:t>
      </w:r>
    </w:p>
    <w:p>
      <w:pPr>
        <w:spacing w:after="0" w:line="8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During the quarter, Winnebago Industries realigned its operating segments following the Chris-Craft transaction and created a new “Corporate / All Other” category, which includes our Marine and Specialty Vehicles businesses, as well as certain Corporate costs. The Company has retrospectively reclassified prior period amounts to conform to the current segment presentation. We have posted a document containing revenues and adjusted EBITDA, by quarter, for Fiscal 2017 and Fiscal 2018 on our Company's Investor Relations website.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As of August 25, 2018, the Company had total outstanding debt of $291.4 million ($298.5 million of debt, net of debt issuance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60"/>
          </w:cols>
          <w:pgMar w:left="240" w:top="425" w:right="299" w:bottom="1440" w:gutter="0" w:footer="0" w:header="0"/>
        </w:sectPr>
      </w:pPr>
    </w:p>
    <w:bookmarkStart w:id="5" w:name="page6"/>
    <w:bookmarkEnd w:id="5"/>
    <w:p>
      <w:pPr>
        <w:ind w:right="300"/>
        <w:spacing w:after="0" w:line="366" w:lineRule="auto"/>
        <w:rPr>
          <w:sz w:val="20"/>
          <w:szCs w:val="20"/>
          <w:color w:val="auto"/>
        </w:rPr>
      </w:pPr>
      <w:r>
        <w:rPr>
          <w:rFonts w:ascii="Arial" w:cs="Arial" w:eastAsia="Arial" w:hAnsi="Arial"/>
          <w:sz w:val="16"/>
          <w:szCs w:val="16"/>
          <w:color w:val="auto"/>
        </w:rPr>
        <w:t>costs of $7.1 million) and working capital of $167.8 million. Cash flow from operations was $83.3 million for the full year, a decrease of 14.2% from the prior period in Fiscal 2017, as timing of working capital balances offset improvements in net income.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560"/>
        <w:spacing w:after="0" w:line="366" w:lineRule="auto"/>
        <w:rPr>
          <w:sz w:val="20"/>
          <w:szCs w:val="20"/>
          <w:color w:val="auto"/>
        </w:rPr>
      </w:pPr>
      <w:r>
        <w:rPr>
          <w:rFonts w:ascii="Arial" w:cs="Arial" w:eastAsia="Arial" w:hAnsi="Arial"/>
          <w:sz w:val="16"/>
          <w:szCs w:val="16"/>
          <w:color w:val="auto"/>
        </w:rPr>
        <w:t>On August 15, 2018, the Company’s board of directors approved a quarterly cash dividend of $0.10 per share paid on September 26, 2018, to common stockholders of record at the close of business on September 12, 2018.</w:t>
      </w:r>
    </w:p>
    <w:p>
      <w:pPr>
        <w:spacing w:after="0" w:line="249" w:lineRule="exact"/>
        <w:rPr>
          <w:sz w:val="20"/>
          <w:szCs w:val="20"/>
          <w:color w:val="auto"/>
        </w:rPr>
      </w:pPr>
    </w:p>
    <w:p>
      <w:pPr>
        <w:spacing w:after="0" w:line="352" w:lineRule="auto"/>
        <w:rPr>
          <w:sz w:val="20"/>
          <w:szCs w:val="20"/>
          <w:color w:val="auto"/>
        </w:rPr>
      </w:pPr>
      <w:r>
        <w:rPr>
          <w:rFonts w:ascii="Arial" w:cs="Arial" w:eastAsia="Arial" w:hAnsi="Arial"/>
          <w:sz w:val="16"/>
          <w:szCs w:val="16"/>
          <w:color w:val="auto"/>
        </w:rPr>
        <w:t>Mr. Happe continued: “Winnebago Industries enters Fiscal 2019 as a larger, increasingly diversified, and more profitable organization. Our expectation going forward is to exceed the growth projections of the industries we compete in. We remain comfortable with our own dealer inventories across the whole of our businesses. Our backlogs are reflective of strong future demand, but also our progress to increase capacity where needed to deliver more timely product to our dealers. We continue to make further strategic investments in talent acquisition, new product development, and manufacturing capacity and efficiency across the Company. Our RV businesses introduced many new models, to favorable reviews, at the recent Open House event in September and indications from the early fall RV retail shows confirm the momentum of our dual-brand, full-line RV portfolio.</w:t>
      </w:r>
    </w:p>
    <w:p>
      <w:pPr>
        <w:spacing w:after="0" w:line="2" w:lineRule="exact"/>
        <w:rPr>
          <w:sz w:val="20"/>
          <w:szCs w:val="20"/>
          <w:color w:val="auto"/>
        </w:rPr>
      </w:pPr>
    </w:p>
    <w:p>
      <w:pPr>
        <w:ind w:right="120"/>
        <w:spacing w:after="0" w:line="355" w:lineRule="auto"/>
        <w:rPr>
          <w:sz w:val="20"/>
          <w:szCs w:val="20"/>
          <w:color w:val="auto"/>
        </w:rPr>
      </w:pPr>
      <w:r>
        <w:rPr>
          <w:rFonts w:ascii="Arial" w:cs="Arial" w:eastAsia="Arial" w:hAnsi="Arial"/>
          <w:sz w:val="16"/>
          <w:szCs w:val="16"/>
          <w:color w:val="auto"/>
        </w:rPr>
        <w:t>The RV industry, while transitioning to a more moderate pace of shipments in the short-term, continues to be positioned for strong secular growth in the years ahead, as does the marine industry. We do however face strong comps within the RV industry in the first six months of our fiscal year, as well as current cost pressures on key materials and components. The Chris-Craft integration has been executed well in the last three months and we look forward to enabling profitable growth via several different strategic initiatives for that iconic luxury brand in the future. We remain extremely focused on strengthening and growing our core RV business, but also diversifying the overall portfolio via progress in new profitable outdoor lifestyle markets like marine and specialty vehicles."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color w:val="auto"/>
        </w:rPr>
        <w:t>Winnebago Industries, Inc. will conduct a conference call to discuss fourth quarter and full year Fiscal 2018 results at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http://investor.wgo.net.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425"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August 25, 2018</w:t>
            </w: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August 26, 2017</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536,188</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454,936</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452,358</w:t>
            </w: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84.4 %</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381,354</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83.8 %</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83,830</w:t>
            </w:r>
          </w:p>
        </w:tc>
        <w:tc>
          <w:tcPr>
            <w:tcW w:w="20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15.6 %</w:t>
            </w:r>
          </w:p>
        </w:tc>
        <w:tc>
          <w:tcPr>
            <w:tcW w:w="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73,582</w:t>
            </w:r>
          </w:p>
        </w:tc>
        <w:tc>
          <w:tcPr>
            <w:tcW w:w="2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5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Selling, general, and administrative expenses ("SG&amp;A"):</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12,407</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10,104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21,001</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3.9 %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17,707</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Transaction costs</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1,327</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0.2 %</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3,407</w:t>
            </w: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0.6 %</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2,082</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50"/>
        </w:trPr>
        <w:tc>
          <w:tcPr>
            <w:tcW w:w="46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SG&amp;A</w:t>
            </w: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38,142</w:t>
            </w:r>
          </w:p>
        </w:tc>
        <w:tc>
          <w:tcPr>
            <w:tcW w:w="2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7.1 %</w:t>
            </w:r>
          </w:p>
        </w:tc>
        <w:tc>
          <w:tcPr>
            <w:tcW w:w="3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30,111</w:t>
            </w:r>
          </w:p>
        </w:tc>
        <w:tc>
          <w:tcPr>
            <w:tcW w:w="2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4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45,688</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8.5 %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43,471</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80"/>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4,375</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0.8 %</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5,266</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(282)</w:t>
            </w: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(193)</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41,595</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7.8 %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38,398</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11,805</w:t>
            </w: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2.2 %</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13,475</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4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29,790</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5.6 %</w:t>
            </w: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24,923</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0.94</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0.79</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0.94</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0.79</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31,532</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31,591</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31,755</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31,718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66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99"/>
              </w:rPr>
              <w:t>Year Ended</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64"/>
        </w:trPr>
        <w:tc>
          <w:tcPr>
            <w:tcW w:w="4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August 25, 2018</w:t>
            </w:r>
          </w:p>
        </w:tc>
        <w:tc>
          <w:tcPr>
            <w:tcW w:w="6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August 26, 2017</w:t>
            </w:r>
          </w:p>
        </w:tc>
        <w:tc>
          <w:tcPr>
            <w:tcW w:w="940" w:type="dxa"/>
            <w:vAlign w:val="bottom"/>
            <w:tcBorders>
              <w:bottom w:val="single" w:sz="8" w:color="auto"/>
            </w:tcBorders>
          </w:tcPr>
          <w:p>
            <w:pPr>
              <w:spacing w:after="0"/>
              <w:rPr>
                <w:sz w:val="22"/>
                <w:szCs w:val="22"/>
                <w:color w:val="auto"/>
              </w:rPr>
            </w:pPr>
          </w:p>
        </w:tc>
      </w:tr>
      <w:tr>
        <w:trPr>
          <w:trHeight w:val="27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2,016,829</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1,547,119</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1,716,993</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85.1 %</w:t>
            </w: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1,324,542</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85.6 %</w:t>
            </w:r>
          </w:p>
        </w:tc>
      </w:tr>
      <w:tr>
        <w:trPr>
          <w:trHeight w:val="257"/>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299,836</w:t>
            </w:r>
          </w:p>
        </w:tc>
        <w:tc>
          <w:tcPr>
            <w:tcW w:w="2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280" w:type="dxa"/>
            <w:vAlign w:val="bottom"/>
            <w:tcBorders>
              <w:bottom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222,577</w:t>
            </w:r>
          </w:p>
        </w:tc>
        <w:tc>
          <w:tcPr>
            <w:tcW w:w="2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14.4 %</w:t>
            </w:r>
          </w:p>
        </w:tc>
      </w:tr>
      <w:tr>
        <w:trPr>
          <w:trHeight w:val="254"/>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SG&amp;A:</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49,850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35,668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r>
      <w:tr>
        <w:trPr>
          <w:trHeight w:val="260"/>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78,089</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55,347</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3.6 %</w:t>
            </w:r>
          </w:p>
        </w:tc>
      </w:tr>
      <w:tr>
        <w:trPr>
          <w:trHeight w:val="280"/>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00" w:type="dxa"/>
            <w:vAlign w:val="bottom"/>
            <w:shd w:val="clear" w:color="auto" w:fill="CCEEFF"/>
          </w:tcPr>
          <w:p>
            <w:pPr>
              <w:spacing w:after="0"/>
              <w:rPr>
                <w:sz w:val="24"/>
                <w:szCs w:val="24"/>
                <w:color w:val="auto"/>
              </w:rPr>
            </w:pPr>
          </w:p>
        </w:tc>
        <w:tc>
          <w:tcPr>
            <w:tcW w:w="2000" w:type="dxa"/>
            <w:vAlign w:val="bottom"/>
            <w:gridSpan w:val="3"/>
            <w:shd w:val="clear" w:color="auto" w:fill="CCEEFF"/>
          </w:tcPr>
          <w:p>
            <w:pPr>
              <w:jc w:val="right"/>
              <w:ind w:right="1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w:t>
            </w:r>
          </w:p>
        </w:tc>
      </w:tr>
      <w:tr>
        <w:trPr>
          <w:trHeight w:val="260"/>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2,177</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6,592</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0.4 %</w:t>
            </w:r>
          </w:p>
        </w:tc>
      </w:tr>
      <w:tr>
        <w:trPr>
          <w:trHeight w:val="273"/>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9,328</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280" w:type="dxa"/>
            <w:vAlign w:val="bottom"/>
            <w:tcBorders>
              <w:bottom w:val="single" w:sz="8" w:color="auto"/>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24,660</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1.6 %</w:t>
            </w:r>
          </w:p>
        </w:tc>
      </w:tr>
      <w:tr>
        <w:trPr>
          <w:trHeight w:val="250"/>
        </w:trPr>
        <w:tc>
          <w:tcPr>
            <w:tcW w:w="462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SG&amp;A</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139,444</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97,471</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6.3 %</w:t>
            </w:r>
          </w:p>
        </w:tc>
      </w:tr>
      <w:tr>
        <w:trPr>
          <w:trHeight w:val="25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160,392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125,106</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8.1 %</w:t>
            </w:r>
          </w:p>
        </w:tc>
      </w:tr>
      <w:tr>
        <w:trPr>
          <w:trHeight w:val="26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18,246</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0.9 %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16,837</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1.1 %</w:t>
            </w:r>
          </w:p>
        </w:tc>
      </w:tr>
      <w:tr>
        <w:trPr>
          <w:trHeight w:val="27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(494)</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auto"/>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(330)</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21"/>
                <w:szCs w:val="21"/>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142,640</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7.1 %</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108,599</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7.0 %</w:t>
            </w:r>
          </w:p>
        </w:tc>
      </w:tr>
      <w:tr>
        <w:trPr>
          <w:trHeight w:val="27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40,283</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280" w:type="dxa"/>
            <w:vAlign w:val="bottom"/>
            <w:tcBorders>
              <w:bottom w:val="single" w:sz="8" w:color="auto"/>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37,269</w:t>
            </w:r>
          </w:p>
        </w:tc>
        <w:tc>
          <w:tcPr>
            <w:tcW w:w="2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2.4 %</w:t>
            </w:r>
          </w:p>
        </w:tc>
      </w:tr>
      <w:tr>
        <w:trPr>
          <w:trHeight w:val="28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102,357</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5.1 %</w:t>
            </w:r>
          </w:p>
        </w:tc>
        <w:tc>
          <w:tcPr>
            <w:tcW w:w="9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71,330</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4.6 %</w:t>
            </w:r>
          </w:p>
        </w:tc>
      </w:tr>
      <w:tr>
        <w:trPr>
          <w:trHeight w:val="254"/>
        </w:trPr>
        <w:tc>
          <w:tcPr>
            <w:tcW w:w="4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0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r>
      <w:tr>
        <w:trPr>
          <w:trHeight w:val="260"/>
        </w:trPr>
        <w:tc>
          <w:tcPr>
            <w:tcW w:w="462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3.22</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2.32</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31,596</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30,648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1"/>
        </w:trPr>
        <w:tc>
          <w:tcPr>
            <w:tcW w:w="462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21"/>
                <w:szCs w:val="21"/>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31,814</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30,766</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26,</w:t>
            </w:r>
          </w:p>
        </w:tc>
        <w:tc>
          <w:tcPr>
            <w:tcW w:w="0" w:type="dxa"/>
            <w:vAlign w:val="bottom"/>
          </w:tcPr>
          <w:p>
            <w:pPr>
              <w:spacing w:after="0"/>
              <w:rPr>
                <w:sz w:val="1"/>
                <w:szCs w:val="1"/>
                <w:color w:val="auto"/>
              </w:rPr>
            </w:pPr>
          </w:p>
        </w:tc>
      </w:tr>
      <w:tr>
        <w:trPr>
          <w:trHeight w:val="228"/>
        </w:trPr>
        <w:tc>
          <w:tcPr>
            <w:tcW w:w="48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2,342</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35,945</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164,585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124,539</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195,128</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142,265</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assets</w:t>
            </w:r>
          </w:p>
        </w:tc>
        <w:tc>
          <w:tcPr>
            <w:tcW w:w="3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9,883</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11,388</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371,938</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314,137</w:t>
            </w: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101,193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71,560</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274,370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242,728</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265,717</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228,440</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Investment in life insurance</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28,297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27,418</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12,736</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3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10,290</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5,493</w:t>
            </w:r>
          </w:p>
        </w:tc>
        <w:tc>
          <w:tcPr>
            <w:tcW w:w="0" w:type="dxa"/>
            <w:vAlign w:val="bottom"/>
          </w:tcPr>
          <w:p>
            <w:pPr>
              <w:spacing w:after="0"/>
              <w:rPr>
                <w:sz w:val="1"/>
                <w:szCs w:val="1"/>
                <w:color w:val="auto"/>
              </w:rPr>
            </w:pPr>
          </w:p>
        </w:tc>
      </w:tr>
      <w:tr>
        <w:trPr>
          <w:trHeight w:val="24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3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1,051,805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8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81,039</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79,194</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Current maturities of long-term debt</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3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15,655</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Accrued expenses</w:t>
            </w:r>
          </w:p>
        </w:tc>
        <w:tc>
          <w:tcPr>
            <w:tcW w:w="3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107,491</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77,664</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204,185</w:t>
            </w:r>
          </w:p>
        </w:tc>
        <w:tc>
          <w:tcPr>
            <w:tcW w:w="2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167,158</w:t>
            </w:r>
          </w:p>
        </w:tc>
        <w:tc>
          <w:tcPr>
            <w:tcW w:w="0" w:type="dxa"/>
            <w:vAlign w:val="bottom"/>
          </w:tcPr>
          <w:p>
            <w:pPr>
              <w:spacing w:after="0"/>
              <w:rPr>
                <w:sz w:val="1"/>
                <w:szCs w:val="1"/>
                <w:color w:val="auto"/>
              </w:rPr>
            </w:pPr>
          </w:p>
        </w:tc>
      </w:tr>
      <w:tr>
        <w:trPr>
          <w:trHeight w:val="254"/>
        </w:trPr>
        <w:tc>
          <w:tcPr>
            <w:tcW w:w="486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less current maturities</w:t>
            </w:r>
          </w:p>
        </w:tc>
        <w:tc>
          <w:tcPr>
            <w:tcW w:w="3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291,441</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271,726</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4,457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Unrecognized tax benefits</w:t>
            </w:r>
          </w:p>
        </w:tc>
        <w:tc>
          <w:tcPr>
            <w:tcW w:w="3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1,745</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15,282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19,270</w:t>
            </w:r>
          </w:p>
        </w:tc>
        <w:tc>
          <w:tcPr>
            <w:tcW w:w="0" w:type="dxa"/>
            <w:vAlign w:val="bottom"/>
          </w:tcPr>
          <w:p>
            <w:pPr>
              <w:spacing w:after="0"/>
              <w:rPr>
                <w:sz w:val="1"/>
                <w:szCs w:val="1"/>
                <w:color w:val="auto"/>
              </w:rPr>
            </w:pPr>
          </w:p>
        </w:tc>
      </w:tr>
      <w:tr>
        <w:trPr>
          <w:trHeight w:val="273"/>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47"/>
        </w:trPr>
        <w:tc>
          <w:tcPr>
            <w:tcW w:w="4860" w:type="dxa"/>
            <w:vAlign w:val="bottom"/>
          </w:tcPr>
          <w:p>
            <w:pPr>
              <w:ind w:left="280"/>
              <w:spacing w:after="0"/>
              <w:rPr>
                <w:sz w:val="20"/>
                <w:szCs w:val="20"/>
                <w:color w:val="auto"/>
              </w:rPr>
            </w:pPr>
            <w:r>
              <w:rPr>
                <w:rFonts w:ascii="Arial" w:cs="Arial" w:eastAsia="Arial" w:hAnsi="Arial"/>
                <w:sz w:val="16"/>
                <w:szCs w:val="16"/>
                <w:color w:val="auto"/>
              </w:rPr>
              <w:t>Total non-current liabilities</w:t>
            </w: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313,175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293,680</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534,445</w:t>
            </w:r>
          </w:p>
        </w:tc>
        <w:tc>
          <w:tcPr>
            <w:tcW w:w="2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441,674</w:t>
            </w:r>
          </w:p>
        </w:tc>
        <w:tc>
          <w:tcPr>
            <w:tcW w:w="0" w:type="dxa"/>
            <w:vAlign w:val="bottom"/>
          </w:tcPr>
          <w:p>
            <w:pPr>
              <w:spacing w:after="0"/>
              <w:rPr>
                <w:sz w:val="1"/>
                <w:szCs w:val="1"/>
                <w:color w:val="auto"/>
              </w:rPr>
            </w:pPr>
          </w:p>
        </w:tc>
      </w:tr>
      <w:tr>
        <w:trPr>
          <w:trHeight w:val="231"/>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34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1,051,805</w:t>
            </w:r>
          </w:p>
        </w:tc>
        <w:tc>
          <w:tcPr>
            <w:tcW w:w="2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40" w:type="dxa"/>
            <w:vAlign w:val="bottom"/>
            <w:vMerge w:val="restart"/>
          </w:tcPr>
          <w:p>
            <w:pPr>
              <w:jc w:val="right"/>
              <w:ind w:right="20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1220" w:type="dxa"/>
            <w:vAlign w:val="bottom"/>
            <w:tcBorders>
              <w:bottom w:val="single" w:sz="8" w:color="auto"/>
            </w:tcBorders>
          </w:tcPr>
          <w:p>
            <w:pPr>
              <w:spacing w:after="0"/>
              <w:rPr>
                <w:sz w:val="19"/>
                <w:szCs w:val="19"/>
                <w:color w:val="auto"/>
              </w:rPr>
            </w:pP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w:t>
            </w:r>
          </w:p>
        </w:tc>
        <w:tc>
          <w:tcPr>
            <w:tcW w:w="3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102,357</w:t>
            </w:r>
          </w:p>
        </w:tc>
        <w:tc>
          <w:tcPr>
            <w:tcW w:w="2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71,330</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9,849</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7,315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9,328</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24,660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2,206</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1,596</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Last-in, first-out expense</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3,344</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1,722</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7,434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2,977</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5,784</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8,360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Deferred compensation expenses and postretirement benefit income</w:t>
            </w:r>
          </w:p>
        </w:tc>
        <w:tc>
          <w:tcPr>
            <w:tcW w:w="2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1,201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(23,379)</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(995)</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(1,257)</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(37,739)</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(25,136)</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(46,429)</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(6,165)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2,353</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(2,461)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(1,278)</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23,778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7,939</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7,045</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21,084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9,919</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benefits</w:t>
            </w: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(3,092)</w:t>
            </w:r>
          </w:p>
        </w:tc>
        <w:tc>
          <w:tcPr>
            <w:tcW w:w="2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(3,177)</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83,346</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97,127</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(28,668)</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(13,993)</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338</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223</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(81,200)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(392,473)</w:t>
            </w:r>
          </w:p>
        </w:tc>
      </w:tr>
      <w:tr>
        <w:trPr>
          <w:trHeight w:val="264"/>
        </w:trPr>
        <w:tc>
          <w:tcPr>
            <w:tcW w:w="8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(2,231)</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858</w:t>
            </w:r>
          </w:p>
        </w:tc>
      </w:tr>
      <w:tr>
        <w:trPr>
          <w:trHeight w:val="25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(111,761)</w:t>
            </w:r>
          </w:p>
        </w:tc>
        <w:tc>
          <w:tcPr>
            <w:tcW w:w="2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(405,385)</w:t>
            </w:r>
          </w:p>
        </w:tc>
      </w:tr>
      <w:tr>
        <w:trPr>
          <w:trHeight w:val="284"/>
        </w:trPr>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Borrowings on credit facility</w:t>
            </w:r>
          </w:p>
        </w:tc>
        <w:tc>
          <w:tcPr>
            <w:tcW w:w="2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221,133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366,400</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Repayment of credit facility</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(206,601)</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(82,400)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of cash dividends</w:t>
            </w:r>
          </w:p>
        </w:tc>
        <w:tc>
          <w:tcPr>
            <w:tcW w:w="22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(12,738)</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(12,738)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for repurchases of common stock</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(6,481)</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(589)</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(11,020)</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(5,188)</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258,620</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(33,603)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(49,638)</w:t>
            </w:r>
          </w:p>
        </w:tc>
      </w:tr>
      <w:tr>
        <w:trPr>
          <w:trHeight w:val="27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35,945</w:t>
            </w:r>
          </w:p>
        </w:tc>
        <w:tc>
          <w:tcPr>
            <w:tcW w:w="2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85,583</w:t>
            </w:r>
          </w:p>
        </w:tc>
      </w:tr>
      <w:tr>
        <w:trPr>
          <w:trHeight w:val="28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2,342</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35,945</w:t>
            </w:r>
          </w:p>
        </w:tc>
      </w:tr>
      <w:tr>
        <w:trPr>
          <w:trHeight w:val="267"/>
        </w:trPr>
        <w:tc>
          <w:tcPr>
            <w:tcW w:w="7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26,436</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21,421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16,565</w:t>
            </w:r>
          </w:p>
        </w:tc>
        <w:tc>
          <w:tcPr>
            <w:tcW w:w="2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11,893</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Issuance of Winnebago common stock for acquisition of business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124,066</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698</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1,021</w:t>
            </w:r>
          </w:p>
        </w:tc>
      </w:tr>
    </w:tbl>
    <w:p>
      <w:pPr>
        <w:spacing w:after="0" w:line="200" w:lineRule="exact"/>
        <w:rPr>
          <w:sz w:val="20"/>
          <w:szCs w:val="20"/>
          <w:color w:val="auto"/>
        </w:rPr>
      </w:pPr>
    </w:p>
    <w:p>
      <w:pPr>
        <w:sectPr>
          <w:pgSz w:w="11900" w:h="16838" w:orient="portrait"/>
          <w:cols w:equalWidth="0" w:num="1">
            <w:col w:w="11380"/>
          </w:cols>
          <w:pgMar w:left="260" w:top="360" w:right="259" w:bottom="728"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60" w:top="360" w:right="259" w:bottom="728"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98"/>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b w:val="1"/>
                <w:bCs w:val="1"/>
                <w:color w:val="auto"/>
              </w:rPr>
              <w:t>August 25,</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8"/>
        </w:trPr>
        <w:tc>
          <w:tcPr>
            <w:tcW w:w="2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19"/>
                <w:szCs w:val="19"/>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228,527</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223,056</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5,471</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r>
      <w:tr>
        <w:trPr>
          <w:trHeight w:val="251"/>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13,244</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16,320</w:t>
            </w:r>
          </w:p>
        </w:tc>
        <w:tc>
          <w:tcPr>
            <w:tcW w:w="280" w:type="dxa"/>
            <w:vAlign w:val="bottom"/>
          </w:tcPr>
          <w:p>
            <w:pPr>
              <w:spacing w:after="0"/>
              <w:rPr>
                <w:sz w:val="21"/>
                <w:szCs w:val="21"/>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color w:val="auto"/>
              </w:rPr>
              <w:t>(3,076)</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(18.8)%</w:t>
            </w:r>
          </w:p>
        </w:tc>
      </w:tr>
      <w:tr>
        <w:trPr>
          <w:trHeight w:val="488"/>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b w:val="1"/>
                <w:bCs w:val="1"/>
                <w:color w:val="auto"/>
              </w:rPr>
              <w:t>August 25,</w:t>
            </w:r>
          </w:p>
        </w:tc>
        <w:tc>
          <w:tcPr>
            <w:tcW w:w="17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20"/>
                <w:szCs w:val="20"/>
                <w:color w:val="auto"/>
              </w:rPr>
            </w:pPr>
          </w:p>
        </w:tc>
      </w:tr>
      <w:tr>
        <w:trPr>
          <w:trHeight w:val="25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671</w:t>
            </w: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(249)</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(27.1)%</w:t>
            </w:r>
          </w:p>
        </w:tc>
      </w:tr>
      <w:tr>
        <w:trPr>
          <w:trHeight w:val="26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625</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393</w:t>
            </w:r>
          </w:p>
        </w:tc>
        <w:tc>
          <w:tcPr>
            <w:tcW w:w="280" w:type="dxa"/>
            <w:vAlign w:val="bottom"/>
          </w:tcPr>
          <w:p>
            <w:pPr>
              <w:spacing w:after="0"/>
              <w:rPr>
                <w:sz w:val="22"/>
                <w:szCs w:val="22"/>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color w:val="auto"/>
              </w:rPr>
              <w:t>232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59.0 %</w:t>
            </w:r>
          </w:p>
        </w:tc>
      </w:tr>
      <w:tr>
        <w:trPr>
          <w:trHeight w:val="273"/>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1,167</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2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119</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11.4 %</w:t>
            </w:r>
          </w:p>
        </w:tc>
      </w:tr>
      <w:tr>
        <w:trPr>
          <w:trHeight w:val="254"/>
        </w:trPr>
        <w:tc>
          <w:tcPr>
            <w:tcW w:w="3000" w:type="dxa"/>
            <w:vAlign w:val="bottom"/>
            <w:gridSpan w:val="2"/>
          </w:tcPr>
          <w:p>
            <w:pPr>
              <w:ind w:left="280"/>
              <w:spacing w:after="0"/>
              <w:rPr>
                <w:sz w:val="20"/>
                <w:szCs w:val="20"/>
                <w:color w:val="auto"/>
              </w:rPr>
            </w:pPr>
            <w:r>
              <w:rPr>
                <w:rFonts w:ascii="Arial" w:cs="Arial" w:eastAsia="Arial" w:hAnsi="Arial"/>
                <w:sz w:val="16"/>
                <w:szCs w:val="16"/>
                <w:color w:val="auto"/>
              </w:rPr>
              <w:t>Total Motorhome</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2,463</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2,361</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102</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4.3 %</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87"/>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b w:val="1"/>
                <w:bCs w:val="1"/>
                <w:color w:val="auto"/>
              </w:rPr>
              <w:t>August 25,</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8"/>
        </w:trPr>
        <w:tc>
          <w:tcPr>
            <w:tcW w:w="2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19"/>
                <w:szCs w:val="19"/>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860,675</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853,360</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7,315</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0.9 %</w:t>
            </w:r>
          </w:p>
        </w:tc>
      </w:tr>
      <w:tr>
        <w:trPr>
          <w:trHeight w:val="251"/>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35,508</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56,518</w:t>
            </w:r>
          </w:p>
        </w:tc>
        <w:tc>
          <w:tcPr>
            <w:tcW w:w="280" w:type="dxa"/>
            <w:vAlign w:val="bottom"/>
          </w:tcPr>
          <w:p>
            <w:pPr>
              <w:spacing w:after="0"/>
              <w:rPr>
                <w:sz w:val="21"/>
                <w:szCs w:val="21"/>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color w:val="auto"/>
              </w:rPr>
              <w:t>(21,010)</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(37.2)%</w:t>
            </w:r>
          </w:p>
        </w:tc>
      </w:tr>
      <w:tr>
        <w:trPr>
          <w:trHeight w:val="488"/>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b w:val="1"/>
                <w:bCs w:val="1"/>
                <w:color w:val="auto"/>
              </w:rPr>
              <w:t>August 25,</w:t>
            </w:r>
          </w:p>
        </w:tc>
        <w:tc>
          <w:tcPr>
            <w:tcW w:w="17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9"/>
              </w:rPr>
              <w:t>Product</w:t>
            </w: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2"/>
              </w:rPr>
              <w:t>Mix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20"/>
                <w:szCs w:val="20"/>
                <w:color w:val="auto"/>
              </w:rPr>
            </w:pPr>
          </w:p>
        </w:tc>
      </w:tr>
      <w:tr>
        <w:trPr>
          <w:trHeight w:val="25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2,997</w:t>
            </w: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(185)</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r>
      <w:tr>
        <w:trPr>
          <w:trHeight w:val="26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2,012</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1,541</w:t>
            </w:r>
          </w:p>
        </w:tc>
        <w:tc>
          <w:tcPr>
            <w:tcW w:w="280" w:type="dxa"/>
            <w:vAlign w:val="bottom"/>
          </w:tcPr>
          <w:p>
            <w:pPr>
              <w:spacing w:after="0"/>
              <w:rPr>
                <w:sz w:val="22"/>
                <w:szCs w:val="22"/>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color w:val="auto"/>
              </w:rPr>
              <w:t>471</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30.6 %</w:t>
            </w:r>
          </w:p>
        </w:tc>
      </w:tr>
      <w:tr>
        <w:trPr>
          <w:trHeight w:val="273"/>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4,539</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2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54"/>
        </w:trPr>
        <w:tc>
          <w:tcPr>
            <w:tcW w:w="3000" w:type="dxa"/>
            <w:vAlign w:val="bottom"/>
            <w:gridSpan w:val="2"/>
          </w:tcPr>
          <w:p>
            <w:pPr>
              <w:ind w:left="280"/>
              <w:spacing w:after="0"/>
              <w:rPr>
                <w:sz w:val="20"/>
                <w:szCs w:val="20"/>
                <w:color w:val="auto"/>
              </w:rPr>
            </w:pPr>
            <w:r>
              <w:rPr>
                <w:rFonts w:ascii="Arial" w:cs="Arial" w:eastAsia="Arial" w:hAnsi="Arial"/>
                <w:sz w:val="16"/>
                <w:szCs w:val="16"/>
                <w:color w:val="auto"/>
              </w:rPr>
              <w:t>Total Motorhome</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9,548</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9,260</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288</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3.1 %</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87"/>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1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August 25,</w:t>
            </w:r>
          </w:p>
        </w:tc>
        <w:tc>
          <w:tcPr>
            <w:tcW w:w="28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0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20"/>
                <w:szCs w:val="20"/>
                <w:color w:val="auto"/>
              </w:rPr>
            </w:pPr>
          </w:p>
        </w:tc>
      </w:tr>
      <w:tr>
        <w:trPr>
          <w:trHeight w:val="264"/>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400</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30.9 %</w:t>
            </w:r>
          </w:p>
        </w:tc>
      </w:tr>
      <w:tr>
        <w:trPr>
          <w:trHeight w:val="251"/>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157,554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39"/>
              <w:spacing w:after="0"/>
              <w:rPr>
                <w:sz w:val="20"/>
                <w:szCs w:val="20"/>
                <w:color w:val="auto"/>
              </w:rPr>
            </w:pPr>
            <w:r>
              <w:rPr>
                <w:rFonts w:ascii="Arial" w:cs="Arial" w:eastAsia="Arial" w:hAnsi="Arial"/>
                <w:sz w:val="16"/>
                <w:szCs w:val="16"/>
                <w:color w:val="auto"/>
              </w:rPr>
              <w:t>122,142</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19"/>
              <w:spacing w:after="0"/>
              <w:rPr>
                <w:sz w:val="20"/>
                <w:szCs w:val="20"/>
                <w:color w:val="auto"/>
              </w:rPr>
            </w:pPr>
            <w:r>
              <w:rPr>
                <w:rFonts w:ascii="Arial" w:cs="Arial" w:eastAsia="Arial" w:hAnsi="Arial"/>
                <w:sz w:val="16"/>
                <w:szCs w:val="16"/>
                <w:color w:val="auto"/>
              </w:rPr>
              <w:t>35,412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29.0 %</w:t>
            </w:r>
          </w:p>
        </w:tc>
      </w:tr>
      <w:tr>
        <w:trPr>
          <w:trHeight w:val="553"/>
        </w:trPr>
        <w:tc>
          <w:tcPr>
            <w:tcW w:w="3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4,282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338</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7.9 %</w:t>
            </w:r>
          </w:p>
        </w:tc>
      </w:tr>
    </w:tbl>
    <w:p>
      <w:pPr>
        <w:spacing w:after="0" w:line="2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generally to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8"/>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8"/>
        </w:trPr>
        <w:tc>
          <w:tcPr>
            <w:tcW w:w="2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19"/>
                <w:szCs w:val="19"/>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288,684</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228,745</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59,939</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26.2 %</w:t>
            </w:r>
          </w:p>
        </w:tc>
      </w:tr>
      <w:tr>
        <w:trPr>
          <w:trHeight w:val="251"/>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41,944</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33,852</w:t>
            </w:r>
          </w:p>
        </w:tc>
        <w:tc>
          <w:tcPr>
            <w:tcW w:w="28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8,092</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23.9 %</w:t>
            </w:r>
          </w:p>
        </w:tc>
      </w:tr>
      <w:tr>
        <w:trPr>
          <w:trHeight w:val="48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17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9"/>
              </w:rPr>
              <w:t>Product</w:t>
            </w:r>
          </w:p>
        </w:tc>
        <w:tc>
          <w:tcPr>
            <w:tcW w:w="1100" w:type="dxa"/>
            <w:vAlign w:val="bottom"/>
          </w:tcPr>
          <w:p>
            <w:pPr>
              <w:jc w:val="center"/>
              <w:ind w:right="139"/>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2"/>
              </w:rPr>
              <w:t xml:space="preserve">Mix % </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20"/>
                <w:szCs w:val="20"/>
                <w:color w:val="auto"/>
              </w:rPr>
            </w:pP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5,950</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4,736</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1,214</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25.6 %</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3,519</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655</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22.9 %</w:t>
            </w:r>
          </w:p>
        </w:tc>
      </w:tr>
      <w:tr>
        <w:trPr>
          <w:trHeight w:val="240"/>
        </w:trPr>
        <w:tc>
          <w:tcPr>
            <w:tcW w:w="2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Towable</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9,469</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7,600</w:t>
            </w:r>
          </w:p>
        </w:tc>
        <w:tc>
          <w:tcPr>
            <w:tcW w:w="2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1,869</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24.6 %</w:t>
            </w: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87"/>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8"/>
        </w:trPr>
        <w:tc>
          <w:tcPr>
            <w:tcW w:w="2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19"/>
                <w:szCs w:val="19"/>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1,127,723</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685,197</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442,526</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64.6 %</w:t>
            </w:r>
          </w:p>
        </w:tc>
      </w:tr>
      <w:tr>
        <w:trPr>
          <w:trHeight w:val="251"/>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157,010</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89,734</w:t>
            </w:r>
          </w:p>
        </w:tc>
        <w:tc>
          <w:tcPr>
            <w:tcW w:w="28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67,276</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75.0 %</w:t>
            </w:r>
          </w:p>
        </w:tc>
      </w:tr>
      <w:tr>
        <w:trPr>
          <w:trHeight w:val="48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17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9"/>
              </w:rPr>
              <w:t>Product</w:t>
            </w:r>
          </w:p>
        </w:tc>
        <w:tc>
          <w:tcPr>
            <w:tcW w:w="1100" w:type="dxa"/>
            <w:vAlign w:val="bottom"/>
          </w:tcPr>
          <w:p>
            <w:pPr>
              <w:jc w:val="center"/>
              <w:ind w:right="139"/>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2"/>
              </w:rPr>
              <w:t xml:space="preserve">Mix % </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20"/>
                <w:szCs w:val="20"/>
                <w:color w:val="auto"/>
              </w:rPr>
            </w:pP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22,360</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13,650</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8,710</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63.8 %</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14,229</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8,824</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5,405</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61.3 %</w:t>
            </w:r>
          </w:p>
        </w:tc>
      </w:tr>
      <w:tr>
        <w:trPr>
          <w:trHeight w:val="240"/>
        </w:trPr>
        <w:tc>
          <w:tcPr>
            <w:tcW w:w="2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Towable</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36,589</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22,474</w:t>
            </w:r>
          </w:p>
        </w:tc>
        <w:tc>
          <w:tcPr>
            <w:tcW w:w="2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14,115</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62.8 %</w:t>
            </w: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87"/>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13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August 25,</w:t>
            </w:r>
          </w:p>
        </w:tc>
        <w:tc>
          <w:tcPr>
            <w:tcW w:w="28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26,</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98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20"/>
                <w:szCs w:val="20"/>
                <w:color w:val="auto"/>
              </w:rPr>
            </w:pPr>
          </w:p>
        </w:tc>
      </w:tr>
      <w:tr>
        <w:trPr>
          <w:trHeight w:val="264"/>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8,001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(350)</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r>
      <w:tr>
        <w:trPr>
          <w:trHeight w:val="251"/>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244,854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39"/>
              <w:spacing w:after="0"/>
              <w:rPr>
                <w:sz w:val="20"/>
                <w:szCs w:val="20"/>
                <w:color w:val="auto"/>
              </w:rPr>
            </w:pPr>
            <w:r>
              <w:rPr>
                <w:rFonts w:ascii="Arial" w:cs="Arial" w:eastAsia="Arial" w:hAnsi="Arial"/>
                <w:sz w:val="16"/>
                <w:szCs w:val="16"/>
                <w:color w:val="auto"/>
              </w:rPr>
              <w:t>229,706</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15,148</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6.6 %</w:t>
            </w:r>
          </w:p>
        </w:tc>
      </w:tr>
      <w:tr>
        <w:trPr>
          <w:trHeight w:val="553"/>
        </w:trPr>
        <w:tc>
          <w:tcPr>
            <w:tcW w:w="2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14,877</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5,332</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55.9 %</w:t>
            </w:r>
          </w:p>
        </w:tc>
      </w:tr>
    </w:tbl>
    <w:p>
      <w:pPr>
        <w:spacing w:after="0" w:line="22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generally to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Year Ended</w:t>
            </w:r>
          </w:p>
        </w:tc>
      </w:tr>
      <w:tr>
        <w:trPr>
          <w:trHeight w:val="198"/>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25,</w:t>
            </w:r>
          </w:p>
        </w:tc>
        <w:tc>
          <w:tcPr>
            <w:tcW w:w="20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26,</w:t>
            </w:r>
          </w:p>
        </w:tc>
        <w:tc>
          <w:tcPr>
            <w:tcW w:w="20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25,</w:t>
            </w:r>
          </w:p>
        </w:tc>
        <w:tc>
          <w:tcPr>
            <w:tcW w:w="20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29,790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24,923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102,357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71,330</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5,266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18,246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16,837</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40,283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37,269</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3,170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9,849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7,315</w:t>
            </w:r>
          </w:p>
        </w:tc>
      </w:tr>
      <w:tr>
        <w:trPr>
          <w:trHeight w:val="273"/>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3,407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24,660</w:t>
            </w:r>
          </w:p>
        </w:tc>
      </w:tr>
      <w:tr>
        <w:trPr>
          <w:trHeight w:val="24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52,547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47,774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180,063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157,411</w:t>
            </w:r>
          </w:p>
        </w:tc>
      </w:tr>
      <w:tr>
        <w:trPr>
          <w:trHeight w:val="28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r>
      <w:tr>
        <w:trPr>
          <w:trHeight w:val="260"/>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2,177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6,592</w:t>
            </w:r>
          </w:p>
        </w:tc>
      </w:tr>
      <w:tr>
        <w:trPr>
          <w:trHeight w:val="273"/>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(330)</w:t>
            </w:r>
          </w:p>
        </w:tc>
      </w:tr>
      <w:tr>
        <w:trPr>
          <w:trHeight w:val="24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53,592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47,799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181,746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138,877</w:t>
            </w: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year and improve comparability of our results from period to period. EBITDA is defined as net income before interest expense, provision for income taxes, and depreciation and amortization expense.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the postretirement health care benefit income from terminating the plan and transaction costs related to acquisitions. These types of adjustments are also specified in the definition of certain measures required under the terms of our Credit Agreement.</w:t>
      </w:r>
    </w:p>
    <w:p>
      <w:pPr>
        <w:spacing w:after="0" w:line="18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its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Agreement. We believe these non-GAAP financial measures are frequently used by securities analysts, investors and other interested parties to evaluate companies in our industry.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2019-12-28T19:08:37Z</dcterms:created>
  <dcterms:modified xsi:type="dcterms:W3CDTF">2019-12-28T19:08:37Z</dcterms:modified>
</cp:coreProperties>
</file>