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___)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WINNEBAGO INDUSTRIES,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$0.50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2009</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152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|_|</w:t>
            </w:r>
          </w:p>
        </w:tc>
        <w:tc>
          <w:tcPr>
            <w:tcW w:w="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1879" w:firstLine="535"/>
        <w:spacing w:after="0" w:line="237" w:lineRule="auto"/>
        <w:tabs>
          <w:tab w:leader="none" w:pos="7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Page 2 of 10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3">
            <w:col w:w="3280" w:space="300"/>
            <w:col w:w="1500" w:space="720"/>
            <w:col w:w="441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359" w:hanging="632"/>
        <w:spacing w:after="0" w:line="47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 of Reporting Persons Maverick Capital, Ltd. - 75-2482446</w:t>
      </w:r>
    </w:p>
    <w:p>
      <w:pPr>
        <w:spacing w:after="0" w:line="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700" w:hanging="533"/>
        <w:spacing w:after="0" w:line="238" w:lineRule="auto"/>
        <w:tabs>
          <w:tab w:leader="none" w:pos="17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700" w:hanging="533"/>
        <w:spacing w:after="0" w:line="238" w:lineRule="auto"/>
        <w:tabs>
          <w:tab w:leader="none" w:pos="170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5</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12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2,458,417</w:t>
            </w:r>
          </w:p>
        </w:tc>
      </w:tr>
      <w:tr>
        <w:trPr>
          <w:trHeight w:val="203"/>
        </w:trPr>
        <w:tc>
          <w:tcPr>
            <w:tcW w:w="1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 of</w:t>
            </w:r>
          </w:p>
        </w:tc>
        <w:tc>
          <w:tcPr>
            <w:tcW w:w="900" w:type="dxa"/>
            <w:vAlign w:val="bottom"/>
            <w:gridSpan w:val="2"/>
          </w:tcPr>
          <w:p>
            <w:pPr>
              <w:ind w:left="22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6</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Owned by</w:t>
            </w:r>
          </w:p>
        </w:tc>
        <w:tc>
          <w:tcPr>
            <w:tcW w:w="940" w:type="dxa"/>
            <w:vAlign w:val="bottom"/>
            <w:gridSpan w:val="2"/>
          </w:tcPr>
          <w:p>
            <w:pPr>
              <w:ind w:left="26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2,458,417</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940" w:type="dxa"/>
            <w:vAlign w:val="bottom"/>
            <w:gridSpan w:val="2"/>
          </w:tcPr>
          <w:p>
            <w:pPr>
              <w:ind w:left="26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8</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ind w:left="2540" w:hanging="847"/>
        <w:spacing w:after="0" w:line="238" w:lineRule="auto"/>
        <w:tabs>
          <w:tab w:leader="none" w:pos="25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2,458,417</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47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8.5%</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Page 3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280" w:space="300"/>
            <w:col w:w="1500" w:space="720"/>
            <w:col w:w="4419"/>
          </w:cols>
          <w:pgMar w:left="240" w:top="925" w:right="1440" w:bottom="1440" w:gutter="0" w:footer="0" w:header="0"/>
        </w:sectPr>
      </w:pPr>
    </w:p>
    <w:p>
      <w:pPr>
        <w:spacing w:after="0" w:line="2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spacing w:after="0" w:line="200" w:lineRule="exact"/>
        <w:rPr>
          <w:rFonts w:ascii="Courier New" w:cs="Courier New" w:eastAsia="Courier New" w:hAnsi="Courier New"/>
          <w:sz w:val="16"/>
          <w:szCs w:val="16"/>
          <w:color w:val="auto"/>
        </w:rPr>
      </w:pPr>
    </w:p>
    <w:p>
      <w:pPr>
        <w:spacing w:after="0" w:line="204" w:lineRule="exact"/>
        <w:rPr>
          <w:rFonts w:ascii="Courier New" w:cs="Courier New" w:eastAsia="Courier New" w:hAnsi="Courier New"/>
          <w:sz w:val="16"/>
          <w:szCs w:val="16"/>
          <w:color w:val="auto"/>
        </w:rPr>
      </w:pPr>
    </w:p>
    <w:p>
      <w:pPr>
        <w:ind w:left="11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Maverick Capital Management, LLC - 75-2686461</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700" w:hanging="533"/>
        <w:spacing w:after="0" w:line="238" w:lineRule="auto"/>
        <w:tabs>
          <w:tab w:leader="none" w:pos="170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700" w:hanging="533"/>
        <w:spacing w:after="0" w:line="238" w:lineRule="auto"/>
        <w:tabs>
          <w:tab w:leader="none" w:pos="170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5</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2,458,417</w:t>
            </w:r>
          </w:p>
        </w:tc>
      </w:tr>
      <w:tr>
        <w:trPr>
          <w:trHeight w:val="203"/>
        </w:trPr>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900" w:type="dxa"/>
            <w:vAlign w:val="bottom"/>
            <w:gridSpan w:val="2"/>
          </w:tcPr>
          <w:p>
            <w:pPr>
              <w:ind w:left="22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6</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00" w:type="dxa"/>
            <w:vAlign w:val="bottom"/>
            <w:gridSpan w:val="2"/>
          </w:tcPr>
          <w:p>
            <w:pPr>
              <w:ind w:left="22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2,458,417</w:t>
            </w:r>
          </w:p>
        </w:tc>
      </w:tr>
      <w:tr>
        <w:trPr>
          <w:trHeight w:val="203"/>
        </w:trPr>
        <w:tc>
          <w:tcPr>
            <w:tcW w:w="1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900" w:type="dxa"/>
            <w:vAlign w:val="bottom"/>
            <w:gridSpan w:val="2"/>
          </w:tcPr>
          <w:p>
            <w:pPr>
              <w:ind w:left="22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8</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ind w:left="2540" w:hanging="847"/>
        <w:spacing w:after="0" w:line="238" w:lineRule="auto"/>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2,458,417</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47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8.5%</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Page 4 of 10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280" w:space="300"/>
            <w:col w:w="1500" w:space="720"/>
            <w:col w:w="4419"/>
          </w:cols>
          <w:pgMar w:left="240" w:top="925" w:right="1440" w:bottom="1440" w:gutter="0" w:footer="0" w:header="0"/>
        </w:sectPr>
      </w:pPr>
    </w:p>
    <w:p>
      <w:pPr>
        <w:spacing w:after="0" w:line="2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6419" w:hanging="632"/>
        <w:spacing w:after="0" w:line="5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 Lee S. Ainslie III</w:t>
      </w: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 (See Instructions)</w:t>
      </w:r>
    </w:p>
    <w:p>
      <w:pPr>
        <w:ind w:left="1700" w:hanging="533"/>
        <w:spacing w:after="0" w:line="238" w:lineRule="auto"/>
        <w:tabs>
          <w:tab w:leader="none" w:pos="170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1700" w:hanging="533"/>
        <w:spacing w:after="0" w:line="238" w:lineRule="auto"/>
        <w:tabs>
          <w:tab w:leader="none" w:pos="170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rPr>
                <w:sz w:val="20"/>
                <w:szCs w:val="20"/>
                <w:color w:val="auto"/>
              </w:rPr>
            </w:pPr>
            <w:r>
              <w:rPr>
                <w:rFonts w:ascii="Courier New" w:cs="Courier New" w:eastAsia="Courier New" w:hAnsi="Courier New"/>
                <w:sz w:val="18"/>
                <w:szCs w:val="18"/>
                <w:color w:val="auto"/>
                <w:w w:val="73"/>
              </w:rPr>
              <w:t>5</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2,458,417</w:t>
            </w:r>
          </w:p>
        </w:tc>
      </w:tr>
      <w:tr>
        <w:trPr>
          <w:trHeight w:val="203"/>
        </w:trPr>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900" w:type="dxa"/>
            <w:vAlign w:val="bottom"/>
            <w:gridSpan w:val="2"/>
          </w:tcPr>
          <w:p>
            <w:pPr>
              <w:ind w:left="22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6</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00" w:type="dxa"/>
            <w:vAlign w:val="bottom"/>
            <w:gridSpan w:val="2"/>
          </w:tcPr>
          <w:p>
            <w:pPr>
              <w:ind w:left="22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rPr>
              <w:t>Each</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7</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2,458,417</w:t>
            </w:r>
          </w:p>
        </w:tc>
      </w:tr>
      <w:tr>
        <w:trPr>
          <w:trHeight w:val="203"/>
        </w:trPr>
        <w:tc>
          <w:tcPr>
            <w:tcW w:w="14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900" w:type="dxa"/>
            <w:vAlign w:val="bottom"/>
            <w:gridSpan w:val="2"/>
          </w:tcPr>
          <w:p>
            <w:pPr>
              <w:ind w:left="220"/>
              <w:spacing w:after="0"/>
              <w:rPr>
                <w:sz w:val="20"/>
                <w:szCs w:val="20"/>
                <w:color w:val="auto"/>
              </w:rPr>
            </w:pPr>
            <w:r>
              <w:rPr>
                <w:rFonts w:ascii="Courier New" w:cs="Courier New" w:eastAsia="Courier New" w:hAnsi="Courier New"/>
                <w:sz w:val="2"/>
                <w:szCs w:val="2"/>
                <w:color w:val="auto"/>
                <w:w w:val="85"/>
              </w:rPr>
              <w:t>----------------------------------------------------------------</w:t>
            </w:r>
          </w:p>
        </w:tc>
        <w:tc>
          <w:tcPr>
            <w:tcW w:w="36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8</w:t>
            </w:r>
          </w:p>
        </w:tc>
        <w:tc>
          <w:tcPr>
            <w:tcW w:w="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r>
    </w:tbl>
    <w:p>
      <w:pPr>
        <w:ind w:left="2540" w:hanging="847"/>
        <w:spacing w:after="0" w:line="238" w:lineRule="auto"/>
        <w:tabs>
          <w:tab w:leader="none" w:pos="25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2,458,417</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3479" w:hanging="73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10Check Box If the Aggregate Amount in Row (9) Excludes Certain Shares (See Instructions)</w:t>
      </w:r>
    </w:p>
    <w:p>
      <w:pPr>
        <w:ind w:left="7600"/>
        <w:spacing w:after="0"/>
        <w:rPr>
          <w:sz w:val="20"/>
          <w:szCs w:val="20"/>
          <w:color w:val="auto"/>
        </w:rPr>
      </w:pPr>
      <w:r>
        <w:rPr>
          <w:rFonts w:ascii="Courier New" w:cs="Courier New" w:eastAsia="Courier New" w:hAnsi="Courier New"/>
          <w:sz w:val="18"/>
          <w:szCs w:val="18"/>
          <w:color w:val="auto"/>
        </w:rPr>
        <w:t>|_|</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Percent of Class Represented by Amount in Row 9</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8.5%</w:t>
      </w:r>
    </w:p>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 (See Instructions)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HC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25" w:right="1440" w:bottom="1440" w:gutter="0" w:footer="0" w:header="0"/>
          <w:type w:val="continuous"/>
        </w:sectPr>
      </w:pPr>
    </w:p>
    <w:bookmarkStart w:id="4" w:name="page5"/>
    <w:bookmarkEnd w:id="4"/>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P.O. Box 152</w:t>
      </w:r>
    </w:p>
    <w:p>
      <w:pPr>
        <w:ind w:left="1280"/>
        <w:spacing w:after="0"/>
        <w:tabs>
          <w:tab w:leader="none" w:pos="326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ind w:left="1280" w:right="2319"/>
        <w:spacing w:after="0" w:line="290" w:lineRule="auto"/>
        <w:rPr>
          <w:sz w:val="20"/>
          <w:szCs w:val="20"/>
          <w:color w:val="auto"/>
        </w:rPr>
      </w:pPr>
      <w:r>
        <w:rPr>
          <w:rFonts w:ascii="Courier New" w:cs="Courier New" w:eastAsia="Courier New" w:hAnsi="Courier New"/>
          <w:sz w:val="16"/>
          <w:szCs w:val="16"/>
          <w:color w:val="auto"/>
        </w:rPr>
        <w:t>This Schedule 13G (the "Schedule 13G") is being filed on behalf of each of the following persons (each, a "Reporting Person"):</w:t>
      </w:r>
    </w:p>
    <w:p>
      <w:pPr>
        <w:spacing w:after="0" w:line="164" w:lineRule="exact"/>
        <w:rPr>
          <w:sz w:val="20"/>
          <w:szCs w:val="20"/>
          <w:color w:val="auto"/>
        </w:rPr>
      </w:pPr>
    </w:p>
    <w:p>
      <w:pPr>
        <w:ind w:left="1900" w:hanging="628"/>
        <w:spacing w:after="0"/>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Ltd.;</w:t>
      </w:r>
    </w:p>
    <w:p>
      <w:pPr>
        <w:ind w:left="1900" w:hanging="628"/>
        <w:spacing w:after="0" w:line="238"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Management, LLC; and</w:t>
      </w:r>
    </w:p>
    <w:p>
      <w:pPr>
        <w:ind w:left="1900" w:hanging="628"/>
        <w:spacing w:after="0" w:line="238" w:lineRule="auto"/>
        <w:tabs>
          <w:tab w:leader="none" w:pos="190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Lee S. Ainslie III ("Mr. Ainslie").</w:t>
      </w:r>
    </w:p>
    <w:p>
      <w:pPr>
        <w:spacing w:after="0" w:line="207"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The Schedule 13G relates to Shares (as defined herein) held for the accounts of Maverick Capital, Ltd.'s clients.</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7" w:lineRule="exact"/>
        <w:rPr>
          <w:sz w:val="20"/>
          <w:szCs w:val="20"/>
          <w:color w:val="auto"/>
        </w:rPr>
      </w:pPr>
    </w:p>
    <w:p>
      <w:pPr>
        <w:ind w:left="1280" w:right="1879"/>
        <w:spacing w:after="0" w:line="275" w:lineRule="auto"/>
        <w:rPr>
          <w:sz w:val="20"/>
          <w:szCs w:val="20"/>
          <w:color w:val="auto"/>
        </w:rPr>
      </w:pPr>
      <w:r>
        <w:rPr>
          <w:rFonts w:ascii="Courier New" w:cs="Courier New" w:eastAsia="Courier New" w:hAnsi="Courier New"/>
          <w:sz w:val="16"/>
          <w:szCs w:val="16"/>
          <w:color w:val="auto"/>
        </w:rPr>
        <w:t>The address of the principal business office of (i) Maverick Capital, Ltd. and Maverick Capital Management, LLC is 300 Crescent Court, 18th Floor, Dallas, Texas 75201, and (ii) Mr. Ainslie is 767 Fifth Avenue, 11th Floor, New York, New York 10153.</w:t>
      </w:r>
    </w:p>
    <w:p>
      <w:pPr>
        <w:spacing w:after="0" w:line="177"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hanging="628"/>
        <w:spacing w:after="0"/>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Ltd. is a Texas limited partnership;</w:t>
      </w:r>
    </w:p>
    <w:p>
      <w:pPr>
        <w:spacing w:after="0" w:line="4" w:lineRule="exact"/>
        <w:rPr>
          <w:rFonts w:ascii="Courier New" w:cs="Courier New" w:eastAsia="Courier New" w:hAnsi="Courier New"/>
          <w:sz w:val="18"/>
          <w:szCs w:val="18"/>
          <w:color w:val="auto"/>
        </w:rPr>
      </w:pPr>
    </w:p>
    <w:p>
      <w:pPr>
        <w:ind w:left="1900" w:right="1879" w:hanging="628"/>
        <w:spacing w:after="0" w:line="235"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Maverick Capital Management, LLC is a Texas limited liability company; and</w:t>
      </w:r>
    </w:p>
    <w:p>
      <w:pPr>
        <w:spacing w:after="0" w:line="1"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Ainslie is a citizen of the United States.</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$0.50 par value (the "Shares").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ss.ss.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280" w:right="1999" w:hanging="956"/>
        <w:spacing w:after="0" w:line="235" w:lineRule="auto"/>
        <w:tabs>
          <w:tab w:leader="none" w:pos="7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Act (15 U.S.C. 78o).</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5 of 10 Pages</w:t>
      </w:r>
    </w:p>
    <w:p>
      <w:pPr>
        <w:sectPr>
          <w:pgSz w:w="11900" w:h="16838" w:orient="portrait"/>
          <w:cols w:equalWidth="0" w:num="1">
            <w:col w:w="10219"/>
          </w:cols>
          <w:pgMar w:left="240" w:top="919" w:right="1440" w:bottom="1440" w:gutter="0" w:footer="0" w:header="0"/>
        </w:sectPr>
      </w:pPr>
    </w:p>
    <w:bookmarkStart w:id="5" w:name="page6"/>
    <w:bookmarkEnd w:id="5"/>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Act (15 U.S.C. 78c).</w:t>
      </w:r>
    </w:p>
    <w:p>
      <w:pPr>
        <w:spacing w:after="0" w:line="206" w:lineRule="exact"/>
        <w:rPr>
          <w:rFonts w:ascii="Courier New" w:cs="Courier New" w:eastAsia="Courier New" w:hAnsi="Courier New"/>
          <w:sz w:val="18"/>
          <w:szCs w:val="18"/>
          <w:color w:val="auto"/>
        </w:rPr>
      </w:pPr>
    </w:p>
    <w:p>
      <w:pPr>
        <w:ind w:left="1280" w:right="2319" w:hanging="956"/>
        <w:spacing w:after="0" w:line="235"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280" w:right="2319" w:hanging="956"/>
        <w:spacing w:after="0" w:line="235"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 (15 U.S.C. 80a-8).</w:t>
      </w: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advisor in accordance with ss.240.13d-1(b)(1)(ii)(E).</w:t>
      </w:r>
    </w:p>
    <w:p>
      <w:pPr>
        <w:spacing w:after="0" w:line="218"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w:t>
      </w:r>
    </w:p>
    <w:p>
      <w:pPr>
        <w:ind w:left="1700" w:hanging="428"/>
        <w:spacing w:after="0" w:line="238"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240.13d-1(b)(1)(ii)(F).</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w:t>
      </w:r>
    </w:p>
    <w:p>
      <w:pPr>
        <w:ind w:left="1700" w:hanging="428"/>
        <w:spacing w:after="0" w:line="238" w:lineRule="auto"/>
        <w:tabs>
          <w:tab w:leader="none" w:pos="17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240.13d-1(b)(1)(ii)(G).</w:t>
      </w:r>
    </w:p>
    <w:p>
      <w:pPr>
        <w:spacing w:after="0" w:line="207" w:lineRule="exact"/>
        <w:rPr>
          <w:rFonts w:ascii="Courier New" w:cs="Courier New" w:eastAsia="Courier New" w:hAnsi="Courier New"/>
          <w:sz w:val="18"/>
          <w:szCs w:val="18"/>
          <w:color w:val="auto"/>
        </w:rPr>
      </w:pPr>
    </w:p>
    <w:p>
      <w:pPr>
        <w:ind w:left="1280" w:right="2319" w:hanging="956"/>
        <w:spacing w:after="0" w:line="235"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280" w:right="1779" w:hanging="956"/>
        <w:spacing w:after="0" w:line="236" w:lineRule="auto"/>
        <w:tabs>
          <w:tab w:leader="none" w:pos="75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non-U.S. institution in accordance with ss.</w:t>
      </w:r>
    </w:p>
    <w:p>
      <w:pPr>
        <w:ind w:left="128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2"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(k) [_]</w:t>
      </w:r>
      <w:r>
        <w:rPr>
          <w:sz w:val="20"/>
          <w:szCs w:val="20"/>
          <w:color w:val="auto"/>
        </w:rPr>
        <w:tab/>
      </w:r>
      <w:r>
        <w:rPr>
          <w:rFonts w:ascii="Courier New" w:cs="Courier New" w:eastAsia="Courier New" w:hAnsi="Courier New"/>
          <w:sz w:val="16"/>
          <w:szCs w:val="16"/>
          <w:color w:val="auto"/>
        </w:rPr>
        <w:t>Group, in accordance with ss. 240.13d-1(b)(1)(ii)(K).</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filing as a non-U.S. institution in accordance with 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240.13d-1(b)(1)(ii)(J), please specify the type of institution: _______________</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640" w:space="640"/>
            <w:col w:w="8939"/>
          </w:cols>
          <w:pgMar w:left="240" w:top="919" w:right="1440" w:bottom="1440" w:gutter="0" w:footer="0" w:header="0"/>
          <w:type w:val="continuous"/>
        </w:sectPr>
      </w:pPr>
    </w:p>
    <w:p>
      <w:pPr>
        <w:spacing w:after="0" w:line="24" w:lineRule="exact"/>
        <w:rPr>
          <w:sz w:val="20"/>
          <w:szCs w:val="20"/>
          <w:color w:val="auto"/>
        </w:rPr>
      </w:pPr>
    </w:p>
    <w:p>
      <w:pPr>
        <w:ind w:left="1280" w:right="1879"/>
        <w:spacing w:after="0" w:line="290" w:lineRule="auto"/>
        <w:rPr>
          <w:sz w:val="20"/>
          <w:szCs w:val="20"/>
          <w:color w:val="auto"/>
        </w:rPr>
      </w:pPr>
      <w:r>
        <w:rPr>
          <w:rFonts w:ascii="Courier New" w:cs="Courier New" w:eastAsia="Courier New" w:hAnsi="Courier New"/>
          <w:sz w:val="16"/>
          <w:szCs w:val="16"/>
          <w:color w:val="auto"/>
        </w:rPr>
        <w:t>Ownership as of December 31, 2009 is incorporated by reference to items (5) - (9) and (11) of the cover page of the Reporting Person.</w:t>
      </w:r>
    </w:p>
    <w:p>
      <w:pPr>
        <w:sectPr>
          <w:pgSz w:w="11900" w:h="16838" w:orient="portrait"/>
          <w:cols w:equalWidth="0" w:num="1">
            <w:col w:w="10219"/>
          </w:cols>
          <w:pgMar w:left="240" w:top="919" w:right="1440" w:bottom="1440" w:gutter="0" w:footer="0" w:header="0"/>
          <w:type w:val="continuous"/>
        </w:sectPr>
      </w:pPr>
    </w:p>
    <w:p>
      <w:pPr>
        <w:spacing w:after="0" w:line="170" w:lineRule="exact"/>
        <w:rPr>
          <w:sz w:val="20"/>
          <w:szCs w:val="20"/>
          <w:color w:val="auto"/>
        </w:rPr>
      </w:pPr>
    </w:p>
    <w:p>
      <w:pPr>
        <w:ind w:left="1280" w:right="1779"/>
        <w:spacing w:after="0" w:line="237" w:lineRule="auto"/>
        <w:rPr>
          <w:sz w:val="20"/>
          <w:szCs w:val="20"/>
          <w:color w:val="auto"/>
        </w:rPr>
      </w:pPr>
      <w:r>
        <w:rPr>
          <w:rFonts w:ascii="Courier New" w:cs="Courier New" w:eastAsia="Courier New" w:hAnsi="Courier New"/>
          <w:sz w:val="18"/>
          <w:szCs w:val="18"/>
          <w:color w:val="auto"/>
        </w:rPr>
        <w:t>Maverick Capital, Ltd. is an investment adviser registered under Section 203 of the Investment Advisers Act of 1940 and, as such, may be deemed to have beneficial ownership of the Shares which are the subject of this filing through the investment discretion it exercises over its clients' accounts. Maverick Capital Management, LLC is the General Partner of Maverick Capital, Ltd. Mr. Ainslie is the manager of Maverick Capital Management, LLC and is granted sole investment discretion pursuant to Maverick Capital Management, LLC's Regulations.</w:t>
      </w:r>
    </w:p>
    <w:p>
      <w:pPr>
        <w:spacing w:after="0" w:line="20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280" w:right="1999" w:hanging="1263"/>
        <w:spacing w:after="0" w:line="236"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 or Control Person</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10 Pages</w:t>
      </w:r>
    </w:p>
    <w:p>
      <w:pPr>
        <w:sectPr>
          <w:pgSz w:w="11900" w:h="16838" w:orient="portrait"/>
          <w:cols w:equalWidth="0" w:num="1">
            <w:col w:w="10219"/>
          </w:cols>
          <w:pgMar w:left="240" w:top="919" w:right="1440" w:bottom="1440" w:gutter="0" w:footer="0" w:header="0"/>
          <w:type w:val="continuous"/>
        </w:sectPr>
      </w:pPr>
    </w:p>
    <w:bookmarkStart w:id="6" w:name="page7"/>
    <w:bookmarkEnd w:id="6"/>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left="1280" w:right="1879"/>
        <w:spacing w:after="0" w:line="237" w:lineRule="auto"/>
        <w:rPr>
          <w:sz w:val="20"/>
          <w:szCs w:val="20"/>
          <w:color w:val="auto"/>
        </w:rPr>
      </w:pPr>
      <w:r>
        <w:rPr>
          <w:rFonts w:ascii="Courier New" w:cs="Courier New" w:eastAsia="Courier New" w:hAnsi="Courier New"/>
          <w:sz w:val="18"/>
          <w:szCs w:val="18"/>
          <w:color w:val="auto"/>
        </w:rPr>
        <w:t>By signing below each of the Reporting Persons certifies that, to the best of such person's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10 Pages</w:t>
      </w:r>
    </w:p>
    <w:p>
      <w:pPr>
        <w:sectPr>
          <w:pgSz w:w="11900" w:h="16838" w:orient="portrait"/>
          <w:cols w:equalWidth="0" w:num="1">
            <w:col w:w="10219"/>
          </w:cols>
          <w:pgMar w:left="240" w:top="919"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1264"/>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2010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MAVERICK CAPITAL, LTD.</w:t>
      </w:r>
    </w:p>
    <w:p>
      <w:pPr>
        <w:spacing w:after="0" w:line="216" w:lineRule="exact"/>
        <w:rPr>
          <w:sz w:val="20"/>
          <w:szCs w:val="20"/>
          <w:color w:val="auto"/>
        </w:rPr>
      </w:pPr>
    </w:p>
    <w:p>
      <w:pPr>
        <w:sectPr>
          <w:pgSz w:w="11900" w:h="16838" w:orient="portrait"/>
          <w:cols w:equalWidth="0" w:num="3">
            <w:col w:w="540" w:space="200"/>
            <w:col w:w="2440" w:space="720"/>
            <w:col w:w="6319"/>
          </w:cols>
          <w:pgMar w:left="240" w:top="919" w:right="1440" w:bottom="1440" w:gutter="0" w:footer="0" w:header="0"/>
          <w:type w:val="continuous"/>
        </w:sectPr>
      </w:pP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Maverick Capital Management, LLC,</w:t>
      </w:r>
    </w:p>
    <w:p>
      <w:pPr>
        <w:ind w:left="432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Lee S. Ainslie III, Manager</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By: /s/ John T. McCafferty</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John T. McCafferty</w:t>
      </w:r>
    </w:p>
    <w:p>
      <w:pPr>
        <w:spacing w:after="0" w:line="3"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Under Power of Attorney dated</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13, 2003</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2010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MAVERICK CAPITAL MANAGEMENT, LLC</w:t>
      </w:r>
    </w:p>
    <w:p>
      <w:pPr>
        <w:spacing w:after="0" w:line="216" w:lineRule="exact"/>
        <w:rPr>
          <w:sz w:val="20"/>
          <w:szCs w:val="20"/>
          <w:color w:val="auto"/>
        </w:rPr>
      </w:pPr>
    </w:p>
    <w:p>
      <w:pPr>
        <w:sectPr>
          <w:pgSz w:w="11900" w:h="16838" w:orient="portrait"/>
          <w:cols w:equalWidth="0" w:num="3">
            <w:col w:w="540" w:space="200"/>
            <w:col w:w="2440" w:space="720"/>
            <w:col w:w="6319"/>
          </w:cols>
          <w:pgMar w:left="240" w:top="919" w:right="1440" w:bottom="1440" w:gutter="0" w:footer="0" w:header="0"/>
          <w:type w:val="continuous"/>
        </w:sectPr>
      </w:pP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Lee S. Ainslie III, Manager</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John T. McCafferty</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John T. McCafferty</w:t>
      </w:r>
    </w:p>
    <w:p>
      <w:pPr>
        <w:ind w:left="4740"/>
        <w:spacing w:after="0" w:line="238" w:lineRule="auto"/>
        <w:rPr>
          <w:sz w:val="20"/>
          <w:szCs w:val="20"/>
          <w:color w:val="auto"/>
        </w:rPr>
      </w:pPr>
      <w:r>
        <w:rPr>
          <w:rFonts w:ascii="Courier New" w:cs="Courier New" w:eastAsia="Courier New" w:hAnsi="Courier New"/>
          <w:sz w:val="18"/>
          <w:szCs w:val="18"/>
          <w:color w:val="auto"/>
        </w:rPr>
        <w:t>Under Power of Attorney dated</w:t>
      </w:r>
    </w:p>
    <w:p>
      <w:pPr>
        <w:ind w:left="4740"/>
        <w:spacing w:after="0"/>
        <w:rPr>
          <w:sz w:val="20"/>
          <w:szCs w:val="20"/>
          <w:color w:val="auto"/>
        </w:rPr>
      </w:pPr>
      <w:r>
        <w:rPr>
          <w:rFonts w:ascii="Courier New" w:cs="Courier New" w:eastAsia="Courier New" w:hAnsi="Courier New"/>
          <w:sz w:val="18"/>
          <w:szCs w:val="18"/>
          <w:color w:val="auto"/>
        </w:rPr>
        <w:t>February 13, 2003</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16, 2010</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LEE S. AINSLIE III</w:t>
      </w:r>
    </w:p>
    <w:p>
      <w:pPr>
        <w:spacing w:after="0" w:line="216" w:lineRule="exact"/>
        <w:rPr>
          <w:sz w:val="20"/>
          <w:szCs w:val="20"/>
          <w:color w:val="auto"/>
        </w:rPr>
      </w:pPr>
    </w:p>
    <w:p>
      <w:pPr>
        <w:sectPr>
          <w:pgSz w:w="11900" w:h="16838" w:orient="portrait"/>
          <w:cols w:equalWidth="0" w:num="3">
            <w:col w:w="540" w:space="200"/>
            <w:col w:w="2440" w:space="720"/>
            <w:col w:w="6319"/>
          </w:cols>
          <w:pgMar w:left="240" w:top="919" w:right="1440" w:bottom="1440" w:gutter="0" w:footer="0" w:header="0"/>
          <w:type w:val="continuous"/>
        </w:sect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 /s/ John T. McCafferty</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John T. McCafferty</w:t>
      </w:r>
    </w:p>
    <w:p>
      <w:pPr>
        <w:ind w:left="4320"/>
        <w:spacing w:after="0" w:line="238" w:lineRule="auto"/>
        <w:rPr>
          <w:sz w:val="20"/>
          <w:szCs w:val="20"/>
          <w:color w:val="auto"/>
        </w:rPr>
      </w:pPr>
      <w:r>
        <w:rPr>
          <w:rFonts w:ascii="Courier New" w:cs="Courier New" w:eastAsia="Courier New" w:hAnsi="Courier New"/>
          <w:sz w:val="18"/>
          <w:szCs w:val="18"/>
          <w:color w:val="auto"/>
        </w:rPr>
        <w:t>Under Power of Attorney dated</w:t>
      </w:r>
    </w:p>
    <w:p>
      <w:pPr>
        <w:ind w:left="4320"/>
        <w:spacing w:after="0"/>
        <w:rPr>
          <w:sz w:val="20"/>
          <w:szCs w:val="20"/>
          <w:color w:val="auto"/>
        </w:rPr>
      </w:pPr>
      <w:r>
        <w:rPr>
          <w:rFonts w:ascii="Courier New" w:cs="Courier New" w:eastAsia="Courier New" w:hAnsi="Courier New"/>
          <w:sz w:val="18"/>
          <w:szCs w:val="18"/>
          <w:color w:val="auto"/>
        </w:rPr>
        <w:t>February 13, 2003</w:t>
      </w:r>
    </w:p>
    <w:p>
      <w:pPr>
        <w:sectPr>
          <w:pgSz w:w="11900" w:h="16838" w:orient="portrait"/>
          <w:cols w:equalWidth="0" w:num="1">
            <w:col w:w="10219"/>
          </w:cols>
          <w:pgMar w:left="240" w:top="91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8 of 10 Pages</w:t>
      </w:r>
    </w:p>
    <w:p>
      <w:pPr>
        <w:sectPr>
          <w:pgSz w:w="11900" w:h="16838" w:orient="portrait"/>
          <w:cols w:equalWidth="0" w:num="1">
            <w:col w:w="10219"/>
          </w:cols>
          <w:pgMar w:left="240" w:top="919" w:right="1440" w:bottom="1440" w:gutter="0" w:footer="0" w:header="0"/>
          <w:type w:val="continuous"/>
        </w:sectPr>
      </w:pPr>
    </w:p>
    <w:bookmarkStart w:id="8" w:name="page9"/>
    <w:bookmarkEnd w:id="8"/>
    <w:p>
      <w:pPr>
        <w:ind w:left="3572"/>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532" w:right="2099" w:hanging="532"/>
        <w:spacing w:after="0" w:line="290" w:lineRule="auto"/>
        <w:tabs>
          <w:tab w:leader="none" w:pos="53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Joint Filing Agreement, dated February 16, 2010, by and among Maverick Capital, Ltd., Maverick Capital Management, LLC, and Lee S. Ainslie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272"/>
        <w:spacing w:after="0"/>
        <w:rPr>
          <w:sz w:val="20"/>
          <w:szCs w:val="20"/>
          <w:color w:val="auto"/>
        </w:rPr>
      </w:pPr>
      <w:r>
        <w:rPr>
          <w:rFonts w:ascii="Courier New" w:cs="Courier New" w:eastAsia="Courier New" w:hAnsi="Courier New"/>
          <w:sz w:val="18"/>
          <w:szCs w:val="18"/>
          <w:color w:val="auto"/>
        </w:rPr>
        <w:t>Page 9 of 10 Pages</w:t>
      </w:r>
    </w:p>
    <w:p>
      <w:pPr>
        <w:sectPr>
          <w:pgSz w:w="11900" w:h="16838" w:orient="portrait"/>
          <w:cols w:equalWidth="0" w:num="1">
            <w:col w:w="10211"/>
          </w:cols>
          <w:pgMar w:left="248" w:top="717"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The undersigned hereby agree that the statement on Schedule 13G with respect to the Common Stock, $0.50 par value of Winnebago Industries, Inc., dated as of February 16, 2010, is, and any amendments thereto (including amendments on Schedule 13D) signed by each of the undersigned shall be, filed on behalf of each of us pursuant to and in accordance with the provisions of Rule 13d-1(k) under the Securities Exchange Act of 1934.</w:t>
      </w: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February 16,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MAVERICK CAPITAL, LTD.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Maverick Capital Management, LLC</w:t>
      </w:r>
    </w:p>
    <w:p>
      <w:pPr>
        <w:ind w:left="358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By: Lee S. Ainslie III, Manager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 /s/ John T. McCafferty</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John T. McCafferty</w:t>
      </w:r>
    </w:p>
    <w:p>
      <w:pPr>
        <w:ind w:left="4440"/>
        <w:spacing w:after="0" w:line="237" w:lineRule="auto"/>
        <w:rPr>
          <w:sz w:val="20"/>
          <w:szCs w:val="20"/>
          <w:color w:val="auto"/>
        </w:rPr>
      </w:pPr>
      <w:r>
        <w:rPr>
          <w:rFonts w:ascii="Courier New" w:cs="Courier New" w:eastAsia="Courier New" w:hAnsi="Courier New"/>
          <w:sz w:val="18"/>
          <w:szCs w:val="18"/>
          <w:color w:val="auto"/>
        </w:rPr>
        <w:t>Under Power of Attorney dated</w:t>
      </w:r>
    </w:p>
    <w:p>
      <w:pPr>
        <w:ind w:left="4440"/>
        <w:spacing w:after="0" w:line="238" w:lineRule="auto"/>
        <w:rPr>
          <w:sz w:val="20"/>
          <w:szCs w:val="20"/>
          <w:color w:val="auto"/>
        </w:rPr>
      </w:pPr>
      <w:r>
        <w:rPr>
          <w:rFonts w:ascii="Courier New" w:cs="Courier New" w:eastAsia="Courier New" w:hAnsi="Courier New"/>
          <w:sz w:val="18"/>
          <w:szCs w:val="18"/>
          <w:color w:val="auto"/>
        </w:rPr>
        <w:t>February 13, 2003</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MAVERICK CAPITAL MANAGEMENT, LLC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Lee S. Ainslie III, Manager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John T. McCafferty</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John T. McCafferty</w:t>
      </w:r>
    </w:p>
    <w:p>
      <w:pPr>
        <w:ind w:left="4020"/>
        <w:spacing w:after="0" w:line="237" w:lineRule="auto"/>
        <w:rPr>
          <w:sz w:val="20"/>
          <w:szCs w:val="20"/>
          <w:color w:val="auto"/>
        </w:rPr>
      </w:pPr>
      <w:r>
        <w:rPr>
          <w:rFonts w:ascii="Courier New" w:cs="Courier New" w:eastAsia="Courier New" w:hAnsi="Courier New"/>
          <w:sz w:val="18"/>
          <w:szCs w:val="18"/>
          <w:color w:val="auto"/>
        </w:rPr>
        <w:t>Under Power of Attorney dated</w:t>
      </w:r>
    </w:p>
    <w:p>
      <w:pPr>
        <w:ind w:left="4020"/>
        <w:spacing w:after="0" w:line="238" w:lineRule="auto"/>
        <w:rPr>
          <w:sz w:val="20"/>
          <w:szCs w:val="20"/>
          <w:color w:val="auto"/>
        </w:rPr>
      </w:pPr>
      <w:r>
        <w:rPr>
          <w:rFonts w:ascii="Courier New" w:cs="Courier New" w:eastAsia="Courier New" w:hAnsi="Courier New"/>
          <w:sz w:val="18"/>
          <w:szCs w:val="18"/>
          <w:color w:val="auto"/>
        </w:rPr>
        <w:t>February 13, 2003</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LEE S. AINSLIE 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John T. McCafferty</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rPr>
          <w:sz w:val="20"/>
          <w:szCs w:val="20"/>
          <w:color w:val="auto"/>
        </w:rPr>
      </w:pPr>
      <w:r>
        <w:rPr>
          <w:rFonts w:ascii="Courier New" w:cs="Courier New" w:eastAsia="Courier New" w:hAnsi="Courier New"/>
          <w:sz w:val="18"/>
          <w:szCs w:val="18"/>
          <w:color w:val="auto"/>
        </w:rPr>
        <w:t>John T. McCafferty</w:t>
      </w:r>
    </w:p>
    <w:p>
      <w:pPr>
        <w:ind w:left="3580"/>
        <w:spacing w:after="0" w:line="237" w:lineRule="auto"/>
        <w:rPr>
          <w:sz w:val="20"/>
          <w:szCs w:val="20"/>
          <w:color w:val="auto"/>
        </w:rPr>
      </w:pPr>
      <w:r>
        <w:rPr>
          <w:rFonts w:ascii="Courier New" w:cs="Courier New" w:eastAsia="Courier New" w:hAnsi="Courier New"/>
          <w:sz w:val="18"/>
          <w:szCs w:val="18"/>
          <w:color w:val="auto"/>
        </w:rPr>
        <w:t>Under Power of Attorney dated</w:t>
      </w:r>
    </w:p>
    <w:p>
      <w:pPr>
        <w:ind w:left="3580"/>
        <w:spacing w:after="0" w:line="238" w:lineRule="auto"/>
        <w:rPr>
          <w:sz w:val="20"/>
          <w:szCs w:val="20"/>
          <w:color w:val="auto"/>
        </w:rPr>
      </w:pPr>
      <w:r>
        <w:rPr>
          <w:rFonts w:ascii="Courier New" w:cs="Courier New" w:eastAsia="Courier New" w:hAnsi="Courier New"/>
          <w:sz w:val="18"/>
          <w:szCs w:val="18"/>
          <w:color w:val="auto"/>
        </w:rPr>
        <w:t>February 13,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Page 10 of 10 Pages</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
    <w:nsid w:val="6B68079A"/>
    <w:multiLevelType w:val="hybridMultilevel"/>
    <w:lvl w:ilvl="0">
      <w:lvlJc w:val="left"/>
      <w:lvlText w:val="-"/>
      <w:numFmt w:val="bullet"/>
      <w:start w:val="1"/>
    </w:lvl>
    <w:lvl w:ilvl="1">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1">
    <w:nsid w:val="3F2DBA31"/>
    <w:multiLevelType w:val="hybridMultilevel"/>
    <w:lvl w:ilvl="0">
      <w:lvlJc w:val="left"/>
      <w:lvlText w:val="-"/>
      <w:numFmt w:val="bullet"/>
      <w:start w:val="1"/>
    </w:lvl>
    <w:lvl w:ilvl="1">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6">
    <w:nsid w:val="628C895D"/>
    <w:multiLevelType w:val="hybridMultilevel"/>
    <w:lvl w:ilvl="0">
      <w:lvlJc w:val="left"/>
      <w:lvlText w:val="-"/>
      <w:numFmt w:val="bullet"/>
      <w:start w:val="1"/>
    </w:lvl>
    <w:lvl w:ilvl="1">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Roman"/>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lowerLetter"/>
      <w:start w:val="2"/>
    </w:lvl>
    <w:lvl w:ilvl="1">
      <w:lvlJc w:val="left"/>
      <w:lvlText w:val="%2."/>
      <w:numFmt w:val="lowerLetter"/>
      <w:start w:val="45"/>
    </w:lvl>
  </w:abstractNum>
  <w:abstractNum w:abstractNumId="24">
    <w:nsid w:val="79838CB2"/>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2019-12-10T03:40:46Z</dcterms:created>
  <dcterms:modified xsi:type="dcterms:W3CDTF">2019-12-10T03:40:46Z</dcterms:modified>
</cp:coreProperties>
</file>