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quarterly period ended November 26, 2011</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1920875"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December 22, 2011 was 29,148,567.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16"/>
          <w:szCs w:val="16"/>
          <w:b w:val="1"/>
          <w:bCs w:val="1"/>
          <w:color w:val="auto"/>
        </w:rPr>
        <w:t>WINNEBAGO INDUSTRIES, INC.</w:t>
      </w:r>
    </w:p>
    <w:p>
      <w:pPr>
        <w:spacing w:after="0" w:line="194"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Page</w:t>
            </w:r>
          </w:p>
        </w:tc>
      </w:tr>
      <w:tr>
        <w:trPr>
          <w:trHeight w:val="372"/>
        </w:trPr>
        <w:tc>
          <w:tcPr>
            <w:tcW w:w="700" w:type="dxa"/>
            <w:vAlign w:val="bottom"/>
            <w:tcBorders>
              <w:bottom w:val="single" w:sz="8" w:color="0000FF"/>
            </w:tcBorders>
            <w:gridSpan w:val="3"/>
          </w:tcPr>
          <w:p>
            <w:pPr>
              <w:spacing w:after="0"/>
              <w:rPr>
                <w:rFonts w:ascii="Arial" w:cs="Arial" w:eastAsia="Arial" w:hAnsi="Arial"/>
                <w:sz w:val="16"/>
                <w:szCs w:val="16"/>
                <w:b w:val="1"/>
                <w:bCs w:val="1"/>
                <w:color w:val="0000FF"/>
                <w:w w:val="99"/>
              </w:rPr>
            </w:pPr>
            <w:hyperlink w:anchor="page2">
              <w:r>
                <w:rPr>
                  <w:rFonts w:ascii="Arial" w:cs="Arial" w:eastAsia="Arial" w:hAnsi="Arial"/>
                  <w:sz w:val="16"/>
                  <w:szCs w:val="16"/>
                  <w:b w:val="1"/>
                  <w:bCs w:val="1"/>
                  <w:color w:val="0000FF"/>
                  <w:w w:val="99"/>
                </w:rPr>
                <w:t>Glossary</w:t>
              </w:r>
            </w:hyperlink>
          </w:p>
        </w:tc>
        <w:tc>
          <w:tcPr>
            <w:tcW w:w="1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2">
              <w:r>
                <w:rPr>
                  <w:rFonts w:ascii="Arial" w:cs="Arial" w:eastAsia="Arial" w:hAnsi="Arial"/>
                  <w:sz w:val="16"/>
                  <w:szCs w:val="16"/>
                  <w:color w:val="0000FF"/>
                </w:rPr>
                <w:t>1</w:t>
              </w:r>
            </w:hyperlink>
          </w:p>
        </w:tc>
        <w:tc>
          <w:tcPr>
            <w:tcW w:w="140" w:type="dxa"/>
            <w:vAlign w:val="bottom"/>
          </w:tcPr>
          <w:p>
            <w:pPr>
              <w:spacing w:after="0"/>
              <w:rPr>
                <w:sz w:val="24"/>
                <w:szCs w:val="24"/>
                <w:color w:val="auto"/>
              </w:rPr>
            </w:pPr>
          </w:p>
        </w:tc>
      </w:tr>
      <w:tr>
        <w:trPr>
          <w:trHeight w:val="520"/>
        </w:trPr>
        <w:tc>
          <w:tcPr>
            <w:tcW w:w="840" w:type="dxa"/>
            <w:vAlign w:val="bottom"/>
            <w:gridSpan w:val="4"/>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Part I</w:t>
              </w:r>
            </w:hyperlink>
          </w:p>
        </w:tc>
        <w:tc>
          <w:tcPr>
            <w:tcW w:w="780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240" w:type="dxa"/>
            <w:vAlign w:val="bottom"/>
            <w:gridSpan w:val="2"/>
          </w:tcPr>
          <w:p>
            <w:pPr>
              <w:jc w:val="center"/>
              <w:ind w:left="59"/>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14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Condensed Financial Statements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4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0" w:type="dxa"/>
            <w:vAlign w:val="bottom"/>
          </w:tcPr>
          <w:p>
            <w:pPr>
              <w:ind w:left="440"/>
              <w:spacing w:after="0"/>
              <w:rPr>
                <w:sz w:val="20"/>
                <w:szCs w:val="20"/>
                <w:color w:val="auto"/>
              </w:rPr>
            </w:pPr>
            <w:r>
              <w:rPr>
                <w:rFonts w:ascii="Arial" w:cs="Arial" w:eastAsia="Arial" w:hAnsi="Arial"/>
                <w:sz w:val="16"/>
                <w:szCs w:val="16"/>
                <w:color w:val="auto"/>
              </w:rPr>
              <w:t>Unaudited Consolidated Statements of Operations</w:t>
            </w:r>
          </w:p>
        </w:tc>
        <w:tc>
          <w:tcPr>
            <w:tcW w:w="1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2</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0" w:type="dxa"/>
            <w:vAlign w:val="bottom"/>
          </w:tcPr>
          <w:p>
            <w:pPr>
              <w:ind w:left="440"/>
              <w:spacing w:after="0"/>
              <w:rPr>
                <w:sz w:val="20"/>
                <w:szCs w:val="20"/>
                <w:color w:val="auto"/>
              </w:rPr>
            </w:pPr>
            <w:r>
              <w:rPr>
                <w:rFonts w:ascii="Arial" w:cs="Arial" w:eastAsia="Arial" w:hAnsi="Arial"/>
                <w:sz w:val="16"/>
                <w:szCs w:val="16"/>
                <w:color w:val="auto"/>
              </w:rPr>
              <w:t>Unaudited Consolidated Balance Sheets</w:t>
            </w:r>
          </w:p>
        </w:tc>
        <w:tc>
          <w:tcPr>
            <w:tcW w:w="1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0" w:type="dxa"/>
            <w:vAlign w:val="bottom"/>
          </w:tcPr>
          <w:p>
            <w:pPr>
              <w:ind w:left="440"/>
              <w:spacing w:after="0"/>
              <w:rPr>
                <w:sz w:val="20"/>
                <w:szCs w:val="20"/>
                <w:color w:val="auto"/>
              </w:rPr>
            </w:pPr>
            <w:r>
              <w:rPr>
                <w:rFonts w:ascii="Arial" w:cs="Arial" w:eastAsia="Arial" w:hAnsi="Arial"/>
                <w:sz w:val="16"/>
                <w:szCs w:val="16"/>
                <w:color w:val="auto"/>
              </w:rPr>
              <w:t>Unaudited Consolidated Statements of Cash Flows</w:t>
            </w:r>
          </w:p>
        </w:tc>
        <w:tc>
          <w:tcPr>
            <w:tcW w:w="1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0" w:type="dxa"/>
            <w:vAlign w:val="bottom"/>
          </w:tcPr>
          <w:p>
            <w:pPr>
              <w:ind w:left="440"/>
              <w:spacing w:after="0"/>
              <w:rPr>
                <w:sz w:val="20"/>
                <w:szCs w:val="20"/>
                <w:color w:val="auto"/>
              </w:rPr>
            </w:pPr>
            <w:r>
              <w:rPr>
                <w:rFonts w:ascii="Arial" w:cs="Arial" w:eastAsia="Arial" w:hAnsi="Arial"/>
                <w:sz w:val="16"/>
                <w:szCs w:val="16"/>
                <w:color w:val="auto"/>
              </w:rPr>
              <w:t>Unaudited Consolidated Notes to Financial Statements</w:t>
            </w:r>
          </w:p>
        </w:tc>
        <w:tc>
          <w:tcPr>
            <w:tcW w:w="1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c>
          <w:tcPr>
            <w:tcW w:w="140" w:type="dxa"/>
            <w:vAlign w:val="bottom"/>
          </w:tcPr>
          <w:p>
            <w:pPr>
              <w:spacing w:after="0"/>
              <w:rPr>
                <w:sz w:val="21"/>
                <w:szCs w:val="2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Item 2</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80" w:type="dxa"/>
            <w:vAlign w:val="bottom"/>
            <w:gridSpan w:val="3"/>
          </w:tcPr>
          <w:p>
            <w:pPr>
              <w:jc w:val="center"/>
              <w:spacing w:after="0"/>
              <w:rPr>
                <w:rFonts w:ascii="Arial" w:cs="Arial" w:eastAsia="Arial" w:hAnsi="Arial"/>
                <w:sz w:val="16"/>
                <w:szCs w:val="16"/>
                <w:color w:val="0000FF"/>
              </w:rPr>
            </w:pPr>
            <w:hyperlink w:anchor="page14">
              <w:r>
                <w:rPr>
                  <w:rFonts w:ascii="Arial" w:cs="Arial" w:eastAsia="Arial" w:hAnsi="Arial"/>
                  <w:sz w:val="16"/>
                  <w:szCs w:val="16"/>
                  <w:color w:val="0000FF"/>
                </w:rPr>
                <w:t>12</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Item 3</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of Market Risk</w:t>
            </w:r>
          </w:p>
        </w:tc>
        <w:tc>
          <w:tcPr>
            <w:tcW w:w="380" w:type="dxa"/>
            <w:vAlign w:val="bottom"/>
            <w:gridSpan w:val="3"/>
          </w:tcPr>
          <w:p>
            <w:pPr>
              <w:jc w:val="center"/>
              <w:spacing w:after="0"/>
              <w:rPr>
                <w:rFonts w:ascii="Arial" w:cs="Arial" w:eastAsia="Arial" w:hAnsi="Arial"/>
                <w:sz w:val="16"/>
                <w:szCs w:val="16"/>
                <w:color w:val="0000FF"/>
              </w:rPr>
            </w:pPr>
            <w:hyperlink w:anchor="page20">
              <w:r>
                <w:rPr>
                  <w:rFonts w:ascii="Arial" w:cs="Arial" w:eastAsia="Arial" w:hAnsi="Arial"/>
                  <w:sz w:val="16"/>
                  <w:szCs w:val="16"/>
                  <w:color w:val="0000FF"/>
                </w:rPr>
                <w:t>18</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Item 4</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380" w:type="dxa"/>
            <w:vAlign w:val="bottom"/>
            <w:gridSpan w:val="3"/>
          </w:tcPr>
          <w:p>
            <w:pPr>
              <w:jc w:val="center"/>
              <w:spacing w:after="0"/>
              <w:rPr>
                <w:rFonts w:ascii="Arial" w:cs="Arial" w:eastAsia="Arial" w:hAnsi="Arial"/>
                <w:sz w:val="16"/>
                <w:szCs w:val="16"/>
                <w:color w:val="0000FF"/>
              </w:rPr>
            </w:pPr>
            <w:hyperlink w:anchor="page20">
              <w:r>
                <w:rPr>
                  <w:rFonts w:ascii="Arial" w:cs="Arial" w:eastAsia="Arial" w:hAnsi="Arial"/>
                  <w:sz w:val="16"/>
                  <w:szCs w:val="16"/>
                  <w:color w:val="0000FF"/>
                </w:rPr>
                <w:t>18</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520"/>
        </w:trPr>
        <w:tc>
          <w:tcPr>
            <w:tcW w:w="460" w:type="dxa"/>
            <w:vAlign w:val="bottom"/>
            <w:gridSpan w:val="2"/>
          </w:tcPr>
          <w:p>
            <w:pPr>
              <w:spacing w:after="0"/>
              <w:rPr>
                <w:rFonts w:ascii="Arial" w:cs="Arial" w:eastAsia="Arial" w:hAnsi="Arial"/>
                <w:sz w:val="16"/>
                <w:szCs w:val="16"/>
                <w:b w:val="1"/>
                <w:bCs w:val="1"/>
                <w:color w:val="0000FF"/>
                <w:w w:val="98"/>
              </w:rPr>
            </w:pPr>
            <w:hyperlink w:anchor="page20">
              <w:r>
                <w:rPr>
                  <w:rFonts w:ascii="Arial" w:cs="Arial" w:eastAsia="Arial" w:hAnsi="Arial"/>
                  <w:sz w:val="16"/>
                  <w:szCs w:val="16"/>
                  <w:b w:val="1"/>
                  <w:bCs w:val="1"/>
                  <w:color w:val="0000FF"/>
                  <w:w w:val="98"/>
                </w:rPr>
                <w:t>Part II</w:t>
              </w:r>
            </w:hyperlink>
          </w:p>
        </w:tc>
        <w:tc>
          <w:tcPr>
            <w:tcW w:w="380" w:type="dxa"/>
            <w:vAlign w:val="bottom"/>
            <w:gridSpan w:val="2"/>
          </w:tcPr>
          <w:p>
            <w:pPr>
              <w:spacing w:after="0"/>
              <w:rPr>
                <w:sz w:val="24"/>
                <w:szCs w:val="24"/>
                <w:color w:val="auto"/>
              </w:rPr>
            </w:pPr>
          </w:p>
        </w:tc>
        <w:tc>
          <w:tcPr>
            <w:tcW w:w="780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40" w:type="dxa"/>
            <w:vAlign w:val="bottom"/>
          </w:tcPr>
          <w:p>
            <w:pPr>
              <w:spacing w:after="0"/>
              <w:rPr>
                <w:sz w:val="24"/>
                <w:szCs w:val="24"/>
                <w:color w:val="auto"/>
              </w:rPr>
            </w:pPr>
          </w:p>
        </w:tc>
        <w:tc>
          <w:tcPr>
            <w:tcW w:w="240" w:type="dxa"/>
            <w:vAlign w:val="bottom"/>
            <w:gridSpan w:val="2"/>
          </w:tcPr>
          <w:p>
            <w:pPr>
              <w:jc w:val="center"/>
              <w:ind w:right="100"/>
              <w:spacing w:after="0"/>
              <w:rPr>
                <w:rFonts w:ascii="Arial" w:cs="Arial" w:eastAsia="Arial" w:hAnsi="Arial"/>
                <w:sz w:val="16"/>
                <w:szCs w:val="16"/>
                <w:color w:val="0000FF"/>
                <w:w w:val="78"/>
              </w:rPr>
            </w:pPr>
            <w:hyperlink w:anchor="page20">
              <w:r>
                <w:rPr>
                  <w:rFonts w:ascii="Arial" w:cs="Arial" w:eastAsia="Arial" w:hAnsi="Arial"/>
                  <w:sz w:val="16"/>
                  <w:szCs w:val="16"/>
                  <w:color w:val="0000FF"/>
                  <w:w w:val="78"/>
                </w:rPr>
                <w:t>18</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Item 1</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380" w:type="dxa"/>
            <w:vAlign w:val="bottom"/>
            <w:gridSpan w:val="3"/>
          </w:tcPr>
          <w:p>
            <w:pPr>
              <w:jc w:val="center"/>
              <w:spacing w:after="0"/>
              <w:rPr>
                <w:rFonts w:ascii="Arial" w:cs="Arial" w:eastAsia="Arial" w:hAnsi="Arial"/>
                <w:sz w:val="16"/>
                <w:szCs w:val="16"/>
                <w:color w:val="0000FF"/>
              </w:rPr>
            </w:pPr>
            <w:hyperlink w:anchor="page20">
              <w:r>
                <w:rPr>
                  <w:rFonts w:ascii="Arial" w:cs="Arial" w:eastAsia="Arial" w:hAnsi="Arial"/>
                  <w:sz w:val="16"/>
                  <w:szCs w:val="16"/>
                  <w:color w:val="0000FF"/>
                </w:rPr>
                <w:t>18</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2</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Funds</w:t>
            </w:r>
          </w:p>
        </w:tc>
        <w:tc>
          <w:tcPr>
            <w:tcW w:w="380" w:type="dxa"/>
            <w:vAlign w:val="bottom"/>
            <w:gridSpan w:val="3"/>
          </w:tcPr>
          <w:p>
            <w:pPr>
              <w:jc w:val="center"/>
              <w:spacing w:after="0"/>
              <w:rPr>
                <w:rFonts w:ascii="Arial" w:cs="Arial" w:eastAsia="Arial" w:hAnsi="Arial"/>
                <w:sz w:val="16"/>
                <w:szCs w:val="16"/>
                <w:color w:val="0000FF"/>
              </w:rPr>
            </w:pPr>
            <w:hyperlink w:anchor="page21">
              <w:r>
                <w:rPr>
                  <w:rFonts w:ascii="Arial" w:cs="Arial" w:eastAsia="Arial" w:hAnsi="Arial"/>
                  <w:sz w:val="16"/>
                  <w:szCs w:val="16"/>
                  <w:color w:val="0000FF"/>
                </w:rPr>
                <w:t>19</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6</w:t>
              </w:r>
            </w:hyperlink>
            <w:r>
              <w:rPr>
                <w:rFonts w:ascii="Arial" w:cs="Arial" w:eastAsia="Arial" w:hAnsi="Arial"/>
                <w:sz w:val="16"/>
                <w:szCs w:val="16"/>
                <w:color w:val="0000FF"/>
              </w:rPr>
              <w:t>.</w:t>
            </w:r>
          </w:p>
        </w:tc>
        <w:tc>
          <w:tcPr>
            <w:tcW w:w="7800" w:type="dxa"/>
            <w:vAlign w:val="bottom"/>
          </w:tcPr>
          <w:p>
            <w:pPr>
              <w:ind w:left="200"/>
              <w:spacing w:after="0"/>
              <w:rPr>
                <w:sz w:val="20"/>
                <w:szCs w:val="20"/>
                <w:color w:val="auto"/>
              </w:rPr>
            </w:pPr>
            <w:r>
              <w:rPr>
                <w:rFonts w:ascii="Arial" w:cs="Arial" w:eastAsia="Arial" w:hAnsi="Arial"/>
                <w:sz w:val="16"/>
                <w:szCs w:val="16"/>
                <w:color w:val="auto"/>
              </w:rPr>
              <w:t>Exhibits</w:t>
            </w:r>
          </w:p>
        </w:tc>
        <w:tc>
          <w:tcPr>
            <w:tcW w:w="380" w:type="dxa"/>
            <w:vAlign w:val="bottom"/>
            <w:gridSpan w:val="3"/>
          </w:tcPr>
          <w:p>
            <w:pPr>
              <w:jc w:val="center"/>
              <w:spacing w:after="0"/>
              <w:rPr>
                <w:rFonts w:ascii="Arial" w:cs="Arial" w:eastAsia="Arial" w:hAnsi="Arial"/>
                <w:sz w:val="16"/>
                <w:szCs w:val="16"/>
                <w:color w:val="0000FF"/>
              </w:rPr>
            </w:pPr>
            <w:hyperlink w:anchor="page21">
              <w:r>
                <w:rPr>
                  <w:rFonts w:ascii="Arial" w:cs="Arial" w:eastAsia="Arial" w:hAnsi="Arial"/>
                  <w:sz w:val="16"/>
                  <w:szCs w:val="16"/>
                  <w:color w:val="0000FF"/>
                </w:rPr>
                <w:t>19</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520"/>
        </w:trPr>
        <w:tc>
          <w:tcPr>
            <w:tcW w:w="840" w:type="dxa"/>
            <w:vAlign w:val="bottom"/>
            <w:gridSpan w:val="4"/>
          </w:tcPr>
          <w:p>
            <w:pPr>
              <w:spacing w:after="0"/>
              <w:rPr>
                <w:rFonts w:ascii="Arial" w:cs="Arial" w:eastAsia="Arial" w:hAnsi="Arial"/>
                <w:sz w:val="16"/>
                <w:szCs w:val="16"/>
                <w:b w:val="1"/>
                <w:bCs w:val="1"/>
                <w:color w:val="0000FF"/>
                <w:w w:val="99"/>
              </w:rPr>
            </w:pPr>
            <w:hyperlink w:anchor="page21">
              <w:r>
                <w:rPr>
                  <w:rFonts w:ascii="Arial" w:cs="Arial" w:eastAsia="Arial" w:hAnsi="Arial"/>
                  <w:sz w:val="16"/>
                  <w:szCs w:val="16"/>
                  <w:b w:val="1"/>
                  <w:bCs w:val="1"/>
                  <w:color w:val="0000FF"/>
                  <w:w w:val="99"/>
                </w:rPr>
                <w:t>Signatures</w:t>
              </w:r>
            </w:hyperlink>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center"/>
              <w:ind w:right="100"/>
              <w:spacing w:after="0"/>
              <w:rPr>
                <w:rFonts w:ascii="Arial" w:cs="Arial" w:eastAsia="Arial" w:hAnsi="Arial"/>
                <w:sz w:val="16"/>
                <w:szCs w:val="16"/>
                <w:color w:val="0000FF"/>
                <w:w w:val="78"/>
              </w:rPr>
            </w:pPr>
            <w:hyperlink w:anchor="page21">
              <w:r>
                <w:rPr>
                  <w:rFonts w:ascii="Arial" w:cs="Arial" w:eastAsia="Arial" w:hAnsi="Arial"/>
                  <w:sz w:val="16"/>
                  <w:szCs w:val="16"/>
                  <w:color w:val="0000FF"/>
                  <w:w w:val="78"/>
                </w:rPr>
                <w:t>19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9179"/>
          </w:cols>
          <w:pgMar w:left="1280" w:top="500" w:right="1440"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ectPr>
          <w:pgSz w:w="11900" w:h="16838" w:orient="portrait"/>
          <w:cols w:equalWidth="0" w:num="1">
            <w:col w:w="11140"/>
          </w:cols>
          <w:pgMar w:left="240" w:top="141" w:right="51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ARS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ASU</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CCMF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DCF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FASB</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GAAP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LIBOR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LIFO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Loan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PDM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RV</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RVIA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SERP</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Stat Surveys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SunnyBrook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Towables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XBRL</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Auction Rate Securities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Codification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Average Sales Price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Update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Charles City Manufacturing Facility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Discounted Cash Flow</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Financial Accounting Standards Board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Internal Revenue Service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London Interbank Offered Rate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Last In, First Out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Loan and Security Agreement dated October 13, 2009 by and between Winnebago Industries, Inc. and Burdale Capital Finance, Inc.,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PDM Distribution Services,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Recreation Vehicle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Recreation Vehicle Industry Association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Supplemental Executive Retirement Plan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Statistical Surveys,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SunnyBrook RV,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Winnebago of Indiana, LLC, a wholly-owned subsidiary of 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eXtensible Business Reporting Language</w:t>
      </w:r>
    </w:p>
    <w:p>
      <w:pPr>
        <w:spacing w:after="0" w:line="200" w:lineRule="exact"/>
        <w:rPr>
          <w:sz w:val="20"/>
          <w:szCs w:val="20"/>
          <w:color w:val="auto"/>
        </w:rPr>
      </w:pPr>
    </w:p>
    <w:p>
      <w:pPr>
        <w:sectPr>
          <w:pgSz w:w="11900" w:h="16838" w:orient="portrait"/>
          <w:cols w:equalWidth="0" w:num="2">
            <w:col w:w="1200" w:space="180"/>
            <w:col w:w="9760"/>
          </w:cols>
          <w:pgMar w:left="240" w:top="141" w:right="51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0"/>
          </w:cols>
          <w:pgMar w:left="240" w:top="141" w:right="519" w:bottom="1440" w:gutter="0" w:footer="0" w:header="0"/>
          <w:type w:val="continuous"/>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4"/>
                <w:szCs w:val="14"/>
                <w:b w:val="1"/>
                <w:bCs w:val="1"/>
                <w:color w:val="auto"/>
              </w:rPr>
              <w:t>Quarter Ended</w:t>
            </w:r>
          </w:p>
        </w:tc>
      </w:tr>
      <w:tr>
        <w:trPr>
          <w:trHeight w:val="175"/>
        </w:trPr>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26,</w:t>
            </w:r>
          </w:p>
        </w:tc>
        <w:tc>
          <w:tcPr>
            <w:tcW w:w="220" w:type="dxa"/>
            <w:vAlign w:val="bottom"/>
          </w:tcPr>
          <w:p>
            <w:pPr>
              <w:spacing w:after="0"/>
              <w:rPr>
                <w:sz w:val="15"/>
                <w:szCs w:val="15"/>
                <w:color w:val="auto"/>
              </w:rPr>
            </w:pPr>
          </w:p>
        </w:tc>
        <w:tc>
          <w:tcPr>
            <w:tcW w:w="1440" w:type="dxa"/>
            <w:vAlign w:val="bottom"/>
          </w:tcPr>
          <w:p>
            <w:pPr>
              <w:jc w:val="right"/>
              <w:ind w:right="300"/>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2010</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131,837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123,711</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123,341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112,512</w:t>
            </w:r>
          </w:p>
        </w:tc>
      </w:tr>
      <w:tr>
        <w:trPr>
          <w:trHeight w:val="25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8,496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11,199</w:t>
            </w:r>
          </w:p>
        </w:tc>
      </w:tr>
      <w:tr>
        <w:trPr>
          <w:trHeight w:val="270"/>
        </w:trPr>
        <w:tc>
          <w:tcPr>
            <w:tcW w:w="7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tcPr>
          <w:p>
            <w:pPr>
              <w:spacing w:after="0"/>
              <w:rPr>
                <w:sz w:val="22"/>
                <w:szCs w:val="22"/>
                <w:color w:val="auto"/>
              </w:rPr>
            </w:pPr>
          </w:p>
        </w:tc>
        <w:tc>
          <w:tcPr>
            <w:tcW w:w="1440" w:type="dxa"/>
            <w:vAlign w:val="bottom"/>
          </w:tcPr>
          <w:p>
            <w:pPr>
              <w:jc w:val="right"/>
              <w:ind w:right="260"/>
              <w:spacing w:after="0"/>
              <w:rPr>
                <w:sz w:val="20"/>
                <w:szCs w:val="20"/>
                <w:color w:val="auto"/>
              </w:rPr>
            </w:pPr>
            <w:r>
              <w:rPr>
                <w:rFonts w:ascii="Arial" w:cs="Arial" w:eastAsia="Arial" w:hAnsi="Arial"/>
                <w:sz w:val="16"/>
                <w:szCs w:val="16"/>
                <w:color w:val="auto"/>
              </w:rPr>
              <w:t>4,162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3,267</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3,707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3,651</w:t>
            </w:r>
          </w:p>
        </w:tc>
      </w:tr>
      <w:tr>
        <w:trPr>
          <w:trHeight w:val="264"/>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Gain on sale of asset held for sale</w:t>
            </w:r>
          </w:p>
        </w:tc>
        <w:tc>
          <w:tcPr>
            <w:tcW w:w="2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(644)</w:t>
            </w:r>
          </w:p>
        </w:tc>
      </w:tr>
      <w:tr>
        <w:trPr>
          <w:trHeight w:val="250"/>
        </w:trPr>
        <w:tc>
          <w:tcPr>
            <w:tcW w:w="798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7,869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6,274</w:t>
            </w:r>
          </w:p>
        </w:tc>
      </w:tr>
      <w:tr>
        <w:trPr>
          <w:trHeight w:val="270"/>
        </w:trPr>
        <w:tc>
          <w:tcPr>
            <w:tcW w:w="7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4,925</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152</w:t>
            </w:r>
          </w:p>
        </w:tc>
      </w:tr>
      <w:tr>
        <w:trPr>
          <w:trHeight w:val="257"/>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5,077</w:t>
            </w:r>
          </w:p>
        </w:tc>
      </w:tr>
      <w:tr>
        <w:trPr>
          <w:trHeight w:val="270"/>
        </w:trPr>
        <w:tc>
          <w:tcPr>
            <w:tcW w:w="7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64"/>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1,291</w:t>
            </w:r>
          </w:p>
        </w:tc>
      </w:tr>
      <w:tr>
        <w:trPr>
          <w:trHeight w:val="280"/>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3,786</w:t>
            </w:r>
          </w:p>
        </w:tc>
      </w:tr>
      <w:tr>
        <w:trPr>
          <w:trHeight w:val="254"/>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3"/>
        </w:trPr>
        <w:tc>
          <w:tcPr>
            <w:tcW w:w="7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0.13</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4"/>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0.13</w:t>
            </w:r>
          </w:p>
        </w:tc>
      </w:tr>
      <w:tr>
        <w:trPr>
          <w:trHeight w:val="254"/>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29,138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29,112</w:t>
            </w:r>
          </w:p>
        </w:tc>
      </w:tr>
      <w:tr>
        <w:trPr>
          <w:trHeight w:val="251"/>
        </w:trPr>
        <w:tc>
          <w:tcPr>
            <w:tcW w:w="79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1"/>
                <w:szCs w:val="21"/>
                <w:color w:val="auto"/>
              </w:rPr>
            </w:pPr>
          </w:p>
        </w:tc>
        <w:tc>
          <w:tcPr>
            <w:tcW w:w="1440" w:type="dxa"/>
            <w:vAlign w:val="bottom"/>
          </w:tcPr>
          <w:p>
            <w:pPr>
              <w:jc w:val="right"/>
              <w:ind w:right="260"/>
              <w:spacing w:after="0"/>
              <w:rPr>
                <w:sz w:val="20"/>
                <w:szCs w:val="20"/>
                <w:color w:val="auto"/>
              </w:rPr>
            </w:pPr>
            <w:r>
              <w:rPr>
                <w:rFonts w:ascii="Arial" w:cs="Arial" w:eastAsia="Arial" w:hAnsi="Arial"/>
                <w:sz w:val="16"/>
                <w:szCs w:val="16"/>
                <w:color w:val="auto"/>
              </w:rPr>
              <w:t>29,212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29,115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26,</w:t>
            </w:r>
          </w:p>
        </w:tc>
        <w:tc>
          <w:tcPr>
            <w:tcW w:w="280" w:type="dxa"/>
            <w:vAlign w:val="bottom"/>
          </w:tcPr>
          <w:p>
            <w:pPr>
              <w:spacing w:after="0"/>
              <w:rPr>
                <w:sz w:val="14"/>
                <w:szCs w:val="14"/>
                <w:color w:val="auto"/>
              </w:rPr>
            </w:pPr>
          </w:p>
        </w:tc>
        <w:tc>
          <w:tcPr>
            <w:tcW w:w="1380" w:type="dxa"/>
            <w:vAlign w:val="bottom"/>
          </w:tcPr>
          <w:p>
            <w:pPr>
              <w:jc w:val="right"/>
              <w:ind w:right="399"/>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2011</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71,299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less allowance for doubtful accounts ($86 and $76, respectively)</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14,670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19,981</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65,190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69,165</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5,003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4,227</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1,525</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649</w:t>
            </w:r>
          </w:p>
        </w:tc>
      </w:tr>
      <w:tr>
        <w:trPr>
          <w:trHeight w:val="247"/>
        </w:trPr>
        <w:tc>
          <w:tcPr>
            <w:tcW w:w="798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21"/>
                <w:szCs w:val="21"/>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158,938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164,854</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21,930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22,589</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600</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9,753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10,627</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23,434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23,669</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1,228</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Amortizable intangible assets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720</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15,054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15,640</w:t>
            </w:r>
          </w:p>
        </w:tc>
      </w:tr>
      <w:tr>
        <w:trPr>
          <w:trHeight w:val="280"/>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231,637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239,927</w:t>
            </w:r>
          </w:p>
        </w:tc>
      </w:tr>
      <w:tr>
        <w:trPr>
          <w:trHeight w:val="254"/>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15,580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21,610</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104</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10,841</w:t>
            </w: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7,335</w:t>
            </w: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3,203</w:t>
            </w: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Accrued loss on repurchases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1,174</w:t>
            </w: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2,177</w:t>
            </w:r>
          </w:p>
        </w:tc>
      </w:tr>
      <w:tr>
        <w:trPr>
          <w:trHeight w:val="264"/>
        </w:trPr>
        <w:tc>
          <w:tcPr>
            <w:tcW w:w="798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4,502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4,874</w:t>
            </w:r>
          </w:p>
        </w:tc>
      </w:tr>
      <w:tr>
        <w:trPr>
          <w:trHeight w:val="257"/>
        </w:trPr>
        <w:tc>
          <w:tcPr>
            <w:tcW w:w="7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42,962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51,318</w:t>
            </w:r>
          </w:p>
        </w:tc>
      </w:tr>
      <w:tr>
        <w:trPr>
          <w:trHeight w:val="254"/>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Long-term liabilities: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5,213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5,387</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74,074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74,492</w:t>
            </w:r>
          </w:p>
        </w:tc>
      </w:tr>
      <w:tr>
        <w:trPr>
          <w:trHeight w:val="257"/>
        </w:trPr>
        <w:tc>
          <w:tcPr>
            <w:tcW w:w="7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79,287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79,879</w:t>
            </w:r>
          </w:p>
        </w:tc>
      </w:tr>
      <w:tr>
        <w:trPr>
          <w:trHeight w:val="254"/>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 authorized 60,000 shares, issued 51,776 shares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25,888</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30,173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30,131</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433,553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432,518</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(454)</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(22,633 and 22,641 shares, respectively)</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(379,218)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(379,353)</w:t>
            </w:r>
          </w:p>
        </w:tc>
      </w:tr>
      <w:tr>
        <w:trPr>
          <w:trHeight w:val="250"/>
        </w:trPr>
        <w:tc>
          <w:tcPr>
            <w:tcW w:w="7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109,388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108,730</w:t>
            </w:r>
          </w:p>
        </w:tc>
      </w:tr>
      <w:tr>
        <w:trPr>
          <w:trHeight w:val="24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231,637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239,927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26,</w:t>
            </w:r>
          </w:p>
        </w:tc>
        <w:tc>
          <w:tcPr>
            <w:tcW w:w="240" w:type="dxa"/>
            <w:vAlign w:val="bottom"/>
          </w:tcPr>
          <w:p>
            <w:pPr>
              <w:spacing w:after="0"/>
              <w:rPr>
                <w:sz w:val="15"/>
                <w:szCs w:val="15"/>
                <w:color w:val="auto"/>
              </w:rPr>
            </w:pPr>
          </w:p>
        </w:tc>
        <w:tc>
          <w:tcPr>
            <w:tcW w:w="1440" w:type="dxa"/>
            <w:vAlign w:val="bottom"/>
          </w:tcPr>
          <w:p>
            <w:pPr>
              <w:jc w:val="right"/>
              <w:ind w:right="300"/>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2010</w:t>
            </w:r>
          </w:p>
        </w:tc>
      </w:tr>
      <w:tr>
        <w:trPr>
          <w:trHeight w:val="27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3,786</w:t>
            </w:r>
          </w:p>
        </w:tc>
      </w:tr>
      <w:tr>
        <w:trPr>
          <w:trHeight w:val="28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1,430</w:t>
            </w: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364</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80</w:t>
            </w: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(provision) allowance</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291</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345</w:t>
            </w: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tcPr>
          <w:p>
            <w:pPr>
              <w:spacing w:after="0"/>
              <w:rPr>
                <w:sz w:val="22"/>
                <w:szCs w:val="22"/>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(324)</w:t>
            </w: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property</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(693)</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Gain on life insurance</w:t>
            </w:r>
          </w:p>
        </w:tc>
        <w:tc>
          <w:tcPr>
            <w:tcW w:w="240" w:type="dxa"/>
            <w:vAlign w:val="bottom"/>
          </w:tcPr>
          <w:p>
            <w:pPr>
              <w:spacing w:after="0"/>
              <w:rPr>
                <w:sz w:val="22"/>
                <w:szCs w:val="22"/>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29</w:t>
            </w:r>
          </w:p>
        </w:tc>
      </w:tr>
      <w:tr>
        <w:trPr>
          <w:trHeight w:val="260"/>
        </w:trPr>
        <w:tc>
          <w:tcPr>
            <w:tcW w:w="796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3,647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(2,011)</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Receivables and prepaid assets</w:t>
            </w: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4,525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2,246</w:t>
            </w:r>
          </w:p>
        </w:tc>
      </w:tr>
      <w:tr>
        <w:trPr>
          <w:trHeight w:val="280"/>
        </w:trPr>
        <w:tc>
          <w:tcPr>
            <w:tcW w:w="79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974</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2"/>
                <w:szCs w:val="22"/>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(8,597)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(3,435)</w:t>
            </w:r>
          </w:p>
        </w:tc>
      </w:tr>
      <w:tr>
        <w:trPr>
          <w:trHeight w:val="273"/>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(926)</w:t>
            </w:r>
          </w:p>
        </w:tc>
      </w:tr>
      <w:tr>
        <w:trPr>
          <w:trHeight w:val="250"/>
        </w:trPr>
        <w:tc>
          <w:tcPr>
            <w:tcW w:w="7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2,173</w:t>
            </w:r>
          </w:p>
        </w:tc>
      </w:tr>
      <w:tr>
        <w:trPr>
          <w:trHeight w:val="270"/>
        </w:trPr>
        <w:tc>
          <w:tcPr>
            <w:tcW w:w="7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96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1,200</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Proceeds from life insurance</w:t>
            </w: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(667)</w:t>
            </w:r>
          </w:p>
        </w:tc>
      </w:tr>
      <w:tr>
        <w:trPr>
          <w:trHeight w:val="260"/>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40" w:type="dxa"/>
            <w:vAlign w:val="bottom"/>
          </w:tcPr>
          <w:p>
            <w:pPr>
              <w:jc w:val="right"/>
              <w:ind w:right="240"/>
              <w:spacing w:after="0"/>
              <w:rPr>
                <w:sz w:val="20"/>
                <w:szCs w:val="20"/>
                <w:color w:val="auto"/>
              </w:rPr>
            </w:pPr>
            <w:r>
              <w:rPr>
                <w:rFonts w:ascii="Arial" w:cs="Arial" w:eastAsia="Arial" w:hAnsi="Arial"/>
                <w:sz w:val="16"/>
                <w:szCs w:val="16"/>
                <w:color w:val="auto"/>
              </w:rPr>
              <w:t>3,769</w:t>
            </w:r>
          </w:p>
        </w:tc>
      </w:tr>
      <w:tr>
        <w:trPr>
          <w:trHeight w:val="273"/>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24</w:t>
            </w:r>
          </w:p>
        </w:tc>
      </w:tr>
      <w:tr>
        <w:trPr>
          <w:trHeight w:val="250"/>
        </w:trPr>
        <w:tc>
          <w:tcPr>
            <w:tcW w:w="7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4,326</w:t>
            </w:r>
          </w:p>
        </w:tc>
      </w:tr>
      <w:tr>
        <w:trPr>
          <w:trHeight w:val="270"/>
        </w:trPr>
        <w:tc>
          <w:tcPr>
            <w:tcW w:w="7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96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9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purchases of common stock</w:t>
            </w:r>
          </w:p>
        </w:tc>
        <w:tc>
          <w:tcPr>
            <w:tcW w:w="2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(89)</w:t>
            </w:r>
          </w:p>
        </w:tc>
      </w:tr>
      <w:tr>
        <w:trPr>
          <w:trHeight w:val="264"/>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64</w:t>
            </w:r>
          </w:p>
        </w:tc>
      </w:tr>
      <w:tr>
        <w:trPr>
          <w:trHeight w:val="25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(25)</w:t>
            </w:r>
          </w:p>
        </w:tc>
      </w:tr>
      <w:tr>
        <w:trPr>
          <w:trHeight w:val="270"/>
        </w:trPr>
        <w:tc>
          <w:tcPr>
            <w:tcW w:w="7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6,474</w:t>
            </w:r>
          </w:p>
        </w:tc>
      </w:tr>
      <w:tr>
        <w:trPr>
          <w:trHeight w:val="264"/>
        </w:trPr>
        <w:tc>
          <w:tcPr>
            <w:tcW w:w="7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69,307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74,691</w:t>
            </w:r>
          </w:p>
        </w:tc>
      </w:tr>
      <w:tr>
        <w:trPr>
          <w:trHeight w:val="240"/>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71,299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81,165</w:t>
            </w: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4"/>
        </w:trPr>
        <w:tc>
          <w:tcPr>
            <w:tcW w:w="7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4"/>
        </w:trPr>
        <w:tc>
          <w:tcPr>
            <w:tcW w:w="7960" w:type="dxa"/>
            <w:vAlign w:val="bottom"/>
            <w:gridSpan w:val="2"/>
          </w:tcPr>
          <w:p>
            <w:pPr>
              <w:ind w:left="280"/>
              <w:spacing w:after="0"/>
              <w:rPr>
                <w:sz w:val="20"/>
                <w:szCs w:val="20"/>
                <w:color w:val="auto"/>
              </w:rPr>
            </w:pPr>
            <w:r>
              <w:rPr>
                <w:rFonts w:ascii="Arial" w:cs="Arial" w:eastAsia="Arial" w:hAnsi="Arial"/>
                <w:sz w:val="16"/>
                <w:szCs w:val="16"/>
                <w:color w:val="auto"/>
              </w:rPr>
              <w:t>Income taxes paid, net of refunds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25</w:t>
            </w: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41"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1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subsidiary, Winnebago of Indiana, LLC, as appropriate in the context.</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November 26, 2011 and the consolidated results of operations for the first quarters of Fiscal 2012 and 2011, and consolidated cash flows for the first quarters of Fiscal 2012 and 2011. The consolidated statement of operations for the first quarter of Fiscal 2012 is not necessarily indicative of the results to be expected for the full year. The consolidated balance sheet data as of August 27, 2011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27, 2011.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On May 12, 2011, the FASB issued ASU 2011-04,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requires measurement uncertainty disclosure in the form of a sensitivity analysis of unobservable inputs to reasonable alternative amounts for all Level 3 recurring fair value measurements. ASU 2011-04 will be effective for interim and annual periods beginning on or after December 15, 2011 (the third quarter of our Fiscal 2012). We do not believe that this will have a significant impact on our consolidated financial statements.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On June 16,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ASU 2011-05 will be effective for fiscal years beginning after December 15, 2011 (our Fiscal 2013). We do not believe that this will have a significant impact on our consolidated financial statements.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will be effective for fiscal years beginning after December 15, 2011 (our Fiscal 2013). We do not believe that this will have a significant impact on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the prior year in the statement of cash flows have been reclassified to conform to the current year financial statement presentation.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reclassifications had no effect on total operating, investing, or financing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Acquisition</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December 29, 2010 we purchased, through Towables, substantially all of the assets of SunnyBrook, a manufacturer of travel trailer and fifth wheel RVs. The aggregate consideration paid was $4.7 million in cash, net of cash acquired, including the repayment of $3.3 million of SunnyBrook commercial and shareholder debt on the closing date. The assets acquired include inventory, equipment and other tangible and intangible property and are being used in connection with the operation of manufacturing towable recreation vehicles. Also on December 29, 2010, we entered into a five year operating lease agreement for the SunnyBrook facilities. The operations of Towables are included in our consolidated operating results from the date of its acquisition. Towables will continue to manufacture products under the SunnyBrook brands. In addition, Towables has begun to diversify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earnings growth.</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95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3"/>
        </w:trPr>
        <w:tc>
          <w:tcPr>
            <w:tcW w:w="9520" w:type="dxa"/>
            <w:vAlign w:val="bottom"/>
            <w:gridSpan w:val="3"/>
          </w:tcPr>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9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29, 2010</w:t>
            </w:r>
          </w:p>
        </w:tc>
      </w:tr>
      <w:tr>
        <w:trPr>
          <w:trHeight w:val="257"/>
        </w:trPr>
        <w:tc>
          <w:tcPr>
            <w:tcW w:w="9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5,773</w:t>
            </w:r>
          </w:p>
        </w:tc>
      </w:tr>
      <w:tr>
        <w:trPr>
          <w:trHeight w:val="260"/>
        </w:trPr>
        <w:tc>
          <w:tcPr>
            <w:tcW w:w="952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337</w:t>
            </w:r>
          </w:p>
        </w:tc>
      </w:tr>
      <w:tr>
        <w:trPr>
          <w:trHeight w:val="280"/>
        </w:trPr>
        <w:tc>
          <w:tcPr>
            <w:tcW w:w="9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0"/>
        </w:trPr>
        <w:tc>
          <w:tcPr>
            <w:tcW w:w="9520" w:type="dxa"/>
            <w:vAlign w:val="bottom"/>
            <w:gridSpan w:val="3"/>
          </w:tcPr>
          <w:p>
            <w:pPr>
              <w:ind w:left="40"/>
              <w:spacing w:after="0"/>
              <w:rPr>
                <w:sz w:val="20"/>
                <w:szCs w:val="20"/>
                <w:color w:val="auto"/>
              </w:rPr>
            </w:pPr>
            <w:r>
              <w:rPr>
                <w:rFonts w:ascii="Arial" w:cs="Arial" w:eastAsia="Arial" w:hAnsi="Arial"/>
                <w:sz w:val="16"/>
                <w:szCs w:val="16"/>
                <w:color w:val="auto"/>
              </w:rPr>
              <w:t>Dealer network</w:t>
            </w:r>
          </w:p>
        </w:tc>
        <w:tc>
          <w:tcPr>
            <w:tcW w:w="18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535</w:t>
            </w:r>
          </w:p>
        </w:tc>
      </w:tr>
      <w:tr>
        <w:trPr>
          <w:trHeight w:val="280"/>
        </w:trPr>
        <w:tc>
          <w:tcPr>
            <w:tcW w:w="9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w:t>
            </w:r>
          </w:p>
        </w:tc>
      </w:tr>
      <w:tr>
        <w:trPr>
          <w:trHeight w:val="260"/>
        </w:trPr>
        <w:tc>
          <w:tcPr>
            <w:tcW w:w="9520" w:type="dxa"/>
            <w:vAlign w:val="bottom"/>
            <w:gridSpan w:val="3"/>
          </w:tcPr>
          <w:p>
            <w:pPr>
              <w:ind w:left="40"/>
              <w:spacing w:after="0"/>
              <w:rPr>
                <w:sz w:val="20"/>
                <w:szCs w:val="20"/>
                <w:color w:val="auto"/>
              </w:rPr>
            </w:pPr>
            <w:r>
              <w:rPr>
                <w:rFonts w:ascii="Arial" w:cs="Arial" w:eastAsia="Arial" w:hAnsi="Arial"/>
                <w:sz w:val="16"/>
                <w:szCs w:val="16"/>
                <w:color w:val="auto"/>
              </w:rPr>
              <w:t>Non-compete agreement</w:t>
            </w:r>
          </w:p>
        </w:tc>
        <w:tc>
          <w:tcPr>
            <w:tcW w:w="18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40</w:t>
            </w:r>
          </w:p>
        </w:tc>
      </w:tr>
      <w:tr>
        <w:trPr>
          <w:trHeight w:val="273"/>
        </w:trPr>
        <w:tc>
          <w:tcPr>
            <w:tcW w:w="9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(2,513)</w:t>
            </w:r>
          </w:p>
        </w:tc>
      </w:tr>
      <w:tr>
        <w:trPr>
          <w:trHeight w:val="247"/>
        </w:trPr>
        <w:tc>
          <w:tcPr>
            <w:tcW w:w="9520" w:type="dxa"/>
            <w:vAlign w:val="bottom"/>
            <w:gridSpan w:val="3"/>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18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5,596</w:t>
            </w:r>
          </w:p>
        </w:tc>
      </w:tr>
      <w:tr>
        <w:trPr>
          <w:trHeight w:val="273"/>
        </w:trPr>
        <w:tc>
          <w:tcPr>
            <w:tcW w:w="9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(902)</w:t>
            </w:r>
          </w:p>
        </w:tc>
      </w:tr>
      <w:tr>
        <w:trPr>
          <w:trHeight w:val="240"/>
        </w:trPr>
        <w:tc>
          <w:tcPr>
            <w:tcW w:w="9520" w:type="dxa"/>
            <w:vAlign w:val="bottom"/>
            <w:gridSpan w:val="3"/>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4,694</w:t>
            </w:r>
          </w:p>
        </w:tc>
      </w:tr>
      <w:tr>
        <w:trPr>
          <w:trHeight w:val="20"/>
        </w:trPr>
        <w:tc>
          <w:tcPr>
            <w:tcW w:w="12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is being amortized on a straight line basis over 10 years. The trademarks were valued based on the Relief from Royalty Method and are being amortized on a straight line basis over 10 years. The non-compete agreement is being amortized on a straight line basis over 7 years. Goodwill is not subject to amortization and is tax deductible. Pro forma financial information has not been presented due to its insignificance.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2011 and August 27, 2011 according to the valuation techniques we used to determine their fair values: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gridSpan w:val="7"/>
          </w:tcPr>
          <w:p>
            <w:pPr>
              <w:jc w:val="right"/>
              <w:ind w:right="621"/>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20" w:type="dxa"/>
            <w:vAlign w:val="bottom"/>
          </w:tcPr>
          <w:p>
            <w:pPr>
              <w:jc w:val="center"/>
              <w:ind w:right="201"/>
              <w:spacing w:after="0"/>
              <w:rPr>
                <w:sz w:val="20"/>
                <w:szCs w:val="20"/>
                <w:color w:val="auto"/>
              </w:rPr>
            </w:pPr>
            <w:r>
              <w:rPr>
                <w:rFonts w:ascii="Arial" w:cs="Arial" w:eastAsia="Arial" w:hAnsi="Arial"/>
                <w:sz w:val="14"/>
                <w:szCs w:val="14"/>
                <w:b w:val="1"/>
                <w:bCs w:val="1"/>
                <w:color w:val="auto"/>
              </w:rPr>
              <w:t>Level 3</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at</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320" w:type="dxa"/>
            <w:vAlign w:val="bottom"/>
          </w:tcPr>
          <w:p>
            <w:pPr>
              <w:jc w:val="center"/>
              <w:ind w:right="1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November 26,</w:t>
            </w: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Markets for Identical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 with pending redemptions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20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9,753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9,753</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9,082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9,082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Fixed income</w:t>
            </w:r>
          </w:p>
        </w:tc>
        <w:tc>
          <w:tcPr>
            <w:tcW w:w="20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20,972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9,753</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8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right"/>
              <w:ind w:right="621"/>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320" w:type="dxa"/>
            <w:vAlign w:val="bottom"/>
          </w:tcPr>
          <w:p>
            <w:pPr>
              <w:jc w:val="center"/>
              <w:ind w:right="201"/>
              <w:spacing w:after="0"/>
              <w:rPr>
                <w:sz w:val="20"/>
                <w:szCs w:val="20"/>
                <w:color w:val="auto"/>
              </w:rPr>
            </w:pPr>
            <w:r>
              <w:rPr>
                <w:rFonts w:ascii="Arial" w:cs="Arial" w:eastAsia="Arial" w:hAnsi="Arial"/>
                <w:sz w:val="14"/>
                <w:szCs w:val="14"/>
                <w:b w:val="1"/>
                <w:bCs w:val="1"/>
                <w:color w:val="auto"/>
              </w:rPr>
              <w:t>Level 3</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320" w:type="dxa"/>
            <w:vAlign w:val="bottom"/>
          </w:tcPr>
          <w:p>
            <w:pPr>
              <w:jc w:val="center"/>
              <w:ind w:right="181"/>
              <w:spacing w:after="0"/>
              <w:rPr>
                <w:sz w:val="20"/>
                <w:szCs w:val="20"/>
                <w:color w:val="auto"/>
              </w:rPr>
            </w:pPr>
            <w:r>
              <w:rPr>
                <w:rFonts w:ascii="Arial" w:cs="Arial" w:eastAsia="Arial" w:hAnsi="Arial"/>
                <w:sz w:val="14"/>
                <w:szCs w:val="14"/>
                <w:b w:val="1"/>
                <w:bCs w:val="1"/>
                <w:color w:val="auto"/>
              </w:rPr>
              <w:t>Significant</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August 27, 2011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Identical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10,627</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10,627</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9,362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9,362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Fixed income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22,079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10,627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previous table, that used significant unobservable inputs (Level 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26,</w:t>
            </w:r>
          </w:p>
        </w:tc>
        <w:tc>
          <w:tcPr>
            <w:tcW w:w="240" w:type="dxa"/>
            <w:vAlign w:val="bottom"/>
          </w:tcPr>
          <w:p>
            <w:pPr>
              <w:spacing w:after="0"/>
              <w:rPr>
                <w:sz w:val="14"/>
                <w:szCs w:val="14"/>
                <w:color w:val="auto"/>
              </w:rPr>
            </w:pPr>
          </w:p>
        </w:tc>
        <w:tc>
          <w:tcPr>
            <w:tcW w:w="1440" w:type="dxa"/>
            <w:vAlign w:val="bottom"/>
          </w:tcPr>
          <w:p>
            <w:pPr>
              <w:jc w:val="right"/>
              <w:ind w:right="302"/>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2010</w:t>
            </w:r>
          </w:p>
        </w:tc>
      </w:tr>
      <w:tr>
        <w:trPr>
          <w:trHeight w:val="256"/>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10,627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17,785</w:t>
            </w:r>
          </w:p>
        </w:tc>
      </w:tr>
      <w:tr>
        <w:trPr>
          <w:trHeight w:val="260"/>
        </w:trPr>
        <w:tc>
          <w:tcPr>
            <w:tcW w:w="796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240" w:type="dxa"/>
            <w:vAlign w:val="bottom"/>
          </w:tcPr>
          <w:p>
            <w:pPr>
              <w:spacing w:after="0"/>
              <w:rPr>
                <w:sz w:val="22"/>
                <w:szCs w:val="22"/>
                <w:color w:val="auto"/>
              </w:rPr>
            </w:pP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(5,250)</w:t>
            </w:r>
          </w:p>
        </w:tc>
      </w:tr>
      <w:tr>
        <w:trPr>
          <w:trHeight w:val="280"/>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(189)</w:t>
            </w:r>
          </w:p>
        </w:tc>
      </w:tr>
      <w:tr>
        <w:trPr>
          <w:trHeight w:val="264"/>
        </w:trPr>
        <w:tc>
          <w:tcPr>
            <w:tcW w:w="7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Sales</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(1,200)</w:t>
            </w:r>
          </w:p>
        </w:tc>
      </w:tr>
      <w:tr>
        <w:trPr>
          <w:trHeight w:val="240"/>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9,753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11,146</w:t>
            </w: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Transfers between Levels</w:t>
      </w:r>
    </w:p>
    <w:p>
      <w:pPr>
        <w:spacing w:after="0" w:line="2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During the first quarter of Fiscal 2012 there were two transfers out of Level 3 valued assets; a transfer of $500,000 was related to a redemption at par of ARS that occurred during the quarter, and a transfer of $250,000 was related to a redemption of ARS that was pending at the end of the quarter.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carrying value of cash equivalents approximates fair value as maturities are less than three months. Our cash equivalents are comprised of money market funds traded in an active market with no restrictions.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and Short-Term Investments</w:t>
      </w:r>
    </w:p>
    <w:p>
      <w:pPr>
        <w:spacing w:after="0" w:line="2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Our debt securities are comprised of ARS. Our long-term ARS related investments (as described in Note 4) are classified as Level 3 as quoted prices were unavailable due to events described in Note 4. Due to limited market information, we utilized a DCF model to derive an estimate of fair value at November 26, 2011.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All of our short-term ARS portfolio is classified as Level 2 as they are also in an inactive market, but inputs other than quoted prices were observable and used to value the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Our assets that fund deferred compensation are marketable equity securities and are measured at fair value using quoted market prices and primarily consist of equity-based mutual funds. They are classified as Level 1 as they are traded in an active market for which closing stock prices are readily available. These securities fund the Executive Share Option Plan, a deferred compensation program, and are presented as other assets in the accompanying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quarter of Fiscal 2012, no impairments were recorded for non-financial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At November 26, 2011, we held $10.2 million (par value) of investments comprised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AAA/Aaa rated with most collateralized by student loans guaranteed by the U.S. Government under the Federal Family Education Loan Program.</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our ARS. However, redemption could take until final maturity of the ARS (up to 30 years) to realize the par value of our investments. Due to the changes and uncertainty in the ARS market, we believe the recovery period for these investments is likely to be longer than 12 months and as a result, we have classified these investments as long-term as of November 26, 2011. On December 1, 2011 we received notice of a partial redemption on a particular ARS with payment received on December 2, 2011. As a result, of the total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$10.2 million of ARS investments, we have classified $10.0 million (par value) as long-term with the remaining amount of $250,000 classified as short-term investments as of November 26, 2011.</w:t>
      </w:r>
    </w:p>
    <w:p>
      <w:pPr>
        <w:spacing w:after="0" w:line="16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At November 26, 2011, there was insufficient observable ARS market information available to determine the fair value of our long term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$197,000 related to our long-term ARS investments of $10.0 million (par value).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Inventories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26,</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27,446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29,656</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22"/>
                <w:szCs w:val="22"/>
                <w:color w:val="auto"/>
              </w:rPr>
            </w:pP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29,153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31,966</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40,556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39,180</w:t>
            </w:r>
          </w:p>
        </w:tc>
      </w:tr>
      <w:tr>
        <w:trPr>
          <w:trHeight w:val="247"/>
        </w:trPr>
        <w:tc>
          <w:tcPr>
            <w:tcW w:w="7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97,155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100,802</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(31,965)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(31,637)</w:t>
            </w:r>
          </w:p>
        </w:tc>
      </w:tr>
      <w:tr>
        <w:trPr>
          <w:trHeight w:val="24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65,190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69,165</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above values of inventories, before reduction for the LIFO reserve, approximates replacement cost at the respective dates. Of the $97.2 million inventory at November 26, 2011, $88.6 million is valued on a LIFO basis and the Towables inventory of $8.6 million is valued on a first-in, first-out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26,</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767</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Buildings</w:t>
            </w:r>
          </w:p>
        </w:tc>
        <w:tc>
          <w:tcPr>
            <w:tcW w:w="240" w:type="dxa"/>
            <w:vAlign w:val="bottom"/>
          </w:tcPr>
          <w:p>
            <w:pPr>
              <w:spacing w:after="0"/>
              <w:rPr>
                <w:sz w:val="22"/>
                <w:szCs w:val="22"/>
                <w:color w:val="auto"/>
              </w:rPr>
            </w:pPr>
          </w:p>
        </w:tc>
        <w:tc>
          <w:tcPr>
            <w:tcW w:w="1440" w:type="dxa"/>
            <w:vAlign w:val="bottom"/>
          </w:tcPr>
          <w:p>
            <w:pPr>
              <w:jc w:val="right"/>
              <w:ind w:right="261"/>
              <w:spacing w:after="0"/>
              <w:rPr>
                <w:sz w:val="20"/>
                <w:szCs w:val="20"/>
                <w:color w:val="auto"/>
              </w:rPr>
            </w:pPr>
            <w:r>
              <w:rPr>
                <w:rFonts w:ascii="Arial" w:cs="Arial" w:eastAsia="Arial" w:hAnsi="Arial"/>
                <w:sz w:val="16"/>
                <w:szCs w:val="16"/>
                <w:color w:val="auto"/>
              </w:rPr>
              <w:t>49,490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49,226</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90,456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90,380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 equipment</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8,837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8,837</w:t>
            </w:r>
          </w:p>
        </w:tc>
      </w:tr>
      <w:tr>
        <w:trPr>
          <w:trHeight w:val="257"/>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149,550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149,210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(127,620)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(126,621)</w:t>
            </w:r>
          </w:p>
        </w:tc>
      </w:tr>
      <w:tr>
        <w:trPr>
          <w:trHeight w:val="24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21,930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22,589</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Assets held for sale as of November 26, 2011 of $600,000 consisted of an idled fiberglass manufacturing facility in Hampton, Iowa. As previously reported, we entered into a purchase agreement ("Purchase Agreement") with PDM on October 14, 2011 for the sale of our idled Hampton facility to PDM for $725,000. While formal notice as required by the Purchase Agreement has not been received, it is our understanding that PDM intends to terminate the Purchase Agreement. Thus, we do not expect that the sale to PDM will be completed and we expect the property will be placed back on the market for sale.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Amortizable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Goodwill and other intangible assets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November 26, 2011</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August 27, 2011</w:t>
            </w:r>
          </w:p>
        </w:tc>
      </w:tr>
      <w:tr>
        <w:trPr>
          <w:trHeight w:val="175"/>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3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Non-compete agreement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Goodwill and other intangible assets are the result of the acquisition of SunnyBrook during the second quarter of Fiscal 2011. Goodwill is not subject to amortization. Amortizable intangible assets are amortized on a straight-line basis. The weighted average remaining amortization period at November 26, 2011 is 8.9 years.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of intangible assets for the next five years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r>
      <w:tr>
        <w:trPr>
          <w:trHeight w:val="256"/>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60"/>
        </w:trPr>
        <w:tc>
          <w:tcPr>
            <w:tcW w:w="1160" w:type="dxa"/>
            <w:vAlign w:val="bottom"/>
          </w:tcPr>
          <w:p>
            <w:pPr>
              <w:spacing w:after="0"/>
              <w:rPr>
                <w:sz w:val="22"/>
                <w:szCs w:val="22"/>
                <w:color w:val="auto"/>
              </w:rPr>
            </w:pPr>
          </w:p>
        </w:tc>
        <w:tc>
          <w:tcPr>
            <w:tcW w:w="9240" w:type="dxa"/>
            <w:vAlign w:val="bottom"/>
          </w:tcPr>
          <w:p>
            <w:pPr>
              <w:jc w:val="right"/>
              <w:ind w:right="865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1160" w:type="dxa"/>
            <w:vAlign w:val="bottom"/>
            <w:shd w:val="clear" w:color="auto" w:fill="CCEEFF"/>
          </w:tcPr>
          <w:p>
            <w:pPr>
              <w:spacing w:after="0"/>
              <w:rPr>
                <w:sz w:val="24"/>
                <w:szCs w:val="24"/>
                <w:color w:val="auto"/>
              </w:rPr>
            </w:pP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60"/>
        </w:trPr>
        <w:tc>
          <w:tcPr>
            <w:tcW w:w="1160" w:type="dxa"/>
            <w:vAlign w:val="bottom"/>
          </w:tcPr>
          <w:p>
            <w:pPr>
              <w:spacing w:after="0"/>
              <w:rPr>
                <w:sz w:val="22"/>
                <w:szCs w:val="22"/>
                <w:color w:val="auto"/>
              </w:rPr>
            </w:pPr>
          </w:p>
        </w:tc>
        <w:tc>
          <w:tcPr>
            <w:tcW w:w="9240" w:type="dxa"/>
            <w:vAlign w:val="bottom"/>
          </w:tcPr>
          <w:p>
            <w:pPr>
              <w:jc w:val="right"/>
              <w:ind w:right="86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1160" w:type="dxa"/>
            <w:vAlign w:val="bottom"/>
            <w:shd w:val="clear" w:color="auto" w:fill="CCEEFF"/>
          </w:tcPr>
          <w:p>
            <w:pPr>
              <w:spacing w:after="0"/>
              <w:rPr>
                <w:sz w:val="24"/>
                <w:szCs w:val="24"/>
                <w:color w:val="auto"/>
              </w:rPr>
            </w:pP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Facility</w:t>
      </w:r>
    </w:p>
    <w:p>
      <w:pPr>
        <w:spacing w:after="0" w:line="21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w:t>
      </w:r>
    </w:p>
    <w:p>
      <w:pPr>
        <w:spacing w:after="0" w:line="176"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Interest on loans made under the Loan Agreement will be based on the greater of LIBOR or a base rate of 2.0% plus a margin of 4.0% or the greater of prime rate or 4.25% plus a margin of 3.0%. The unused line fee associated with the Loan Agreement is 1.25% per annum. Additionally, under certain circumstances, we will be required to pay an early termination fee of 1% of the maximum credit available under the Loan Agreement if we terminate the Loan Agreement prior to October 13, 2012.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Warranty</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motor homes, and a 3-year/36,000-mile structural warranty on Class A and Class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on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on past claim rate experiences and the estimated cost of the repairs.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222"/>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26,</w:t>
            </w:r>
          </w:p>
        </w:tc>
        <w:tc>
          <w:tcPr>
            <w:tcW w:w="240" w:type="dxa"/>
            <w:vAlign w:val="bottom"/>
          </w:tcPr>
          <w:p>
            <w:pPr>
              <w:spacing w:after="0"/>
              <w:rPr>
                <w:sz w:val="15"/>
                <w:szCs w:val="15"/>
                <w:color w:val="auto"/>
              </w:rPr>
            </w:pPr>
          </w:p>
        </w:tc>
        <w:tc>
          <w:tcPr>
            <w:tcW w:w="1520" w:type="dxa"/>
            <w:vAlign w:val="bottom"/>
          </w:tcPr>
          <w:p>
            <w:pPr>
              <w:jc w:val="right"/>
              <w:ind w:right="362"/>
              <w:spacing w:after="0"/>
              <w:rPr>
                <w:sz w:val="20"/>
                <w:szCs w:val="20"/>
                <w:color w:val="auto"/>
              </w:rPr>
            </w:pPr>
            <w:r>
              <w:rPr>
                <w:rFonts w:ascii="Arial" w:cs="Arial" w:eastAsia="Arial" w:hAnsi="Arial"/>
                <w:sz w:val="14"/>
                <w:szCs w:val="14"/>
                <w:b w:val="1"/>
                <w:bCs w:val="1"/>
                <w:color w:val="auto"/>
              </w:rPr>
              <w:t>November 27,</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7,335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Provision</w:t>
            </w:r>
          </w:p>
        </w:tc>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43"/>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40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3"/>
              <w:spacing w:after="0"/>
              <w:rPr>
                <w:sz w:val="20"/>
                <w:szCs w:val="20"/>
                <w:color w:val="auto"/>
              </w:rPr>
            </w:pPr>
            <w:r>
              <w:rPr>
                <w:rFonts w:ascii="Arial" w:cs="Arial" w:eastAsia="Arial" w:hAnsi="Arial"/>
                <w:sz w:val="16"/>
                <w:szCs w:val="16"/>
                <w:color w:val="auto"/>
              </w:rPr>
              <w:t>7,022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7,607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720" w:type="dxa"/>
            <w:vAlign w:val="bottom"/>
            <w:vMerge w:val="restart"/>
          </w:tcPr>
          <w:p>
            <w:pPr>
              <w:jc w:val="right"/>
              <w:ind w:right="18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Employee and Retiree Benefits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Postretirement health care and deferred compensation benefits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26,</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41,668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41,370</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220" w:type="dxa"/>
            <w:vAlign w:val="bottom"/>
          </w:tcPr>
          <w:p>
            <w:pPr>
              <w:spacing w:after="0"/>
              <w:rPr>
                <w:sz w:val="22"/>
                <w:szCs w:val="22"/>
                <w:color w:val="auto"/>
              </w:rPr>
            </w:pP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24,384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24,622</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8,819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9,286</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220" w:type="dxa"/>
            <w:vAlign w:val="bottom"/>
          </w:tcPr>
          <w:p>
            <w:pPr>
              <w:spacing w:after="0"/>
              <w:rPr>
                <w:sz w:val="22"/>
                <w:szCs w:val="22"/>
                <w:color w:val="auto"/>
              </w:rPr>
            </w:pP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3,086</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93</w:t>
            </w:r>
          </w:p>
        </w:tc>
      </w:tr>
      <w:tr>
        <w:trPr>
          <w:trHeight w:val="247"/>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20" w:type="dxa"/>
            <w:vAlign w:val="bottom"/>
          </w:tcPr>
          <w:p>
            <w:pPr>
              <w:spacing w:after="0"/>
              <w:rPr>
                <w:sz w:val="21"/>
                <w:szCs w:val="21"/>
                <w:color w:val="auto"/>
              </w:rPr>
            </w:pPr>
          </w:p>
        </w:tc>
        <w:tc>
          <w:tcPr>
            <w:tcW w:w="1460" w:type="dxa"/>
            <w:vAlign w:val="bottom"/>
          </w:tcPr>
          <w:p>
            <w:pPr>
              <w:jc w:val="right"/>
              <w:ind w:right="261"/>
              <w:spacing w:after="0"/>
              <w:rPr>
                <w:sz w:val="20"/>
                <w:szCs w:val="20"/>
                <w:color w:val="auto"/>
              </w:rPr>
            </w:pPr>
            <w:r>
              <w:rPr>
                <w:rFonts w:ascii="Arial" w:cs="Arial" w:eastAsia="Arial" w:hAnsi="Arial"/>
                <w:sz w:val="16"/>
                <w:szCs w:val="16"/>
                <w:color w:val="auto"/>
              </w:rPr>
              <w:t>78,086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78,457</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(4,012)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(3,965)</w:t>
            </w:r>
          </w:p>
        </w:tc>
      </w:tr>
      <w:tr>
        <w:trPr>
          <w:trHeight w:val="24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74,074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74,492</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Health Care Benefits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We use a September 1 measurement date for this plan and our postretirement health care plan currently is not funded. 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Net periodic postretirement benefit income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222"/>
              <w:spacing w:after="0"/>
              <w:rPr>
                <w:sz w:val="20"/>
                <w:szCs w:val="20"/>
                <w:color w:val="auto"/>
              </w:rPr>
            </w:pPr>
            <w:r>
              <w:rPr>
                <w:rFonts w:ascii="Arial" w:cs="Arial" w:eastAsia="Arial" w:hAnsi="Arial"/>
                <w:sz w:val="14"/>
                <w:szCs w:val="14"/>
                <w:b w:val="1"/>
                <w:bCs w:val="1"/>
                <w:color w:val="auto"/>
              </w:rPr>
              <w:t>Quarter Ended</w:t>
            </w:r>
          </w:p>
        </w:tc>
      </w:tr>
      <w:tr>
        <w:trPr>
          <w:trHeight w:val="175"/>
        </w:trPr>
        <w:tc>
          <w:tcPr>
            <w:tcW w:w="7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26,</w:t>
            </w:r>
          </w:p>
        </w:tc>
        <w:tc>
          <w:tcPr>
            <w:tcW w:w="240" w:type="dxa"/>
            <w:vAlign w:val="bottom"/>
          </w:tcPr>
          <w:p>
            <w:pPr>
              <w:spacing w:after="0"/>
              <w:rPr>
                <w:sz w:val="15"/>
                <w:szCs w:val="15"/>
                <w:color w:val="auto"/>
              </w:rPr>
            </w:pPr>
          </w:p>
        </w:tc>
        <w:tc>
          <w:tcPr>
            <w:tcW w:w="1520" w:type="dxa"/>
            <w:vAlign w:val="bottom"/>
          </w:tcPr>
          <w:p>
            <w:pPr>
              <w:jc w:val="right"/>
              <w:ind w:right="362"/>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2010</w:t>
            </w:r>
          </w:p>
        </w:tc>
      </w:tr>
      <w:tr>
        <w:trPr>
          <w:trHeight w:val="256"/>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476</w:t>
            </w: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2"/>
                <w:szCs w:val="22"/>
                <w:color w:val="auto"/>
              </w:rPr>
            </w:pPr>
          </w:p>
        </w:tc>
        <w:tc>
          <w:tcPr>
            <w:tcW w:w="1520" w:type="dxa"/>
            <w:vAlign w:val="bottom"/>
          </w:tcPr>
          <w:p>
            <w:pPr>
              <w:jc w:val="right"/>
              <w:ind w:right="342"/>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62"/>
              <w:spacing w:after="0"/>
              <w:rPr>
                <w:sz w:val="20"/>
                <w:szCs w:val="20"/>
                <w:color w:val="auto"/>
              </w:rPr>
            </w:pPr>
            <w:r>
              <w:rPr>
                <w:rFonts w:ascii="Arial" w:cs="Arial" w:eastAsia="Arial" w:hAnsi="Arial"/>
                <w:sz w:val="16"/>
                <w:szCs w:val="16"/>
                <w:color w:val="auto"/>
              </w:rPr>
              <w:t>152</w:t>
            </w:r>
          </w:p>
        </w:tc>
      </w:tr>
      <w:tr>
        <w:trPr>
          <w:trHeight w:val="27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amortization and deferral</w:t>
            </w:r>
          </w:p>
        </w:tc>
        <w:tc>
          <w:tcPr>
            <w:tcW w:w="2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(776)</w:t>
            </w:r>
          </w:p>
        </w:tc>
      </w:tr>
      <w:tr>
        <w:trPr>
          <w:trHeight w:val="24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(148)</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4"/>
        </w:trPr>
        <w:tc>
          <w:tcPr>
            <w:tcW w:w="7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306</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credit associated with the establishment of caps on the employer portion of benefits in Fiscal 2005. In October 2011, our Board of Directors approved a reduction in the employer dollar caps to be effective in January 2012 whereby the employer established dollar caps for postretirement health care benefits per eligible employee will be reduced by 10%, which is estimated to reduce our liability for postretirement health care by approximately $4.6 million and will be amortized as prior service credit over the next eight fiscal years.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$146.5 million and $133.4 million at November 26, 2011 and August 27, 2011, respectively.</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$5.8 million and $5.7 million at November 26, 2011 and August 27, 2011, respectively.</w:t>
      </w:r>
    </w:p>
    <w:p>
      <w:pPr>
        <w:spacing w:after="0" w:line="176"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revenue transactions,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of our product, age of product in dealer inventory, physical condition of the product, location of the dealer, financing source and independent third party credit rating of our dealers. To the extent that dealers are increasing or decreasing their inventories, our overall exposure under repurchase agreements is likewise impacted. The percentage of dealer inventory we estimate we will repurchase (which has ranged in recent years from 5% to 11% on a weighted average basis) and the associated estimated loss (which has ranged in recent years from 7% to 16%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Based on the repurchase exposure as previously described, we established an associated loss reserve of $857,000 as of November 26, 2011 and $1.2 million as of August 27, 2011. The inventory repurchased and the associated losses on the inventory resold presented in the table below during the first quarter of Fiscal 2012 relates to two dealers, one of which was a towable dealer. These losses resulted in a reduction to our repurchase loss reserve during the first quarter of Fiscal 2012, as we had previously reserved for these specific units in Fiscal 2011.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repurchase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rPr>
              <w:t>Quarter Ended</w:t>
            </w:r>
          </w:p>
        </w:tc>
      </w:tr>
      <w:tr>
        <w:trPr>
          <w:trHeight w:val="175"/>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26,</w:t>
            </w:r>
          </w:p>
        </w:tc>
        <w:tc>
          <w:tcPr>
            <w:tcW w:w="180" w:type="dxa"/>
            <w:vAlign w:val="bottom"/>
          </w:tcPr>
          <w:p>
            <w:pPr>
              <w:spacing w:after="0"/>
              <w:rPr>
                <w:sz w:val="15"/>
                <w:szCs w:val="15"/>
                <w:color w:val="auto"/>
              </w:rPr>
            </w:pPr>
          </w:p>
        </w:tc>
        <w:tc>
          <w:tcPr>
            <w:tcW w:w="1300" w:type="dxa"/>
            <w:vAlign w:val="bottom"/>
          </w:tcPr>
          <w:p>
            <w:pPr>
              <w:jc w:val="right"/>
              <w:ind w:right="202"/>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2010</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8360" w:type="dxa"/>
            <w:vAlign w:val="bottom"/>
            <w:gridSpan w:val="2"/>
          </w:tcPr>
          <w:p>
            <w:pPr>
              <w:ind w:left="2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280"/>
        </w:trPr>
        <w:tc>
          <w:tcPr>
            <w:tcW w:w="8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60"/>
        </w:trPr>
        <w:tc>
          <w:tcPr>
            <w:tcW w:w="8360" w:type="dxa"/>
            <w:vAlign w:val="bottom"/>
            <w:gridSpan w:val="2"/>
          </w:tcPr>
          <w:p>
            <w:pPr>
              <w:ind w:left="240"/>
              <w:spacing w:after="0"/>
              <w:rPr>
                <w:sz w:val="20"/>
                <w:szCs w:val="20"/>
                <w:color w:val="auto"/>
              </w:rPr>
            </w:pPr>
            <w:r>
              <w:rPr>
                <w:rFonts w:ascii="Arial" w:cs="Arial" w:eastAsia="Arial" w:hAnsi="Arial"/>
                <w:sz w:val="16"/>
                <w:szCs w:val="16"/>
                <w:color w:val="auto"/>
              </w:rPr>
              <w:t>Cash collected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60</w:t>
            </w:r>
          </w:p>
        </w:tc>
      </w:tr>
      <w:tr>
        <w:trPr>
          <w:trHeight w:val="280"/>
        </w:trPr>
        <w:tc>
          <w:tcPr>
            <w:tcW w:w="8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Loss recognized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r>
    </w:tbl>
    <w:p>
      <w:pPr>
        <w:spacing w:after="0" w:line="218"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November 26, 2011 would have affected net income by approximately $210,000.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6"/>
          <w:szCs w:val="16"/>
          <w:color w:val="auto"/>
        </w:rPr>
        <w:t xml:space="preserve">We account for income taxes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as of August 27, 2011 and November 26, 2011, we have applied a valuation allowance of $39.8 million and $39.1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tax returns have been audited by the IRS through Fiscal 2009. Although certain years are no longer subject to examinations by the IRS and various state taxing authorities, net operating loss carryforwards generated in those years may still be adjusted upon examination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As of November 26, 2011, our unrecognized tax benefits were $5.2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November 26, 2011, we had accrued $2.4 million in interest and penalties. We do not anticipate any significant changes in unrecognized tax benefits within the next twelve months. Actual results may differ materially from this estimate.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Earnings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941"/>
              <w:spacing w:after="0"/>
              <w:rPr>
                <w:sz w:val="20"/>
                <w:szCs w:val="20"/>
                <w:color w:val="auto"/>
              </w:rPr>
            </w:pPr>
            <w:r>
              <w:rPr>
                <w:rFonts w:ascii="Arial" w:cs="Arial" w:eastAsia="Arial" w:hAnsi="Arial"/>
                <w:sz w:val="14"/>
                <w:szCs w:val="14"/>
                <w:b w:val="1"/>
                <w:bCs w:val="1"/>
                <w:color w:val="auto"/>
              </w:rPr>
              <w:t>Quarter Ended</w:t>
            </w:r>
          </w:p>
        </w:tc>
      </w:tr>
      <w:tr>
        <w:trPr>
          <w:trHeight w:val="175"/>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26,</w:t>
            </w:r>
          </w:p>
        </w:tc>
        <w:tc>
          <w:tcPr>
            <w:tcW w:w="180" w:type="dxa"/>
            <w:vAlign w:val="bottom"/>
          </w:tcPr>
          <w:p>
            <w:pPr>
              <w:spacing w:after="0"/>
              <w:rPr>
                <w:sz w:val="15"/>
                <w:szCs w:val="15"/>
                <w:color w:val="auto"/>
              </w:rPr>
            </w:pPr>
          </w:p>
        </w:tc>
        <w:tc>
          <w:tcPr>
            <w:tcW w:w="1300" w:type="dxa"/>
            <w:vAlign w:val="bottom"/>
          </w:tcPr>
          <w:p>
            <w:pPr>
              <w:jc w:val="right"/>
              <w:ind w:right="201"/>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2010</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3,786</w:t>
            </w:r>
          </w:p>
        </w:tc>
      </w:tr>
      <w:tr>
        <w:trPr>
          <w:trHeight w:val="280"/>
        </w:trPr>
        <w:tc>
          <w:tcPr>
            <w:tcW w:w="8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29,138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29,112</w:t>
            </w:r>
          </w:p>
        </w:tc>
      </w:tr>
      <w:tr>
        <w:trPr>
          <w:trHeight w:val="260"/>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0.13</w:t>
            </w:r>
          </w:p>
        </w:tc>
      </w:tr>
      <w:tr>
        <w:trPr>
          <w:trHeight w:val="280"/>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3,786</w:t>
            </w:r>
          </w:p>
        </w:tc>
      </w:tr>
      <w:tr>
        <w:trPr>
          <w:trHeight w:val="260"/>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29,138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29,112</w:t>
            </w:r>
          </w:p>
        </w:tc>
      </w:tr>
      <w:tr>
        <w:trPr>
          <w:trHeight w:val="280"/>
        </w:trPr>
        <w:tc>
          <w:tcPr>
            <w:tcW w:w="8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Dilutive impact of options and awards outstanding</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60"/>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29,212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29,115</w:t>
            </w:r>
          </w:p>
        </w:tc>
      </w:tr>
      <w:tr>
        <w:trPr>
          <w:trHeight w:val="280"/>
        </w:trPr>
        <w:tc>
          <w:tcPr>
            <w:tcW w:w="8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0.13</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At the end of the first quarters of Fiscal 2012 and Fiscal 2011, there were options outstanding to purchase 810,331 shares and 924,731 shares, respectively, of common stock at an average price of $28.74 and $28.05, respectively, which were not included in the computation of diluted income per share because they are considered anti-dilutive under the treasury stock method per ASC 260.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net of tax, consists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202"/>
              <w:spacing w:after="0"/>
              <w:rPr>
                <w:sz w:val="20"/>
                <w:szCs w:val="20"/>
                <w:color w:val="auto"/>
              </w:rPr>
            </w:pPr>
            <w:r>
              <w:rPr>
                <w:rFonts w:ascii="Arial" w:cs="Arial" w:eastAsia="Arial" w:hAnsi="Arial"/>
                <w:sz w:val="14"/>
                <w:szCs w:val="14"/>
                <w:b w:val="1"/>
                <w:bCs w:val="1"/>
                <w:color w:val="auto"/>
              </w:rPr>
              <w:t>Quarter Ended</w:t>
            </w:r>
          </w:p>
        </w:tc>
      </w:tr>
      <w:tr>
        <w:trPr>
          <w:trHeight w:val="175"/>
        </w:trPr>
        <w:tc>
          <w:tcPr>
            <w:tcW w:w="7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26,</w:t>
            </w:r>
          </w:p>
        </w:tc>
        <w:tc>
          <w:tcPr>
            <w:tcW w:w="240" w:type="dxa"/>
            <w:vAlign w:val="bottom"/>
          </w:tcPr>
          <w:p>
            <w:pPr>
              <w:spacing w:after="0"/>
              <w:rPr>
                <w:sz w:val="15"/>
                <w:szCs w:val="15"/>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November 27,</w:t>
            </w:r>
          </w:p>
        </w:tc>
      </w:tr>
      <w:tr>
        <w:trPr>
          <w:trHeight w:val="196"/>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2010</w:t>
            </w:r>
          </w:p>
        </w:tc>
      </w:tr>
      <w:tr>
        <w:trPr>
          <w:trHeight w:val="256"/>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1,035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3,786</w:t>
            </w:r>
          </w:p>
        </w:tc>
      </w:tr>
      <w:tr>
        <w:trPr>
          <w:trHeight w:val="260"/>
        </w:trPr>
        <w:tc>
          <w:tcPr>
            <w:tcW w:w="7820" w:type="dxa"/>
            <w:vAlign w:val="bottom"/>
            <w:gridSpan w:val="2"/>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2"/>
                <w:szCs w:val="22"/>
                <w:color w:val="auto"/>
              </w:rPr>
            </w:pP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262"/>
              <w:spacing w:after="0"/>
              <w:rPr>
                <w:sz w:val="20"/>
                <w:szCs w:val="20"/>
                <w:color w:val="auto"/>
              </w:rPr>
            </w:pPr>
            <w:r>
              <w:rPr>
                <w:rFonts w:ascii="Arial" w:cs="Arial" w:eastAsia="Arial" w:hAnsi="Arial"/>
                <w:sz w:val="16"/>
                <w:szCs w:val="16"/>
                <w:color w:val="auto"/>
              </w:rPr>
              <w:t>(655)</w:t>
            </w:r>
          </w:p>
        </w:tc>
      </w:tr>
      <w:tr>
        <w:trPr>
          <w:trHeight w:val="28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172</w:t>
            </w:r>
          </w:p>
        </w:tc>
      </w:tr>
      <w:tr>
        <w:trPr>
          <w:trHeight w:val="264"/>
        </w:trPr>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Unrealized depreciation of investments</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(117)</w:t>
            </w:r>
          </w:p>
        </w:tc>
      </w:tr>
      <w:tr>
        <w:trPr>
          <w:trHeight w:val="24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3,186</w:t>
            </w:r>
          </w:p>
        </w:tc>
      </w:tr>
      <w:tr>
        <w:trPr>
          <w:trHeight w:val="20"/>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4" w:lineRule="exact"/>
        <w:rPr>
          <w:sz w:val="20"/>
          <w:szCs w:val="20"/>
          <w:color w:val="auto"/>
        </w:rPr>
      </w:pPr>
    </w:p>
    <w:p>
      <w:pPr>
        <w:jc w:val="both"/>
        <w:ind w:right="1040"/>
        <w:spacing w:after="0" w:line="260" w:lineRule="auto"/>
        <w:rPr>
          <w:sz w:val="20"/>
          <w:szCs w:val="20"/>
          <w:color w:val="auto"/>
        </w:rPr>
      </w:pPr>
      <w:r>
        <w:rPr>
          <w:rFonts w:ascii="Arial" w:cs="Arial" w:eastAsia="Arial" w:hAnsi="Arial"/>
          <w:sz w:val="16"/>
          <w:szCs w:val="16"/>
          <w:color w:val="auto"/>
        </w:rPr>
        <w:t>It is suggested that this management's discussion be read in conjunction with the financial statements contained in this Form 10-Q as well as the Management's Discussion and Analysis and Risk Factors included in our Annual Report on Form 10-K for the fiscal year ended August 27, 2011.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w:t>
      </w:r>
    </w:p>
    <w:p>
      <w:pPr>
        <w:sectPr>
          <w:pgSz w:w="11900" w:h="16838" w:orient="portrait"/>
          <w:cols w:equalWidth="0" w:num="1">
            <w:col w:w="11420"/>
          </w:cols>
          <w:pgMar w:left="240" w:top="141"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including, but not limited to, increases in interest rates,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Overview</w:t>
      </w:r>
    </w:p>
    <w:p>
      <w:pPr>
        <w:spacing w:after="0" w:line="21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 homes in highly vertically integrated manufacturing facilities in the state of Iowa and we produce all travel trailer and fifth wheels ("towables products") in Indiana. We distribute our products through independent dealers throughout the U.S. and Canada, who then retail the products to the end consumer. Our retail unit market share, as reported by Stat Surveys,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Through October 31,</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0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6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3"/>
          </w:tcPr>
          <w:p>
            <w:pPr>
              <w:jc w:val="right"/>
              <w:ind w:right="701"/>
              <w:spacing w:after="0"/>
              <w:rPr>
                <w:sz w:val="20"/>
                <w:szCs w:val="20"/>
                <w:color w:val="auto"/>
              </w:rPr>
            </w:pPr>
            <w:r>
              <w:rPr>
                <w:rFonts w:ascii="Arial" w:cs="Arial" w:eastAsia="Arial" w:hAnsi="Arial"/>
                <w:sz w:val="13"/>
                <w:szCs w:val="13"/>
                <w:b w:val="1"/>
                <w:bCs w:val="1"/>
                <w:color w:val="auto"/>
              </w:rPr>
              <w:t>Through October 31, 2011</w:t>
            </w:r>
          </w:p>
        </w:tc>
      </w:tr>
      <w:tr>
        <w:trPr>
          <w:trHeight w:val="57"/>
        </w:trPr>
        <w:tc>
          <w:tcPr>
            <w:tcW w:w="8280" w:type="dxa"/>
            <w:vAlign w:val="bottom"/>
            <w:gridSpan w:val="2"/>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8"/>
        </w:trPr>
        <w:tc>
          <w:tcPr>
            <w:tcW w:w="8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Retail Towables:</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Canada</w:t>
            </w:r>
          </w:p>
        </w:tc>
      </w:tr>
      <w:tr>
        <w:trPr>
          <w:trHeight w:val="256"/>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52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0.4%</w:t>
            </w:r>
          </w:p>
        </w:tc>
      </w:tr>
      <w:tr>
        <w:trPr>
          <w:trHeight w:val="264"/>
        </w:trPr>
        <w:tc>
          <w:tcPr>
            <w:tcW w:w="8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52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0.5%</w:t>
            </w:r>
          </w:p>
        </w:tc>
      </w:tr>
      <w:tr>
        <w:trPr>
          <w:trHeight w:val="24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52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0.4%</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5"/>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rPr>
              <w:t>Class A, B &amp; C Motor 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1"/>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3"/>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2"/>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Deliveries</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1,109</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Third quarter 2010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1,366</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1,388</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2,000</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1,164</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1,120</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2,044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First quarter 2011</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1,115</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1,093</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2,066</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4,754</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4,255</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(Dec 2009-Nov 2010)</w:t>
            </w: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960" w:type="dxa"/>
            <w:vAlign w:val="bottom"/>
            <w:gridSpan w:val="2"/>
            <w:vMerge w:val="continue"/>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Second quarter 2011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796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2,179</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85</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40" w:type="dxa"/>
            <w:vAlign w:val="bottom"/>
          </w:tcPr>
          <w:p>
            <w:pPr>
              <w:jc w:val="right"/>
              <w:ind w:right="143"/>
              <w:spacing w:after="0"/>
              <w:rPr>
                <w:sz w:val="20"/>
                <w:szCs w:val="20"/>
                <w:color w:val="auto"/>
              </w:rPr>
            </w:pPr>
            <w:r>
              <w:rPr>
                <w:rFonts w:ascii="Arial" w:cs="Arial" w:eastAsia="Arial" w:hAnsi="Arial"/>
                <w:sz w:val="16"/>
                <w:szCs w:val="16"/>
                <w:color w:val="auto"/>
              </w:rPr>
              <w:t>905</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8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2011</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1,283</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326</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1,028</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Fourth quarter 2011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1,088</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358</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420</w:t>
            </w:r>
          </w:p>
        </w:tc>
        <w:tc>
          <w:tcPr>
            <w:tcW w:w="1240" w:type="dxa"/>
            <w:vAlign w:val="bottom"/>
          </w:tcPr>
          <w:p>
            <w:pPr>
              <w:jc w:val="right"/>
              <w:ind w:right="143"/>
              <w:spacing w:after="0"/>
              <w:rPr>
                <w:sz w:val="20"/>
                <w:szCs w:val="20"/>
                <w:color w:val="auto"/>
              </w:rPr>
            </w:pPr>
            <w:r>
              <w:rPr>
                <w:rFonts w:ascii="Arial" w:cs="Arial" w:eastAsia="Arial" w:hAnsi="Arial"/>
                <w:sz w:val="16"/>
                <w:szCs w:val="16"/>
                <w:color w:val="auto"/>
              </w:rPr>
              <w:t>966</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73"/>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2012</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1,040</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435</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255</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1,146</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Rolling 12 months</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4,320</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4,441</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1,204</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978</w:t>
            </w: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(Dec 2010-Nov 2011)</w:t>
            </w: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119"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119"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Industry Outlook</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 home industry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6"/>
          </w:tcPr>
          <w:p>
            <w:pPr>
              <w:jc w:val="right"/>
              <w:ind w:right="341"/>
              <w:spacing w:after="0"/>
              <w:rPr>
                <w:sz w:val="20"/>
                <w:szCs w:val="20"/>
                <w:color w:val="auto"/>
              </w:rPr>
            </w:pPr>
            <w:r>
              <w:rPr>
                <w:rFonts w:ascii="Arial" w:cs="Arial" w:eastAsia="Arial" w:hAnsi="Arial"/>
                <w:sz w:val="14"/>
                <w:szCs w:val="14"/>
                <w:b w:val="1"/>
                <w:bCs w:val="1"/>
                <w:color w:val="auto"/>
              </w:rPr>
              <w:t>US and Canada Industry Class A, B &amp; C Motor Homes</w:t>
            </w:r>
          </w:p>
        </w:tc>
        <w:tc>
          <w:tcPr>
            <w:tcW w:w="1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310"/>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040" w:type="dxa"/>
            <w:vAlign w:val="bottom"/>
          </w:tcPr>
          <w:p>
            <w:pPr>
              <w:spacing w:after="0"/>
              <w:rPr>
                <w:sz w:val="24"/>
                <w:szCs w:val="24"/>
                <w:color w:val="auto"/>
              </w:rPr>
            </w:pPr>
          </w:p>
        </w:tc>
      </w:tr>
      <w:tr>
        <w:trPr>
          <w:trHeight w:val="224"/>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4"/>
                <w:szCs w:val="14"/>
                <w:b w:val="1"/>
                <w:bCs w:val="1"/>
                <w:color w:val="auto"/>
              </w:rPr>
              <w:t>Calendar Year</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4"/>
                <w:szCs w:val="14"/>
                <w:b w:val="1"/>
                <w:bCs w:val="1"/>
                <w:color w:val="auto"/>
              </w:rPr>
              <w:t>Calendar Year</w:t>
            </w:r>
          </w:p>
        </w:tc>
        <w:tc>
          <w:tcPr>
            <w:tcW w:w="1040" w:type="dxa"/>
            <w:vAlign w:val="bottom"/>
            <w:tcBorders>
              <w:bottom w:val="single" w:sz="8" w:color="auto"/>
            </w:tcBorders>
          </w:tcPr>
          <w:p>
            <w:pPr>
              <w:spacing w:after="0"/>
              <w:rPr>
                <w:sz w:val="19"/>
                <w:szCs w:val="19"/>
                <w:color w:val="auto"/>
              </w:rPr>
            </w:pPr>
          </w:p>
        </w:tc>
      </w:tr>
      <w:tr>
        <w:trPr>
          <w:trHeight w:val="264"/>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2009</w:t>
            </w: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Increase</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Increase</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w:t>
            </w:r>
          </w:p>
        </w:tc>
      </w:tr>
      <w:tr>
        <w:trPr>
          <w:trHeight w:val="270"/>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2,400</w:t>
            </w:r>
          </w:p>
        </w:tc>
        <w:tc>
          <w:tcPr>
            <w:tcW w:w="11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3,300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137.5 %</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4,900</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4,800</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60"/>
        </w:trPr>
        <w:tc>
          <w:tcPr>
            <w:tcW w:w="244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840" w:type="dxa"/>
            <w:vAlign w:val="bottom"/>
          </w:tcPr>
          <w:p>
            <w:pPr>
              <w:jc w:val="right"/>
              <w:spacing w:after="0"/>
              <w:rPr>
                <w:sz w:val="20"/>
                <w:szCs w:val="20"/>
                <w:color w:val="auto"/>
              </w:rPr>
            </w:pPr>
            <w:r>
              <w:rPr>
                <w:rFonts w:ascii="Arial" w:cs="Arial" w:eastAsia="Arial" w:hAnsi="Arial"/>
                <w:sz w:val="16"/>
                <w:szCs w:val="16"/>
                <w:color w:val="auto"/>
              </w:rPr>
              <w:t>7,800</w:t>
            </w:r>
          </w:p>
        </w:tc>
        <w:tc>
          <w:tcPr>
            <w:tcW w:w="40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3,200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4,600</w:t>
            </w:r>
          </w:p>
        </w:tc>
        <w:tc>
          <w:tcPr>
            <w:tcW w:w="1040" w:type="dxa"/>
            <w:vAlign w:val="bottom"/>
          </w:tcPr>
          <w:p>
            <w:pPr>
              <w:jc w:val="right"/>
              <w:spacing w:after="0"/>
              <w:rPr>
                <w:sz w:val="20"/>
                <w:szCs w:val="20"/>
                <w:color w:val="auto"/>
              </w:rPr>
            </w:pPr>
            <w:r>
              <w:rPr>
                <w:rFonts w:ascii="Arial" w:cs="Arial" w:eastAsia="Arial" w:hAnsi="Arial"/>
                <w:sz w:val="16"/>
                <w:szCs w:val="16"/>
                <w:color w:val="auto"/>
              </w:rPr>
              <w:t>143.8 %</w:t>
            </w:r>
          </w:p>
        </w:tc>
        <w:tc>
          <w:tcPr>
            <w:tcW w:w="1020" w:type="dxa"/>
            <w:vAlign w:val="bottom"/>
            <w:gridSpan w:val="2"/>
          </w:tcPr>
          <w:p>
            <w:pPr>
              <w:jc w:val="right"/>
              <w:ind w:right="45"/>
              <w:spacing w:after="0"/>
              <w:rPr>
                <w:sz w:val="20"/>
                <w:szCs w:val="20"/>
                <w:color w:val="auto"/>
              </w:rPr>
            </w:pPr>
            <w:r>
              <w:rPr>
                <w:rFonts w:ascii="Arial" w:cs="Arial" w:eastAsia="Arial" w:hAnsi="Arial"/>
                <w:sz w:val="16"/>
                <w:szCs w:val="16"/>
                <w:color w:val="auto"/>
              </w:rPr>
              <w:t>8,300</w:t>
            </w:r>
          </w:p>
        </w:tc>
        <w:tc>
          <w:tcPr>
            <w:tcW w:w="3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7,100</w:t>
            </w:r>
          </w:p>
        </w:tc>
        <w:tc>
          <w:tcPr>
            <w:tcW w:w="1180" w:type="dxa"/>
            <w:vAlign w:val="bottom"/>
          </w:tcPr>
          <w:p>
            <w:pPr>
              <w:jc w:val="right"/>
              <w:ind w:right="201"/>
              <w:spacing w:after="0"/>
              <w:rPr>
                <w:sz w:val="20"/>
                <w:szCs w:val="20"/>
                <w:color w:val="auto"/>
              </w:rPr>
            </w:pPr>
            <w:r>
              <w:rPr>
                <w:rFonts w:ascii="Arial" w:cs="Arial" w:eastAsia="Arial" w:hAnsi="Arial"/>
                <w:sz w:val="16"/>
                <w:szCs w:val="16"/>
                <w:color w:val="auto"/>
              </w:rPr>
              <w:t>1,200</w:t>
            </w:r>
          </w:p>
        </w:tc>
        <w:tc>
          <w:tcPr>
            <w:tcW w:w="1040" w:type="dxa"/>
            <w:vAlign w:val="bottom"/>
          </w:tcPr>
          <w:p>
            <w:pPr>
              <w:jc w:val="right"/>
              <w:spacing w:after="0"/>
              <w:rPr>
                <w:sz w:val="20"/>
                <w:szCs w:val="20"/>
                <w:color w:val="auto"/>
              </w:rPr>
            </w:pPr>
            <w:r>
              <w:rPr>
                <w:rFonts w:ascii="Arial" w:cs="Arial" w:eastAsia="Arial" w:hAnsi="Arial"/>
                <w:sz w:val="16"/>
                <w:szCs w:val="16"/>
                <w:color w:val="auto"/>
              </w:rPr>
              <w:t>16.9 %</w:t>
            </w:r>
          </w:p>
        </w:tc>
      </w:tr>
      <w:tr>
        <w:trPr>
          <w:trHeight w:val="280"/>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3,300</w:t>
            </w:r>
          </w:p>
        </w:tc>
        <w:tc>
          <w:tcPr>
            <w:tcW w:w="11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2,900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6,000</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5,800</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64"/>
        </w:trPr>
        <w:tc>
          <w:tcPr>
            <w:tcW w:w="2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Fourth quarter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4,300</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27.9 %</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4,600</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4,200</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r>
      <w:tr>
        <w:trPr>
          <w:trHeight w:val="267"/>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13,200</w:t>
            </w:r>
          </w:p>
        </w:tc>
        <w:tc>
          <w:tcPr>
            <w:tcW w:w="11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12,000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90.9 %</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23,800</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21,900</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48"/>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Arial" w:cs="Arial" w:eastAsia="Arial" w:hAnsi="Arial"/>
                <w:sz w:val="14"/>
                <w:szCs w:val="14"/>
                <w:b w:val="1"/>
                <w:bCs w:val="1"/>
                <w:color w:val="auto"/>
              </w:rPr>
              <w:t>Increase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center"/>
              <w:ind w:right="1"/>
              <w:spacing w:after="0"/>
              <w:rPr>
                <w:sz w:val="20"/>
                <w:szCs w:val="20"/>
                <w:color w:val="auto"/>
              </w:rPr>
            </w:pPr>
            <w:r>
              <w:rPr>
                <w:rFonts w:ascii="Arial" w:cs="Arial" w:eastAsia="Arial" w:hAnsi="Arial"/>
                <w:sz w:val="14"/>
                <w:szCs w:val="14"/>
                <w:b w:val="1"/>
                <w:bCs w:val="1"/>
                <w:color w:val="auto"/>
              </w:rPr>
              <w:t>Increase</w:t>
            </w:r>
          </w:p>
        </w:tc>
        <w:tc>
          <w:tcPr>
            <w:tcW w:w="1040" w:type="dxa"/>
            <w:vAlign w:val="bottom"/>
          </w:tcPr>
          <w:p>
            <w:pPr>
              <w:spacing w:after="0"/>
              <w:rPr>
                <w:sz w:val="24"/>
                <w:szCs w:val="24"/>
                <w:color w:val="auto"/>
              </w:rPr>
            </w:pPr>
          </w:p>
        </w:tc>
      </w:tr>
      <w:tr>
        <w:trPr>
          <w:trHeight w:val="196"/>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(Decrease)</w:t>
            </w: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(Decrease)</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w:t>
            </w:r>
          </w:p>
        </w:tc>
      </w:tr>
      <w:tr>
        <w:trPr>
          <w:trHeight w:val="270"/>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5,700</w:t>
            </w:r>
          </w:p>
        </w:tc>
        <w:tc>
          <w:tcPr>
            <w:tcW w:w="11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1,200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5,100</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4,900</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60"/>
        </w:trPr>
        <w:tc>
          <w:tcPr>
            <w:tcW w:w="244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840" w:type="dxa"/>
            <w:vAlign w:val="bottom"/>
          </w:tcPr>
          <w:p>
            <w:pPr>
              <w:jc w:val="right"/>
              <w:spacing w:after="0"/>
              <w:rPr>
                <w:sz w:val="20"/>
                <w:szCs w:val="20"/>
                <w:color w:val="auto"/>
              </w:rPr>
            </w:pPr>
            <w:r>
              <w:rPr>
                <w:rFonts w:ascii="Arial" w:cs="Arial" w:eastAsia="Arial" w:hAnsi="Arial"/>
                <w:sz w:val="16"/>
                <w:szCs w:val="16"/>
                <w:color w:val="auto"/>
              </w:rPr>
              <w:t>7,800</w:t>
            </w:r>
          </w:p>
        </w:tc>
        <w:tc>
          <w:tcPr>
            <w:tcW w:w="40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7,800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tcPr>
          <w:p>
            <w:pPr>
              <w:jc w:val="right"/>
              <w:ind w:right="45"/>
              <w:spacing w:after="0"/>
              <w:rPr>
                <w:sz w:val="20"/>
                <w:szCs w:val="20"/>
                <w:color w:val="auto"/>
              </w:rPr>
            </w:pPr>
            <w:r>
              <w:rPr>
                <w:rFonts w:ascii="Arial" w:cs="Arial" w:eastAsia="Arial" w:hAnsi="Arial"/>
                <w:sz w:val="16"/>
                <w:szCs w:val="16"/>
                <w:color w:val="auto"/>
              </w:rPr>
              <w:t>8,000</w:t>
            </w:r>
          </w:p>
        </w:tc>
        <w:tc>
          <w:tcPr>
            <w:tcW w:w="3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8,300</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(300)</w:t>
            </w: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80"/>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6,200</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5,900</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6,000</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0"/>
        </w:trPr>
        <w:tc>
          <w:tcPr>
            <w:tcW w:w="2440" w:type="dxa"/>
            <w:vAlign w:val="bottom"/>
            <w:gridSpan w:val="2"/>
          </w:tcPr>
          <w:p>
            <w:pPr>
              <w:ind w:left="40"/>
              <w:spacing w:after="0"/>
              <w:rPr>
                <w:sz w:val="20"/>
                <w:szCs w:val="20"/>
                <w:color w:val="auto"/>
              </w:rPr>
            </w:pPr>
            <w:r>
              <w:rPr>
                <w:rFonts w:ascii="Arial" w:cs="Arial" w:eastAsia="Arial" w:hAnsi="Arial"/>
                <w:sz w:val="16"/>
                <w:szCs w:val="16"/>
                <w:color w:val="auto"/>
              </w:rPr>
              <w:t>October</w:t>
            </w:r>
          </w:p>
        </w:tc>
        <w:tc>
          <w:tcPr>
            <w:tcW w:w="840" w:type="dxa"/>
            <w:vAlign w:val="bottom"/>
          </w:tcPr>
          <w:p>
            <w:pPr>
              <w:jc w:val="right"/>
              <w:spacing w:after="0"/>
              <w:rPr>
                <w:sz w:val="20"/>
                <w:szCs w:val="20"/>
                <w:color w:val="auto"/>
              </w:rPr>
            </w:pPr>
            <w:r>
              <w:rPr>
                <w:rFonts w:ascii="Arial" w:cs="Arial" w:eastAsia="Arial" w:hAnsi="Arial"/>
                <w:sz w:val="16"/>
                <w:szCs w:val="16"/>
                <w:color w:val="auto"/>
              </w:rPr>
              <w:t>2,000</w:t>
            </w:r>
          </w:p>
        </w:tc>
        <w:tc>
          <w:tcPr>
            <w:tcW w:w="40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2,000</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tcPr>
          <w:p>
            <w:pPr>
              <w:jc w:val="right"/>
              <w:ind w:right="45"/>
              <w:spacing w:after="0"/>
              <w:rPr>
                <w:sz w:val="20"/>
                <w:szCs w:val="20"/>
                <w:color w:val="auto"/>
              </w:rPr>
            </w:pPr>
            <w:r>
              <w:rPr>
                <w:rFonts w:ascii="Arial" w:cs="Arial" w:eastAsia="Arial" w:hAnsi="Arial"/>
                <w:sz w:val="16"/>
                <w:szCs w:val="16"/>
                <w:color w:val="auto"/>
              </w:rPr>
              <w:t>1,600</w:t>
            </w:r>
          </w:p>
        </w:tc>
        <w:tc>
          <w:tcPr>
            <w:tcW w:w="3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2,000</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(400)</w:t>
            </w: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73"/>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November - December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4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(3)</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3,500</w:t>
            </w: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2,600</w:t>
            </w:r>
          </w:p>
        </w:tc>
        <w:tc>
          <w:tcPr>
            <w:tcW w:w="1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0"/>
        </w:trPr>
        <w:tc>
          <w:tcPr>
            <w:tcW w:w="24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25,100</w:t>
            </w:r>
          </w:p>
        </w:tc>
        <w:tc>
          <w:tcPr>
            <w:tcW w:w="4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(3)</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25,200</w:t>
            </w: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23,800</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wholesale shipments as reported by RVIA, rounded to the nearest hundred.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retail registrations as reported by Statistical Surveys for the US and Canada combined, rounded to the nearest hundred.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upon forecasted 2011 Class A, B and C wholesale shipments as reported by RVIA in the Roadsigns Winter 2011 issue.</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Stat Surveys has not issued a projection for 2011 retail demand for this period.</w:t>
      </w:r>
    </w:p>
    <w:p>
      <w:pPr>
        <w:spacing w:after="0" w:line="196"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size of the motorized retail market in Calendar 2009 and 2010 (under 25,000 units) was less than half of what the industry norms had been prior to the recession and thus far, retail registration trends in Calendar 2011 are not noticeably different than the prior year. RVIA, in one of its most recent Roadsigns publications, attributes the flat retail environment to the uncertainty about the job market, stagnating wages and depressed home values. However, RVIA forecasts that motor homes sales are likely to improve at a relatively greater pace in the decade ahead as stricter fuel economy standards reduce the towing capacity of the household vehicle fleet. RVIA forecasts that motor home shipments in Calendar 2012 will be 24,400.</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6"/>
          </w:tcPr>
          <w:p>
            <w:pPr>
              <w:jc w:val="right"/>
              <w:ind w:right="32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310"/>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40" w:type="dxa"/>
            <w:vAlign w:val="bottom"/>
          </w:tcPr>
          <w:p>
            <w:pPr>
              <w:spacing w:after="0"/>
              <w:rPr>
                <w:sz w:val="24"/>
                <w:szCs w:val="24"/>
                <w:color w:val="auto"/>
              </w:rPr>
            </w:pPr>
          </w:p>
        </w:tc>
      </w:tr>
      <w:tr>
        <w:trPr>
          <w:trHeight w:val="224"/>
        </w:trPr>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14"/>
                <w:szCs w:val="14"/>
                <w:b w:val="1"/>
                <w:bCs w:val="1"/>
                <w:color w:val="auto"/>
              </w:rPr>
              <w:t>Calendar Year</w:t>
            </w:r>
          </w:p>
        </w:tc>
        <w:tc>
          <w:tcPr>
            <w:tcW w:w="1140" w:type="dxa"/>
            <w:vAlign w:val="bottom"/>
            <w:tcBorders>
              <w:bottom w:val="single" w:sz="8" w:color="auto"/>
            </w:tcBorders>
          </w:tcPr>
          <w:p>
            <w:pPr>
              <w:spacing w:after="0"/>
              <w:rPr>
                <w:sz w:val="19"/>
                <w:szCs w:val="19"/>
                <w:color w:val="auto"/>
              </w:rPr>
            </w:pPr>
          </w:p>
        </w:tc>
      </w:tr>
      <w:tr>
        <w:trPr>
          <w:trHeight w:val="264"/>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2009</w:t>
            </w: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Increase</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Increase</w:t>
            </w: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49,300</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24,800</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24,500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98.8 %</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31,100</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28,900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2,200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7.6 %</w:t>
            </w:r>
          </w:p>
        </w:tc>
      </w:tr>
      <w:tr>
        <w:trPr>
          <w:trHeight w:val="260"/>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820" w:type="dxa"/>
            <w:vAlign w:val="bottom"/>
          </w:tcPr>
          <w:p>
            <w:pPr>
              <w:jc w:val="right"/>
              <w:spacing w:after="0"/>
              <w:rPr>
                <w:sz w:val="20"/>
                <w:szCs w:val="20"/>
                <w:color w:val="auto"/>
              </w:rPr>
            </w:pPr>
            <w:r>
              <w:rPr>
                <w:rFonts w:ascii="Arial" w:cs="Arial" w:eastAsia="Arial" w:hAnsi="Arial"/>
                <w:sz w:val="16"/>
                <w:szCs w:val="16"/>
                <w:color w:val="auto"/>
              </w:rPr>
              <w:t>62,300</w:t>
            </w:r>
          </w:p>
        </w:tc>
        <w:tc>
          <w:tcPr>
            <w:tcW w:w="420" w:type="dxa"/>
            <w:vAlign w:val="bottom"/>
          </w:tcPr>
          <w:p>
            <w:pPr>
              <w:spacing w:after="0"/>
              <w:rPr>
                <w:sz w:val="22"/>
                <w:szCs w:val="22"/>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34,600</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27,700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80.1 %</w:t>
            </w: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69,400</w:t>
            </w:r>
          </w:p>
        </w:tc>
        <w:tc>
          <w:tcPr>
            <w:tcW w:w="30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60,000</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9,400</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15.7 %</w:t>
            </w:r>
          </w:p>
        </w:tc>
      </w:tr>
      <w:tr>
        <w:trPr>
          <w:trHeight w:val="28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48,600</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41,500</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7,100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17.1 %</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57,200</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49,900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7,300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14.6 %</w:t>
            </w:r>
          </w:p>
        </w:tc>
      </w:tr>
      <w:tr>
        <w:trPr>
          <w:trHeight w:val="264"/>
        </w:trPr>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Fourth quarter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39,000</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37,400</w:t>
            </w: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1,600</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28,300</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25,300</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3,000</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11.9 %</w:t>
            </w:r>
          </w:p>
        </w:tc>
      </w:tr>
      <w:tr>
        <w:trPr>
          <w:trHeight w:val="26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199,200</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138,300</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60,900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44.0 %</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186,000</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164,100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21,900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13.3 %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48"/>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rPr>
              <w:t>Increase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jc w:val="center"/>
              <w:ind w:right="1"/>
              <w:spacing w:after="0"/>
              <w:rPr>
                <w:sz w:val="20"/>
                <w:szCs w:val="20"/>
                <w:color w:val="auto"/>
              </w:rPr>
            </w:pPr>
            <w:r>
              <w:rPr>
                <w:rFonts w:ascii="Arial" w:cs="Arial" w:eastAsia="Arial" w:hAnsi="Arial"/>
                <w:sz w:val="14"/>
                <w:szCs w:val="14"/>
                <w:b w:val="1"/>
                <w:bCs w:val="1"/>
                <w:color w:val="auto"/>
              </w:rPr>
              <w:t>Increase</w:t>
            </w:r>
          </w:p>
        </w:tc>
        <w:tc>
          <w:tcPr>
            <w:tcW w:w="1140" w:type="dxa"/>
            <w:vAlign w:val="bottom"/>
          </w:tcPr>
          <w:p>
            <w:pPr>
              <w:spacing w:after="0"/>
              <w:rPr>
                <w:sz w:val="24"/>
                <w:szCs w:val="24"/>
                <w:color w:val="auto"/>
              </w:rPr>
            </w:pPr>
          </w:p>
        </w:tc>
      </w:tr>
      <w:tr>
        <w:trPr>
          <w:trHeight w:val="196"/>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(Decrease)</w:t>
            </w: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54,200</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49,300</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4,900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9.9 %</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33,400</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31,100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2,300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7.4 %</w:t>
            </w:r>
          </w:p>
        </w:tc>
      </w:tr>
      <w:tr>
        <w:trPr>
          <w:trHeight w:val="260"/>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820" w:type="dxa"/>
            <w:vAlign w:val="bottom"/>
          </w:tcPr>
          <w:p>
            <w:pPr>
              <w:jc w:val="right"/>
              <w:spacing w:after="0"/>
              <w:rPr>
                <w:sz w:val="20"/>
                <w:szCs w:val="20"/>
                <w:color w:val="auto"/>
              </w:rPr>
            </w:pPr>
            <w:r>
              <w:rPr>
                <w:rFonts w:ascii="Arial" w:cs="Arial" w:eastAsia="Arial" w:hAnsi="Arial"/>
                <w:sz w:val="16"/>
                <w:szCs w:val="16"/>
                <w:color w:val="auto"/>
              </w:rPr>
              <w:t>66,000</w:t>
            </w:r>
          </w:p>
        </w:tc>
        <w:tc>
          <w:tcPr>
            <w:tcW w:w="420" w:type="dxa"/>
            <w:vAlign w:val="bottom"/>
          </w:tcPr>
          <w:p>
            <w:pPr>
              <w:spacing w:after="0"/>
              <w:rPr>
                <w:sz w:val="22"/>
                <w:szCs w:val="22"/>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62,300</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3,700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5.9 %</w:t>
            </w: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74,800</w:t>
            </w:r>
          </w:p>
        </w:tc>
        <w:tc>
          <w:tcPr>
            <w:tcW w:w="30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69,400</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5,400</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7.8 %</w:t>
            </w:r>
          </w:p>
        </w:tc>
      </w:tr>
      <w:tr>
        <w:trPr>
          <w:trHeight w:val="28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48,600</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58,800</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57,200</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1,600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2.8 %</w:t>
            </w:r>
          </w:p>
        </w:tc>
      </w:tr>
      <w:tr>
        <w:trPr>
          <w:trHeight w:val="260"/>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October</w:t>
            </w:r>
          </w:p>
        </w:tc>
        <w:tc>
          <w:tcPr>
            <w:tcW w:w="820" w:type="dxa"/>
            <w:vAlign w:val="bottom"/>
          </w:tcPr>
          <w:p>
            <w:pPr>
              <w:jc w:val="right"/>
              <w:spacing w:after="0"/>
              <w:rPr>
                <w:sz w:val="20"/>
                <w:szCs w:val="20"/>
                <w:color w:val="auto"/>
              </w:rPr>
            </w:pPr>
            <w:r>
              <w:rPr>
                <w:rFonts w:ascii="Arial" w:cs="Arial" w:eastAsia="Arial" w:hAnsi="Arial"/>
                <w:sz w:val="16"/>
                <w:szCs w:val="16"/>
                <w:color w:val="auto"/>
              </w:rPr>
              <w:t>16,300</w:t>
            </w:r>
          </w:p>
        </w:tc>
        <w:tc>
          <w:tcPr>
            <w:tcW w:w="420" w:type="dxa"/>
            <w:vAlign w:val="bottom"/>
          </w:tcPr>
          <w:p>
            <w:pPr>
              <w:spacing w:after="0"/>
              <w:rPr>
                <w:sz w:val="22"/>
                <w:szCs w:val="22"/>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13,600</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2,700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19.9 %</w:t>
            </w:r>
          </w:p>
        </w:tc>
        <w:tc>
          <w:tcPr>
            <w:tcW w:w="1000" w:type="dxa"/>
            <w:vAlign w:val="bottom"/>
            <w:gridSpan w:val="2"/>
          </w:tcPr>
          <w:p>
            <w:pPr>
              <w:jc w:val="right"/>
              <w:ind w:right="45"/>
              <w:spacing w:after="0"/>
              <w:rPr>
                <w:sz w:val="20"/>
                <w:szCs w:val="20"/>
                <w:color w:val="auto"/>
              </w:rPr>
            </w:pPr>
            <w:r>
              <w:rPr>
                <w:rFonts w:ascii="Arial" w:cs="Arial" w:eastAsia="Arial" w:hAnsi="Arial"/>
                <w:sz w:val="16"/>
                <w:szCs w:val="16"/>
                <w:color w:val="auto"/>
              </w:rPr>
              <w:t>12,000</w:t>
            </w:r>
          </w:p>
        </w:tc>
        <w:tc>
          <w:tcPr>
            <w:tcW w:w="30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12,500</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(500)</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(4.0)%</w:t>
            </w:r>
          </w:p>
        </w:tc>
      </w:tr>
      <w:tr>
        <w:trPr>
          <w:trHeight w:val="273"/>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November - December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4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(3)</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25,400</w:t>
            </w:r>
          </w:p>
        </w:tc>
        <w:tc>
          <w:tcPr>
            <w:tcW w:w="11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(2,400)</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15,800</w:t>
            </w:r>
          </w:p>
        </w:tc>
        <w:tc>
          <w:tcPr>
            <w:tcW w:w="1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0"/>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207,000</w:t>
            </w: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(3)</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199,200</w:t>
            </w: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7,800</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186,000</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Towable wholesale shipments as reported by RVIA, rounded to the nearest hundred.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Towable retail registrations as reported by Statistical Surveys for the US and Canada combined, rounded to the nearest hundred.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upon forecasted 2011 towable wholesale shipments as reported by RVIA in the Roadsigns Winter 2011 issue.</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Stat Surveys has not issued a projection for 2011 retail demand for this period.</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towable retail market has not been as negatively impacted in recent years as the motorized market. The size of the market is forecasted to be nearly nine times larger than the motorized market on a unit basis in Calendar 2011. This is primarily due to the fact that average price of a towable unit is considerably less than a motor home. RVIA forecasts that industry towable shipments in Calendar 2012 will be 202,600.</w:t>
      </w:r>
    </w:p>
    <w:p>
      <w:pPr>
        <w:sectPr>
          <w:pgSz w:w="11900" w:h="16838" w:orient="portrait"/>
          <w:cols w:equalWidth="0" w:num="1">
            <w:col w:w="11420"/>
          </w:cols>
          <w:pgMar w:left="240" w:top="141" w:right="239" w:bottom="1146"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146"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Outlook</w:t>
      </w:r>
    </w:p>
    <w:p>
      <w:pPr>
        <w:spacing w:after="0" w:line="210"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Based on our profitable operating results for the first quarter of Fiscal 2012 and for Fiscal 2011, we believe that we have demonstrated our ability to maintain adequate liquidity, cover operations costs, recover fixed assets, and maintain physical capacity at present levels. Now that we have entered into the towable market, we have the potential to grow revenues and earnings in a market significantly larger than the motorized market.</w:t>
      </w:r>
    </w:p>
    <w:p>
      <w:pPr>
        <w:spacing w:after="0" w:line="17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believe retail sales will be the key driver to improvement of the recreation vehicle market. We also believe that future dealer buying patterns will continue to be primarily based on retail demand, thus dealers are expected to order approximately one new unit as one is retailed.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 Negative factors that may hinder retail sales include the current low level of consumer confidence, continued high unemployment levels and uncertainty regarding fuel prices.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64"/>
        </w:trPr>
        <w:tc>
          <w:tcPr>
            <w:tcW w:w="3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November 26, 2011</w:t>
            </w:r>
          </w:p>
        </w:tc>
        <w:tc>
          <w:tcPr>
            <w:tcW w:w="2240" w:type="dxa"/>
            <w:vAlign w:val="bottom"/>
            <w:gridSpan w:val="3"/>
          </w:tcPr>
          <w:p>
            <w:pPr>
              <w:ind w:left="320"/>
              <w:spacing w:after="0"/>
              <w:rPr>
                <w:sz w:val="20"/>
                <w:szCs w:val="20"/>
                <w:color w:val="auto"/>
              </w:rPr>
            </w:pPr>
            <w:r>
              <w:rPr>
                <w:rFonts w:ascii="Arial" w:cs="Arial" w:eastAsia="Arial" w:hAnsi="Arial"/>
                <w:sz w:val="14"/>
                <w:szCs w:val="14"/>
                <w:b w:val="1"/>
                <w:bCs w:val="1"/>
                <w:color w:val="auto"/>
              </w:rPr>
              <w:t>November 27, 2010</w:t>
            </w:r>
          </w:p>
        </w:tc>
        <w:tc>
          <w:tcPr>
            <w:tcW w:w="220" w:type="dxa"/>
            <w:vAlign w:val="bottom"/>
          </w:tcPr>
          <w:p>
            <w:pPr>
              <w:spacing w:after="0"/>
              <w:rPr>
                <w:sz w:val="22"/>
                <w:szCs w:val="22"/>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(Decrease)</w:t>
            </w:r>
          </w:p>
        </w:tc>
        <w:tc>
          <w:tcPr>
            <w:tcW w:w="1160" w:type="dxa"/>
            <w:vAlign w:val="bottom"/>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256"/>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100" w:type="dxa"/>
            <w:vAlign w:val="bottom"/>
            <w:tcBorders>
              <w:top w:val="single" w:sz="8" w:color="auto"/>
              <w:bottom w:val="single" w:sz="8" w:color="auto"/>
            </w:tcBorders>
          </w:tcPr>
          <w:p>
            <w:pPr>
              <w:jc w:val="right"/>
              <w:ind w:right="422"/>
              <w:spacing w:after="0" w:line="25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Units</w:t>
            </w:r>
          </w:p>
        </w:tc>
        <w:tc>
          <w:tcPr>
            <w:tcW w:w="1340" w:type="dxa"/>
            <w:vAlign w:val="bottom"/>
            <w:tcBorders>
              <w:top w:val="single" w:sz="8" w:color="auto"/>
              <w:bottom w:val="single" w:sz="8" w:color="auto"/>
            </w:tcBorders>
          </w:tcPr>
          <w:p>
            <w:pPr>
              <w:jc w:val="right"/>
              <w:ind w:right="445"/>
              <w:spacing w:after="0" w:line="25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Increase</w:t>
            </w:r>
          </w:p>
        </w:tc>
        <w:tc>
          <w:tcPr>
            <w:tcW w:w="11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213</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172</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3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385</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Class B</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color w:val="auto"/>
              </w:rPr>
              <w:t>47</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40" w:type="dxa"/>
            <w:vAlign w:val="bottom"/>
          </w:tcPr>
          <w:p>
            <w:pPr>
              <w:jc w:val="right"/>
              <w:ind w:right="281"/>
              <w:spacing w:after="0"/>
              <w:rPr>
                <w:sz w:val="20"/>
                <w:szCs w:val="20"/>
                <w:color w:val="auto"/>
              </w:rPr>
            </w:pPr>
            <w:r>
              <w:rPr>
                <w:rFonts w:ascii="Arial" w:cs="Arial" w:eastAsia="Arial" w:hAnsi="Arial"/>
                <w:sz w:val="16"/>
                <w:szCs w:val="16"/>
                <w:color w:val="auto"/>
              </w:rPr>
              <w:t>47</w:t>
            </w:r>
          </w:p>
        </w:tc>
        <w:tc>
          <w:tcPr>
            <w:tcW w:w="11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73"/>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186</w:t>
            </w:r>
          </w:p>
        </w:tc>
        <w:tc>
          <w:tcPr>
            <w:tcW w:w="11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3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(57)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83"/>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618</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3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170"/>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color w:val="auto"/>
              </w:rPr>
              <w:t>280</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3"/>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180</w:t>
            </w:r>
          </w:p>
        </w:tc>
        <w:tc>
          <w:tcPr>
            <w:tcW w:w="11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83"/>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460</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r>
      <w:tr>
        <w:trPr>
          <w:trHeight w:val="170"/>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r>
      <w:tr>
        <w:trPr>
          <w:trHeight w:val="256"/>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70,546</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75,454</w:t>
            </w: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(4,908)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51"/>
        </w:trPr>
        <w:tc>
          <w:tcPr>
            <w:tcW w:w="3840" w:type="dxa"/>
            <w:vAlign w:val="bottom"/>
          </w:tcPr>
          <w:p>
            <w:pPr>
              <w:ind w:left="40"/>
              <w:spacing w:after="0"/>
              <w:rPr>
                <w:sz w:val="20"/>
                <w:szCs w:val="20"/>
                <w:color w:val="auto"/>
              </w:rPr>
            </w:pPr>
            <w:r>
              <w:rPr>
                <w:rFonts w:ascii="Arial" w:cs="Arial" w:eastAsia="Arial" w:hAnsi="Arial"/>
                <w:sz w:val="16"/>
                <w:szCs w:val="16"/>
                <w:color w:val="auto"/>
              </w:rPr>
              <w:t>Towable</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0"/>
              <w:spacing w:after="0"/>
              <w:rPr>
                <w:sz w:val="20"/>
                <w:szCs w:val="20"/>
                <w:color w:val="auto"/>
              </w:rPr>
            </w:pPr>
            <w:r>
              <w:rPr>
                <w:rFonts w:ascii="Arial" w:cs="Arial" w:eastAsia="Arial" w:hAnsi="Arial"/>
                <w:sz w:val="16"/>
                <w:szCs w:val="16"/>
                <w:color w:val="auto"/>
              </w:rPr>
              <w:t>10,381</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9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ind w:left="340" w:right="160" w:hanging="332"/>
        <w:spacing w:after="0" w:line="242"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Current Quarter Compared to the Comparable Quarter Last Year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2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 except percent</w:t>
            </w:r>
          </w:p>
        </w:tc>
        <w:tc>
          <w:tcPr>
            <w:tcW w:w="180" w:type="dxa"/>
            <w:vAlign w:val="bottom"/>
          </w:tcPr>
          <w:p>
            <w:pPr>
              <w:spacing w:after="0"/>
              <w:rPr>
                <w:sz w:val="15"/>
                <w:szCs w:val="15"/>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b w:val="1"/>
                <w:bCs w:val="1"/>
                <w:color w:val="auto"/>
              </w:rPr>
              <w:t>November 26,</w:t>
            </w:r>
          </w:p>
        </w:tc>
        <w:tc>
          <w:tcPr>
            <w:tcW w:w="1520" w:type="dxa"/>
            <w:vAlign w:val="bottom"/>
            <w:gridSpan w:val="2"/>
          </w:tcPr>
          <w:p>
            <w:pPr>
              <w:ind w:left="5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5"/>
                <w:szCs w:val="15"/>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November 27,</w:t>
            </w:r>
          </w:p>
        </w:tc>
        <w:tc>
          <w:tcPr>
            <w:tcW w:w="1540" w:type="dxa"/>
            <w:vAlign w:val="bottom"/>
            <w:gridSpan w:val="2"/>
          </w:tcPr>
          <w:p>
            <w:pPr>
              <w:ind w:left="5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per share data)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2011</w:t>
            </w: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2010</w:t>
            </w: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56"/>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131,837</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123,711</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8,126</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6.6 %</w:t>
            </w:r>
          </w:p>
        </w:tc>
      </w:tr>
      <w:tr>
        <w:trPr>
          <w:trHeight w:val="26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123,341</w:t>
            </w: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93.6 %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112,512</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90.9 %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10,829</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9.6 %</w:t>
            </w:r>
          </w:p>
        </w:tc>
      </w:tr>
      <w:tr>
        <w:trPr>
          <w:trHeight w:val="25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8,496</w:t>
            </w:r>
          </w:p>
        </w:tc>
        <w:tc>
          <w:tcPr>
            <w:tcW w:w="1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11,199</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(2,703)</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(24.1)%</w:t>
            </w:r>
          </w:p>
        </w:tc>
      </w:tr>
      <w:tr>
        <w:trPr>
          <w:trHeight w:val="247"/>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tcPr>
          <w:p>
            <w:pPr>
              <w:spacing w:after="0"/>
              <w:rPr>
                <w:sz w:val="21"/>
                <w:szCs w:val="21"/>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4,162</w:t>
            </w:r>
          </w:p>
        </w:tc>
        <w:tc>
          <w:tcPr>
            <w:tcW w:w="1420" w:type="dxa"/>
            <w:vAlign w:val="bottom"/>
          </w:tcPr>
          <w:p>
            <w:pPr>
              <w:jc w:val="right"/>
              <w:ind w:right="220"/>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3,267</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895</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27.4 %</w:t>
            </w:r>
          </w:p>
        </w:tc>
      </w:tr>
      <w:tr>
        <w:trPr>
          <w:trHeight w:val="28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3,707</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3,651</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56</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1.5 %</w:t>
            </w:r>
          </w:p>
        </w:tc>
      </w:tr>
      <w:tr>
        <w:trPr>
          <w:trHeight w:val="26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Gain on sale of asset held for sale</w:t>
            </w:r>
          </w:p>
        </w:tc>
        <w:tc>
          <w:tcPr>
            <w:tcW w:w="180" w:type="dxa"/>
            <w:vAlign w:val="bottom"/>
          </w:tcPr>
          <w:p>
            <w:pPr>
              <w:spacing w:after="0"/>
              <w:rPr>
                <w:sz w:val="22"/>
                <w:szCs w:val="22"/>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(644)</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644</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100.0 %</w:t>
            </w:r>
          </w:p>
        </w:tc>
      </w:tr>
      <w:tr>
        <w:trPr>
          <w:trHeight w:val="250"/>
        </w:trPr>
        <w:tc>
          <w:tcPr>
            <w:tcW w:w="28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7,869</w:t>
            </w:r>
          </w:p>
        </w:tc>
        <w:tc>
          <w:tcPr>
            <w:tcW w:w="1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6,274</w:t>
            </w:r>
          </w:p>
        </w:tc>
        <w:tc>
          <w:tcPr>
            <w:tcW w:w="14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5.1 %</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1,595</w:t>
            </w:r>
          </w:p>
        </w:tc>
        <w:tc>
          <w:tcPr>
            <w:tcW w:w="1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25.4 %</w:t>
            </w:r>
          </w:p>
        </w:tc>
      </w:tr>
      <w:tr>
        <w:trPr>
          <w:trHeight w:val="247"/>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21"/>
                <w:szCs w:val="21"/>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627</w:t>
            </w:r>
          </w:p>
        </w:tc>
        <w:tc>
          <w:tcPr>
            <w:tcW w:w="1420" w:type="dxa"/>
            <w:vAlign w:val="bottom"/>
          </w:tcPr>
          <w:p>
            <w:pPr>
              <w:jc w:val="right"/>
              <w:ind w:right="220"/>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4,925</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(4,298)</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(87.3)%</w:t>
            </w:r>
          </w:p>
        </w:tc>
      </w:tr>
      <w:tr>
        <w:trPr>
          <w:trHeight w:val="273"/>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257</w:t>
            </w:r>
          </w:p>
        </w:tc>
        <w:tc>
          <w:tcPr>
            <w:tcW w:w="1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152</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105</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69.1 %</w:t>
            </w:r>
          </w:p>
        </w:tc>
      </w:tr>
      <w:tr>
        <w:trPr>
          <w:trHeight w:val="247"/>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1"/>
                <w:szCs w:val="21"/>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884</w:t>
            </w:r>
          </w:p>
        </w:tc>
        <w:tc>
          <w:tcPr>
            <w:tcW w:w="1420" w:type="dxa"/>
            <w:vAlign w:val="bottom"/>
          </w:tcPr>
          <w:p>
            <w:pPr>
              <w:jc w:val="right"/>
              <w:ind w:right="220"/>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5,077</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(4,193)</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(82.6)%</w:t>
            </w:r>
          </w:p>
        </w:tc>
      </w:tr>
      <w:tr>
        <w:trPr>
          <w:trHeight w:val="273"/>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(151)</w:t>
            </w: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1,291</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(1,442)</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(111.7)%</w:t>
            </w:r>
          </w:p>
        </w:tc>
      </w:tr>
      <w:tr>
        <w:trPr>
          <w:trHeight w:val="280"/>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1,035</w:t>
            </w: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3,786</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(2,751)</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(72.7)%</w:t>
            </w:r>
          </w:p>
        </w:tc>
      </w:tr>
      <w:tr>
        <w:trPr>
          <w:trHeight w:val="173"/>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94"/>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0.04</w:t>
            </w: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0.13</w:t>
            </w: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(0.09)</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(69.2)%</w:t>
            </w:r>
          </w:p>
        </w:tc>
      </w:tr>
      <w:tr>
        <w:trPr>
          <w:trHeight w:val="237"/>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29,212</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29,115</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75"/>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281"/>
              <w:spacing w:after="0"/>
              <w:rPr>
                <w:sz w:val="20"/>
                <w:szCs w:val="20"/>
                <w:color w:val="auto"/>
              </w:rPr>
            </w:pPr>
            <w:r>
              <w:rPr>
                <w:rFonts w:ascii="Arial" w:cs="Arial" w:eastAsia="Arial" w:hAnsi="Arial"/>
                <w:sz w:val="14"/>
                <w:szCs w:val="14"/>
                <w:b w:val="1"/>
                <w:bCs w:val="1"/>
                <w:color w:val="auto"/>
              </w:rPr>
              <w:t>November 26,</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5"/>
                <w:szCs w:val="15"/>
                <w:color w:val="auto"/>
              </w:rPr>
            </w:pPr>
          </w:p>
        </w:tc>
        <w:tc>
          <w:tcPr>
            <w:tcW w:w="1320" w:type="dxa"/>
            <w:vAlign w:val="bottom"/>
          </w:tcPr>
          <w:p>
            <w:pPr>
              <w:jc w:val="right"/>
              <w:ind w:right="282"/>
              <w:spacing w:after="0"/>
              <w:rPr>
                <w:sz w:val="20"/>
                <w:szCs w:val="20"/>
                <w:color w:val="auto"/>
              </w:rPr>
            </w:pPr>
            <w:r>
              <w:rPr>
                <w:rFonts w:ascii="Arial" w:cs="Arial" w:eastAsia="Arial" w:hAnsi="Arial"/>
                <w:sz w:val="14"/>
                <w:szCs w:val="14"/>
                <w:b w:val="1"/>
                <w:bCs w:val="1"/>
                <w:color w:val="auto"/>
              </w:rPr>
              <w:t>November 27,</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1260" w:type="dxa"/>
            <w:vAlign w:val="bottom"/>
          </w:tcPr>
          <w:p>
            <w:pPr>
              <w:jc w:val="right"/>
              <w:ind w:right="321"/>
              <w:spacing w:after="0"/>
              <w:rPr>
                <w:sz w:val="20"/>
                <w:szCs w:val="20"/>
                <w:color w:val="auto"/>
              </w:rPr>
            </w:pPr>
            <w:r>
              <w:rPr>
                <w:rFonts w:ascii="Arial" w:cs="Arial" w:eastAsia="Arial" w:hAnsi="Arial"/>
                <w:sz w:val="14"/>
                <w:szCs w:val="14"/>
                <w:b w:val="1"/>
                <w:bCs w:val="1"/>
                <w:color w:val="auto"/>
              </w:rPr>
              <w:t>(Decrease)</w:t>
            </w:r>
          </w:p>
        </w:tc>
        <w:tc>
          <w:tcPr>
            <w:tcW w:w="1360" w:type="dxa"/>
            <w:vAlign w:val="bottom"/>
          </w:tcPr>
          <w:p>
            <w:pPr>
              <w:jc w:val="right"/>
              <w:ind w:right="561"/>
              <w:spacing w:after="0"/>
              <w:rPr>
                <w:sz w:val="20"/>
                <w:szCs w:val="20"/>
                <w:color w:val="auto"/>
              </w:rPr>
            </w:pPr>
            <w:r>
              <w:rPr>
                <w:rFonts w:ascii="Arial" w:cs="Arial" w:eastAsia="Arial" w:hAnsi="Arial"/>
                <w:sz w:val="14"/>
                <w:szCs w:val="14"/>
                <w:b w:val="1"/>
                <w:bCs w:val="1"/>
                <w:color w:val="auto"/>
              </w:rPr>
              <w:t>%</w:t>
            </w:r>
          </w:p>
        </w:tc>
      </w:tr>
      <w:tr>
        <w:trPr>
          <w:trHeight w:val="196"/>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2010</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Increase</w:t>
            </w: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381</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389</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(8)</w:t>
            </w: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r>
      <w:tr>
        <w:trPr>
          <w:trHeight w:val="264"/>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232</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270</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(38)</w:t>
            </w: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(14.1)%</w:t>
            </w: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613</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659</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(46)</w:t>
            </w: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w:t>
            </w:r>
          </w:p>
        </w:tc>
      </w:tr>
      <w:tr>
        <w:trPr>
          <w:trHeight w:val="26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22"/>
                <w:szCs w:val="22"/>
                <w:color w:val="auto"/>
              </w:rPr>
            </w:pPr>
          </w:p>
        </w:tc>
        <w:tc>
          <w:tcPr>
            <w:tcW w:w="1340" w:type="dxa"/>
            <w:vAlign w:val="bottom"/>
          </w:tcPr>
          <w:p>
            <w:pPr>
              <w:jc w:val="right"/>
              <w:ind w:right="181"/>
              <w:spacing w:after="0"/>
              <w:rPr>
                <w:sz w:val="20"/>
                <w:szCs w:val="20"/>
                <w:color w:val="auto"/>
              </w:rPr>
            </w:pPr>
            <w:r>
              <w:rPr>
                <w:rFonts w:ascii="Arial" w:cs="Arial" w:eastAsia="Arial" w:hAnsi="Arial"/>
                <w:sz w:val="16"/>
                <w:szCs w:val="16"/>
                <w:color w:val="auto"/>
              </w:rPr>
              <w:t>79</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78</w:t>
            </w:r>
          </w:p>
        </w:tc>
        <w:tc>
          <w:tcPr>
            <w:tcW w:w="1360" w:type="dxa"/>
            <w:vAlign w:val="bottom"/>
          </w:tcPr>
          <w:p>
            <w:pPr>
              <w:jc w:val="right"/>
              <w:ind w:right="281"/>
              <w:spacing w:after="0"/>
              <w:rPr>
                <w:sz w:val="20"/>
                <w:szCs w:val="20"/>
                <w:color w:val="auto"/>
              </w:rPr>
            </w:pPr>
            <w:r>
              <w:rPr>
                <w:rFonts w:ascii="Arial" w:cs="Arial" w:eastAsia="Arial" w:hAnsi="Arial"/>
                <w:sz w:val="16"/>
                <w:szCs w:val="16"/>
                <w:color w:val="auto"/>
              </w:rPr>
              <w:t>NMF</w:t>
            </w:r>
          </w:p>
        </w:tc>
      </w:tr>
      <w:tr>
        <w:trPr>
          <w:trHeight w:val="273"/>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348</w:t>
            </w: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455</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(107)</w:t>
            </w: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(23.5)%</w:t>
            </w:r>
          </w:p>
        </w:tc>
      </w:tr>
      <w:tr>
        <w:trPr>
          <w:trHeight w:val="280"/>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deliveries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1,040</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1,115</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(75)</w:t>
            </w: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(6.7)%</w:t>
            </w:r>
          </w:p>
        </w:tc>
      </w:tr>
      <w:tr>
        <w:trPr>
          <w:trHeight w:val="173"/>
        </w:trPr>
        <w:tc>
          <w:tcPr>
            <w:tcW w:w="2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6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Motor home ASP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1"/>
              <w:spacing w:after="0"/>
              <w:rPr>
                <w:sz w:val="20"/>
                <w:szCs w:val="20"/>
                <w:color w:val="auto"/>
              </w:rPr>
            </w:pPr>
            <w:r>
              <w:rPr>
                <w:rFonts w:ascii="Arial" w:cs="Arial" w:eastAsia="Arial" w:hAnsi="Arial"/>
                <w:sz w:val="16"/>
                <w:szCs w:val="16"/>
                <w:color w:val="auto"/>
              </w:rPr>
              <w:t>108</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104</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4</w:t>
            </w:r>
          </w:p>
        </w:tc>
        <w:tc>
          <w:tcPr>
            <w:tcW w:w="1360" w:type="dxa"/>
            <w:vAlign w:val="bottom"/>
          </w:tcPr>
          <w:p>
            <w:pPr>
              <w:jc w:val="right"/>
              <w:ind w:right="101"/>
              <w:spacing w:after="0"/>
              <w:rPr>
                <w:sz w:val="20"/>
                <w:szCs w:val="20"/>
                <w:color w:val="auto"/>
              </w:rPr>
            </w:pPr>
            <w:r>
              <w:rPr>
                <w:rFonts w:ascii="Arial" w:cs="Arial" w:eastAsia="Arial" w:hAnsi="Arial"/>
                <w:sz w:val="16"/>
                <w:szCs w:val="16"/>
                <w:color w:val="auto"/>
              </w:rPr>
              <w:t>4.7 %</w:t>
            </w:r>
          </w:p>
        </w:tc>
      </w:tr>
      <w:tr>
        <w:trPr>
          <w:trHeight w:val="199"/>
        </w:trPr>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bl>
    <w:p>
      <w:pPr>
        <w:spacing w:after="0" w:line="56" w:lineRule="exact"/>
        <w:rPr>
          <w:sz w:val="20"/>
          <w:szCs w:val="20"/>
          <w:color w:val="auto"/>
        </w:rPr>
      </w:pPr>
    </w:p>
    <w:p>
      <w:pPr>
        <w:sectPr>
          <w:pgSz w:w="11900" w:h="16838" w:orient="portrait"/>
          <w:cols w:equalWidth="0" w:num="1">
            <w:col w:w="11420"/>
          </w:cols>
          <w:pgMar w:left="240" w:top="141" w:right="239" w:bottom="458" w:gutter="0" w:footer="0" w:header="0"/>
        </w:sectPr>
      </w:pPr>
    </w:p>
    <w:p>
      <w:pPr>
        <w:ind w:left="40"/>
        <w:spacing w:after="0"/>
        <w:rPr>
          <w:sz w:val="20"/>
          <w:szCs w:val="20"/>
          <w:color w:val="auto"/>
        </w:rPr>
      </w:pPr>
      <w:r>
        <w:rPr>
          <w:rFonts w:ascii="Arial" w:cs="Arial" w:eastAsia="Arial" w:hAnsi="Arial"/>
          <w:sz w:val="16"/>
          <w:szCs w:val="16"/>
          <w:color w:val="auto"/>
        </w:rPr>
        <w:t>Travel trailer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Fifth wheel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towable deliveries</w:t>
      </w:r>
    </w:p>
    <w:p>
      <w:pPr>
        <w:spacing w:after="0" w:line="20" w:lineRule="exact"/>
        <w:rPr>
          <w:sz w:val="20"/>
          <w:szCs w:val="20"/>
          <w:color w:val="auto"/>
        </w:rPr>
      </w:pPr>
      <w:r>
        <w:rPr>
          <w:sz w:val="20"/>
          <w:szCs w:val="20"/>
          <w:color w:val="auto"/>
        </w:rPr>
        <w:br w:type="column"/>
      </w:r>
    </w:p>
    <w:p>
      <w:pPr>
        <w:ind w:left="9"/>
        <w:spacing w:after="0"/>
        <w:tabs>
          <w:tab w:leader="none" w:pos="1068" w:val="left"/>
        </w:tabs>
        <w:rPr>
          <w:sz w:val="20"/>
          <w:szCs w:val="20"/>
          <w:color w:val="auto"/>
        </w:rPr>
      </w:pPr>
      <w:r>
        <w:rPr>
          <w:rFonts w:ascii="Arial" w:cs="Arial" w:eastAsia="Arial" w:hAnsi="Arial"/>
          <w:sz w:val="16"/>
          <w:szCs w:val="16"/>
          <w:color w:val="auto"/>
        </w:rPr>
        <w:t>267</w:t>
      </w:r>
      <w:r>
        <w:rPr>
          <w:sz w:val="20"/>
          <w:szCs w:val="20"/>
          <w:color w:val="auto"/>
        </w:rPr>
        <w:tab/>
      </w:r>
      <w:r>
        <w:rPr>
          <w:rFonts w:ascii="Arial" w:cs="Arial" w:eastAsia="Arial" w:hAnsi="Arial"/>
          <w:sz w:val="16"/>
          <w:szCs w:val="16"/>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19050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89" w:hanging="1089"/>
        <w:spacing w:after="0"/>
        <w:tabs>
          <w:tab w:leader="none" w:pos="1089" w:val="left"/>
        </w:tabs>
        <w:numPr>
          <w:ilvl w:val="0"/>
          <w:numId w:val="6"/>
        </w:numPr>
        <w:rPr>
          <w:rFonts w:ascii="Arial" w:cs="Arial" w:eastAsia="Arial" w:hAnsi="Arial"/>
          <w:sz w:val="16"/>
          <w:szCs w:val="16"/>
          <w:color w:val="auto"/>
        </w:rPr>
      </w:pPr>
      <w:r>
        <w:rPr>
          <w:rFonts w:ascii="Arial" w:cs="Arial" w:eastAsia="Arial" w:hAnsi="Arial"/>
          <w:sz w:val="16"/>
          <w:szCs w:val="16"/>
          <w:color w:val="auto"/>
        </w:rPr>
        <w:t>38.6%</w:t>
      </w:r>
    </w:p>
    <w:p>
      <w:pPr>
        <w:spacing w:after="0" w:line="72" w:lineRule="exact"/>
        <w:rPr>
          <w:rFonts w:ascii="Arial" w:cs="Arial" w:eastAsia="Arial" w:hAnsi="Arial"/>
          <w:sz w:val="16"/>
          <w:szCs w:val="16"/>
          <w:color w:val="auto"/>
        </w:rPr>
      </w:pPr>
    </w:p>
    <w:p>
      <w:pPr>
        <w:ind w:left="1009" w:hanging="1009"/>
        <w:spacing w:after="0"/>
        <w:tabs>
          <w:tab w:leader="none" w:pos="1009"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26670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-135890</wp:posOffset>
            </wp:positionV>
            <wp:extent cx="1689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3231" w:space="720"/>
            <w:col w:w="7469"/>
          </w:cols>
          <w:pgMar w:left="240" w:top="141" w:right="239" w:bottom="458" w:gutter="0" w:footer="0" w:header="0"/>
          <w:type w:val="continuous"/>
        </w:sectPr>
      </w:pPr>
    </w:p>
    <w:p>
      <w:pPr>
        <w:spacing w:after="0" w:line="102" w:lineRule="exact"/>
        <w:rPr>
          <w:sz w:val="20"/>
          <w:szCs w:val="20"/>
          <w:color w:val="auto"/>
        </w:rPr>
      </w:pPr>
    </w:p>
    <w:p>
      <w:pPr>
        <w:ind w:left="40"/>
        <w:spacing w:after="0"/>
        <w:tabs>
          <w:tab w:leader="none" w:pos="3020" w:val="left"/>
          <w:tab w:leader="none" w:pos="4020" w:val="left"/>
        </w:tabs>
        <w:rPr>
          <w:sz w:val="20"/>
          <w:szCs w:val="20"/>
          <w:color w:val="auto"/>
        </w:rPr>
      </w:pPr>
      <w:r>
        <w:rPr>
          <w:rFonts w:ascii="Arial" w:cs="Arial" w:eastAsia="Arial" w:hAnsi="Arial"/>
          <w:sz w:val="16"/>
          <w:szCs w:val="16"/>
          <w:color w:val="auto"/>
        </w:rPr>
        <w:t>Towable ASP (in thousands)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75"/>
        </w:trPr>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202"/>
              <w:spacing w:after="0"/>
              <w:rPr>
                <w:sz w:val="20"/>
                <w:szCs w:val="20"/>
                <w:color w:val="auto"/>
              </w:rPr>
            </w:pPr>
            <w:r>
              <w:rPr>
                <w:rFonts w:ascii="Arial" w:cs="Arial" w:eastAsia="Arial" w:hAnsi="Arial"/>
                <w:sz w:val="14"/>
                <w:szCs w:val="14"/>
                <w:b w:val="1"/>
                <w:bCs w:val="1"/>
                <w:color w:val="auto"/>
              </w:rPr>
              <w:t>November 26,</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November 27,</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300" w:type="dxa"/>
            <w:vAlign w:val="bottom"/>
          </w:tcPr>
          <w:p>
            <w:pPr>
              <w:jc w:val="right"/>
              <w:ind w:right="362"/>
              <w:spacing w:after="0"/>
              <w:rPr>
                <w:sz w:val="20"/>
                <w:szCs w:val="20"/>
                <w:color w:val="auto"/>
              </w:rPr>
            </w:pPr>
            <w:r>
              <w:rPr>
                <w:rFonts w:ascii="Arial" w:cs="Arial" w:eastAsia="Arial" w:hAnsi="Arial"/>
                <w:sz w:val="14"/>
                <w:szCs w:val="14"/>
                <w:b w:val="1"/>
                <w:bCs w:val="1"/>
                <w:color w:val="auto"/>
              </w:rPr>
              <w:t>(Decrease)</w:t>
            </w:r>
          </w:p>
        </w:tc>
        <w:tc>
          <w:tcPr>
            <w:tcW w:w="132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r>
      <w:tr>
        <w:trPr>
          <w:trHeight w:val="202"/>
        </w:trPr>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Revenues</w:t>
            </w:r>
            <w:r>
              <w:rPr>
                <w:rFonts w:ascii="Arial" w:cs="Arial" w:eastAsia="Arial" w:hAnsi="Arial"/>
                <w:sz w:val="17"/>
                <w:szCs w:val="17"/>
                <w:b w:val="1"/>
                <w:bCs w:val="1"/>
                <w:color w:val="auto"/>
                <w:w w:val="99"/>
                <w:vertAlign w:val="superscript"/>
              </w:rPr>
              <w:t>(1)</w:t>
            </w:r>
          </w:p>
        </w:tc>
        <w:tc>
          <w:tcPr>
            <w:tcW w:w="140" w:type="dxa"/>
            <w:vAlign w:val="bottom"/>
          </w:tcPr>
          <w:p>
            <w:pPr>
              <w:spacing w:after="0"/>
              <w:rPr>
                <w:sz w:val="17"/>
                <w:szCs w:val="17"/>
                <w:color w:val="auto"/>
              </w:rPr>
            </w:pPr>
          </w:p>
        </w:tc>
        <w:tc>
          <w:tcPr>
            <w:tcW w:w="1260" w:type="dxa"/>
            <w:vAlign w:val="bottom"/>
          </w:tcPr>
          <w:p>
            <w:pPr>
              <w:jc w:val="right"/>
              <w:ind w:right="522"/>
              <w:spacing w:after="0"/>
              <w:rPr>
                <w:sz w:val="20"/>
                <w:szCs w:val="20"/>
                <w:color w:val="auto"/>
              </w:rPr>
            </w:pPr>
            <w:r>
              <w:rPr>
                <w:rFonts w:ascii="Arial" w:cs="Arial" w:eastAsia="Arial" w:hAnsi="Arial"/>
                <w:sz w:val="14"/>
                <w:szCs w:val="14"/>
                <w:b w:val="1"/>
                <w:bCs w:val="1"/>
                <w:color w:val="auto"/>
              </w:rPr>
              <w:t>2010</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300" w:type="dxa"/>
            <w:vAlign w:val="bottom"/>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320" w:type="dxa"/>
            <w:vAlign w:val="bottom"/>
          </w:tcPr>
          <w:p>
            <w:pPr>
              <w:jc w:val="right"/>
              <w:ind w:right="36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111,668</w:t>
            </w:r>
          </w:p>
        </w:tc>
        <w:tc>
          <w:tcPr>
            <w:tcW w:w="1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84.7%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114,719</w:t>
            </w:r>
          </w:p>
        </w:tc>
        <w:tc>
          <w:tcPr>
            <w:tcW w:w="132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92.7%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(3,051)</w:t>
            </w:r>
          </w:p>
        </w:tc>
        <w:tc>
          <w:tcPr>
            <w:tcW w:w="13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(2.7)%</w:t>
            </w:r>
          </w:p>
        </w:tc>
      </w:tr>
      <w:tr>
        <w:trPr>
          <w:trHeight w:val="270"/>
        </w:trPr>
        <w:tc>
          <w:tcPr>
            <w:tcW w:w="290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10,081</w:t>
            </w:r>
          </w:p>
        </w:tc>
        <w:tc>
          <w:tcPr>
            <w:tcW w:w="1340" w:type="dxa"/>
            <w:vAlign w:val="bottom"/>
          </w:tcPr>
          <w:p>
            <w:pPr>
              <w:jc w:val="right"/>
              <w:ind w:right="202"/>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10,081</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100.0 %</w:t>
            </w:r>
          </w:p>
        </w:tc>
      </w:tr>
      <w:tr>
        <w:trPr>
          <w:trHeight w:val="270"/>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3,637</w:t>
            </w:r>
          </w:p>
        </w:tc>
        <w:tc>
          <w:tcPr>
            <w:tcW w:w="13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3,780</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(143)</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(3.8)%</w:t>
            </w:r>
          </w:p>
        </w:tc>
      </w:tr>
      <w:tr>
        <w:trPr>
          <w:trHeight w:val="264"/>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6,451</w:t>
            </w:r>
          </w:p>
        </w:tc>
        <w:tc>
          <w:tcPr>
            <w:tcW w:w="13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5,212</w:t>
            </w: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1,239</w:t>
            </w: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23.8 %</w:t>
            </w:r>
          </w:p>
        </w:tc>
      </w:tr>
      <w:tr>
        <w:trPr>
          <w:trHeight w:val="24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131,837</w:t>
            </w:r>
          </w:p>
        </w:tc>
        <w:tc>
          <w:tcPr>
            <w:tcW w:w="1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123,711</w:t>
            </w:r>
          </w:p>
        </w:tc>
        <w:tc>
          <w:tcPr>
            <w:tcW w:w="1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8,126</w:t>
            </w:r>
          </w:p>
        </w:tc>
        <w:tc>
          <w:tcPr>
            <w:tcW w:w="13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6.6 %</w:t>
            </w: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20" w:hanging="185"/>
        <w:spacing w:after="0"/>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Motor home unit revenue less discounts, sales promotions and incentives, and accrued loss on repurchase adjustments.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towable units and parts revenues less discounts, sales promotions and accrued loss on repurchase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Towables revenues of $10.1 million were incremental in the first quarter of Fiscal 2012, as SunnyBrook was acquired in the second</w:t>
      </w:r>
    </w:p>
    <w:p>
      <w:pPr>
        <w:sectPr>
          <w:pgSz w:w="11900" w:h="16838" w:orient="portrait"/>
          <w:cols w:equalWidth="0" w:num="1">
            <w:col w:w="11420"/>
          </w:cols>
          <w:pgMar w:left="240" w:top="141" w:right="239" w:bottom="458"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458"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quarter of Fiscal 2011.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Motor home revenues decreased $3.1 million due to a 6.7% decrease in unit sales, partially offset by a 4.7% increase in ASP.</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Cost of products sold was $123.3 million, or 93.6% of net revenues for the first quarter of Fiscal 2012 compared to $112.5 million, or 90.9% of net revenues for the comparable period a year ago due to the following:</w:t>
      </w:r>
    </w:p>
    <w:p>
      <w:pPr>
        <w:spacing w:after="0" w:line="1" w:lineRule="exact"/>
        <w:rPr>
          <w:sz w:val="20"/>
          <w:szCs w:val="20"/>
          <w:color w:val="auto"/>
        </w:rPr>
      </w:pPr>
    </w:p>
    <w:p>
      <w:pPr>
        <w:ind w:left="340" w:right="100" w:hanging="170"/>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variable costs (material, labor, variable overhead, delivery, and warranty) as a percent of net revenues, increased from 83.0% last year to 85.2% this year. Increased expenses due to lower plant utilization and inflationary commodity pressures contributed to the increased percentage of net revenues.</w:t>
      </w:r>
    </w:p>
    <w:p>
      <w:pPr>
        <w:ind w:left="340" w:right="560" w:hanging="170"/>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increased to 8.4% of net revenues compared to 7.9% last year. This difference was primarily due to lower plant utilization due to shortened work weeks and additional fixed expenses associated with Towables.</w:t>
      </w:r>
    </w:p>
    <w:p>
      <w:pPr>
        <w:spacing w:after="0" w:line="1" w:lineRule="exact"/>
        <w:rPr>
          <w:rFonts w:ascii="Arial" w:cs="Arial" w:eastAsia="Arial" w:hAnsi="Arial"/>
          <w:sz w:val="16"/>
          <w:szCs w:val="16"/>
          <w:color w:val="auto"/>
        </w:rPr>
      </w:pPr>
    </w:p>
    <w:p>
      <w:pPr>
        <w:ind w:left="340" w:hanging="170"/>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9.1% to 6.4% of net revenues.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Selling expenses increased $895,000, or 27.4% during the first quarter of Fiscal 2012 and, as a percent of net revenues were 3.2% and 2.6% for the first quarters of Fiscal 2012 and Fiscal 2011, respectively. The expense increase was due primarily to operating expenses associated with Towables and increases in employee-related expenses.</w:t>
      </w:r>
    </w:p>
    <w:p>
      <w:pPr>
        <w:spacing w:after="0" w:line="174"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General and administrative expenses increased $56,000 during the first quarter of Fiscal 2012 and, as a percentage of net revenues were 2.8% and 3.0% for the first quarters of Fiscal 2012 and Fiscal 2011, respectively. The expense increase was due primarily to operating expenses associated with Towables and increases in employee-related expenses partially offset by the absence of accrued incentives in the first quarter of Fiscal 2012.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2011 we realized a gain of $644,000 on the sale of Charles City Manufacturing Facility, CCMF, an asset held for sale.</w:t>
      </w:r>
    </w:p>
    <w:p>
      <w:pPr>
        <w:spacing w:after="0" w:line="19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Non-operating income increased $105,000, or 69.1%, during the first quarter of Fiscal 2012. This difference is primarily due to a gain on company owned life insurance policies, partially offset by lower investment income.</w:t>
      </w:r>
    </w:p>
    <w:p>
      <w:pPr>
        <w:spacing w:after="0" w:line="16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overall effective income tax benefit rate for the first quarter of Fiscal 2012 was (17.1)% compared to the tax provision rate of 25.4% for the first quarter of Fiscal 2011. Most notably, our effective tax benefit rate for the first quarter of Fiscal 2012 was positively impacted by the relationship of tax-exempt income in relation to book income. The tax-exempt income is primarily tax-free investment income from investments in life insurance assets and ARS. In addition, we recorded tax benefits in the quarter associated with reductions to reserves for uncertain tax positions. Our tax expense rate of 25.4% in the first quarter of Fiscal 2011 was primarily the result of higher book income, thus resulting in lower reductions in tax expense as a percentage of book income.</w:t>
      </w:r>
    </w:p>
    <w:p>
      <w:pPr>
        <w:spacing w:after="0" w:line="17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Net income was $1.0 million, or $0.04 per diluted share, for the first quarter of Fiscal 2012 compared to $3.8 million, or $0.13 per diluted share, for the first quarter of Fiscal 2011. See Note 13.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totaled $71.3 million and $69.3 million as of November 26, 2011 and August 27,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Significant liquidity events in the first quarter of Fiscal 2012 include:</w:t>
      </w:r>
    </w:p>
    <w:p>
      <w:pPr>
        <w:spacing w:after="0" w:line="5" w:lineRule="exact"/>
        <w:rPr>
          <w:sz w:val="20"/>
          <w:szCs w:val="20"/>
          <w:color w:val="auto"/>
        </w:rPr>
      </w:pPr>
    </w:p>
    <w:p>
      <w:pPr>
        <w:ind w:left="340" w:hanging="170"/>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flow from operating activities of $1.2 million.</w:t>
      </w:r>
    </w:p>
    <w:p>
      <w:pPr>
        <w:spacing w:after="0" w:line="5" w:lineRule="exact"/>
        <w:rPr>
          <w:rFonts w:ascii="Arial" w:cs="Arial" w:eastAsia="Arial" w:hAnsi="Arial"/>
          <w:sz w:val="16"/>
          <w:szCs w:val="16"/>
          <w:color w:val="auto"/>
        </w:rPr>
      </w:pPr>
    </w:p>
    <w:p>
      <w:pPr>
        <w:ind w:left="340" w:right="40" w:hanging="170"/>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ARS redemptions at par of $500,000. Subsequent to the end of the quarter, we had $250,000 of additional ARS redemptions at par. We have $10.0 million ARS at par value classified as long-term investments as of November 26, 2011. See further discussion in Note 4.</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also have in place a $20.0 million revolving credit facility, as described in further detail in Note 8, which allows us to borrow up to $12.5 million without financial covenant restrictions if there is adequate asset coverage. We had sufficient asset coverage in accounts receivable and inventory as of November 26, 2011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source of liquidity in addition to the alternatives already in place.</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Working capital at November 26, 2011 and August 27, 2011 was $116.0 million and $113.5 million, respectively, an increase of $2.5 million. We currently expect cash on hand, funds generated from operations (if any) and the availability under the credit facility to be sufficient to cover both short-term and long-term operation requirements. We anticipate capital expenditures during the balance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of Fiscal 2012 of approximately $3.3 million, primarily for manufacturing equipment and facilities which will be funded with cash on hand.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Cash provided by operating activities was $1.2 million for the quarter ended November 26, 2011 compared to $2.2 million for the quarter ended November 27, 2010. In the current fiscal year, the combination of net income and non-cash charges (e.g., depreciation, stock-based compensation) provided $2.0 million of operating cash compared to $5.3 million in the prior year period. In Fiscal 2012, changes in assets and liabilities (primarily decreases in accounts payable and accrued expenses partially offset by decreases in inventories and accounts receivable and prepaid assets) used $889,000 of operating cash. In the first quarter of Fiscal 2011 changes in assets and liabilities (primarily accounts payable and accrued expenses) used $3.2 million of operating cash.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the quarter ended November 26, 2011, cash provided by investing activities was due to proceeds of life insurance of $643,000 and $500,000 of ARS redemptions, partially offset by capital spending of $456,000. During the quarter ended November 27, 2010, cash provided by investing activities of $4.3 million was due to proceeds on the sale of CCMF of $3.7 million and $1.2 million of ARS redemptions, partially offset by manufacturing equipment purchases.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Cash provided by financing activities was $33,000 for the quarter ended November 26, 2011 compared to cash used in financing activities of $25,000 for the quarter ended November 27, 2010.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27, 2011.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27,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1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2012, there were no shares repurchased pursuant to this authorization or otherwise. As of November 26, 2011, there was approximately $59.2 million remaining under this authorization.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December 23, 2011.</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December 23, 2011.</w:t>
      </w:r>
    </w:p>
    <w:p>
      <w:pPr>
        <w:spacing w:after="0" w:line="167" w:lineRule="exact"/>
        <w:rPr>
          <w:sz w:val="20"/>
          <w:szCs w:val="20"/>
          <w:color w:val="auto"/>
        </w:rPr>
      </w:pPr>
    </w:p>
    <w:p>
      <w:pPr>
        <w:ind w:left="980" w:right="30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December 23, 2011.</w:t>
      </w:r>
    </w:p>
    <w:p>
      <w:pPr>
        <w:spacing w:after="0" w:line="142" w:lineRule="exact"/>
        <w:rPr>
          <w:sz w:val="20"/>
          <w:szCs w:val="20"/>
          <w:color w:val="auto"/>
        </w:rPr>
      </w:pPr>
    </w:p>
    <w:p>
      <w:pPr>
        <w:ind w:left="980" w:right="36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December 23, 2011.</w:t>
      </w:r>
    </w:p>
    <w:p>
      <w:pPr>
        <w:sectPr>
          <w:pgSz w:w="11900" w:h="16838" w:orient="portrait"/>
          <w:cols w:equalWidth="0" w:num="1">
            <w:col w:w="11340"/>
          </w:cols>
          <w:pgMar w:left="240" w:top="141" w:right="31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360"/>
          </w:cols>
          <w:pgMar w:left="240" w:top="141"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360"/>
          </w:cols>
          <w:pgMar w:left="240" w:top="141"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360"/>
          </w:cols>
          <w:pgMar w:left="240" w:top="141"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360"/>
          </w:cols>
          <w:pgMar w:left="240" w:top="141"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360"/>
          </w:cols>
          <w:pgMar w:left="240" w:top="141" w:right="31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360"/>
          </w:cols>
          <w:pgMar w:left="240" w:top="141" w:right="319" w:bottom="1440" w:gutter="0" w:footer="0" w:header="0"/>
          <w:type w:val="continuous"/>
        </w:sectPr>
      </w:pPr>
    </w:p>
    <w:p>
      <w:pPr>
        <w:ind w:firstLine="8"/>
        <w:spacing w:after="0" w:line="251" w:lineRule="auto"/>
        <w:tabs>
          <w:tab w:leader="none" w:pos="1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Attached as Exhibit 101 to this report are the following financial statements from our Quarterly Report on Form 10-Q for the quarter ended November 26, 2011 formatted in XBRL: (i) the Unaudited Consolidated Balance Sheets, (ii) the Unaudited Consolidated Statements of Operations, (iii) the Unaudited Consolidated Statements of Cash Flows, and (iv) related notes to these financial statements tagged as blocks of text.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W</w:t>
      </w:r>
      <w:r>
        <w:rPr>
          <w:rFonts w:ascii="Arial" w:cs="Arial" w:eastAsia="Arial" w:hAnsi="Arial"/>
          <w:sz w:val="16"/>
          <w:szCs w:val="16"/>
          <w:color w:val="auto"/>
        </w:rPr>
        <w:t>INNEBAGO INDUSTRIES, INC.</w:t>
      </w: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740" w:val="left"/>
          <w:tab w:leader="none" w:pos="3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2011</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Randy J. Potts</w:t>
      </w:r>
    </w:p>
    <w:p>
      <w:pPr>
        <w:spacing w:after="0" w:line="5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Chief Executive Officer and President</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740" w:val="left"/>
          <w:tab w:leader="none" w:pos="3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2011</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Chief Financial Officer (Principal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40"/>
          </w:cols>
          <w:pgMar w:left="240" w:top="141" w:right="31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20"/>
          <w:szCs w:val="20"/>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Chief Executive Officer of Winnebago Industries, Inc., certify that:</w:t>
      </w:r>
    </w:p>
    <w:p>
      <w:pPr>
        <w:spacing w:after="0" w:line="1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300" w:right="380" w:hanging="320"/>
        <w:spacing w:after="0" w:line="26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9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2011</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00"/>
          </w:cols>
          <w:pgMar w:left="240" w:top="571"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0"/>
          <w:szCs w:val="20"/>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1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300" w:right="380" w:hanging="320"/>
        <w:spacing w:after="0" w:line="26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9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2011</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00"/>
          </w:cols>
          <w:pgMar w:left="240" w:top="57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19"/>
        <w:spacing w:after="0"/>
        <w:rPr>
          <w:sz w:val="20"/>
          <w:szCs w:val="20"/>
          <w:color w:val="auto"/>
        </w:rPr>
      </w:pPr>
      <w:r>
        <w:rPr>
          <w:rFonts w:ascii="Arial" w:cs="Arial" w:eastAsia="Arial" w:hAnsi="Arial"/>
          <w:sz w:val="20"/>
          <w:szCs w:val="20"/>
          <w:b w:val="1"/>
          <w:bCs w:val="1"/>
          <w:color w:val="auto"/>
        </w:rPr>
        <w:t>(18 U.S.C. SECTION 1350)</w:t>
      </w:r>
    </w:p>
    <w:p>
      <w:pPr>
        <w:spacing w:after="0" w:line="3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November 26, 2011, I, Randy J.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10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quarter ended November 26, 2011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3" w:lineRule="exact"/>
        <w:rPr>
          <w:sz w:val="20"/>
          <w:szCs w:val="20"/>
          <w:color w:val="auto"/>
        </w:rPr>
      </w:pPr>
    </w:p>
    <w:p>
      <w:pPr>
        <w:ind w:left="40"/>
        <w:spacing w:after="0"/>
        <w:tabs>
          <w:tab w:leader="none" w:pos="9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2011</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00"/>
          </w:cols>
          <w:pgMar w:left="240" w:top="571"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1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November 26, 2011, I, Sarah N. Nielsen, Chief Financial Officer of Winnebago Industries, Inc., certify that pursuant to 18 U.S.C. §1350 as adopted pursuant to §906 of the Sarbanes-Oxley Act of 2002, that:</w:t>
      </w:r>
    </w:p>
    <w:p>
      <w:pPr>
        <w:spacing w:after="0" w:line="182" w:lineRule="exact"/>
        <w:rPr>
          <w:sz w:val="20"/>
          <w:szCs w:val="20"/>
          <w:color w:val="auto"/>
        </w:rPr>
      </w:pPr>
    </w:p>
    <w:p>
      <w:pPr>
        <w:jc w:val="both"/>
        <w:ind w:left="660" w:right="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This Quarterly Report on Form 10-Q (“periodic report”) of Winnebago Industries, Inc. (the “issuer”), for the quarter ended November 26, 2011 as filed with the Securities and Exchange Commission on the date of this certificate, which this statement accompanies, fully complies with the requirements of Section 13(a) or 15(d) of the Securities Exchange Act of 1934, and</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6" w:lineRule="exact"/>
        <w:rPr>
          <w:sz w:val="20"/>
          <w:szCs w:val="20"/>
          <w:color w:val="auto"/>
        </w:rPr>
      </w:pPr>
    </w:p>
    <w:p>
      <w:pPr>
        <w:ind w:left="40"/>
        <w:spacing w:after="0"/>
        <w:tabs>
          <w:tab w:leader="none" w:pos="9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2011</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360"/>
      </w:cols>
      <w:pgMar w:left="240" w:top="5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68"/>
    </w:lvl>
  </w:abstractNum>
  <w:abstractNum w:abstractNumId="6">
    <w:nsid w:val="1F16E9E8"/>
    <w:multiLevelType w:val="hybridMultilevel"/>
    <w:lvl w:ilvl="0">
      <w:lvlJc w:val="left"/>
      <w:lvlText w:val="%1"/>
      <w:numFmt w:val="decimal"/>
      <w:start w:val="435"/>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2019-12-10T04:20:12Z</dcterms:created>
  <dcterms:modified xsi:type="dcterms:W3CDTF">2019-12-10T04:20:12Z</dcterms:modified>
</cp:coreProperties>
</file>