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821055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177800</wp:posOffset>
            </wp:positionV>
            <wp:extent cx="3027045"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704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880" w:val="left"/>
        </w:tabs>
        <w:rPr>
          <w:sz w:val="20"/>
          <w:szCs w:val="20"/>
          <w:color w:val="auto"/>
        </w:rPr>
      </w:pPr>
      <w:r>
        <w:rPr>
          <w:rFonts w:ascii="Arial" w:cs="Arial" w:eastAsia="Arial" w:hAnsi="Arial"/>
          <w:sz w:val="22"/>
          <w:szCs w:val="22"/>
          <w:b w:val="1"/>
          <w:bCs w:val="1"/>
          <w:color w:val="auto"/>
        </w:rPr>
        <w:t>Items 2.01, 3.01</w:t>
      </w:r>
      <w:r>
        <w:rPr>
          <w:sz w:val="20"/>
          <w:szCs w:val="20"/>
          <w:color w:val="auto"/>
        </w:rPr>
        <w:tab/>
      </w:r>
      <w:r>
        <w:rPr>
          <w:rFonts w:ascii="Arial" w:cs="Arial" w:eastAsia="Arial" w:hAnsi="Arial"/>
          <w:sz w:val="21"/>
          <w:szCs w:val="21"/>
          <w:b w:val="1"/>
          <w:bCs w:val="1"/>
          <w:color w:val="auto"/>
        </w:rPr>
        <w:t>Unregistered Sale of Equity Securities; Completion of Acquisition or Disposition of Assets</w:t>
      </w:r>
      <w:r>
        <w:rPr>
          <w:rFonts w:ascii="Arial" w:cs="Arial" w:eastAsia="Arial" w:hAnsi="Arial"/>
          <w:sz w:val="21"/>
          <w:szCs w:val="21"/>
          <w:color w:val="auto"/>
        </w:rPr>
        <w: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Purchase Agreement</w:t>
      </w:r>
    </w:p>
    <w:p>
      <w:pPr>
        <w:spacing w:after="0" w:line="22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On November 8, 2016 Winnebago Industries, Inc. (“Winnebago”) consummated the acquisition of Grand Design RV, LLC an Indiana limited liability company pursuant to the terms of the previously announced Securities Purchase Agreement (the “Purchase Agreement”) by and among Winnebago, Grand Design RV, LLC (“Grand Design”), Octavius Corporation (“Octavius”), Summit Partners Growth Equity Fund VIII-A, L.P., Summit Partners Growth Equity Fund VIII-B, L.P., Summit Partners Entrepreneur Advisors Fund I, L.P., Summit Investors I, LLC, Summit Investors I (UK), L.P., SP GE VIII-B GD RV Holdings, L.P. (collectively the “Summit Sellers”), RDB III, Inc., and each of the shareholders of RDB III, Inc. (collectively the “RDB Sellers”). The Summit Sellers and RDB Sellers are hereafter referred to as “Sellers.” A copy of the press release announcing the closing of the transaction is attached hereto as Exhibit 99.1.</w:t>
      </w:r>
    </w:p>
    <w:p>
      <w:pPr>
        <w:spacing w:after="0" w:line="2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consideration paid by Winnebago was approximately $500 million subject to adjustment as set forth in the Purchase Agreement, consisting of $395 million in cash and 4,586,555 shares of Winnebago common stock issued to Sellers that were valued at $105 million based on the closing price of Winnebago’s common stock for the 10 days prior to execution of the Purchase Agreement. The cash portion of the purchase price and certain transaction expenses were funded through $60 million of existing cash, a seven-year $300 million secured term loan facility, and $53 million drawn from a five-year $125 million asset-based revolving secured credit facility, both of which were arranged by JP Morgan Chase Bank, N.A. (“JPMorgan”) as administrative agent as described below in Item 2.03.</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Ancillary Agreements</w:t>
      </w:r>
    </w:p>
    <w:p>
      <w:pPr>
        <w:spacing w:after="0" w:line="22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connection with the Purchase Agreement Winnebago, Grand Design and the Sellers have agreed to certain ancillary agreements previously disclosed. The shareholders of RDB, Ronald Fenech, Donald Clark and William Fenech have entered into a five-year non-competition, non-solicitation and confidentiality agreement. The Summit Sellers have entered into a three-year non-solicitation and confidentiality agreement.</w:t>
      </w:r>
    </w:p>
    <w:p>
      <w:pPr>
        <w:spacing w:after="0" w:line="20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Winnebago has agreed to register the shares of common stock issuable to the Summit Sellers and the RDB Sellers pursuant to the terms of a registration rights agreement. Under the registration rights agreement, Winnebago has agreed to file a shelf registration statement on the second business day following the filing of an amendment to Winnebago’s Current Report on Form 8-K reporting the completion of the acquisition of Grand Design containing the financial statements and pro forma financial information concerning the acquisition. Winnebago has agreed to keep the registration statement effective for up to three years.</w:t>
      </w:r>
    </w:p>
    <w:p>
      <w:pPr>
        <w:spacing w:after="0" w:line="20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Summit Sellers and RDB Sellers have agreed to certain covenants pursuant to the terms of standstill agreements. The standstill agreements provide that for up to one year after closing, the Summit Sellers and RDB Sellers are each prohibited from taking certain hostile actions with respect to Winnebago. The RDB Sellers have also agreed to a lock-up letter agreement that restricts the RDB Sellers from transferring their shares of Winnebago common stock for one year from closing.</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Also, in connection with the Purchase Agreement, Grand Design has entered into employment agreements with certain key members of its management team including its Chief Executive Officer, Donald Clark, and includes a form of change in control agreement between Mr. Clark and Winnebago. Finally, in connection with the Purchase Agreement, Winnebago has entered into consulting agreements with two of the RDB Sellers, Ronald Fenech and William Fenech. Under the consulting agreements, Ronald Fenech and William Fenech have each agreed to provide certain consulting services to Grand Design and Winnebago for one year from closing.</w:t>
      </w:r>
    </w:p>
    <w:p>
      <w:pPr>
        <w:spacing w:after="0" w:line="24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foregoing descriptions of the Purchase Agreement and the transactions contemplated thereby including the ancillary agreements are not complete and are each subject to and qualified in their respective entirety by reference to the Purchase Agreement and the ancillary agreements that are incorporated herein by reference.</w:t>
      </w:r>
    </w:p>
    <w:p>
      <w:pPr>
        <w:spacing w:after="0" w:line="200" w:lineRule="exact"/>
        <w:rPr>
          <w:sz w:val="20"/>
          <w:szCs w:val="20"/>
          <w:color w:val="auto"/>
        </w:rPr>
      </w:pPr>
    </w:p>
    <w:p>
      <w:pPr>
        <w:spacing w:after="0" w:line="318" w:lineRule="exact"/>
        <w:rPr>
          <w:sz w:val="20"/>
          <w:szCs w:val="20"/>
          <w:color w:val="auto"/>
        </w:rPr>
      </w:pPr>
    </w:p>
    <w:p>
      <w:pPr>
        <w:ind w:right="580"/>
        <w:spacing w:after="0" w:line="274" w:lineRule="auto"/>
        <w:rPr>
          <w:sz w:val="20"/>
          <w:szCs w:val="20"/>
          <w:color w:val="auto"/>
        </w:rPr>
      </w:pPr>
      <w:r>
        <w:rPr>
          <w:rFonts w:ascii="Arial" w:cs="Arial" w:eastAsia="Arial" w:hAnsi="Arial"/>
          <w:sz w:val="22"/>
          <w:szCs w:val="22"/>
          <w:b w:val="1"/>
          <w:bCs w:val="1"/>
          <w:color w:val="auto"/>
        </w:rPr>
        <w:t>Items 1.01; 2.03 Entry into a Material Definitive Agreement; Creation of Direct Financial Obligation or an Obligation Under an Off-Balance Sheet Arrangement.</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 Loan</w:t>
      </w:r>
    </w:p>
    <w:p>
      <w:pPr>
        <w:spacing w:after="0" w:line="302"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On November 8, Winnebago, Octavius Corporation and certain of Winnebago’s subsidiaries (collectively the “Loan Parties”) entered into a Loan Agreement with certain lenders and JPMorgan as Administrative Agent (the “Loan</w:t>
      </w:r>
    </w:p>
    <w:p>
      <w:pPr>
        <w:sectPr>
          <w:pgSz w:w="11900" w:h="16838" w:orient="portrait"/>
          <w:cols w:equalWidth="0" w:num="1">
            <w:col w:w="11380"/>
          </w:cols>
          <w:pgMar w:left="240" w:top="580" w:right="279" w:bottom="1440" w:gutter="0" w:footer="0" w:header="0"/>
        </w:sectPr>
      </w:pPr>
    </w:p>
    <w:bookmarkStart w:id="2" w:name="page3"/>
    <w:bookmarkEnd w:id="2"/>
    <w:p>
      <w:pPr>
        <w:ind w:right="20"/>
        <w:spacing w:after="0" w:line="248" w:lineRule="auto"/>
        <w:rPr>
          <w:sz w:val="20"/>
          <w:szCs w:val="20"/>
          <w:color w:val="auto"/>
        </w:rPr>
      </w:pPr>
      <w:r>
        <w:rPr>
          <w:rFonts w:ascii="Arial" w:cs="Arial" w:eastAsia="Arial" w:hAnsi="Arial"/>
          <w:sz w:val="16"/>
          <w:szCs w:val="16"/>
          <w:color w:val="auto"/>
        </w:rPr>
        <w:t>Agreement”) for the purpose of establishing a seven-year $300 million term loan subject to the terms, provisions and limitations of the Loan Agreement. A copy of the Loan Agreement is attached hereto as Exhibit 99.2. The Loan Parties’ obligations to repay amounts borrowed under the Loan Agreement are secured by liens on substantially all of the assets of the Loan Parties. Borrowings under the Loan Agreement will be, at the election of the Loan Parties, either Eurodollar loans bearing interest at a fluctuating rate of interest per year based on the London Interbank Offering Rate (“LIBOR”) plus a margin of 4.5%, or Alternate Base Rate loans (as defined in the Loan Agreement) which bear interest at the “ABR” rate as defined in the Loan Agreement plus 3.50%. The Loan Agreement contains customary representations, warranties, affirmative and negative covenants, limitations, and events of default for a transaction of this type including, maintenance of certain leverage ratios and other restrictions as set forth in the Loan Agreement.</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Asset Based Lending</w:t>
      </w:r>
    </w:p>
    <w:p>
      <w:pPr>
        <w:spacing w:after="0" w:line="3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Also on November 8, Winnebago, Winnebago of Indiana, LLC, Grand Design RV, LLC and Winnebago’s subsidiaries (collectively the “Borrowers”) entered into a Credit Agreement with JPMorgan as Administrative Agent (the “Credit Agreement”) for the purpose of establishing a five year up to $125 million asset-based lending facility subject to the terms, provisions and limitations of the Credit Agreement. A copy of the Credit Agreement is attached hereto as Exhibit 99.3. The Borrowers’ obligations to repay amounts borrowed under the Credit Agreement are secured by liens on substantially all of the assets of the Borrowers, and the amount available for borrowing under the Credit Agreement is subject to “availability” as defined under the Credit Agreement. Borrowings under the Credit Agreement, subject to availability, may be made at the election of the Borrowers as Eurodollar Loans or Alternate Base Rate Loans as such terms are defined under the Credit Agreement. Eurodollar loans bear interest generally at a fluctuating rate based on LIBOR plus a margin that varies between 1.50% and 2.00% depending on availability. Alternate Base Rate Loans bear interest at the "ABR” rate plus .50% to to 1.00% depending on availability. Availability under the Credit Agreement is dependent upon a number of factors including maintaining certain levels of fixed charge coverage ratios, assets, liabilities, debt service coverage, certain leverage ratios, and other covenants as set forth in the Credit Agreement. The Credit Agreement contains customary representations, warranties, affirmative and negative covenants, limitations and events of default for a transaction of this type.</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Intercreditor Agreement</w:t>
      </w:r>
    </w:p>
    <w:p>
      <w:pPr>
        <w:spacing w:after="0" w:line="2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November 8, 2016, the lenders under the Credit Agreement and Loan Agreement, and Winnebago and certain of its subsidiaries have entered into an Intercreditor agreement. A copy of the Intercreditor agreement is attached hereto as Exhibit 99.4. The Intercreditor Agreement identifies JPMorgan as Administrative Agent under the Credit Agreement and as Term Loan Representative under the Loan Agreement. The Intercreditor Agreement also specifies the relative priority of the Credit Agreement lenders as to Winnebago’s account receivables, inventory and cash, and the Loan Agreement lenders’ priority on all other assets of Winnebago.</w:t>
      </w:r>
    </w:p>
    <w:p>
      <w:pPr>
        <w:spacing w:after="0" w:line="284" w:lineRule="exact"/>
        <w:rPr>
          <w:sz w:val="20"/>
          <w:szCs w:val="20"/>
          <w:color w:val="auto"/>
        </w:rPr>
      </w:pPr>
    </w:p>
    <w:p>
      <w:pPr>
        <w:jc w:val="both"/>
        <w:ind w:right="100"/>
        <w:spacing w:after="0" w:line="253" w:lineRule="auto"/>
        <w:rPr>
          <w:sz w:val="20"/>
          <w:szCs w:val="20"/>
          <w:color w:val="auto"/>
        </w:rPr>
      </w:pPr>
      <w:r>
        <w:rPr>
          <w:rFonts w:ascii="Arial" w:cs="Arial" w:eastAsia="Arial" w:hAnsi="Arial"/>
          <w:sz w:val="16"/>
          <w:szCs w:val="16"/>
          <w:color w:val="auto"/>
        </w:rPr>
        <w:t>The foregoing descriptions of the Loan Agreement, the Credit Agreement and Intercreditor Agreement are not complete and are each subject to and qualified in their respective entirety by reference to the Loan Agreement, the Credit Agreement and the Intercreditor Agreement that are included as Exhibits 99.2, 99.3 and 99.4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2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21"/>
          <w:szCs w:val="21"/>
          <w:b w:val="1"/>
          <w:bCs w:val="1"/>
          <w:color w:val="auto"/>
        </w:rPr>
        <w:t>Financial Statements and Exhibits.</w:t>
      </w:r>
    </w:p>
    <w:p>
      <w:pPr>
        <w:spacing w:after="0" w:line="27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Financial Statements of Business Acquired</w:t>
      </w:r>
    </w:p>
    <w:p>
      <w:pPr>
        <w:spacing w:after="0" w:line="75" w:lineRule="exact"/>
        <w:rPr>
          <w:sz w:val="20"/>
          <w:szCs w:val="20"/>
          <w:color w:val="auto"/>
        </w:rPr>
      </w:pPr>
    </w:p>
    <w:p>
      <w:pPr>
        <w:ind w:right="560" w:firstLine="648"/>
        <w:spacing w:after="0" w:line="295" w:lineRule="auto"/>
        <w:rPr>
          <w:sz w:val="20"/>
          <w:szCs w:val="20"/>
          <w:color w:val="auto"/>
        </w:rPr>
      </w:pPr>
      <w:r>
        <w:rPr>
          <w:rFonts w:ascii="Arial" w:cs="Arial" w:eastAsia="Arial" w:hAnsi="Arial"/>
          <w:sz w:val="16"/>
          <w:szCs w:val="16"/>
          <w:color w:val="auto"/>
        </w:rPr>
        <w:t>The required financial statements of Grand Design will be included in an amendment to this Current Report on Form 8-K to be filed as soon as practicable, but no later than 71 days after the date this Current Report is required to be filed.</w:t>
      </w:r>
    </w:p>
    <w:p>
      <w:pPr>
        <w:spacing w:after="0" w:line="24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Pro Forma Financial Information</w:t>
      </w:r>
    </w:p>
    <w:p>
      <w:pPr>
        <w:spacing w:after="0" w:line="75" w:lineRule="exact"/>
        <w:rPr>
          <w:sz w:val="20"/>
          <w:szCs w:val="20"/>
          <w:color w:val="auto"/>
        </w:rPr>
      </w:pPr>
    </w:p>
    <w:p>
      <w:pPr>
        <w:ind w:right="240" w:firstLine="648"/>
        <w:spacing w:after="0" w:line="295" w:lineRule="auto"/>
        <w:rPr>
          <w:sz w:val="20"/>
          <w:szCs w:val="20"/>
          <w:color w:val="auto"/>
        </w:rPr>
      </w:pPr>
      <w:r>
        <w:rPr>
          <w:rFonts w:ascii="Arial" w:cs="Arial" w:eastAsia="Arial" w:hAnsi="Arial"/>
          <w:sz w:val="16"/>
          <w:szCs w:val="16"/>
          <w:color w:val="auto"/>
        </w:rPr>
        <w:t>The required pro forma financial information which gives effect to the acquisition of Grand Design RV, LLC will be included in an amendment to this Current Report on Form 8-K to be filed as soon as practicable, but no later than 71 days after the date this Current Report is required to be filed.</w:t>
      </w:r>
    </w:p>
    <w:p>
      <w:pPr>
        <w:sectPr>
          <w:pgSz w:w="11900" w:h="16838" w:orient="portrait"/>
          <w:cols w:equalWidth="0" w:num="1">
            <w:col w:w="11400"/>
          </w:cols>
          <w:pgMar w:left="240" w:top="641"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(d) Exhibits.</w:t>
      </w:r>
    </w:p>
    <w:p>
      <w:pPr>
        <w:spacing w:after="0" w:line="316"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u w:val="single" w:color="auto"/>
          <w:color w:val="auto"/>
        </w:rPr>
        <w:t>Exhibit No.</w:t>
      </w:r>
      <w:r>
        <w:rPr>
          <w:sz w:val="20"/>
          <w:szCs w:val="20"/>
          <w:color w:val="auto"/>
        </w:rPr>
        <w:tab/>
      </w:r>
      <w:r>
        <w:rPr>
          <w:rFonts w:ascii="Arial" w:cs="Arial" w:eastAsia="Arial" w:hAnsi="Arial"/>
          <w:sz w:val="16"/>
          <w:szCs w:val="16"/>
          <w:u w:val="single" w:color="auto"/>
          <w:color w:val="auto"/>
        </w:rPr>
        <w:t>Description of Exhibit</w:t>
      </w:r>
    </w:p>
    <w:p>
      <w:pPr>
        <w:spacing w:after="0" w:line="235"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November 8, 2016.</w:t>
      </w:r>
    </w:p>
    <w:p>
      <w:pPr>
        <w:spacing w:after="0" w:line="221" w:lineRule="exact"/>
        <w:rPr>
          <w:sz w:val="20"/>
          <w:szCs w:val="20"/>
          <w:color w:val="auto"/>
        </w:rPr>
      </w:pPr>
    </w:p>
    <w:p>
      <w:pPr>
        <w:ind w:left="1140" w:right="300" w:hanging="809"/>
        <w:spacing w:after="0" w:line="260" w:lineRule="auto"/>
        <w:tabs>
          <w:tab w:leader="none" w:pos="11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color w:val="auto"/>
        </w:rPr>
        <w:t>Loan Agreement dated as of November 8, 2016 among Winnebago Industries, Inc., Octavius Corporation, the Other Loan Party Hereto, the Lenders Party Hereto and JPMorgan Chase Bank, N.A. as Administrative Agent.</w:t>
      </w:r>
    </w:p>
    <w:p>
      <w:pPr>
        <w:spacing w:after="0" w:line="196"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color w:val="auto"/>
        </w:rPr>
        <w:t>Credit Agreement dated as of November 8, 2016 among Winnebago Industries, Inc., Winnebago of Indiana, LLC, Grand Design RV, LLC, the Other Loan Party Hereto, the Lenders Party Hereto and JPMorgan Chase Bank, N.A. as Administrative Agent.</w:t>
      </w:r>
    </w:p>
    <w:p>
      <w:pPr>
        <w:spacing w:after="0" w:line="19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99.4</w:t>
      </w:r>
      <w:r>
        <w:rPr>
          <w:sz w:val="20"/>
          <w:szCs w:val="20"/>
          <w:color w:val="auto"/>
        </w:rPr>
        <w:tab/>
      </w:r>
      <w:r>
        <w:rPr>
          <w:rFonts w:ascii="Arial" w:cs="Arial" w:eastAsia="Arial" w:hAnsi="Arial"/>
          <w:sz w:val="16"/>
          <w:szCs w:val="16"/>
          <w:color w:val="auto"/>
        </w:rPr>
        <w:t>Intercreditor Agreement.</w:t>
      </w:r>
    </w:p>
    <w:p>
      <w:pPr>
        <w:spacing w:after="0" w:line="221" w:lineRule="exact"/>
        <w:rPr>
          <w:sz w:val="20"/>
          <w:szCs w:val="20"/>
          <w:color w:val="auto"/>
        </w:rPr>
      </w:pPr>
    </w:p>
    <w:p>
      <w:pPr>
        <w:ind w:left="1140" w:right="180" w:hanging="809"/>
        <w:spacing w:after="0" w:line="251" w:lineRule="auto"/>
        <w:tabs>
          <w:tab w:leader="none" w:pos="11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w:t>
      </w:r>
    </w:p>
    <w:p>
      <w:pPr>
        <w:spacing w:after="0" w:line="149" w:lineRule="exact"/>
        <w:rPr>
          <w:sz w:val="20"/>
          <w:szCs w:val="20"/>
          <w:color w:val="auto"/>
        </w:rPr>
      </w:pPr>
    </w:p>
    <w:p>
      <w:pPr>
        <w:jc w:val="both"/>
        <w:ind w:left="1140" w:right="500" w:hanging="809"/>
        <w:spacing w:after="0" w:line="253" w:lineRule="auto"/>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Non-competition, Non-solicitation and Confidentiality Agreement by and among Octavius Corporation, Winnebago Industries, Inc., Grand Design RV, LLC, RDB III, Inc., Ronald Fenech, Donald Clark and William Fenech dated October 2, 2016 contingent on the closing of the transaction contemplated in the Purchase Agreement.*</w:t>
      </w:r>
    </w:p>
    <w:p>
      <w:pPr>
        <w:spacing w:after="0" w:line="147" w:lineRule="exact"/>
        <w:rPr>
          <w:sz w:val="20"/>
          <w:szCs w:val="20"/>
          <w:color w:val="auto"/>
        </w:rPr>
      </w:pPr>
    </w:p>
    <w:p>
      <w:pPr>
        <w:ind w:left="1140" w:right="60" w:hanging="809"/>
        <w:spacing w:after="0" w:line="251" w:lineRule="auto"/>
        <w:tabs>
          <w:tab w:leader="none" w:pos="11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Non-Solicitation and Confidentiality Agreement dated as of October 2, 2016 by and between Octavius Corporation, Winnebago Industries, Inc., Grand Design, RV, LLC, Summit Partners Growth Equity Fund VIII-A, L.P., Summit Partners Growth Equity Fund VIII-B, L.P., Summit Entrepreneur Advisors Fund I, L.P., Summit Investors I, LLC, Summit Investors I (UK), L.P., and SP GE VIII-B GD RV Holdings contingent on the closing of the transaction contemplated in the Purchase Agreement.*</w:t>
      </w:r>
    </w:p>
    <w:p>
      <w:pPr>
        <w:spacing w:after="0" w:line="149"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Registration Rights Agreement by and between Winnebago Industries, Inc. and the Shareholder Parties dated October 2, 2016 contingent on the closing of the transaction contemplated in the Purchase Agreement.*</w:t>
      </w:r>
    </w:p>
    <w:p>
      <w:pPr>
        <w:spacing w:after="0" w:line="142" w:lineRule="exact"/>
        <w:rPr>
          <w:sz w:val="20"/>
          <w:szCs w:val="20"/>
          <w:color w:val="auto"/>
        </w:rPr>
      </w:pPr>
    </w:p>
    <w:p>
      <w:pPr>
        <w:jc w:val="both"/>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Standstill Agreement dated as of October 2, 2016 by and between Summit Partners Growth Equity Fund VIII-A, L.P., Summit Partners Growth Equity Fund-VIII-B, L.P., Summit Entrepreneur Advisors Fund I, L.P., Summit Investors I, LLC, Summit Investors I (UK), L.P. and SP GE VIII-B GD RV Holdings, L.P. and Winnebago Industries, Inc. contingent on the closing of the transaction contemplated in the Purchase Agreement.*</w:t>
      </w:r>
    </w:p>
    <w:p>
      <w:pPr>
        <w:spacing w:after="0" w:line="147" w:lineRule="exact"/>
        <w:rPr>
          <w:sz w:val="20"/>
          <w:szCs w:val="20"/>
          <w:color w:val="auto"/>
        </w:rPr>
      </w:pPr>
    </w:p>
    <w:p>
      <w:pPr>
        <w:ind w:left="1140" w:hanging="809"/>
        <w:spacing w:after="0" w:line="260" w:lineRule="auto"/>
        <w:tabs>
          <w:tab w:leader="none" w:pos="11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Standstill Agreement dated as of October 2, 2016 by and among Donald Clark, Ronald Fenech, William Fenech and Winnebago Industries, Inc. contingent on the closing of the transaction contemplated in the Purchase Agreement.*</w:t>
      </w:r>
    </w:p>
    <w:p>
      <w:pPr>
        <w:spacing w:after="0" w:line="142" w:lineRule="exact"/>
        <w:rPr>
          <w:sz w:val="20"/>
          <w:szCs w:val="20"/>
          <w:color w:val="auto"/>
        </w:rPr>
      </w:pPr>
    </w:p>
    <w:p>
      <w:pPr>
        <w:ind w:left="1140" w:right="600" w:hanging="809"/>
        <w:spacing w:after="0" w:line="260" w:lineRule="auto"/>
        <w:tabs>
          <w:tab w:leader="none" w:pos="11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Lock-up Letter Agreement to Winnebago Industries, Inc. from Donald Clark, Ronald Fenech and William Fenech dated October 2, 2016 contingent on the closing of the transaction contemplated in the Purchase Agreement.*</w:t>
      </w:r>
    </w:p>
    <w:p>
      <w:pPr>
        <w:spacing w:after="0" w:line="142" w:lineRule="exact"/>
        <w:rPr>
          <w:sz w:val="20"/>
          <w:szCs w:val="20"/>
          <w:color w:val="auto"/>
        </w:rPr>
      </w:pPr>
    </w:p>
    <w:p>
      <w:pPr>
        <w:ind w:left="1140" w:right="80" w:hanging="809"/>
        <w:spacing w:after="0" w:line="260" w:lineRule="auto"/>
        <w:tabs>
          <w:tab w:leader="none" w:pos="11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Consulting Agreement dated October 2, 2016 by and between Winnebago Industries, Inc., and Ronald Fenech contingent on the closing of the transaction contemplated in the Purchase Agreement.*</w:t>
      </w:r>
    </w:p>
    <w:p>
      <w:pPr>
        <w:spacing w:after="0" w:line="142" w:lineRule="exact"/>
        <w:rPr>
          <w:sz w:val="20"/>
          <w:szCs w:val="20"/>
          <w:color w:val="auto"/>
        </w:rPr>
      </w:pPr>
    </w:p>
    <w:p>
      <w:pPr>
        <w:ind w:left="1140" w:right="100" w:hanging="809"/>
        <w:spacing w:after="0" w:line="260" w:lineRule="auto"/>
        <w:tabs>
          <w:tab w:leader="none" w:pos="11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Consulting Agreement dated October 2, 2016 by and between Winnebago Industries, Inc. and William Fenech contingent on the closing of the transaction contemplated in the Purchase Agreement.*</w:t>
      </w:r>
    </w:p>
    <w:p>
      <w:pPr>
        <w:spacing w:after="0" w:line="142" w:lineRule="exact"/>
        <w:rPr>
          <w:sz w:val="20"/>
          <w:szCs w:val="20"/>
          <w:color w:val="auto"/>
        </w:rPr>
      </w:pPr>
    </w:p>
    <w:p>
      <w:pPr>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Employment Agreement by and between Grand Design RV, LLC and Donald Clark (including form of Executive Change in Control Agreement between Donald Clark and Winnebago Industries, Inc. as Exhibit A thereto) dated as of October 2, 2016 contingent on the closing of the transaction contemplated in the Purchase Agreement.*</w:t>
      </w:r>
    </w:p>
    <w:p>
      <w:pPr>
        <w:spacing w:after="0" w:line="147"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Commitment Letter dated October 2, 2016 between Winnebago Industries, Inc. and JPMorgan Chase Bank, N.A.*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the exhibit number in Winnebago’s Current Report on Form 8-K dated October 4, 2016.</w:t>
      </w:r>
    </w:p>
    <w:p>
      <w:pPr>
        <w:sectPr>
          <w:pgSz w:w="11900" w:h="16838" w:orient="portrait"/>
          <w:cols w:equalWidth="0" w:num="1">
            <w:col w:w="11420"/>
          </w:cols>
          <w:pgMar w:left="240" w:top="898" w:right="2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Cautionary Statement Regarding Forward-Looking Information</w:t>
      </w:r>
    </w:p>
    <w:p>
      <w:pPr>
        <w:spacing w:after="0" w:line="248"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document and the exhibits included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consummation of our acquisition of Grand Design RV, risks inherent in the achievement of cost synergies and the timing thereof, risks that the pendency, financing, and efforts to consummate the transaction may be disruptive to Winnebago Industries or Grand Design RV or their respective management, the effect of the transaction on Grand Design RV’s ability to retain and hire key personnel and maintain relationships with customers, suppliers and other third parties,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80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620" w:type="dxa"/>
            <w:vAlign w:val="bottom"/>
          </w:tcPr>
          <w:p>
            <w:pPr>
              <w:ind w:left="140"/>
              <w:spacing w:after="0"/>
              <w:rPr>
                <w:sz w:val="20"/>
                <w:szCs w:val="20"/>
                <w:color w:val="auto"/>
              </w:rPr>
            </w:pPr>
            <w:r>
              <w:rPr>
                <w:rFonts w:ascii="Arial" w:cs="Arial" w:eastAsia="Arial" w:hAnsi="Arial"/>
                <w:sz w:val="16"/>
                <w:szCs w:val="16"/>
                <w:color w:val="auto"/>
              </w:rPr>
              <w:t>November 14, 2016</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00"/>
          </w:cols>
          <w:pgMar w:left="240" w:top="601" w:right="3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color w:val="auto"/>
        </w:rPr>
        <w:t>Exhibit Index</w:t>
      </w:r>
    </w:p>
    <w:p>
      <w:pPr>
        <w:spacing w:after="0" w:line="289" w:lineRule="exact"/>
        <w:rPr>
          <w:sz w:val="20"/>
          <w:szCs w:val="20"/>
          <w:color w:val="auto"/>
        </w:rPr>
      </w:pPr>
    </w:p>
    <w:p>
      <w:pPr>
        <w:spacing w:after="0"/>
        <w:tabs>
          <w:tab w:leader="none" w:pos="1220" w:val="left"/>
        </w:tabs>
        <w:rPr>
          <w:sz w:val="20"/>
          <w:szCs w:val="20"/>
          <w:color w:val="auto"/>
        </w:rPr>
      </w:pPr>
      <w:r>
        <w:rPr>
          <w:rFonts w:ascii="Arial" w:cs="Arial" w:eastAsia="Arial" w:hAnsi="Arial"/>
          <w:sz w:val="16"/>
          <w:szCs w:val="16"/>
          <w:u w:val="single" w:color="auto"/>
          <w:color w:val="auto"/>
        </w:rPr>
        <w:t>Exhibit No.</w:t>
      </w:r>
      <w:r>
        <w:rPr>
          <w:sz w:val="20"/>
          <w:szCs w:val="20"/>
          <w:color w:val="auto"/>
        </w:rPr>
        <w:tab/>
      </w:r>
      <w:r>
        <w:rPr>
          <w:rFonts w:ascii="Arial" w:cs="Arial" w:eastAsia="Arial" w:hAnsi="Arial"/>
          <w:sz w:val="16"/>
          <w:szCs w:val="16"/>
          <w:u w:val="single" w:color="auto"/>
          <w:color w:val="auto"/>
        </w:rPr>
        <w:t>Description of Exhibit</w:t>
      </w:r>
    </w:p>
    <w:p>
      <w:pPr>
        <w:spacing w:after="0" w:line="235"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Press release dated November 8, 2016.</w:t>
      </w:r>
    </w:p>
    <w:p>
      <w:pPr>
        <w:spacing w:after="0" w:line="221" w:lineRule="exact"/>
        <w:rPr>
          <w:sz w:val="20"/>
          <w:szCs w:val="20"/>
          <w:color w:val="auto"/>
        </w:rPr>
      </w:pPr>
    </w:p>
    <w:p>
      <w:pPr>
        <w:ind w:left="1140" w:right="300" w:hanging="809"/>
        <w:spacing w:after="0" w:line="260" w:lineRule="auto"/>
        <w:tabs>
          <w:tab w:leader="none" w:pos="112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6"/>
          <w:szCs w:val="16"/>
          <w:color w:val="auto"/>
        </w:rPr>
        <w:t>Loan Agreement dated as of November 8, 2016 among Winnebago Industries, Inc., Octavius Corporation, the Other Loan Party Hereto, the Lenders Party Hereto and JPMorgan Chase Bank, N.A. as Administrative Agent.</w:t>
      </w:r>
    </w:p>
    <w:p>
      <w:pPr>
        <w:spacing w:after="0" w:line="196"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99.3</w:t>
      </w:r>
      <w:r>
        <w:rPr>
          <w:sz w:val="20"/>
          <w:szCs w:val="20"/>
          <w:color w:val="auto"/>
        </w:rPr>
        <w:tab/>
      </w:r>
      <w:r>
        <w:rPr>
          <w:rFonts w:ascii="Arial" w:cs="Arial" w:eastAsia="Arial" w:hAnsi="Arial"/>
          <w:sz w:val="16"/>
          <w:szCs w:val="16"/>
          <w:color w:val="auto"/>
        </w:rPr>
        <w:t>Credit Agreement dated as of November 8, 2016 among Winnebago Industries, Inc., Winnebago of Indiana, LLC, Grand Design RV, LLC, the Other Loan Party Hereto, the Lenders Party Hereto and JPMorgan Chase Bank, N.A. as Administrative Agent.</w:t>
      </w:r>
    </w:p>
    <w:p>
      <w:pPr>
        <w:spacing w:after="0" w:line="19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99.4</w:t>
      </w:r>
      <w:r>
        <w:rPr>
          <w:sz w:val="20"/>
          <w:szCs w:val="20"/>
          <w:color w:val="auto"/>
        </w:rPr>
        <w:tab/>
      </w:r>
      <w:r>
        <w:rPr>
          <w:rFonts w:ascii="Arial" w:cs="Arial" w:eastAsia="Arial" w:hAnsi="Arial"/>
          <w:sz w:val="16"/>
          <w:szCs w:val="16"/>
          <w:color w:val="auto"/>
        </w:rPr>
        <w:t>Intercreditor Agreement.</w:t>
      </w:r>
    </w:p>
    <w:p>
      <w:pPr>
        <w:spacing w:after="0" w:line="221" w:lineRule="exact"/>
        <w:rPr>
          <w:sz w:val="20"/>
          <w:szCs w:val="20"/>
          <w:color w:val="auto"/>
        </w:rPr>
      </w:pPr>
    </w:p>
    <w:p>
      <w:pPr>
        <w:ind w:left="1140" w:right="180" w:hanging="809"/>
        <w:spacing w:after="0" w:line="251" w:lineRule="auto"/>
        <w:tabs>
          <w:tab w:leader="none" w:pos="1120" w:val="left"/>
        </w:tabs>
        <w:rPr>
          <w:sz w:val="20"/>
          <w:szCs w:val="20"/>
          <w:color w:val="auto"/>
        </w:rPr>
      </w:pPr>
      <w:r>
        <w:rPr>
          <w:rFonts w:ascii="Arial" w:cs="Arial" w:eastAsia="Arial" w:hAnsi="Arial"/>
          <w:sz w:val="16"/>
          <w:szCs w:val="16"/>
          <w:color w:val="auto"/>
        </w:rPr>
        <w:t>2.1</w:t>
      </w:r>
      <w:r>
        <w:rPr>
          <w:sz w:val="20"/>
          <w:szCs w:val="20"/>
          <w:color w:val="auto"/>
        </w:rPr>
        <w:tab/>
      </w:r>
      <w:r>
        <w:rPr>
          <w:rFonts w:ascii="Arial" w:cs="Arial" w:eastAsia="Arial" w:hAnsi="Arial"/>
          <w:sz w:val="16"/>
          <w:szCs w:val="16"/>
          <w:color w:val="auto"/>
        </w:rPr>
        <w:t>Securities Purchase Agreement dated as of October 2, 2016 by and among, Grand Design RV, LLC, Octavius Corporation, Winnebago Industries, Inc. Summit Partners Growth Equity Fund VIII-A, L.P., Summit Partners Growth Equity Fund VIII-B, L.P., Summit Partners Entrepreneur Advisors Fund I, L.P., Summit Investors I, LLC, Summit Investors I (UK), L.P., SP GE VIII-B GD RV Holdings, L.P., RDB III, Inc., and each of the shareholders of RDB III, Inc.*</w:t>
      </w:r>
    </w:p>
    <w:p>
      <w:pPr>
        <w:spacing w:after="0" w:line="149" w:lineRule="exact"/>
        <w:rPr>
          <w:sz w:val="20"/>
          <w:szCs w:val="20"/>
          <w:color w:val="auto"/>
        </w:rPr>
      </w:pPr>
    </w:p>
    <w:p>
      <w:pPr>
        <w:jc w:val="both"/>
        <w:ind w:left="1140" w:right="500" w:hanging="809"/>
        <w:spacing w:after="0" w:line="253" w:lineRule="auto"/>
        <w:tabs>
          <w:tab w:leader="none" w:pos="11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Non-competition, Non-solicitation and Confidentiality Agreement by and among Octavius Corporation, Winnebago Industries, Inc., Grand Design RV, LLC, RDB III, Inc., Ronald Fenech, Donald Clark and William Fenech dated October 2, 2016 contingent on the closing of the transaction contemplated in the Purchase Agreement.*</w:t>
      </w:r>
    </w:p>
    <w:p>
      <w:pPr>
        <w:spacing w:after="0" w:line="147" w:lineRule="exact"/>
        <w:rPr>
          <w:sz w:val="20"/>
          <w:szCs w:val="20"/>
          <w:color w:val="auto"/>
        </w:rPr>
      </w:pPr>
    </w:p>
    <w:p>
      <w:pPr>
        <w:ind w:left="1140" w:right="60" w:hanging="809"/>
        <w:spacing w:after="0" w:line="251" w:lineRule="auto"/>
        <w:tabs>
          <w:tab w:leader="none" w:pos="11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Non-Solicitation and Confidentiality Agreement dated as of October 2, 2016 by and between Octavius Corporation, Winnebago Industries, Inc., Grand Design, RV, LLC, Summit Partners Growth Equity Fund VIII-A, L.P., Summit Partners Growth Equity Fund VIII-B, L.P., Summit Entrepreneur Advisors Fund I, L.P., Summit Investors I, LLC, Summit Investors I (UK), L.P., and SP GE VIII-B GD RV Holdings contingent on the closing of the transaction contemplated in the Purchase Agreement.*</w:t>
      </w:r>
    </w:p>
    <w:p>
      <w:pPr>
        <w:spacing w:after="0" w:line="149" w:lineRule="exact"/>
        <w:rPr>
          <w:sz w:val="20"/>
          <w:szCs w:val="20"/>
          <w:color w:val="auto"/>
        </w:rPr>
      </w:pPr>
    </w:p>
    <w:p>
      <w:pPr>
        <w:ind w:left="1140" w:right="180" w:hanging="809"/>
        <w:spacing w:after="0" w:line="260" w:lineRule="auto"/>
        <w:tabs>
          <w:tab w:leader="none" w:pos="11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Registration Rights Agreement by and between Winnebago Industries, Inc. and the Shareholder Parties dated October 2, 2016 contingent on the closing of the transaction contemplated in the Purchase Agreement.*</w:t>
      </w:r>
    </w:p>
    <w:p>
      <w:pPr>
        <w:spacing w:after="0" w:line="142" w:lineRule="exact"/>
        <w:rPr>
          <w:sz w:val="20"/>
          <w:szCs w:val="20"/>
          <w:color w:val="auto"/>
        </w:rPr>
      </w:pPr>
    </w:p>
    <w:p>
      <w:pPr>
        <w:jc w:val="both"/>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Standstill Agreement dated as of October 2, 2016 by and between Summit Partners Growth Equity Fund VIII-A, L.P., Summit Partners Growth Equity Fund-VIII-B, L.P., Summit Entrepreneur Advisors Fund I, L.P., Summit Investors I, LLC, Summit Investors I (UK), L.P. and SP GE VIII-B GD RV Holdings, L.P. and Winnebago Industries, Inc. contingent on the closing of the transaction contemplated in the Purchase Agreement.*</w:t>
      </w:r>
    </w:p>
    <w:p>
      <w:pPr>
        <w:spacing w:after="0" w:line="147" w:lineRule="exact"/>
        <w:rPr>
          <w:sz w:val="20"/>
          <w:szCs w:val="20"/>
          <w:color w:val="auto"/>
        </w:rPr>
      </w:pPr>
    </w:p>
    <w:p>
      <w:pPr>
        <w:ind w:left="1140" w:hanging="809"/>
        <w:spacing w:after="0" w:line="260" w:lineRule="auto"/>
        <w:tabs>
          <w:tab w:leader="none" w:pos="112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Standstill Agreement dated as of October 2, 2016 by and among Donald Clark, Ronald Fenech, William Fenech and Winnebago Industries, Inc. contingent on the closing of the transaction contemplated in the Purchase Agreement.*</w:t>
      </w:r>
    </w:p>
    <w:p>
      <w:pPr>
        <w:spacing w:after="0" w:line="142" w:lineRule="exact"/>
        <w:rPr>
          <w:sz w:val="20"/>
          <w:szCs w:val="20"/>
          <w:color w:val="auto"/>
        </w:rPr>
      </w:pPr>
    </w:p>
    <w:p>
      <w:pPr>
        <w:ind w:left="1140" w:right="600" w:hanging="809"/>
        <w:spacing w:after="0" w:line="260" w:lineRule="auto"/>
        <w:tabs>
          <w:tab w:leader="none" w:pos="112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Lock-up Letter Agreement to Winnebago Industries, Inc. from Donald Clark, Ronald Fenech and William Fenech dated October 2, 2016 contingent on the closing of the transaction contemplated in the Purchase Agreement.*</w:t>
      </w:r>
    </w:p>
    <w:p>
      <w:pPr>
        <w:spacing w:after="0" w:line="142" w:lineRule="exact"/>
        <w:rPr>
          <w:sz w:val="20"/>
          <w:szCs w:val="20"/>
          <w:color w:val="auto"/>
        </w:rPr>
      </w:pPr>
    </w:p>
    <w:p>
      <w:pPr>
        <w:ind w:left="1140" w:right="80" w:hanging="809"/>
        <w:spacing w:after="0" w:line="260" w:lineRule="auto"/>
        <w:tabs>
          <w:tab w:leader="none" w:pos="112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Consulting Agreement dated October 2, 2016 by and between Winnebago Industries, Inc., and Ronald Fenech contingent on the closing of the transaction contemplated in the Purchase Agreement.*</w:t>
      </w:r>
    </w:p>
    <w:p>
      <w:pPr>
        <w:spacing w:after="0" w:line="142" w:lineRule="exact"/>
        <w:rPr>
          <w:sz w:val="20"/>
          <w:szCs w:val="20"/>
          <w:color w:val="auto"/>
        </w:rPr>
      </w:pPr>
    </w:p>
    <w:p>
      <w:pPr>
        <w:ind w:left="1140" w:right="100" w:hanging="809"/>
        <w:spacing w:after="0" w:line="260" w:lineRule="auto"/>
        <w:tabs>
          <w:tab w:leader="none" w:pos="112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Consulting Agreement dated October 2, 2016 by and between Winnebago Industries, Inc. and William Fenech contingent on the closing of the transaction contemplated in the Purchase Agreement.*</w:t>
      </w:r>
    </w:p>
    <w:p>
      <w:pPr>
        <w:spacing w:after="0" w:line="142" w:lineRule="exact"/>
        <w:rPr>
          <w:sz w:val="20"/>
          <w:szCs w:val="20"/>
          <w:color w:val="auto"/>
        </w:rPr>
      </w:pPr>
    </w:p>
    <w:p>
      <w:pPr>
        <w:ind w:left="1140" w:right="140" w:hanging="809"/>
        <w:spacing w:after="0" w:line="253" w:lineRule="auto"/>
        <w:tabs>
          <w:tab w:leader="none" w:pos="112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Employment Agreement by and between Grand Design RV, LLC and Donald Clark (including form of Executive Change in Control Agreement between Donald Clark and Winnebago Industries, Inc. as Exhibit A thereto) dated as of October 2, 2016 contingent on the closing of the transaction contemplated in the Purchase Agreement.*</w:t>
      </w:r>
    </w:p>
    <w:p>
      <w:pPr>
        <w:spacing w:after="0" w:line="147"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10.10</w:t>
      </w:r>
      <w:r>
        <w:rPr>
          <w:sz w:val="20"/>
          <w:szCs w:val="20"/>
          <w:color w:val="auto"/>
        </w:rPr>
        <w:tab/>
      </w:r>
      <w:r>
        <w:rPr>
          <w:rFonts w:ascii="Arial" w:cs="Arial" w:eastAsia="Arial" w:hAnsi="Arial"/>
          <w:sz w:val="16"/>
          <w:szCs w:val="16"/>
          <w:color w:val="auto"/>
        </w:rPr>
        <w:t>Commitment Letter dated October 2, 2016 between Winnebago Industries, Inc. and JPMorgan Chase Bank, N.A.*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 Incorporated by reference to the exhibit number in Winnebago’s Current Report on Form 8-K dated October 4, 2016.</w:t>
      </w:r>
    </w:p>
    <w:p>
      <w:pPr>
        <w:sectPr>
          <w:pgSz w:w="11900" w:h="16838" w:orient="portrait"/>
          <w:cols w:equalWidth="0" w:num="1">
            <w:col w:w="11420"/>
          </w:cols>
          <w:pgMar w:left="240" w:top="641" w:right="2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1006475</wp:posOffset>
            </wp:positionH>
            <wp:positionV relativeFrom="page">
              <wp:posOffset>620395</wp:posOffset>
            </wp:positionV>
            <wp:extent cx="482790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27905" cy="257175"/>
                    </a:xfrm>
                    <a:prstGeom prst="rect">
                      <a:avLst/>
                    </a:prstGeom>
                    <a:noFill/>
                  </pic:spPr>
                </pic:pic>
              </a:graphicData>
            </a:graphic>
          </wp:anchor>
        </w:drawing>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COMPLETES ACQUISITION OF GRAND DESIGN</w:t>
      </w:r>
    </w:p>
    <w:p>
      <w:pPr>
        <w:spacing w:after="0" w:line="228" w:lineRule="exact"/>
        <w:rPr>
          <w:sz w:val="20"/>
          <w:szCs w:val="20"/>
          <w:color w:val="auto"/>
        </w:rPr>
      </w:pPr>
    </w:p>
    <w:p>
      <w:pPr>
        <w:jc w:val="both"/>
        <w:ind w:right="500"/>
        <w:spacing w:after="0" w:line="356" w:lineRule="auto"/>
        <w:rPr>
          <w:sz w:val="20"/>
          <w:szCs w:val="20"/>
          <w:color w:val="auto"/>
        </w:rPr>
      </w:pPr>
      <w:r>
        <w:rPr>
          <w:rFonts w:ascii="Arial" w:cs="Arial" w:eastAsia="Arial" w:hAnsi="Arial"/>
          <w:sz w:val="16"/>
          <w:szCs w:val="16"/>
          <w:color w:val="auto"/>
        </w:rPr>
        <w:t>FOREST CITY, IOWA, November 8, 2016 - Winnebago Industries, Inc. (NYSE: WGO) today announced that it has completed the previously announced acquisition of Grand Design RV, LLC (“Grand Design”), a manufacturer of towable recreation vehicles (RVs), for approximately $500 million in cash and Winnebago shares. The Company also entered into a seven-year $300 million term loan and five-year asset based lending facility for up to $125 million arranged by JPMorgan Chase Bank, N.A.</w:t>
      </w:r>
    </w:p>
    <w:p>
      <w:pPr>
        <w:spacing w:after="0" w:line="151"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"We are pleased to complete this transformative transaction. The acquisition of Grand Design positions Winnebago Industries as an immediately stronger player in the RV market and will provide long-term value for our shareholders," said Michael Happe, Winnebago's President and Chief Executive Officer. "We are excited to welcome Grand Design into our portfolio and look forward to working with their talented team to exceed the expectations of our collective dealers and end customers."</w:t>
      </w:r>
    </w:p>
    <w:p>
      <w:pPr>
        <w:spacing w:after="0" w:line="151" w:lineRule="exact"/>
        <w:rPr>
          <w:sz w:val="20"/>
          <w:szCs w:val="20"/>
          <w:color w:val="auto"/>
        </w:rPr>
      </w:pPr>
    </w:p>
    <w:p>
      <w:pPr>
        <w:ind w:right="220"/>
        <w:spacing w:after="0" w:line="366" w:lineRule="auto"/>
        <w:rPr>
          <w:sz w:val="20"/>
          <w:szCs w:val="20"/>
          <w:color w:val="auto"/>
        </w:rPr>
      </w:pPr>
      <w:r>
        <w:rPr>
          <w:rFonts w:ascii="Arial" w:cs="Arial" w:eastAsia="Arial" w:hAnsi="Arial"/>
          <w:sz w:val="16"/>
          <w:szCs w:val="16"/>
          <w:color w:val="auto"/>
        </w:rPr>
        <w:t>J.P. Morgan acted as financial advisor to Winnebago and Lindquist &amp; Vennum LLP acted as legal counsel. Baird acted as financial advisor to Grand Design and Weil Gotshal &amp; Manges LLP acted as legal counsel.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w:t>
      </w:r>
    </w:p>
    <w:p>
      <w:pPr>
        <w:spacing w:after="0" w:line="248" w:lineRule="exact"/>
        <w:rPr>
          <w:sz w:val="20"/>
          <w:szCs w:val="20"/>
          <w:color w:val="auto"/>
        </w:rPr>
      </w:pPr>
    </w:p>
    <w:p>
      <w:pPr>
        <w:ind w:right="160"/>
        <w:spacing w:after="0" w:line="355" w:lineRule="auto"/>
        <w:rPr>
          <w:sz w:val="20"/>
          <w:szCs w:val="20"/>
          <w:color w:val="auto"/>
        </w:rPr>
      </w:pPr>
      <w:r>
        <w:rPr>
          <w:rFonts w:ascii="Arial" w:cs="Arial" w:eastAsia="Arial" w:hAnsi="Arial"/>
          <w:sz w:val="16"/>
          <w:szCs w:val="16"/>
          <w:color w:val="auto"/>
        </w:rPr>
        <w:t>Winnebago is a leading U.S. manufacturer of recreation vehicles, which are used primarily in leisure travel and outdoor recreation activities. The Company builds quality motorhomes, travel trailers and fifth wheel products. Winnebago has received the Quality Circle Award from the Recreation Vehicle Dealers Association every year since 1996.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Grand Design</w:t>
      </w:r>
    </w:p>
    <w:p>
      <w:pPr>
        <w:spacing w:after="0" w:line="248"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Grand Design was founded in 2012 and is one of the fastest-growing RV companies in the industry. Since its founding, Grand Design has shipped 26,850 units and has sold over 22,250 units at retail. Grand Design manufactures the market leading Reflection fifth wheel and travel trailer, flagship Solitude extended stay fifth wheel, luxury Momentum toy hauler and lightweight Imagine travel trailer product lines.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248" w:lineRule="exact"/>
        <w:rPr>
          <w:sz w:val="20"/>
          <w:szCs w:val="20"/>
          <w:color w:val="auto"/>
        </w:rPr>
      </w:pPr>
    </w:p>
    <w:p>
      <w:pPr>
        <w:ind w:right="80"/>
        <w:spacing w:after="0" w:line="354"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 risks inherent in the achievement of cost synergies and the timing thereof; risks related to the disruption of the transaction to</w:t>
      </w:r>
    </w:p>
    <w:p>
      <w:pPr>
        <w:sectPr>
          <w:pgSz w:w="11900" w:h="16838" w:orient="portrait"/>
          <w:cols w:equalWidth="0" w:num="1">
            <w:col w:w="11380"/>
          </w:cols>
          <w:pgMar w:left="240" w:top="1440" w:right="279" w:bottom="1440" w:gutter="0" w:footer="0" w:header="0"/>
        </w:sectPr>
      </w:pPr>
    </w:p>
    <w:bookmarkStart w:id="7" w:name="page8"/>
    <w:bookmarkEnd w:id="7"/>
    <w:p>
      <w:pPr>
        <w:spacing w:after="0" w:line="354" w:lineRule="auto"/>
        <w:rPr>
          <w:sz w:val="20"/>
          <w:szCs w:val="20"/>
          <w:color w:val="auto"/>
        </w:rPr>
      </w:pPr>
      <w:r>
        <w:rPr>
          <w:rFonts w:ascii="Arial" w:cs="Arial" w:eastAsia="Arial" w:hAnsi="Arial"/>
          <w:sz w:val="16"/>
          <w:szCs w:val="16"/>
          <w:color w:val="auto"/>
        </w:rPr>
        <w:t>Winnebago and Grand Design and its management; the effect of announcement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Media Contact: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Sam Jefson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Public Relations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641-585-6803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sjefson@wgo.net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IR Contact: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Ashis Bhattacharya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641-585-6414</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abhattacharya@wgo.net</w:t>
      </w:r>
    </w:p>
    <w:p>
      <w:pPr>
        <w:sectPr>
          <w:pgSz w:w="11900" w:h="16838" w:orient="portrait"/>
          <w:cols w:equalWidth="0" w:num="1">
            <w:col w:w="11380"/>
          </w:cols>
          <w:pgMar w:left="240" w:top="857" w:right="279" w:bottom="1440" w:gutter="0" w:footer="0" w:header="0"/>
        </w:sectPr>
      </w:pPr>
    </w:p>
    <w:bookmarkStart w:id="8" w:name="page9"/>
    <w:bookmarkEnd w:id="8"/>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873760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50"/>
          <w:szCs w:val="50"/>
          <w:color w:val="auto"/>
        </w:rPr>
        <w:t>J.P.Morgan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LOAN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8,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WINNEBAGO INDUSTRIES,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OCTAVIUS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Loan Parties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ind w:left="3080"/>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377190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jc w:val="center"/>
        <w:ind w:right="-31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ARTICLE I.</w:t>
            </w:r>
          </w:p>
        </w:tc>
        <w:tc>
          <w:tcPr>
            <w:tcW w:w="8260" w:type="dxa"/>
            <w:vAlign w:val="bottom"/>
          </w:tcPr>
          <w:p>
            <w:pPr>
              <w:ind w:left="340"/>
              <w:spacing w:after="0"/>
              <w:rPr>
                <w:sz w:val="20"/>
                <w:szCs w:val="20"/>
                <w:color w:val="auto"/>
              </w:rPr>
            </w:pPr>
            <w:r>
              <w:rPr>
                <w:rFonts w:ascii="Arial" w:cs="Arial" w:eastAsia="Arial" w:hAnsi="Arial"/>
                <w:sz w:val="20"/>
                <w:szCs w:val="20"/>
                <w:color w:val="auto"/>
              </w:rPr>
              <w:t>Definitions</w:t>
            </w:r>
          </w:p>
        </w:tc>
        <w:tc>
          <w:tcPr>
            <w:tcW w:w="1100" w:type="dxa"/>
            <w:vAlign w:val="bottom"/>
          </w:tcPr>
          <w:p>
            <w:pPr>
              <w:jc w:val="center"/>
              <w:ind w:left="821"/>
              <w:spacing w:after="0"/>
              <w:rPr>
                <w:sz w:val="20"/>
                <w:szCs w:val="20"/>
                <w:color w:val="auto"/>
              </w:rPr>
            </w:pPr>
            <w:r>
              <w:rPr>
                <w:rFonts w:ascii="Arial" w:cs="Arial" w:eastAsia="Arial" w:hAnsi="Arial"/>
                <w:sz w:val="20"/>
                <w:szCs w:val="20"/>
                <w:color w:val="auto"/>
                <w:w w:val="89"/>
              </w:rPr>
              <w:t>1</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1.01</w:t>
            </w:r>
          </w:p>
        </w:tc>
        <w:tc>
          <w:tcPr>
            <w:tcW w:w="8260" w:type="dxa"/>
            <w:vAlign w:val="bottom"/>
          </w:tcPr>
          <w:p>
            <w:pPr>
              <w:ind w:left="340"/>
              <w:spacing w:after="0"/>
              <w:rPr>
                <w:sz w:val="20"/>
                <w:szCs w:val="20"/>
                <w:color w:val="auto"/>
              </w:rPr>
            </w:pPr>
            <w:r>
              <w:rPr>
                <w:rFonts w:ascii="Arial" w:cs="Arial" w:eastAsia="Arial" w:hAnsi="Arial"/>
                <w:sz w:val="20"/>
                <w:szCs w:val="20"/>
                <w:color w:val="auto"/>
              </w:rPr>
              <w:t>Defined Terms</w:t>
            </w:r>
          </w:p>
        </w:tc>
        <w:tc>
          <w:tcPr>
            <w:tcW w:w="1100" w:type="dxa"/>
            <w:vAlign w:val="bottom"/>
          </w:tcPr>
          <w:p>
            <w:pPr>
              <w:jc w:val="center"/>
              <w:ind w:left="821"/>
              <w:spacing w:after="0"/>
              <w:rPr>
                <w:sz w:val="20"/>
                <w:szCs w:val="20"/>
                <w:color w:val="auto"/>
              </w:rPr>
            </w:pPr>
            <w:r>
              <w:rPr>
                <w:rFonts w:ascii="Arial" w:cs="Arial" w:eastAsia="Arial" w:hAnsi="Arial"/>
                <w:sz w:val="20"/>
                <w:szCs w:val="20"/>
                <w:color w:val="auto"/>
                <w:w w:val="89"/>
              </w:rPr>
              <w:t>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1.02</w:t>
            </w:r>
          </w:p>
        </w:tc>
        <w:tc>
          <w:tcPr>
            <w:tcW w:w="8260" w:type="dxa"/>
            <w:vAlign w:val="bottom"/>
          </w:tcPr>
          <w:p>
            <w:pPr>
              <w:ind w:left="340"/>
              <w:spacing w:after="0"/>
              <w:rPr>
                <w:sz w:val="20"/>
                <w:szCs w:val="20"/>
                <w:color w:val="auto"/>
              </w:rPr>
            </w:pPr>
            <w:r>
              <w:rPr>
                <w:rFonts w:ascii="Arial" w:cs="Arial" w:eastAsia="Arial" w:hAnsi="Arial"/>
                <w:sz w:val="20"/>
                <w:szCs w:val="20"/>
                <w:color w:val="auto"/>
              </w:rPr>
              <w:t>Classification of Loans and Borrowings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1.03</w:t>
            </w:r>
          </w:p>
        </w:tc>
        <w:tc>
          <w:tcPr>
            <w:tcW w:w="8260" w:type="dxa"/>
            <w:vAlign w:val="bottom"/>
          </w:tcPr>
          <w:p>
            <w:pPr>
              <w:ind w:left="340"/>
              <w:spacing w:after="0"/>
              <w:rPr>
                <w:sz w:val="20"/>
                <w:szCs w:val="20"/>
                <w:color w:val="auto"/>
              </w:rPr>
            </w:pPr>
            <w:r>
              <w:rPr>
                <w:rFonts w:ascii="Arial" w:cs="Arial" w:eastAsia="Arial" w:hAnsi="Arial"/>
                <w:sz w:val="20"/>
                <w:szCs w:val="20"/>
                <w:color w:val="auto"/>
              </w:rPr>
              <w:t>Terms Generally</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1.04</w:t>
            </w:r>
          </w:p>
        </w:tc>
        <w:tc>
          <w:tcPr>
            <w:tcW w:w="8260" w:type="dxa"/>
            <w:vAlign w:val="bottom"/>
          </w:tcPr>
          <w:p>
            <w:pPr>
              <w:ind w:left="340"/>
              <w:spacing w:after="0"/>
              <w:rPr>
                <w:sz w:val="20"/>
                <w:szCs w:val="20"/>
                <w:color w:val="auto"/>
              </w:rPr>
            </w:pPr>
            <w:r>
              <w:rPr>
                <w:rFonts w:ascii="Arial" w:cs="Arial" w:eastAsia="Arial" w:hAnsi="Arial"/>
                <w:sz w:val="20"/>
                <w:szCs w:val="20"/>
                <w:color w:val="auto"/>
              </w:rPr>
              <w:t>Accounting Terms; GAAP; Pro Forma Calculations; Limited Conditionality Acquisition</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1.05</w:t>
            </w:r>
          </w:p>
        </w:tc>
        <w:tc>
          <w:tcPr>
            <w:tcW w:w="8260" w:type="dxa"/>
            <w:vAlign w:val="bottom"/>
          </w:tcPr>
          <w:p>
            <w:pPr>
              <w:ind w:left="340"/>
              <w:spacing w:after="0"/>
              <w:rPr>
                <w:sz w:val="20"/>
                <w:szCs w:val="20"/>
                <w:color w:val="auto"/>
              </w:rPr>
            </w:pPr>
            <w:r>
              <w:rPr>
                <w:rFonts w:ascii="Arial" w:cs="Arial" w:eastAsia="Arial" w:hAnsi="Arial"/>
                <w:sz w:val="20"/>
                <w:szCs w:val="20"/>
                <w:color w:val="auto"/>
              </w:rPr>
              <w:t>Status of Obligations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45</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ARTICLE II.</w:t>
            </w:r>
          </w:p>
        </w:tc>
        <w:tc>
          <w:tcPr>
            <w:tcW w:w="8260" w:type="dxa"/>
            <w:vAlign w:val="bottom"/>
          </w:tcPr>
          <w:p>
            <w:pPr>
              <w:ind w:left="340"/>
              <w:spacing w:after="0"/>
              <w:rPr>
                <w:sz w:val="20"/>
                <w:szCs w:val="20"/>
                <w:color w:val="auto"/>
              </w:rPr>
            </w:pPr>
            <w:r>
              <w:rPr>
                <w:rFonts w:ascii="Arial" w:cs="Arial" w:eastAsia="Arial" w:hAnsi="Arial"/>
                <w:sz w:val="20"/>
                <w:szCs w:val="20"/>
                <w:color w:val="auto"/>
              </w:rPr>
              <w:t>The Credits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45</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2.01</w:t>
            </w:r>
          </w:p>
        </w:tc>
        <w:tc>
          <w:tcPr>
            <w:tcW w:w="8260" w:type="dxa"/>
            <w:vAlign w:val="bottom"/>
          </w:tcPr>
          <w:p>
            <w:pPr>
              <w:ind w:left="340"/>
              <w:spacing w:after="0"/>
              <w:rPr>
                <w:sz w:val="20"/>
                <w:szCs w:val="20"/>
                <w:color w:val="auto"/>
              </w:rPr>
            </w:pPr>
            <w:r>
              <w:rPr>
                <w:rFonts w:ascii="Arial" w:cs="Arial" w:eastAsia="Arial" w:hAnsi="Arial"/>
                <w:sz w:val="20"/>
                <w:szCs w:val="20"/>
                <w:color w:val="auto"/>
              </w:rPr>
              <w:t>Commitments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2.02</w:t>
            </w:r>
          </w:p>
        </w:tc>
        <w:tc>
          <w:tcPr>
            <w:tcW w:w="8260" w:type="dxa"/>
            <w:vAlign w:val="bottom"/>
          </w:tcPr>
          <w:p>
            <w:pPr>
              <w:ind w:left="340"/>
              <w:spacing w:after="0"/>
              <w:rPr>
                <w:sz w:val="20"/>
                <w:szCs w:val="20"/>
                <w:color w:val="auto"/>
              </w:rPr>
            </w:pPr>
            <w:r>
              <w:rPr>
                <w:rFonts w:ascii="Arial" w:cs="Arial" w:eastAsia="Arial" w:hAnsi="Arial"/>
                <w:sz w:val="20"/>
                <w:szCs w:val="20"/>
                <w:color w:val="auto"/>
              </w:rPr>
              <w:t>Loans and Borrowings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2.03</w:t>
            </w:r>
          </w:p>
        </w:tc>
        <w:tc>
          <w:tcPr>
            <w:tcW w:w="8260" w:type="dxa"/>
            <w:vAlign w:val="bottom"/>
          </w:tcPr>
          <w:p>
            <w:pPr>
              <w:ind w:left="340"/>
              <w:spacing w:after="0"/>
              <w:rPr>
                <w:sz w:val="20"/>
                <w:szCs w:val="20"/>
                <w:color w:val="auto"/>
              </w:rPr>
            </w:pPr>
            <w:r>
              <w:rPr>
                <w:rFonts w:ascii="Arial" w:cs="Arial" w:eastAsia="Arial" w:hAnsi="Arial"/>
                <w:sz w:val="20"/>
                <w:szCs w:val="20"/>
                <w:color w:val="auto"/>
              </w:rPr>
              <w:t>Procedure for Borrowings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2.04</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2.05</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2.06</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2.07</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2.08</w:t>
            </w:r>
          </w:p>
        </w:tc>
        <w:tc>
          <w:tcPr>
            <w:tcW w:w="8260" w:type="dxa"/>
            <w:vAlign w:val="bottom"/>
          </w:tcPr>
          <w:p>
            <w:pPr>
              <w:ind w:left="340"/>
              <w:spacing w:after="0"/>
              <w:rPr>
                <w:sz w:val="20"/>
                <w:szCs w:val="20"/>
                <w:color w:val="auto"/>
              </w:rPr>
            </w:pPr>
            <w:r>
              <w:rPr>
                <w:rFonts w:ascii="Arial" w:cs="Arial" w:eastAsia="Arial" w:hAnsi="Arial"/>
                <w:sz w:val="20"/>
                <w:szCs w:val="20"/>
                <w:color w:val="auto"/>
              </w:rPr>
              <w:t>Interest Elections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2.09</w:t>
            </w:r>
          </w:p>
        </w:tc>
        <w:tc>
          <w:tcPr>
            <w:tcW w:w="8260" w:type="dxa"/>
            <w:vAlign w:val="bottom"/>
          </w:tcPr>
          <w:p>
            <w:pPr>
              <w:ind w:left="340"/>
              <w:spacing w:after="0"/>
              <w:rPr>
                <w:sz w:val="20"/>
                <w:szCs w:val="20"/>
                <w:color w:val="auto"/>
              </w:rPr>
            </w:pPr>
            <w:r>
              <w:rPr>
                <w:rFonts w:ascii="Arial" w:cs="Arial" w:eastAsia="Arial" w:hAnsi="Arial"/>
                <w:sz w:val="20"/>
                <w:szCs w:val="20"/>
                <w:color w:val="auto"/>
              </w:rPr>
              <w:t>Termination of Commitments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2.10</w:t>
            </w:r>
          </w:p>
        </w:tc>
        <w:tc>
          <w:tcPr>
            <w:tcW w:w="8260" w:type="dxa"/>
            <w:vAlign w:val="bottom"/>
          </w:tcPr>
          <w:p>
            <w:pPr>
              <w:ind w:left="340"/>
              <w:spacing w:after="0"/>
              <w:rPr>
                <w:sz w:val="20"/>
                <w:szCs w:val="20"/>
                <w:color w:val="auto"/>
              </w:rPr>
            </w:pPr>
            <w:r>
              <w:rPr>
                <w:rFonts w:ascii="Arial" w:cs="Arial" w:eastAsia="Arial" w:hAnsi="Arial"/>
                <w:sz w:val="20"/>
                <w:szCs w:val="20"/>
                <w:color w:val="auto"/>
              </w:rPr>
              <w:t>Repayment and Amortization of Loans; Evidence of Debt</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2.11</w:t>
            </w:r>
          </w:p>
        </w:tc>
        <w:tc>
          <w:tcPr>
            <w:tcW w:w="8260" w:type="dxa"/>
            <w:vAlign w:val="bottom"/>
          </w:tcPr>
          <w:p>
            <w:pPr>
              <w:ind w:left="340"/>
              <w:spacing w:after="0"/>
              <w:rPr>
                <w:sz w:val="20"/>
                <w:szCs w:val="20"/>
                <w:color w:val="auto"/>
              </w:rPr>
            </w:pPr>
            <w:r>
              <w:rPr>
                <w:rFonts w:ascii="Arial" w:cs="Arial" w:eastAsia="Arial" w:hAnsi="Arial"/>
                <w:sz w:val="20"/>
                <w:szCs w:val="20"/>
                <w:color w:val="auto"/>
              </w:rPr>
              <w:t>Prepayment of Loans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48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2.12</w:t>
            </w:r>
          </w:p>
        </w:tc>
        <w:tc>
          <w:tcPr>
            <w:tcW w:w="8260" w:type="dxa"/>
            <w:vAlign w:val="bottom"/>
          </w:tcPr>
          <w:p>
            <w:pPr>
              <w:ind w:left="340"/>
              <w:spacing w:after="0"/>
              <w:rPr>
                <w:sz w:val="20"/>
                <w:szCs w:val="20"/>
                <w:color w:val="auto"/>
              </w:rPr>
            </w:pPr>
            <w:r>
              <w:rPr>
                <w:rFonts w:ascii="Arial" w:cs="Arial" w:eastAsia="Arial" w:hAnsi="Arial"/>
                <w:sz w:val="20"/>
                <w:szCs w:val="20"/>
                <w:color w:val="auto"/>
              </w:rPr>
              <w:t>Fees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50</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2.13</w:t>
            </w:r>
          </w:p>
        </w:tc>
        <w:tc>
          <w:tcPr>
            <w:tcW w:w="8260" w:type="dxa"/>
            <w:vAlign w:val="bottom"/>
          </w:tcPr>
          <w:p>
            <w:pPr>
              <w:ind w:left="340"/>
              <w:spacing w:after="0"/>
              <w:rPr>
                <w:sz w:val="20"/>
                <w:szCs w:val="20"/>
                <w:color w:val="auto"/>
              </w:rPr>
            </w:pPr>
            <w:r>
              <w:rPr>
                <w:rFonts w:ascii="Arial" w:cs="Arial" w:eastAsia="Arial" w:hAnsi="Arial"/>
                <w:sz w:val="20"/>
                <w:szCs w:val="20"/>
                <w:color w:val="auto"/>
              </w:rPr>
              <w:t>Interest</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2.14</w:t>
            </w:r>
          </w:p>
        </w:tc>
        <w:tc>
          <w:tcPr>
            <w:tcW w:w="8260" w:type="dxa"/>
            <w:vAlign w:val="bottom"/>
          </w:tcPr>
          <w:p>
            <w:pPr>
              <w:ind w:left="340"/>
              <w:spacing w:after="0"/>
              <w:rPr>
                <w:sz w:val="20"/>
                <w:szCs w:val="20"/>
                <w:color w:val="auto"/>
              </w:rPr>
            </w:pPr>
            <w:r>
              <w:rPr>
                <w:rFonts w:ascii="Arial" w:cs="Arial" w:eastAsia="Arial" w:hAnsi="Arial"/>
                <w:sz w:val="20"/>
                <w:szCs w:val="20"/>
                <w:color w:val="auto"/>
              </w:rPr>
              <w:t>Alternate Rate of Interest</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2.15</w:t>
            </w:r>
          </w:p>
        </w:tc>
        <w:tc>
          <w:tcPr>
            <w:tcW w:w="8260" w:type="dxa"/>
            <w:vAlign w:val="bottom"/>
          </w:tcPr>
          <w:p>
            <w:pPr>
              <w:ind w:left="340"/>
              <w:spacing w:after="0"/>
              <w:rPr>
                <w:sz w:val="20"/>
                <w:szCs w:val="20"/>
                <w:color w:val="auto"/>
              </w:rPr>
            </w:pPr>
            <w:r>
              <w:rPr>
                <w:rFonts w:ascii="Arial" w:cs="Arial" w:eastAsia="Arial" w:hAnsi="Arial"/>
                <w:sz w:val="20"/>
                <w:szCs w:val="20"/>
                <w:color w:val="auto"/>
              </w:rPr>
              <w:t>Increased Costs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2.16</w:t>
            </w:r>
          </w:p>
        </w:tc>
        <w:tc>
          <w:tcPr>
            <w:tcW w:w="8260" w:type="dxa"/>
            <w:vAlign w:val="bottom"/>
          </w:tcPr>
          <w:p>
            <w:pPr>
              <w:ind w:left="340"/>
              <w:spacing w:after="0"/>
              <w:rPr>
                <w:sz w:val="20"/>
                <w:szCs w:val="20"/>
                <w:color w:val="auto"/>
              </w:rPr>
            </w:pPr>
            <w:r>
              <w:rPr>
                <w:rFonts w:ascii="Arial" w:cs="Arial" w:eastAsia="Arial" w:hAnsi="Arial"/>
                <w:sz w:val="20"/>
                <w:szCs w:val="20"/>
                <w:color w:val="auto"/>
              </w:rPr>
              <w:t>Break Funding Payments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2.17</w:t>
            </w:r>
          </w:p>
        </w:tc>
        <w:tc>
          <w:tcPr>
            <w:tcW w:w="8260" w:type="dxa"/>
            <w:vAlign w:val="bottom"/>
          </w:tcPr>
          <w:p>
            <w:pPr>
              <w:ind w:left="340"/>
              <w:spacing w:after="0"/>
              <w:rPr>
                <w:sz w:val="20"/>
                <w:szCs w:val="20"/>
                <w:color w:val="auto"/>
              </w:rPr>
            </w:pPr>
            <w:r>
              <w:rPr>
                <w:rFonts w:ascii="Arial" w:cs="Arial" w:eastAsia="Arial" w:hAnsi="Arial"/>
                <w:sz w:val="20"/>
                <w:szCs w:val="20"/>
                <w:color w:val="auto"/>
              </w:rPr>
              <w:t>Taxes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2.18</w:t>
            </w:r>
          </w:p>
        </w:tc>
        <w:tc>
          <w:tcPr>
            <w:tcW w:w="8260" w:type="dxa"/>
            <w:vAlign w:val="bottom"/>
          </w:tcPr>
          <w:p>
            <w:pPr>
              <w:ind w:left="340"/>
              <w:spacing w:after="0"/>
              <w:rPr>
                <w:sz w:val="20"/>
                <w:szCs w:val="20"/>
                <w:color w:val="auto"/>
              </w:rPr>
            </w:pPr>
            <w:r>
              <w:rPr>
                <w:rFonts w:ascii="Arial" w:cs="Arial" w:eastAsia="Arial" w:hAnsi="Arial"/>
                <w:sz w:val="20"/>
                <w:szCs w:val="20"/>
                <w:color w:val="auto"/>
              </w:rPr>
              <w:t>Payments Generally; Allocation of Proceeds; Pro Rata Treatment; Sharing of Set-offs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2.19</w:t>
            </w:r>
          </w:p>
        </w:tc>
        <w:tc>
          <w:tcPr>
            <w:tcW w:w="8260" w:type="dxa"/>
            <w:vAlign w:val="bottom"/>
          </w:tcPr>
          <w:p>
            <w:pPr>
              <w:ind w:left="340"/>
              <w:spacing w:after="0"/>
              <w:rPr>
                <w:sz w:val="20"/>
                <w:szCs w:val="20"/>
                <w:color w:val="auto"/>
              </w:rPr>
            </w:pPr>
            <w:r>
              <w:rPr>
                <w:rFonts w:ascii="Arial" w:cs="Arial" w:eastAsia="Arial" w:hAnsi="Arial"/>
                <w:sz w:val="20"/>
                <w:szCs w:val="20"/>
                <w:color w:val="auto"/>
              </w:rPr>
              <w:t>Mitigation Obligations; Replacement of Lenders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2.20</w:t>
            </w:r>
          </w:p>
        </w:tc>
        <w:tc>
          <w:tcPr>
            <w:tcW w:w="8260" w:type="dxa"/>
            <w:vAlign w:val="bottom"/>
          </w:tcPr>
          <w:p>
            <w:pPr>
              <w:ind w:left="340"/>
              <w:spacing w:after="0"/>
              <w:rPr>
                <w:sz w:val="20"/>
                <w:szCs w:val="20"/>
                <w:color w:val="auto"/>
              </w:rPr>
            </w:pPr>
            <w:r>
              <w:rPr>
                <w:rFonts w:ascii="Arial" w:cs="Arial" w:eastAsia="Arial" w:hAnsi="Arial"/>
                <w:sz w:val="20"/>
                <w:szCs w:val="20"/>
                <w:color w:val="auto"/>
              </w:rPr>
              <w:t>Incremental Term Facilities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59</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2.21</w:t>
            </w:r>
          </w:p>
        </w:tc>
        <w:tc>
          <w:tcPr>
            <w:tcW w:w="8260" w:type="dxa"/>
            <w:vAlign w:val="bottom"/>
          </w:tcPr>
          <w:p>
            <w:pPr>
              <w:ind w:left="340"/>
              <w:spacing w:after="0"/>
              <w:rPr>
                <w:sz w:val="20"/>
                <w:szCs w:val="20"/>
                <w:color w:val="auto"/>
              </w:rPr>
            </w:pPr>
            <w:r>
              <w:rPr>
                <w:rFonts w:ascii="Arial" w:cs="Arial" w:eastAsia="Arial" w:hAnsi="Arial"/>
                <w:sz w:val="20"/>
                <w:szCs w:val="20"/>
                <w:color w:val="auto"/>
              </w:rPr>
              <w:t>Returned Payments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2.22</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2.23</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2.24</w:t>
            </w:r>
          </w:p>
        </w:tc>
        <w:tc>
          <w:tcPr>
            <w:tcW w:w="8260" w:type="dxa"/>
            <w:vAlign w:val="bottom"/>
          </w:tcPr>
          <w:p>
            <w:pPr>
              <w:ind w:left="340"/>
              <w:spacing w:after="0"/>
              <w:rPr>
                <w:sz w:val="20"/>
                <w:szCs w:val="20"/>
                <w:color w:val="auto"/>
              </w:rPr>
            </w:pPr>
            <w:r>
              <w:rPr>
                <w:rFonts w:ascii="Arial" w:cs="Arial" w:eastAsia="Arial" w:hAnsi="Arial"/>
                <w:sz w:val="20"/>
                <w:szCs w:val="20"/>
                <w:color w:val="auto"/>
              </w:rPr>
              <w:t>[Reserved]</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2.25</w:t>
            </w:r>
          </w:p>
        </w:tc>
        <w:tc>
          <w:tcPr>
            <w:tcW w:w="8260" w:type="dxa"/>
            <w:vAlign w:val="bottom"/>
          </w:tcPr>
          <w:p>
            <w:pPr>
              <w:ind w:left="340"/>
              <w:spacing w:after="0"/>
              <w:rPr>
                <w:sz w:val="20"/>
                <w:szCs w:val="20"/>
                <w:color w:val="auto"/>
              </w:rPr>
            </w:pPr>
            <w:r>
              <w:rPr>
                <w:rFonts w:ascii="Arial" w:cs="Arial" w:eastAsia="Arial" w:hAnsi="Arial"/>
                <w:sz w:val="20"/>
                <w:szCs w:val="20"/>
                <w:color w:val="auto"/>
              </w:rPr>
              <w:t>Defaulting Lenders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2.26</w:t>
            </w:r>
          </w:p>
        </w:tc>
        <w:tc>
          <w:tcPr>
            <w:tcW w:w="8260" w:type="dxa"/>
            <w:vAlign w:val="bottom"/>
          </w:tcPr>
          <w:p>
            <w:pPr>
              <w:ind w:left="340"/>
              <w:spacing w:after="0"/>
              <w:rPr>
                <w:sz w:val="20"/>
                <w:szCs w:val="20"/>
                <w:color w:val="auto"/>
              </w:rPr>
            </w:pPr>
            <w:r>
              <w:rPr>
                <w:rFonts w:ascii="Arial" w:cs="Arial" w:eastAsia="Arial" w:hAnsi="Arial"/>
                <w:sz w:val="20"/>
                <w:szCs w:val="20"/>
                <w:color w:val="auto"/>
              </w:rPr>
              <w:t>Loan Modification Offers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2.27</w:t>
            </w:r>
          </w:p>
        </w:tc>
        <w:tc>
          <w:tcPr>
            <w:tcW w:w="8260" w:type="dxa"/>
            <w:vAlign w:val="bottom"/>
          </w:tcPr>
          <w:p>
            <w:pPr>
              <w:ind w:left="340"/>
              <w:spacing w:after="0"/>
              <w:rPr>
                <w:sz w:val="20"/>
                <w:szCs w:val="20"/>
                <w:color w:val="auto"/>
              </w:rPr>
            </w:pPr>
            <w:r>
              <w:rPr>
                <w:rFonts w:ascii="Arial" w:cs="Arial" w:eastAsia="Arial" w:hAnsi="Arial"/>
                <w:sz w:val="20"/>
                <w:szCs w:val="20"/>
                <w:color w:val="auto"/>
              </w:rPr>
              <w:t>Refinancing Amendments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63</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ARTCILE III.</w:t>
            </w:r>
          </w:p>
        </w:tc>
        <w:tc>
          <w:tcPr>
            <w:tcW w:w="8260" w:type="dxa"/>
            <w:vAlign w:val="bottom"/>
          </w:tcPr>
          <w:p>
            <w:pPr>
              <w:ind w:left="340"/>
              <w:spacing w:after="0"/>
              <w:rPr>
                <w:sz w:val="20"/>
                <w:szCs w:val="20"/>
                <w:color w:val="auto"/>
              </w:rPr>
            </w:pPr>
            <w:r>
              <w:rPr>
                <w:rFonts w:ascii="Arial" w:cs="Arial" w:eastAsia="Arial" w:hAnsi="Arial"/>
                <w:sz w:val="20"/>
                <w:szCs w:val="20"/>
                <w:color w:val="auto"/>
              </w:rPr>
              <w:t>Representations and Warranties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64</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3.01</w:t>
            </w:r>
          </w:p>
        </w:tc>
        <w:tc>
          <w:tcPr>
            <w:tcW w:w="8260" w:type="dxa"/>
            <w:vAlign w:val="bottom"/>
          </w:tcPr>
          <w:p>
            <w:pPr>
              <w:ind w:left="340"/>
              <w:spacing w:after="0"/>
              <w:rPr>
                <w:sz w:val="20"/>
                <w:szCs w:val="20"/>
                <w:color w:val="auto"/>
              </w:rPr>
            </w:pPr>
            <w:r>
              <w:rPr>
                <w:rFonts w:ascii="Arial" w:cs="Arial" w:eastAsia="Arial" w:hAnsi="Arial"/>
                <w:sz w:val="20"/>
                <w:szCs w:val="20"/>
                <w:color w:val="auto"/>
              </w:rPr>
              <w:t>Organization; Powers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64</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3.02</w:t>
            </w:r>
          </w:p>
        </w:tc>
        <w:tc>
          <w:tcPr>
            <w:tcW w:w="8260" w:type="dxa"/>
            <w:vAlign w:val="bottom"/>
          </w:tcPr>
          <w:p>
            <w:pPr>
              <w:ind w:left="340"/>
              <w:spacing w:after="0"/>
              <w:rPr>
                <w:sz w:val="20"/>
                <w:szCs w:val="20"/>
                <w:color w:val="auto"/>
              </w:rPr>
            </w:pPr>
            <w:r>
              <w:rPr>
                <w:rFonts w:ascii="Arial" w:cs="Arial" w:eastAsia="Arial" w:hAnsi="Arial"/>
                <w:sz w:val="20"/>
                <w:szCs w:val="20"/>
                <w:color w:val="auto"/>
              </w:rPr>
              <w:t>Authorization; Enforceability</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64</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3.03</w:t>
            </w:r>
          </w:p>
        </w:tc>
        <w:tc>
          <w:tcPr>
            <w:tcW w:w="8260" w:type="dxa"/>
            <w:vAlign w:val="bottom"/>
          </w:tcPr>
          <w:p>
            <w:pPr>
              <w:ind w:left="340"/>
              <w:spacing w:after="0"/>
              <w:rPr>
                <w:sz w:val="20"/>
                <w:szCs w:val="20"/>
                <w:color w:val="auto"/>
              </w:rPr>
            </w:pPr>
            <w:r>
              <w:rPr>
                <w:rFonts w:ascii="Arial" w:cs="Arial" w:eastAsia="Arial" w:hAnsi="Arial"/>
                <w:sz w:val="20"/>
                <w:szCs w:val="20"/>
                <w:color w:val="auto"/>
              </w:rPr>
              <w:t>Governmental Approvals; No Conflicts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64</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3.04</w:t>
            </w:r>
          </w:p>
        </w:tc>
        <w:tc>
          <w:tcPr>
            <w:tcW w:w="8260" w:type="dxa"/>
            <w:vAlign w:val="bottom"/>
          </w:tcPr>
          <w:p>
            <w:pPr>
              <w:ind w:left="340"/>
              <w:spacing w:after="0"/>
              <w:rPr>
                <w:sz w:val="20"/>
                <w:szCs w:val="20"/>
                <w:color w:val="auto"/>
              </w:rPr>
            </w:pPr>
            <w:r>
              <w:rPr>
                <w:rFonts w:ascii="Arial" w:cs="Arial" w:eastAsia="Arial" w:hAnsi="Arial"/>
                <w:sz w:val="20"/>
                <w:szCs w:val="20"/>
                <w:color w:val="auto"/>
              </w:rPr>
              <w:t>Financial Condition; No Material Adverse Change</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3.05</w:t>
            </w:r>
          </w:p>
        </w:tc>
        <w:tc>
          <w:tcPr>
            <w:tcW w:w="8260" w:type="dxa"/>
            <w:vAlign w:val="bottom"/>
          </w:tcPr>
          <w:p>
            <w:pPr>
              <w:ind w:left="340"/>
              <w:spacing w:after="0"/>
              <w:rPr>
                <w:sz w:val="20"/>
                <w:szCs w:val="20"/>
                <w:color w:val="auto"/>
              </w:rPr>
            </w:pPr>
            <w:r>
              <w:rPr>
                <w:rFonts w:ascii="Arial" w:cs="Arial" w:eastAsia="Arial" w:hAnsi="Arial"/>
                <w:sz w:val="20"/>
                <w:szCs w:val="20"/>
                <w:color w:val="auto"/>
              </w:rPr>
              <w:t>Properties</w:t>
            </w:r>
          </w:p>
        </w:tc>
        <w:tc>
          <w:tcPr>
            <w:tcW w:w="1100" w:type="dxa"/>
            <w:vAlign w:val="bottom"/>
          </w:tcPr>
          <w:p>
            <w:pPr>
              <w:jc w:val="center"/>
              <w:ind w:left="801"/>
              <w:spacing w:after="0"/>
              <w:rPr>
                <w:sz w:val="20"/>
                <w:szCs w:val="20"/>
                <w:color w:val="auto"/>
              </w:rPr>
            </w:pPr>
            <w:r>
              <w:rPr>
                <w:rFonts w:ascii="Arial" w:cs="Arial" w:eastAsia="Arial" w:hAnsi="Arial"/>
                <w:sz w:val="20"/>
                <w:szCs w:val="20"/>
                <w:color w:val="auto"/>
                <w:w w:val="89"/>
              </w:rPr>
              <w:t>65</w:t>
            </w:r>
          </w:p>
        </w:tc>
      </w:tr>
    </w:tbl>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0940"/>
          </w:cols>
          <w:pgMar w:left="320" w:top="568" w:right="639" w:bottom="754" w:gutter="0" w:footer="0" w:header="0"/>
        </w:sectPr>
      </w:pPr>
    </w:p>
    <w:bookmarkStart w:id="10" w:name="page11"/>
    <w:bookmarkEnd w:id="10"/>
    <w:p>
      <w:pPr>
        <w:jc w:val="center"/>
        <w:ind w:right="-31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580" w:type="dxa"/>
            <w:vAlign w:val="bottom"/>
          </w:tcPr>
          <w:p>
            <w:pPr>
              <w:spacing w:after="0"/>
              <w:rPr>
                <w:sz w:val="20"/>
                <w:szCs w:val="20"/>
                <w:color w:val="auto"/>
              </w:rPr>
            </w:pPr>
            <w:r>
              <w:rPr>
                <w:rFonts w:ascii="Arial" w:cs="Arial" w:eastAsia="Arial" w:hAnsi="Arial"/>
                <w:sz w:val="20"/>
                <w:szCs w:val="20"/>
                <w:color w:val="auto"/>
              </w:rPr>
              <w:t>SECTION 3.06</w:t>
            </w:r>
          </w:p>
        </w:tc>
        <w:tc>
          <w:tcPr>
            <w:tcW w:w="7180" w:type="dxa"/>
            <w:vAlign w:val="bottom"/>
          </w:tcPr>
          <w:p>
            <w:pPr>
              <w:ind w:left="340"/>
              <w:spacing w:after="0"/>
              <w:rPr>
                <w:sz w:val="20"/>
                <w:szCs w:val="20"/>
                <w:color w:val="auto"/>
              </w:rPr>
            </w:pPr>
            <w:r>
              <w:rPr>
                <w:rFonts w:ascii="Arial" w:cs="Arial" w:eastAsia="Arial" w:hAnsi="Arial"/>
                <w:sz w:val="20"/>
                <w:szCs w:val="20"/>
                <w:color w:val="auto"/>
              </w:rPr>
              <w:t>Litigation and Environmental Matters</w:t>
            </w:r>
          </w:p>
        </w:tc>
        <w:tc>
          <w:tcPr>
            <w:tcW w:w="218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3.07</w:t>
            </w:r>
          </w:p>
        </w:tc>
        <w:tc>
          <w:tcPr>
            <w:tcW w:w="7180" w:type="dxa"/>
            <w:vAlign w:val="bottom"/>
          </w:tcPr>
          <w:p>
            <w:pPr>
              <w:ind w:left="340"/>
              <w:spacing w:after="0"/>
              <w:rPr>
                <w:sz w:val="20"/>
                <w:szCs w:val="20"/>
                <w:color w:val="auto"/>
              </w:rPr>
            </w:pPr>
            <w:r>
              <w:rPr>
                <w:rFonts w:ascii="Arial" w:cs="Arial" w:eastAsia="Arial" w:hAnsi="Arial"/>
                <w:sz w:val="20"/>
                <w:szCs w:val="20"/>
                <w:color w:val="auto"/>
              </w:rPr>
              <w:t>Compliance with Laws and Agreements; No Default</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3.08</w:t>
            </w:r>
          </w:p>
        </w:tc>
        <w:tc>
          <w:tcPr>
            <w:tcW w:w="7180" w:type="dxa"/>
            <w:vAlign w:val="bottom"/>
          </w:tcPr>
          <w:p>
            <w:pPr>
              <w:ind w:left="340"/>
              <w:spacing w:after="0"/>
              <w:rPr>
                <w:sz w:val="20"/>
                <w:szCs w:val="20"/>
                <w:color w:val="auto"/>
              </w:rPr>
            </w:pPr>
            <w:r>
              <w:rPr>
                <w:rFonts w:ascii="Arial" w:cs="Arial" w:eastAsia="Arial" w:hAnsi="Arial"/>
                <w:sz w:val="20"/>
                <w:szCs w:val="20"/>
                <w:color w:val="auto"/>
              </w:rPr>
              <w:t>Investment Company Status</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3.09</w:t>
            </w:r>
          </w:p>
        </w:tc>
        <w:tc>
          <w:tcPr>
            <w:tcW w:w="7180" w:type="dxa"/>
            <w:vAlign w:val="bottom"/>
          </w:tcPr>
          <w:p>
            <w:pPr>
              <w:ind w:left="340"/>
              <w:spacing w:after="0"/>
              <w:rPr>
                <w:sz w:val="20"/>
                <w:szCs w:val="20"/>
                <w:color w:val="auto"/>
              </w:rPr>
            </w:pPr>
            <w:r>
              <w:rPr>
                <w:rFonts w:ascii="Arial" w:cs="Arial" w:eastAsia="Arial" w:hAnsi="Arial"/>
                <w:sz w:val="20"/>
                <w:szCs w:val="20"/>
                <w:color w:val="auto"/>
              </w:rPr>
              <w:t>Taxes</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3.10</w:t>
            </w:r>
          </w:p>
        </w:tc>
        <w:tc>
          <w:tcPr>
            <w:tcW w:w="7180" w:type="dxa"/>
            <w:vAlign w:val="bottom"/>
          </w:tcPr>
          <w:p>
            <w:pPr>
              <w:ind w:left="340"/>
              <w:spacing w:after="0"/>
              <w:rPr>
                <w:sz w:val="20"/>
                <w:szCs w:val="20"/>
                <w:color w:val="auto"/>
              </w:rPr>
            </w:pPr>
            <w:r>
              <w:rPr>
                <w:rFonts w:ascii="Arial" w:cs="Arial" w:eastAsia="Arial" w:hAnsi="Arial"/>
                <w:sz w:val="20"/>
                <w:szCs w:val="20"/>
                <w:color w:val="auto"/>
              </w:rPr>
              <w:t>ERISA</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3.11</w:t>
            </w:r>
          </w:p>
        </w:tc>
        <w:tc>
          <w:tcPr>
            <w:tcW w:w="7180" w:type="dxa"/>
            <w:vAlign w:val="bottom"/>
          </w:tcPr>
          <w:p>
            <w:pPr>
              <w:ind w:left="340"/>
              <w:spacing w:after="0"/>
              <w:rPr>
                <w:sz w:val="20"/>
                <w:szCs w:val="20"/>
                <w:color w:val="auto"/>
              </w:rPr>
            </w:pPr>
            <w:r>
              <w:rPr>
                <w:rFonts w:ascii="Arial" w:cs="Arial" w:eastAsia="Arial" w:hAnsi="Arial"/>
                <w:sz w:val="20"/>
                <w:szCs w:val="20"/>
                <w:color w:val="auto"/>
              </w:rPr>
              <w:t>Disclosure</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3.12</w:t>
            </w:r>
          </w:p>
        </w:tc>
        <w:tc>
          <w:tcPr>
            <w:tcW w:w="7180" w:type="dxa"/>
            <w:vAlign w:val="bottom"/>
          </w:tcPr>
          <w:p>
            <w:pPr>
              <w:ind w:left="340"/>
              <w:spacing w:after="0"/>
              <w:rPr>
                <w:sz w:val="20"/>
                <w:szCs w:val="20"/>
                <w:color w:val="auto"/>
              </w:rPr>
            </w:pPr>
            <w:r>
              <w:rPr>
                <w:rFonts w:ascii="Arial" w:cs="Arial" w:eastAsia="Arial" w:hAnsi="Arial"/>
                <w:sz w:val="20"/>
                <w:szCs w:val="20"/>
                <w:color w:val="auto"/>
              </w:rPr>
              <w:t>Material Agreements</w:t>
            </w:r>
          </w:p>
        </w:tc>
        <w:tc>
          <w:tcPr>
            <w:tcW w:w="2180" w:type="dxa"/>
            <w:vAlign w:val="bottom"/>
          </w:tcPr>
          <w:p>
            <w:pPr>
              <w:jc w:val="right"/>
              <w:spacing w:after="0"/>
              <w:rPr>
                <w:sz w:val="20"/>
                <w:szCs w:val="20"/>
                <w:color w:val="auto"/>
              </w:rPr>
            </w:pPr>
            <w:r>
              <w:rPr>
                <w:rFonts w:ascii="Arial" w:cs="Arial" w:eastAsia="Arial" w:hAnsi="Arial"/>
                <w:sz w:val="20"/>
                <w:szCs w:val="20"/>
                <w:color w:val="auto"/>
              </w:rPr>
              <w:t>66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3.13</w:t>
            </w:r>
          </w:p>
        </w:tc>
        <w:tc>
          <w:tcPr>
            <w:tcW w:w="7180" w:type="dxa"/>
            <w:vAlign w:val="bottom"/>
          </w:tcPr>
          <w:p>
            <w:pPr>
              <w:ind w:left="340"/>
              <w:spacing w:after="0"/>
              <w:rPr>
                <w:sz w:val="20"/>
                <w:szCs w:val="20"/>
                <w:color w:val="auto"/>
              </w:rPr>
            </w:pPr>
            <w:r>
              <w:rPr>
                <w:rFonts w:ascii="Arial" w:cs="Arial" w:eastAsia="Arial" w:hAnsi="Arial"/>
                <w:sz w:val="20"/>
                <w:szCs w:val="20"/>
                <w:color w:val="auto"/>
              </w:rPr>
              <w:t>Federal Reserve Regulations</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3.14</w:t>
            </w:r>
          </w:p>
        </w:tc>
        <w:tc>
          <w:tcPr>
            <w:tcW w:w="7180" w:type="dxa"/>
            <w:vAlign w:val="bottom"/>
          </w:tcPr>
          <w:p>
            <w:pPr>
              <w:ind w:left="340"/>
              <w:spacing w:after="0"/>
              <w:rPr>
                <w:sz w:val="20"/>
                <w:szCs w:val="20"/>
                <w:color w:val="auto"/>
              </w:rPr>
            </w:pPr>
            <w:r>
              <w:rPr>
                <w:rFonts w:ascii="Arial" w:cs="Arial" w:eastAsia="Arial" w:hAnsi="Arial"/>
                <w:sz w:val="20"/>
                <w:szCs w:val="20"/>
                <w:color w:val="auto"/>
              </w:rPr>
              <w:t>Liens</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3.15</w:t>
            </w:r>
          </w:p>
        </w:tc>
        <w:tc>
          <w:tcPr>
            <w:tcW w:w="7180" w:type="dxa"/>
            <w:vAlign w:val="bottom"/>
          </w:tcPr>
          <w:p>
            <w:pPr>
              <w:ind w:left="340"/>
              <w:spacing w:after="0"/>
              <w:rPr>
                <w:sz w:val="20"/>
                <w:szCs w:val="20"/>
                <w:color w:val="auto"/>
              </w:rPr>
            </w:pPr>
            <w:r>
              <w:rPr>
                <w:rFonts w:ascii="Arial" w:cs="Arial" w:eastAsia="Arial" w:hAnsi="Arial"/>
                <w:sz w:val="20"/>
                <w:szCs w:val="20"/>
                <w:color w:val="auto"/>
              </w:rPr>
              <w:t>Capitalization and Subsidiaries</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3.16</w:t>
            </w:r>
          </w:p>
        </w:tc>
        <w:tc>
          <w:tcPr>
            <w:tcW w:w="7180" w:type="dxa"/>
            <w:vAlign w:val="bottom"/>
          </w:tcPr>
          <w:p>
            <w:pPr>
              <w:ind w:left="340"/>
              <w:spacing w:after="0"/>
              <w:rPr>
                <w:sz w:val="20"/>
                <w:szCs w:val="20"/>
                <w:color w:val="auto"/>
              </w:rPr>
            </w:pPr>
            <w:r>
              <w:rPr>
                <w:rFonts w:ascii="Arial" w:cs="Arial" w:eastAsia="Arial" w:hAnsi="Arial"/>
                <w:sz w:val="20"/>
                <w:szCs w:val="20"/>
                <w:color w:val="auto"/>
              </w:rPr>
              <w:t>No Burdensome Restrictions</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3.17</w:t>
            </w:r>
          </w:p>
        </w:tc>
        <w:tc>
          <w:tcPr>
            <w:tcW w:w="7180" w:type="dxa"/>
            <w:vAlign w:val="bottom"/>
          </w:tcPr>
          <w:p>
            <w:pPr>
              <w:ind w:left="340"/>
              <w:spacing w:after="0"/>
              <w:rPr>
                <w:sz w:val="20"/>
                <w:szCs w:val="20"/>
                <w:color w:val="auto"/>
              </w:rPr>
            </w:pPr>
            <w:r>
              <w:rPr>
                <w:rFonts w:ascii="Arial" w:cs="Arial" w:eastAsia="Arial" w:hAnsi="Arial"/>
                <w:sz w:val="20"/>
                <w:szCs w:val="20"/>
                <w:color w:val="auto"/>
              </w:rPr>
              <w:t>Solvency</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3.18</w:t>
            </w:r>
          </w:p>
        </w:tc>
        <w:tc>
          <w:tcPr>
            <w:tcW w:w="7180" w:type="dxa"/>
            <w:vAlign w:val="bottom"/>
          </w:tcPr>
          <w:p>
            <w:pPr>
              <w:ind w:left="340"/>
              <w:spacing w:after="0"/>
              <w:rPr>
                <w:sz w:val="20"/>
                <w:szCs w:val="20"/>
                <w:color w:val="auto"/>
              </w:rPr>
            </w:pPr>
            <w:r>
              <w:rPr>
                <w:rFonts w:ascii="Arial" w:cs="Arial" w:eastAsia="Arial" w:hAnsi="Arial"/>
                <w:sz w:val="20"/>
                <w:szCs w:val="20"/>
                <w:color w:val="auto"/>
              </w:rPr>
              <w:t>Insurance</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3.19</w:t>
            </w:r>
          </w:p>
        </w:tc>
        <w:tc>
          <w:tcPr>
            <w:tcW w:w="7180" w:type="dxa"/>
            <w:vAlign w:val="bottom"/>
          </w:tcPr>
          <w:p>
            <w:pPr>
              <w:ind w:left="340"/>
              <w:spacing w:after="0"/>
              <w:rPr>
                <w:sz w:val="20"/>
                <w:szCs w:val="20"/>
                <w:color w:val="auto"/>
              </w:rPr>
            </w:pPr>
            <w:r>
              <w:rPr>
                <w:rFonts w:ascii="Arial" w:cs="Arial" w:eastAsia="Arial" w:hAnsi="Arial"/>
                <w:sz w:val="20"/>
                <w:szCs w:val="20"/>
                <w:color w:val="auto"/>
              </w:rPr>
              <w:t>Security Interest in Collateral</w:t>
            </w:r>
          </w:p>
        </w:tc>
        <w:tc>
          <w:tcPr>
            <w:tcW w:w="218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3.20</w:t>
            </w:r>
          </w:p>
        </w:tc>
        <w:tc>
          <w:tcPr>
            <w:tcW w:w="7180" w:type="dxa"/>
            <w:vAlign w:val="bottom"/>
          </w:tcPr>
          <w:p>
            <w:pPr>
              <w:ind w:left="340"/>
              <w:spacing w:after="0"/>
              <w:rPr>
                <w:sz w:val="20"/>
                <w:szCs w:val="20"/>
                <w:color w:val="auto"/>
              </w:rPr>
            </w:pPr>
            <w:r>
              <w:rPr>
                <w:rFonts w:ascii="Arial" w:cs="Arial" w:eastAsia="Arial" w:hAnsi="Arial"/>
                <w:sz w:val="20"/>
                <w:szCs w:val="20"/>
                <w:color w:val="auto"/>
              </w:rPr>
              <w:t>Employment Matters</w:t>
            </w:r>
          </w:p>
        </w:tc>
        <w:tc>
          <w:tcPr>
            <w:tcW w:w="21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3.21</w:t>
            </w:r>
          </w:p>
        </w:tc>
        <w:tc>
          <w:tcPr>
            <w:tcW w:w="7180" w:type="dxa"/>
            <w:vAlign w:val="bottom"/>
          </w:tcPr>
          <w:p>
            <w:pPr>
              <w:ind w:left="340"/>
              <w:spacing w:after="0"/>
              <w:rPr>
                <w:sz w:val="20"/>
                <w:szCs w:val="20"/>
                <w:color w:val="auto"/>
              </w:rPr>
            </w:pPr>
            <w:r>
              <w:rPr>
                <w:rFonts w:ascii="Arial" w:cs="Arial" w:eastAsia="Arial" w:hAnsi="Arial"/>
                <w:sz w:val="20"/>
                <w:szCs w:val="20"/>
                <w:color w:val="auto"/>
              </w:rPr>
              <w:t>Anti-Corruption Laws and Sanctions</w:t>
            </w:r>
          </w:p>
        </w:tc>
        <w:tc>
          <w:tcPr>
            <w:tcW w:w="21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3.22</w:t>
            </w:r>
          </w:p>
        </w:tc>
        <w:tc>
          <w:tcPr>
            <w:tcW w:w="7180" w:type="dxa"/>
            <w:vAlign w:val="bottom"/>
          </w:tcPr>
          <w:p>
            <w:pPr>
              <w:ind w:left="340"/>
              <w:spacing w:after="0"/>
              <w:rPr>
                <w:sz w:val="20"/>
                <w:szCs w:val="20"/>
                <w:color w:val="auto"/>
              </w:rPr>
            </w:pPr>
            <w:r>
              <w:rPr>
                <w:rFonts w:ascii="Arial" w:cs="Arial" w:eastAsia="Arial" w:hAnsi="Arial"/>
                <w:sz w:val="20"/>
                <w:szCs w:val="20"/>
                <w:color w:val="auto"/>
              </w:rPr>
              <w:t>EEA Financial Institutions</w:t>
            </w:r>
          </w:p>
        </w:tc>
        <w:tc>
          <w:tcPr>
            <w:tcW w:w="21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ARTICLE IV.</w:t>
            </w:r>
          </w:p>
        </w:tc>
        <w:tc>
          <w:tcPr>
            <w:tcW w:w="7180" w:type="dxa"/>
            <w:vAlign w:val="bottom"/>
          </w:tcPr>
          <w:p>
            <w:pPr>
              <w:ind w:left="340"/>
              <w:spacing w:after="0"/>
              <w:rPr>
                <w:sz w:val="20"/>
                <w:szCs w:val="20"/>
                <w:color w:val="auto"/>
              </w:rPr>
            </w:pPr>
            <w:r>
              <w:rPr>
                <w:rFonts w:ascii="Arial" w:cs="Arial" w:eastAsia="Arial" w:hAnsi="Arial"/>
                <w:sz w:val="20"/>
                <w:szCs w:val="20"/>
                <w:color w:val="auto"/>
              </w:rPr>
              <w:t>Conditions</w:t>
            </w:r>
          </w:p>
        </w:tc>
        <w:tc>
          <w:tcPr>
            <w:tcW w:w="21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4.01</w:t>
            </w:r>
          </w:p>
        </w:tc>
        <w:tc>
          <w:tcPr>
            <w:tcW w:w="7180" w:type="dxa"/>
            <w:vAlign w:val="bottom"/>
          </w:tcPr>
          <w:p>
            <w:pPr>
              <w:ind w:left="340"/>
              <w:spacing w:after="0"/>
              <w:rPr>
                <w:sz w:val="20"/>
                <w:szCs w:val="20"/>
                <w:color w:val="auto"/>
              </w:rPr>
            </w:pPr>
            <w:r>
              <w:rPr>
                <w:rFonts w:ascii="Arial" w:cs="Arial" w:eastAsia="Arial" w:hAnsi="Arial"/>
                <w:sz w:val="20"/>
                <w:szCs w:val="20"/>
                <w:color w:val="auto"/>
              </w:rPr>
              <w:t>Effective Date</w:t>
            </w:r>
          </w:p>
        </w:tc>
        <w:tc>
          <w:tcPr>
            <w:tcW w:w="218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ARTICLE V.</w:t>
            </w:r>
          </w:p>
        </w:tc>
        <w:tc>
          <w:tcPr>
            <w:tcW w:w="7180" w:type="dxa"/>
            <w:vAlign w:val="bottom"/>
          </w:tcPr>
          <w:p>
            <w:pPr>
              <w:ind w:left="340"/>
              <w:spacing w:after="0"/>
              <w:rPr>
                <w:sz w:val="20"/>
                <w:szCs w:val="20"/>
                <w:color w:val="auto"/>
              </w:rPr>
            </w:pPr>
            <w:r>
              <w:rPr>
                <w:rFonts w:ascii="Arial" w:cs="Arial" w:eastAsia="Arial" w:hAnsi="Arial"/>
                <w:sz w:val="20"/>
                <w:szCs w:val="20"/>
                <w:color w:val="auto"/>
              </w:rPr>
              <w:t>Affirmative Covenants</w:t>
            </w:r>
          </w:p>
        </w:tc>
        <w:tc>
          <w:tcPr>
            <w:tcW w:w="21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5.01</w:t>
            </w:r>
          </w:p>
        </w:tc>
        <w:tc>
          <w:tcPr>
            <w:tcW w:w="7180" w:type="dxa"/>
            <w:vAlign w:val="bottom"/>
          </w:tcPr>
          <w:p>
            <w:pPr>
              <w:ind w:left="340"/>
              <w:spacing w:after="0"/>
              <w:rPr>
                <w:sz w:val="20"/>
                <w:szCs w:val="20"/>
                <w:color w:val="auto"/>
              </w:rPr>
            </w:pPr>
            <w:r>
              <w:rPr>
                <w:rFonts w:ascii="Arial" w:cs="Arial" w:eastAsia="Arial" w:hAnsi="Arial"/>
                <w:sz w:val="20"/>
                <w:szCs w:val="20"/>
                <w:color w:val="auto"/>
              </w:rPr>
              <w:t>Financial Statements and Other Information</w:t>
            </w:r>
          </w:p>
        </w:tc>
        <w:tc>
          <w:tcPr>
            <w:tcW w:w="2180" w:type="dxa"/>
            <w:vAlign w:val="bottom"/>
          </w:tcPr>
          <w:p>
            <w:pPr>
              <w:jc w:val="right"/>
              <w:spacing w:after="0"/>
              <w:rPr>
                <w:sz w:val="20"/>
                <w:szCs w:val="20"/>
                <w:color w:val="auto"/>
              </w:rPr>
            </w:pPr>
            <w:r>
              <w:rPr>
                <w:rFonts w:ascii="Arial" w:cs="Arial" w:eastAsia="Arial" w:hAnsi="Arial"/>
                <w:sz w:val="20"/>
                <w:szCs w:val="20"/>
                <w:color w:val="auto"/>
              </w:rPr>
              <w:t>70</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5.02</w:t>
            </w:r>
          </w:p>
        </w:tc>
        <w:tc>
          <w:tcPr>
            <w:tcW w:w="7180" w:type="dxa"/>
            <w:vAlign w:val="bottom"/>
          </w:tcPr>
          <w:p>
            <w:pPr>
              <w:ind w:left="340"/>
              <w:spacing w:after="0"/>
              <w:rPr>
                <w:sz w:val="20"/>
                <w:szCs w:val="20"/>
                <w:color w:val="auto"/>
              </w:rPr>
            </w:pPr>
            <w:r>
              <w:rPr>
                <w:rFonts w:ascii="Arial" w:cs="Arial" w:eastAsia="Arial" w:hAnsi="Arial"/>
                <w:sz w:val="20"/>
                <w:szCs w:val="20"/>
                <w:color w:val="auto"/>
              </w:rPr>
              <w:t>Notices of Material Events</w:t>
            </w:r>
          </w:p>
        </w:tc>
        <w:tc>
          <w:tcPr>
            <w:tcW w:w="2180" w:type="dxa"/>
            <w:vAlign w:val="bottom"/>
          </w:tcPr>
          <w:p>
            <w:pPr>
              <w:jc w:val="right"/>
              <w:spacing w:after="0"/>
              <w:rPr>
                <w:sz w:val="20"/>
                <w:szCs w:val="20"/>
                <w:color w:val="auto"/>
              </w:rPr>
            </w:pPr>
            <w:r>
              <w:rPr>
                <w:rFonts w:ascii="Arial" w:cs="Arial" w:eastAsia="Arial" w:hAnsi="Arial"/>
                <w:sz w:val="20"/>
                <w:szCs w:val="20"/>
                <w:color w:val="auto"/>
              </w:rPr>
              <w:t>71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5.03</w:t>
            </w:r>
          </w:p>
        </w:tc>
        <w:tc>
          <w:tcPr>
            <w:tcW w:w="7180" w:type="dxa"/>
            <w:vAlign w:val="bottom"/>
          </w:tcPr>
          <w:p>
            <w:pPr>
              <w:ind w:left="340"/>
              <w:spacing w:after="0"/>
              <w:rPr>
                <w:sz w:val="20"/>
                <w:szCs w:val="20"/>
                <w:color w:val="auto"/>
              </w:rPr>
            </w:pPr>
            <w:r>
              <w:rPr>
                <w:rFonts w:ascii="Arial" w:cs="Arial" w:eastAsia="Arial" w:hAnsi="Arial"/>
                <w:sz w:val="20"/>
                <w:szCs w:val="20"/>
                <w:color w:val="auto"/>
              </w:rPr>
              <w:t>Existence; Conduct of Business</w:t>
            </w:r>
          </w:p>
        </w:tc>
        <w:tc>
          <w:tcPr>
            <w:tcW w:w="2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5.04</w:t>
            </w:r>
          </w:p>
        </w:tc>
        <w:tc>
          <w:tcPr>
            <w:tcW w:w="7180" w:type="dxa"/>
            <w:vAlign w:val="bottom"/>
          </w:tcPr>
          <w:p>
            <w:pPr>
              <w:ind w:left="340"/>
              <w:spacing w:after="0"/>
              <w:rPr>
                <w:sz w:val="20"/>
                <w:szCs w:val="20"/>
                <w:color w:val="auto"/>
              </w:rPr>
            </w:pPr>
            <w:r>
              <w:rPr>
                <w:rFonts w:ascii="Arial" w:cs="Arial" w:eastAsia="Arial" w:hAnsi="Arial"/>
                <w:sz w:val="20"/>
                <w:szCs w:val="20"/>
                <w:color w:val="auto"/>
              </w:rPr>
              <w:t>Payment of Obligations</w:t>
            </w:r>
          </w:p>
        </w:tc>
        <w:tc>
          <w:tcPr>
            <w:tcW w:w="2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5.05</w:t>
            </w:r>
          </w:p>
        </w:tc>
        <w:tc>
          <w:tcPr>
            <w:tcW w:w="7180" w:type="dxa"/>
            <w:vAlign w:val="bottom"/>
          </w:tcPr>
          <w:p>
            <w:pPr>
              <w:ind w:left="340"/>
              <w:spacing w:after="0"/>
              <w:rPr>
                <w:sz w:val="20"/>
                <w:szCs w:val="20"/>
                <w:color w:val="auto"/>
              </w:rPr>
            </w:pPr>
            <w:r>
              <w:rPr>
                <w:rFonts w:ascii="Arial" w:cs="Arial" w:eastAsia="Arial" w:hAnsi="Arial"/>
                <w:sz w:val="20"/>
                <w:szCs w:val="20"/>
                <w:color w:val="auto"/>
              </w:rPr>
              <w:t>Maintenance of Properties</w:t>
            </w:r>
          </w:p>
        </w:tc>
        <w:tc>
          <w:tcPr>
            <w:tcW w:w="2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5.06</w:t>
            </w:r>
          </w:p>
        </w:tc>
        <w:tc>
          <w:tcPr>
            <w:tcW w:w="7180" w:type="dxa"/>
            <w:vAlign w:val="bottom"/>
          </w:tcPr>
          <w:p>
            <w:pPr>
              <w:ind w:left="340"/>
              <w:spacing w:after="0"/>
              <w:rPr>
                <w:sz w:val="20"/>
                <w:szCs w:val="20"/>
                <w:color w:val="auto"/>
              </w:rPr>
            </w:pPr>
            <w:r>
              <w:rPr>
                <w:rFonts w:ascii="Arial" w:cs="Arial" w:eastAsia="Arial" w:hAnsi="Arial"/>
                <w:sz w:val="20"/>
                <w:szCs w:val="20"/>
                <w:color w:val="auto"/>
              </w:rPr>
              <w:t>Books and Records; Inspection Rights</w:t>
            </w:r>
          </w:p>
        </w:tc>
        <w:tc>
          <w:tcPr>
            <w:tcW w:w="218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5.07</w:t>
            </w:r>
          </w:p>
        </w:tc>
        <w:tc>
          <w:tcPr>
            <w:tcW w:w="7180" w:type="dxa"/>
            <w:vAlign w:val="bottom"/>
          </w:tcPr>
          <w:p>
            <w:pPr>
              <w:ind w:left="340"/>
              <w:spacing w:after="0"/>
              <w:rPr>
                <w:sz w:val="20"/>
                <w:szCs w:val="20"/>
                <w:color w:val="auto"/>
              </w:rPr>
            </w:pPr>
            <w:r>
              <w:rPr>
                <w:rFonts w:ascii="Arial" w:cs="Arial" w:eastAsia="Arial" w:hAnsi="Arial"/>
                <w:sz w:val="20"/>
                <w:szCs w:val="20"/>
                <w:color w:val="auto"/>
              </w:rPr>
              <w:t>Compliance with Laws and Material Contractual Obligations</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5.08</w:t>
            </w:r>
          </w:p>
        </w:tc>
        <w:tc>
          <w:tcPr>
            <w:tcW w:w="7180" w:type="dxa"/>
            <w:vAlign w:val="bottom"/>
          </w:tcPr>
          <w:p>
            <w:pPr>
              <w:ind w:left="340"/>
              <w:spacing w:after="0"/>
              <w:rPr>
                <w:sz w:val="20"/>
                <w:szCs w:val="20"/>
                <w:color w:val="auto"/>
              </w:rPr>
            </w:pPr>
            <w:r>
              <w:rPr>
                <w:rFonts w:ascii="Arial" w:cs="Arial" w:eastAsia="Arial" w:hAnsi="Arial"/>
                <w:sz w:val="20"/>
                <w:szCs w:val="20"/>
                <w:color w:val="auto"/>
              </w:rPr>
              <w:t>Use of Proceeds</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5.09</w:t>
            </w:r>
          </w:p>
        </w:tc>
        <w:tc>
          <w:tcPr>
            <w:tcW w:w="7180" w:type="dxa"/>
            <w:vAlign w:val="bottom"/>
          </w:tcPr>
          <w:p>
            <w:pPr>
              <w:ind w:left="340"/>
              <w:spacing w:after="0"/>
              <w:rPr>
                <w:sz w:val="20"/>
                <w:szCs w:val="20"/>
                <w:color w:val="auto"/>
              </w:rPr>
            </w:pPr>
            <w:r>
              <w:rPr>
                <w:rFonts w:ascii="Arial" w:cs="Arial" w:eastAsia="Arial" w:hAnsi="Arial"/>
                <w:sz w:val="20"/>
                <w:szCs w:val="20"/>
                <w:color w:val="auto"/>
              </w:rPr>
              <w:t>Insurance</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5.10</w:t>
            </w:r>
          </w:p>
        </w:tc>
        <w:tc>
          <w:tcPr>
            <w:tcW w:w="7180" w:type="dxa"/>
            <w:vAlign w:val="bottom"/>
          </w:tcPr>
          <w:p>
            <w:pPr>
              <w:ind w:left="340"/>
              <w:spacing w:after="0"/>
              <w:rPr>
                <w:sz w:val="20"/>
                <w:szCs w:val="20"/>
                <w:color w:val="auto"/>
              </w:rPr>
            </w:pPr>
            <w:r>
              <w:rPr>
                <w:rFonts w:ascii="Arial" w:cs="Arial" w:eastAsia="Arial" w:hAnsi="Arial"/>
                <w:sz w:val="20"/>
                <w:szCs w:val="20"/>
                <w:color w:val="auto"/>
              </w:rPr>
              <w:t>Casualty and Condemnation</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5.11</w:t>
            </w:r>
          </w:p>
        </w:tc>
        <w:tc>
          <w:tcPr>
            <w:tcW w:w="7180" w:type="dxa"/>
            <w:vAlign w:val="bottom"/>
          </w:tcPr>
          <w:p>
            <w:pPr>
              <w:ind w:left="340"/>
              <w:spacing w:after="0"/>
              <w:rPr>
                <w:sz w:val="20"/>
                <w:szCs w:val="20"/>
                <w:color w:val="auto"/>
              </w:rPr>
            </w:pPr>
            <w:r>
              <w:rPr>
                <w:rFonts w:ascii="Arial" w:cs="Arial" w:eastAsia="Arial" w:hAnsi="Arial"/>
                <w:sz w:val="20"/>
                <w:szCs w:val="20"/>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5.12</w:t>
            </w:r>
          </w:p>
        </w:tc>
        <w:tc>
          <w:tcPr>
            <w:tcW w:w="7180" w:type="dxa"/>
            <w:vAlign w:val="bottom"/>
          </w:tcPr>
          <w:p>
            <w:pPr>
              <w:ind w:left="340"/>
              <w:spacing w:after="0"/>
              <w:rPr>
                <w:sz w:val="20"/>
                <w:szCs w:val="20"/>
                <w:color w:val="auto"/>
              </w:rPr>
            </w:pPr>
            <w:r>
              <w:rPr>
                <w:rFonts w:ascii="Arial" w:cs="Arial" w:eastAsia="Arial" w:hAnsi="Arial"/>
                <w:sz w:val="20"/>
                <w:szCs w:val="20"/>
                <w:color w:val="auto"/>
              </w:rPr>
              <w:t>[Intentionally Omitted]</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5.13</w:t>
            </w:r>
          </w:p>
        </w:tc>
        <w:tc>
          <w:tcPr>
            <w:tcW w:w="7180" w:type="dxa"/>
            <w:vAlign w:val="bottom"/>
          </w:tcPr>
          <w:p>
            <w:pPr>
              <w:ind w:left="340"/>
              <w:spacing w:after="0"/>
              <w:rPr>
                <w:sz w:val="20"/>
                <w:szCs w:val="20"/>
                <w:color w:val="auto"/>
              </w:rPr>
            </w:pPr>
            <w:r>
              <w:rPr>
                <w:rFonts w:ascii="Arial" w:cs="Arial" w:eastAsia="Arial" w:hAnsi="Arial"/>
                <w:sz w:val="20"/>
                <w:szCs w:val="20"/>
                <w:color w:val="auto"/>
              </w:rPr>
              <w:t>Accuracy of Information</w:t>
            </w:r>
          </w:p>
        </w:tc>
        <w:tc>
          <w:tcPr>
            <w:tcW w:w="218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5.14</w:t>
            </w:r>
          </w:p>
        </w:tc>
        <w:tc>
          <w:tcPr>
            <w:tcW w:w="7180" w:type="dxa"/>
            <w:vAlign w:val="bottom"/>
          </w:tcPr>
          <w:p>
            <w:pPr>
              <w:ind w:left="340"/>
              <w:spacing w:after="0"/>
              <w:rPr>
                <w:sz w:val="20"/>
                <w:szCs w:val="20"/>
                <w:color w:val="auto"/>
              </w:rPr>
            </w:pPr>
            <w:r>
              <w:rPr>
                <w:rFonts w:ascii="Arial" w:cs="Arial" w:eastAsia="Arial" w:hAnsi="Arial"/>
                <w:sz w:val="20"/>
                <w:szCs w:val="20"/>
                <w:color w:val="auto"/>
              </w:rPr>
              <w:t>Additional Collateral; Further Assurances</w:t>
            </w:r>
          </w:p>
        </w:tc>
        <w:tc>
          <w:tcPr>
            <w:tcW w:w="218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5.15</w:t>
            </w:r>
          </w:p>
        </w:tc>
        <w:tc>
          <w:tcPr>
            <w:tcW w:w="7180" w:type="dxa"/>
            <w:vAlign w:val="bottom"/>
          </w:tcPr>
          <w:p>
            <w:pPr>
              <w:ind w:left="340"/>
              <w:spacing w:after="0"/>
              <w:rPr>
                <w:sz w:val="20"/>
                <w:szCs w:val="20"/>
                <w:color w:val="auto"/>
              </w:rPr>
            </w:pPr>
            <w:r>
              <w:rPr>
                <w:rFonts w:ascii="Arial" w:cs="Arial" w:eastAsia="Arial" w:hAnsi="Arial"/>
                <w:sz w:val="20"/>
                <w:szCs w:val="20"/>
                <w:color w:val="auto"/>
              </w:rPr>
              <w:t>Maintenance of Ratings</w:t>
            </w:r>
          </w:p>
        </w:tc>
        <w:tc>
          <w:tcPr>
            <w:tcW w:w="2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ARTICLE VI.</w:t>
            </w:r>
          </w:p>
        </w:tc>
        <w:tc>
          <w:tcPr>
            <w:tcW w:w="7180" w:type="dxa"/>
            <w:vAlign w:val="bottom"/>
          </w:tcPr>
          <w:p>
            <w:pPr>
              <w:ind w:left="340"/>
              <w:spacing w:after="0"/>
              <w:rPr>
                <w:sz w:val="20"/>
                <w:szCs w:val="20"/>
                <w:color w:val="auto"/>
              </w:rPr>
            </w:pPr>
            <w:r>
              <w:rPr>
                <w:rFonts w:ascii="Arial" w:cs="Arial" w:eastAsia="Arial" w:hAnsi="Arial"/>
                <w:sz w:val="20"/>
                <w:szCs w:val="20"/>
                <w:color w:val="auto"/>
              </w:rPr>
              <w:t>Negative Covenants</w:t>
            </w:r>
          </w:p>
        </w:tc>
        <w:tc>
          <w:tcPr>
            <w:tcW w:w="2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567"/>
        </w:trPr>
        <w:tc>
          <w:tcPr>
            <w:tcW w:w="1580" w:type="dxa"/>
            <w:vAlign w:val="bottom"/>
          </w:tcPr>
          <w:p>
            <w:pPr>
              <w:spacing w:after="0"/>
              <w:rPr>
                <w:sz w:val="20"/>
                <w:szCs w:val="20"/>
                <w:color w:val="auto"/>
              </w:rPr>
            </w:pPr>
            <w:r>
              <w:rPr>
                <w:rFonts w:ascii="Arial" w:cs="Arial" w:eastAsia="Arial" w:hAnsi="Arial"/>
                <w:sz w:val="20"/>
                <w:szCs w:val="20"/>
                <w:color w:val="auto"/>
              </w:rPr>
              <w:t>SECTION 6.01</w:t>
            </w:r>
          </w:p>
        </w:tc>
        <w:tc>
          <w:tcPr>
            <w:tcW w:w="7180" w:type="dxa"/>
            <w:vAlign w:val="bottom"/>
          </w:tcPr>
          <w:p>
            <w:pPr>
              <w:ind w:left="340"/>
              <w:spacing w:after="0"/>
              <w:rPr>
                <w:sz w:val="20"/>
                <w:szCs w:val="20"/>
                <w:color w:val="auto"/>
              </w:rPr>
            </w:pPr>
            <w:r>
              <w:rPr>
                <w:rFonts w:ascii="Arial" w:cs="Arial" w:eastAsia="Arial" w:hAnsi="Arial"/>
                <w:sz w:val="20"/>
                <w:szCs w:val="20"/>
                <w:color w:val="auto"/>
              </w:rPr>
              <w:t>Indebtedness</w:t>
            </w:r>
          </w:p>
        </w:tc>
        <w:tc>
          <w:tcPr>
            <w:tcW w:w="2180" w:type="dxa"/>
            <w:vAlign w:val="bottom"/>
          </w:tcPr>
          <w:p>
            <w:pPr>
              <w:jc w:val="right"/>
              <w:spacing w:after="0"/>
              <w:rPr>
                <w:sz w:val="20"/>
                <w:szCs w:val="20"/>
                <w:color w:val="auto"/>
              </w:rPr>
            </w:pPr>
            <w:r>
              <w:rPr>
                <w:rFonts w:ascii="Arial" w:cs="Arial" w:eastAsia="Arial" w:hAnsi="Arial"/>
                <w:sz w:val="20"/>
                <w:szCs w:val="20"/>
                <w:color w:val="auto"/>
              </w:rPr>
              <w:t>76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6.02</w:t>
            </w:r>
          </w:p>
        </w:tc>
        <w:tc>
          <w:tcPr>
            <w:tcW w:w="7180" w:type="dxa"/>
            <w:vAlign w:val="bottom"/>
          </w:tcPr>
          <w:p>
            <w:pPr>
              <w:ind w:left="340"/>
              <w:spacing w:after="0"/>
              <w:rPr>
                <w:sz w:val="20"/>
                <w:szCs w:val="20"/>
                <w:color w:val="auto"/>
              </w:rPr>
            </w:pPr>
            <w:r>
              <w:rPr>
                <w:rFonts w:ascii="Arial" w:cs="Arial" w:eastAsia="Arial" w:hAnsi="Arial"/>
                <w:sz w:val="20"/>
                <w:szCs w:val="20"/>
                <w:color w:val="auto"/>
              </w:rPr>
              <w:t>Liens</w:t>
            </w:r>
          </w:p>
        </w:tc>
        <w:tc>
          <w:tcPr>
            <w:tcW w:w="218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6.03</w:t>
            </w:r>
          </w:p>
        </w:tc>
        <w:tc>
          <w:tcPr>
            <w:tcW w:w="7180" w:type="dxa"/>
            <w:vAlign w:val="bottom"/>
          </w:tcPr>
          <w:p>
            <w:pPr>
              <w:ind w:left="340"/>
              <w:spacing w:after="0"/>
              <w:rPr>
                <w:sz w:val="20"/>
                <w:szCs w:val="20"/>
                <w:color w:val="auto"/>
              </w:rPr>
            </w:pPr>
            <w:r>
              <w:rPr>
                <w:rFonts w:ascii="Arial" w:cs="Arial" w:eastAsia="Arial" w:hAnsi="Arial"/>
                <w:sz w:val="20"/>
                <w:szCs w:val="20"/>
                <w:color w:val="auto"/>
              </w:rPr>
              <w:t>Fundamental Changes</w:t>
            </w:r>
          </w:p>
        </w:tc>
        <w:tc>
          <w:tcPr>
            <w:tcW w:w="218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6.04</w:t>
            </w:r>
          </w:p>
        </w:tc>
        <w:tc>
          <w:tcPr>
            <w:tcW w:w="7180" w:type="dxa"/>
            <w:vAlign w:val="bottom"/>
          </w:tcPr>
          <w:p>
            <w:pPr>
              <w:ind w:left="340"/>
              <w:spacing w:after="0"/>
              <w:rPr>
                <w:sz w:val="20"/>
                <w:szCs w:val="20"/>
                <w:color w:val="auto"/>
              </w:rPr>
            </w:pPr>
            <w:r>
              <w:rPr>
                <w:rFonts w:ascii="Arial" w:cs="Arial" w:eastAsia="Arial" w:hAnsi="Arial"/>
                <w:sz w:val="20"/>
                <w:szCs w:val="20"/>
                <w:color w:val="auto"/>
              </w:rPr>
              <w:t>Investments, Loans, Advances, Guarantees and Acquisitions</w:t>
            </w:r>
          </w:p>
        </w:tc>
        <w:tc>
          <w:tcPr>
            <w:tcW w:w="218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6.05</w:t>
            </w:r>
          </w:p>
        </w:tc>
        <w:tc>
          <w:tcPr>
            <w:tcW w:w="7180" w:type="dxa"/>
            <w:vAlign w:val="bottom"/>
          </w:tcPr>
          <w:p>
            <w:pPr>
              <w:ind w:left="340"/>
              <w:spacing w:after="0"/>
              <w:rPr>
                <w:sz w:val="20"/>
                <w:szCs w:val="20"/>
                <w:color w:val="auto"/>
              </w:rPr>
            </w:pPr>
            <w:r>
              <w:rPr>
                <w:rFonts w:ascii="Arial" w:cs="Arial" w:eastAsia="Arial" w:hAnsi="Arial"/>
                <w:sz w:val="20"/>
                <w:szCs w:val="20"/>
                <w:color w:val="auto"/>
              </w:rPr>
              <w:t>Asset Sale</w:t>
            </w:r>
          </w:p>
        </w:tc>
        <w:tc>
          <w:tcPr>
            <w:tcW w:w="218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6.06</w:t>
            </w:r>
          </w:p>
        </w:tc>
        <w:tc>
          <w:tcPr>
            <w:tcW w:w="7180" w:type="dxa"/>
            <w:vAlign w:val="bottom"/>
          </w:tcPr>
          <w:p>
            <w:pPr>
              <w:ind w:left="340"/>
              <w:spacing w:after="0"/>
              <w:rPr>
                <w:sz w:val="20"/>
                <w:szCs w:val="20"/>
                <w:color w:val="auto"/>
              </w:rPr>
            </w:pPr>
            <w:r>
              <w:rPr>
                <w:rFonts w:ascii="Arial" w:cs="Arial" w:eastAsia="Arial" w:hAnsi="Arial"/>
                <w:sz w:val="20"/>
                <w:szCs w:val="20"/>
                <w:color w:val="auto"/>
              </w:rPr>
              <w:t>Sale and Leaseback Transactions</w:t>
            </w:r>
          </w:p>
        </w:tc>
        <w:tc>
          <w:tcPr>
            <w:tcW w:w="2180" w:type="dxa"/>
            <w:vAlign w:val="bottom"/>
          </w:tcPr>
          <w:p>
            <w:pPr>
              <w:jc w:val="right"/>
              <w:spacing w:after="0"/>
              <w:rPr>
                <w:sz w:val="20"/>
                <w:szCs w:val="20"/>
                <w:color w:val="auto"/>
              </w:rPr>
            </w:pPr>
            <w:r>
              <w:rPr>
                <w:rFonts w:ascii="Arial" w:cs="Arial" w:eastAsia="Arial" w:hAnsi="Arial"/>
                <w:sz w:val="20"/>
                <w:szCs w:val="20"/>
                <w:color w:val="auto"/>
              </w:rPr>
              <w:t>88</w:t>
            </w:r>
          </w:p>
        </w:tc>
      </w:tr>
      <w:tr>
        <w:trPr>
          <w:trHeight w:val="284"/>
        </w:trPr>
        <w:tc>
          <w:tcPr>
            <w:tcW w:w="1580" w:type="dxa"/>
            <w:vAlign w:val="bottom"/>
          </w:tcPr>
          <w:p>
            <w:pPr>
              <w:spacing w:after="0"/>
              <w:rPr>
                <w:sz w:val="20"/>
                <w:szCs w:val="20"/>
                <w:color w:val="auto"/>
              </w:rPr>
            </w:pPr>
            <w:r>
              <w:rPr>
                <w:rFonts w:ascii="Arial" w:cs="Arial" w:eastAsia="Arial" w:hAnsi="Arial"/>
                <w:sz w:val="20"/>
                <w:szCs w:val="20"/>
                <w:color w:val="auto"/>
              </w:rPr>
              <w:t>SECTION 6.07</w:t>
            </w:r>
          </w:p>
        </w:tc>
        <w:tc>
          <w:tcPr>
            <w:tcW w:w="7180" w:type="dxa"/>
            <w:vAlign w:val="bottom"/>
          </w:tcPr>
          <w:p>
            <w:pPr>
              <w:ind w:left="340"/>
              <w:spacing w:after="0"/>
              <w:rPr>
                <w:sz w:val="20"/>
                <w:szCs w:val="20"/>
                <w:color w:val="auto"/>
              </w:rPr>
            </w:pPr>
            <w:r>
              <w:rPr>
                <w:rFonts w:ascii="Arial" w:cs="Arial" w:eastAsia="Arial" w:hAnsi="Arial"/>
                <w:sz w:val="20"/>
                <w:szCs w:val="20"/>
                <w:color w:val="auto"/>
              </w:rPr>
              <w:t>Swap Agreements</w:t>
            </w:r>
          </w:p>
        </w:tc>
        <w:tc>
          <w:tcPr>
            <w:tcW w:w="2180" w:type="dxa"/>
            <w:vAlign w:val="bottom"/>
          </w:tcPr>
          <w:p>
            <w:pPr>
              <w:jc w:val="right"/>
              <w:spacing w:after="0"/>
              <w:rPr>
                <w:sz w:val="20"/>
                <w:szCs w:val="20"/>
                <w:color w:val="auto"/>
              </w:rPr>
            </w:pPr>
            <w:r>
              <w:rPr>
                <w:rFonts w:ascii="Arial" w:cs="Arial" w:eastAsia="Arial" w:hAnsi="Arial"/>
                <w:sz w:val="20"/>
                <w:szCs w:val="20"/>
                <w:color w:val="auto"/>
              </w:rPr>
              <w:t>88</w:t>
            </w:r>
          </w:p>
        </w:tc>
      </w:tr>
    </w:tbl>
    <w:p>
      <w:pPr>
        <w:spacing w:after="0" w:line="249"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0940"/>
          </w:cols>
          <w:pgMar w:left="320" w:top="568" w:right="639" w:bottom="66" w:gutter="0" w:footer="0" w:header="0"/>
        </w:sectPr>
      </w:pPr>
    </w:p>
    <w:bookmarkStart w:id="11" w:name="page12"/>
    <w:bookmarkEnd w:id="11"/>
    <w:p>
      <w:pPr>
        <w:jc w:val="center"/>
        <w:ind w:right="-25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20" w:type="dxa"/>
            <w:vAlign w:val="bottom"/>
          </w:tcPr>
          <w:p>
            <w:pPr>
              <w:spacing w:after="0"/>
              <w:rPr>
                <w:sz w:val="20"/>
                <w:szCs w:val="20"/>
                <w:color w:val="auto"/>
              </w:rPr>
            </w:pPr>
            <w:r>
              <w:rPr>
                <w:rFonts w:ascii="Arial" w:cs="Arial" w:eastAsia="Arial" w:hAnsi="Arial"/>
                <w:sz w:val="20"/>
                <w:szCs w:val="20"/>
                <w:color w:val="auto"/>
              </w:rPr>
              <w:t>SECTION 6.08</w:t>
            </w:r>
          </w:p>
        </w:tc>
        <w:tc>
          <w:tcPr>
            <w:tcW w:w="8160" w:type="dxa"/>
            <w:vAlign w:val="bottom"/>
          </w:tcPr>
          <w:p>
            <w:pPr>
              <w:ind w:left="300"/>
              <w:spacing w:after="0"/>
              <w:rPr>
                <w:sz w:val="20"/>
                <w:szCs w:val="20"/>
                <w:color w:val="auto"/>
              </w:rPr>
            </w:pPr>
            <w:r>
              <w:rPr>
                <w:rFonts w:ascii="Arial" w:cs="Arial" w:eastAsia="Arial" w:hAnsi="Arial"/>
                <w:sz w:val="20"/>
                <w:szCs w:val="20"/>
                <w:color w:val="auto"/>
              </w:rPr>
              <w:t>Transactions with Affiliates</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89</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6.09</w:t>
            </w:r>
          </w:p>
        </w:tc>
        <w:tc>
          <w:tcPr>
            <w:tcW w:w="8160" w:type="dxa"/>
            <w:vAlign w:val="bottom"/>
          </w:tcPr>
          <w:p>
            <w:pPr>
              <w:ind w:left="300"/>
              <w:spacing w:after="0"/>
              <w:rPr>
                <w:sz w:val="20"/>
                <w:szCs w:val="20"/>
                <w:color w:val="auto"/>
              </w:rPr>
            </w:pPr>
            <w:r>
              <w:rPr>
                <w:rFonts w:ascii="Arial" w:cs="Arial" w:eastAsia="Arial" w:hAnsi="Arial"/>
                <w:sz w:val="20"/>
                <w:szCs w:val="20"/>
                <w:color w:val="auto"/>
              </w:rPr>
              <w:t>Restricted Payments</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90</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6.10</w:t>
            </w:r>
          </w:p>
        </w:tc>
        <w:tc>
          <w:tcPr>
            <w:tcW w:w="8160" w:type="dxa"/>
            <w:vAlign w:val="bottom"/>
          </w:tcPr>
          <w:p>
            <w:pPr>
              <w:ind w:left="300"/>
              <w:spacing w:after="0"/>
              <w:rPr>
                <w:sz w:val="20"/>
                <w:szCs w:val="20"/>
                <w:color w:val="auto"/>
              </w:rPr>
            </w:pPr>
            <w:r>
              <w:rPr>
                <w:rFonts w:ascii="Arial" w:cs="Arial" w:eastAsia="Arial" w:hAnsi="Arial"/>
                <w:sz w:val="20"/>
                <w:szCs w:val="20"/>
                <w:color w:val="auto"/>
                <w:w w:val="99"/>
              </w:rPr>
              <w:t>Subordinated Indebtedness and Amendments to Subordinated Indebtedness Documents</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92</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6.11</w:t>
            </w:r>
          </w:p>
        </w:tc>
        <w:tc>
          <w:tcPr>
            <w:tcW w:w="8160" w:type="dxa"/>
            <w:vAlign w:val="bottom"/>
          </w:tcPr>
          <w:p>
            <w:pPr>
              <w:ind w:left="300"/>
              <w:spacing w:after="0"/>
              <w:rPr>
                <w:sz w:val="20"/>
                <w:szCs w:val="20"/>
                <w:color w:val="auto"/>
              </w:rPr>
            </w:pPr>
            <w:r>
              <w:rPr>
                <w:rFonts w:ascii="Arial" w:cs="Arial" w:eastAsia="Arial" w:hAnsi="Arial"/>
                <w:sz w:val="20"/>
                <w:szCs w:val="20"/>
                <w:color w:val="auto"/>
              </w:rPr>
              <w:t>Restrictive Agreements</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93</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ARTICLE VII.</w:t>
            </w:r>
          </w:p>
        </w:tc>
        <w:tc>
          <w:tcPr>
            <w:tcW w:w="8160" w:type="dxa"/>
            <w:vAlign w:val="bottom"/>
          </w:tcPr>
          <w:p>
            <w:pPr>
              <w:ind w:left="300"/>
              <w:spacing w:after="0"/>
              <w:rPr>
                <w:sz w:val="20"/>
                <w:szCs w:val="20"/>
                <w:color w:val="auto"/>
              </w:rPr>
            </w:pPr>
            <w:r>
              <w:rPr>
                <w:rFonts w:ascii="Arial" w:cs="Arial" w:eastAsia="Arial" w:hAnsi="Arial"/>
                <w:sz w:val="20"/>
                <w:szCs w:val="20"/>
                <w:color w:val="auto"/>
              </w:rPr>
              <w:t>Events of Default</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94</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ARTICLE VIII.</w:t>
            </w:r>
          </w:p>
        </w:tc>
        <w:tc>
          <w:tcPr>
            <w:tcW w:w="8160" w:type="dxa"/>
            <w:vAlign w:val="bottom"/>
          </w:tcPr>
          <w:p>
            <w:pPr>
              <w:ind w:left="300"/>
              <w:spacing w:after="0"/>
              <w:rPr>
                <w:sz w:val="20"/>
                <w:szCs w:val="20"/>
                <w:color w:val="auto"/>
              </w:rPr>
            </w:pPr>
            <w:r>
              <w:rPr>
                <w:rFonts w:ascii="Arial" w:cs="Arial" w:eastAsia="Arial" w:hAnsi="Arial"/>
                <w:sz w:val="20"/>
                <w:szCs w:val="20"/>
                <w:color w:val="auto"/>
              </w:rPr>
              <w:t>The Administrative Agent</w:t>
            </w:r>
          </w:p>
        </w:tc>
        <w:tc>
          <w:tcPr>
            <w:tcW w:w="1220" w:type="dxa"/>
            <w:vAlign w:val="bottom"/>
          </w:tcPr>
          <w:p>
            <w:pPr>
              <w:jc w:val="center"/>
              <w:ind w:left="801"/>
              <w:spacing w:after="0"/>
              <w:rPr>
                <w:sz w:val="20"/>
                <w:szCs w:val="20"/>
                <w:color w:val="auto"/>
              </w:rPr>
            </w:pPr>
            <w:r>
              <w:rPr>
                <w:rFonts w:ascii="Arial" w:cs="Arial" w:eastAsia="Arial" w:hAnsi="Arial"/>
                <w:sz w:val="20"/>
                <w:szCs w:val="20"/>
                <w:color w:val="auto"/>
                <w:w w:val="89"/>
              </w:rPr>
              <w:t>98</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ARTICLE IX.</w:t>
            </w:r>
          </w:p>
        </w:tc>
        <w:tc>
          <w:tcPr>
            <w:tcW w:w="8160" w:type="dxa"/>
            <w:vAlign w:val="bottom"/>
          </w:tcPr>
          <w:p>
            <w:pPr>
              <w:ind w:left="300"/>
              <w:spacing w:after="0"/>
              <w:rPr>
                <w:sz w:val="20"/>
                <w:szCs w:val="20"/>
                <w:color w:val="auto"/>
              </w:rPr>
            </w:pPr>
            <w:r>
              <w:rPr>
                <w:rFonts w:ascii="Arial" w:cs="Arial" w:eastAsia="Arial" w:hAnsi="Arial"/>
                <w:sz w:val="20"/>
                <w:szCs w:val="20"/>
                <w:color w:val="auto"/>
              </w:rPr>
              <w:t>Miscellaneous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103</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SECTION 9.01</w:t>
            </w:r>
          </w:p>
        </w:tc>
        <w:tc>
          <w:tcPr>
            <w:tcW w:w="8160" w:type="dxa"/>
            <w:vAlign w:val="bottom"/>
          </w:tcPr>
          <w:p>
            <w:pPr>
              <w:ind w:left="300"/>
              <w:spacing w:after="0"/>
              <w:rPr>
                <w:sz w:val="20"/>
                <w:szCs w:val="20"/>
                <w:color w:val="auto"/>
              </w:rPr>
            </w:pPr>
            <w:r>
              <w:rPr>
                <w:rFonts w:ascii="Arial" w:cs="Arial" w:eastAsia="Arial" w:hAnsi="Arial"/>
                <w:sz w:val="20"/>
                <w:szCs w:val="20"/>
                <w:color w:val="auto"/>
              </w:rPr>
              <w:t>Notices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103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9.02</w:t>
            </w:r>
          </w:p>
        </w:tc>
        <w:tc>
          <w:tcPr>
            <w:tcW w:w="8160" w:type="dxa"/>
            <w:vAlign w:val="bottom"/>
          </w:tcPr>
          <w:p>
            <w:pPr>
              <w:ind w:left="300"/>
              <w:spacing w:after="0"/>
              <w:rPr>
                <w:sz w:val="20"/>
                <w:szCs w:val="20"/>
                <w:color w:val="auto"/>
              </w:rPr>
            </w:pPr>
            <w:r>
              <w:rPr>
                <w:rFonts w:ascii="Arial" w:cs="Arial" w:eastAsia="Arial" w:hAnsi="Arial"/>
                <w:sz w:val="20"/>
                <w:szCs w:val="20"/>
                <w:color w:val="auto"/>
              </w:rPr>
              <w:t>Waivers; Amendments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105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9.03</w:t>
            </w:r>
          </w:p>
        </w:tc>
        <w:tc>
          <w:tcPr>
            <w:tcW w:w="8160" w:type="dxa"/>
            <w:vAlign w:val="bottom"/>
          </w:tcPr>
          <w:p>
            <w:pPr>
              <w:ind w:left="300"/>
              <w:spacing w:after="0"/>
              <w:rPr>
                <w:sz w:val="20"/>
                <w:szCs w:val="20"/>
                <w:color w:val="auto"/>
              </w:rPr>
            </w:pPr>
            <w:r>
              <w:rPr>
                <w:rFonts w:ascii="Arial" w:cs="Arial" w:eastAsia="Arial" w:hAnsi="Arial"/>
                <w:sz w:val="20"/>
                <w:szCs w:val="20"/>
                <w:color w:val="auto"/>
              </w:rPr>
              <w:t>Expenses; Indemnity; Damage Waiver</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108</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9.04</w:t>
            </w:r>
          </w:p>
        </w:tc>
        <w:tc>
          <w:tcPr>
            <w:tcW w:w="8160" w:type="dxa"/>
            <w:vAlign w:val="bottom"/>
          </w:tcPr>
          <w:p>
            <w:pPr>
              <w:ind w:left="300"/>
              <w:spacing w:after="0"/>
              <w:rPr>
                <w:sz w:val="20"/>
                <w:szCs w:val="20"/>
                <w:color w:val="auto"/>
              </w:rPr>
            </w:pPr>
            <w:r>
              <w:rPr>
                <w:rFonts w:ascii="Arial" w:cs="Arial" w:eastAsia="Arial" w:hAnsi="Arial"/>
                <w:sz w:val="20"/>
                <w:szCs w:val="20"/>
                <w:color w:val="auto"/>
              </w:rPr>
              <w:t>Successors and Assigns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110</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9.05</w:t>
            </w:r>
          </w:p>
        </w:tc>
        <w:tc>
          <w:tcPr>
            <w:tcW w:w="8160" w:type="dxa"/>
            <w:vAlign w:val="bottom"/>
          </w:tcPr>
          <w:p>
            <w:pPr>
              <w:ind w:left="300"/>
              <w:spacing w:after="0"/>
              <w:rPr>
                <w:sz w:val="20"/>
                <w:szCs w:val="20"/>
                <w:color w:val="auto"/>
              </w:rPr>
            </w:pPr>
            <w:r>
              <w:rPr>
                <w:rFonts w:ascii="Arial" w:cs="Arial" w:eastAsia="Arial" w:hAnsi="Arial"/>
                <w:sz w:val="20"/>
                <w:szCs w:val="20"/>
                <w:color w:val="auto"/>
              </w:rPr>
              <w:t>Survival</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9.06</w:t>
            </w:r>
          </w:p>
        </w:tc>
        <w:tc>
          <w:tcPr>
            <w:tcW w:w="8160" w:type="dxa"/>
            <w:vAlign w:val="bottom"/>
          </w:tcPr>
          <w:p>
            <w:pPr>
              <w:ind w:left="300"/>
              <w:spacing w:after="0"/>
              <w:rPr>
                <w:sz w:val="20"/>
                <w:szCs w:val="20"/>
                <w:color w:val="auto"/>
              </w:rPr>
            </w:pPr>
            <w:r>
              <w:rPr>
                <w:rFonts w:ascii="Arial" w:cs="Arial" w:eastAsia="Arial" w:hAnsi="Arial"/>
                <w:sz w:val="20"/>
                <w:szCs w:val="20"/>
                <w:color w:val="auto"/>
              </w:rPr>
              <w:t>Counterparts; Integration; Effectiveness; Electronic Execution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115</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9.07</w:t>
            </w:r>
          </w:p>
        </w:tc>
        <w:tc>
          <w:tcPr>
            <w:tcW w:w="8160" w:type="dxa"/>
            <w:vAlign w:val="bottom"/>
          </w:tcPr>
          <w:p>
            <w:pPr>
              <w:ind w:left="300"/>
              <w:spacing w:after="0"/>
              <w:rPr>
                <w:sz w:val="20"/>
                <w:szCs w:val="20"/>
                <w:color w:val="auto"/>
              </w:rPr>
            </w:pPr>
            <w:r>
              <w:rPr>
                <w:rFonts w:ascii="Arial" w:cs="Arial" w:eastAsia="Arial" w:hAnsi="Arial"/>
                <w:sz w:val="20"/>
                <w:szCs w:val="20"/>
                <w:color w:val="auto"/>
              </w:rPr>
              <w:t>Severability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116</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9.08</w:t>
            </w:r>
          </w:p>
        </w:tc>
        <w:tc>
          <w:tcPr>
            <w:tcW w:w="8160" w:type="dxa"/>
            <w:vAlign w:val="bottom"/>
          </w:tcPr>
          <w:p>
            <w:pPr>
              <w:ind w:left="300"/>
              <w:spacing w:after="0"/>
              <w:rPr>
                <w:sz w:val="20"/>
                <w:szCs w:val="20"/>
                <w:color w:val="auto"/>
              </w:rPr>
            </w:pPr>
            <w:r>
              <w:rPr>
                <w:rFonts w:ascii="Arial" w:cs="Arial" w:eastAsia="Arial" w:hAnsi="Arial"/>
                <w:sz w:val="20"/>
                <w:szCs w:val="20"/>
                <w:color w:val="auto"/>
              </w:rPr>
              <w:t>Right of Setoff</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116</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9.09</w:t>
            </w:r>
          </w:p>
        </w:tc>
        <w:tc>
          <w:tcPr>
            <w:tcW w:w="8160" w:type="dxa"/>
            <w:vAlign w:val="bottom"/>
          </w:tcPr>
          <w:p>
            <w:pPr>
              <w:ind w:left="300"/>
              <w:spacing w:after="0"/>
              <w:rPr>
                <w:sz w:val="20"/>
                <w:szCs w:val="20"/>
                <w:color w:val="auto"/>
              </w:rPr>
            </w:pPr>
            <w:r>
              <w:rPr>
                <w:rFonts w:ascii="Arial" w:cs="Arial" w:eastAsia="Arial" w:hAnsi="Arial"/>
                <w:sz w:val="20"/>
                <w:szCs w:val="20"/>
                <w:color w:val="auto"/>
              </w:rPr>
              <w:t>Governing Law; Jurisdiction; Consent to Service of Process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116</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9.10</w:t>
            </w:r>
          </w:p>
        </w:tc>
        <w:tc>
          <w:tcPr>
            <w:tcW w:w="8160" w:type="dxa"/>
            <w:vAlign w:val="bottom"/>
          </w:tcPr>
          <w:p>
            <w:pPr>
              <w:ind w:left="300"/>
              <w:spacing w:after="0"/>
              <w:rPr>
                <w:sz w:val="20"/>
                <w:szCs w:val="20"/>
                <w:color w:val="auto"/>
              </w:rPr>
            </w:pPr>
            <w:r>
              <w:rPr>
                <w:rFonts w:ascii="Arial" w:cs="Arial" w:eastAsia="Arial" w:hAnsi="Arial"/>
                <w:sz w:val="20"/>
                <w:szCs w:val="20"/>
                <w:color w:val="auto"/>
              </w:rPr>
              <w:t>WAIVER OF JURY TRIAL</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117</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9.11</w:t>
            </w:r>
          </w:p>
        </w:tc>
        <w:tc>
          <w:tcPr>
            <w:tcW w:w="8160" w:type="dxa"/>
            <w:vAlign w:val="bottom"/>
          </w:tcPr>
          <w:p>
            <w:pPr>
              <w:ind w:left="300"/>
              <w:spacing w:after="0"/>
              <w:rPr>
                <w:sz w:val="20"/>
                <w:szCs w:val="20"/>
                <w:color w:val="auto"/>
              </w:rPr>
            </w:pPr>
            <w:r>
              <w:rPr>
                <w:rFonts w:ascii="Arial" w:cs="Arial" w:eastAsia="Arial" w:hAnsi="Arial"/>
                <w:sz w:val="20"/>
                <w:szCs w:val="20"/>
                <w:color w:val="auto"/>
              </w:rPr>
              <w:t>Headings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117</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9.12</w:t>
            </w:r>
          </w:p>
        </w:tc>
        <w:tc>
          <w:tcPr>
            <w:tcW w:w="8160" w:type="dxa"/>
            <w:vAlign w:val="bottom"/>
          </w:tcPr>
          <w:p>
            <w:pPr>
              <w:ind w:left="300"/>
              <w:spacing w:after="0"/>
              <w:rPr>
                <w:sz w:val="20"/>
                <w:szCs w:val="20"/>
                <w:color w:val="auto"/>
              </w:rPr>
            </w:pPr>
            <w:r>
              <w:rPr>
                <w:rFonts w:ascii="Arial" w:cs="Arial" w:eastAsia="Arial" w:hAnsi="Arial"/>
                <w:sz w:val="20"/>
                <w:szCs w:val="20"/>
                <w:color w:val="auto"/>
              </w:rPr>
              <w:t>Confidentiality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117</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9.13</w:t>
            </w:r>
          </w:p>
        </w:tc>
        <w:tc>
          <w:tcPr>
            <w:tcW w:w="8160" w:type="dxa"/>
            <w:vAlign w:val="bottom"/>
          </w:tcPr>
          <w:p>
            <w:pPr>
              <w:ind w:left="300"/>
              <w:spacing w:after="0"/>
              <w:rPr>
                <w:sz w:val="20"/>
                <w:szCs w:val="20"/>
                <w:color w:val="auto"/>
              </w:rPr>
            </w:pPr>
            <w:r>
              <w:rPr>
                <w:rFonts w:ascii="Arial" w:cs="Arial" w:eastAsia="Arial" w:hAnsi="Arial"/>
                <w:sz w:val="20"/>
                <w:szCs w:val="20"/>
                <w:color w:val="auto"/>
              </w:rPr>
              <w:t>USA PATRIOT Act</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118</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9.14</w:t>
            </w:r>
          </w:p>
        </w:tc>
        <w:tc>
          <w:tcPr>
            <w:tcW w:w="8160" w:type="dxa"/>
            <w:vAlign w:val="bottom"/>
          </w:tcPr>
          <w:p>
            <w:pPr>
              <w:ind w:left="300"/>
              <w:spacing w:after="0"/>
              <w:rPr>
                <w:sz w:val="20"/>
                <w:szCs w:val="20"/>
                <w:color w:val="auto"/>
              </w:rPr>
            </w:pPr>
            <w:r>
              <w:rPr>
                <w:rFonts w:ascii="Arial" w:cs="Arial" w:eastAsia="Arial" w:hAnsi="Arial"/>
                <w:sz w:val="20"/>
                <w:szCs w:val="20"/>
                <w:color w:val="auto"/>
              </w:rPr>
              <w:t>Several Obligations; Nonreliance; Violation of Law</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118</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9.15</w:t>
            </w:r>
          </w:p>
        </w:tc>
        <w:tc>
          <w:tcPr>
            <w:tcW w:w="8160" w:type="dxa"/>
            <w:vAlign w:val="bottom"/>
          </w:tcPr>
          <w:p>
            <w:pPr>
              <w:ind w:left="300"/>
              <w:spacing w:after="0"/>
              <w:rPr>
                <w:sz w:val="20"/>
                <w:szCs w:val="20"/>
                <w:color w:val="auto"/>
              </w:rPr>
            </w:pPr>
            <w:r>
              <w:rPr>
                <w:rFonts w:ascii="Arial" w:cs="Arial" w:eastAsia="Arial" w:hAnsi="Arial"/>
                <w:sz w:val="20"/>
                <w:szCs w:val="20"/>
                <w:color w:val="auto"/>
              </w:rPr>
              <w:t>Disclosure</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118</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9.16</w:t>
            </w:r>
          </w:p>
        </w:tc>
        <w:tc>
          <w:tcPr>
            <w:tcW w:w="8160" w:type="dxa"/>
            <w:vAlign w:val="bottom"/>
          </w:tcPr>
          <w:p>
            <w:pPr>
              <w:ind w:left="300"/>
              <w:spacing w:after="0"/>
              <w:rPr>
                <w:sz w:val="20"/>
                <w:szCs w:val="20"/>
                <w:color w:val="auto"/>
              </w:rPr>
            </w:pPr>
            <w:r>
              <w:rPr>
                <w:rFonts w:ascii="Arial" w:cs="Arial" w:eastAsia="Arial" w:hAnsi="Arial"/>
                <w:sz w:val="20"/>
                <w:szCs w:val="20"/>
                <w:color w:val="auto"/>
              </w:rPr>
              <w:t>Appointment for Perfection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119</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9.17</w:t>
            </w:r>
          </w:p>
        </w:tc>
        <w:tc>
          <w:tcPr>
            <w:tcW w:w="8160" w:type="dxa"/>
            <w:vAlign w:val="bottom"/>
          </w:tcPr>
          <w:p>
            <w:pPr>
              <w:ind w:left="300"/>
              <w:spacing w:after="0"/>
              <w:rPr>
                <w:sz w:val="20"/>
                <w:szCs w:val="20"/>
                <w:color w:val="auto"/>
              </w:rPr>
            </w:pPr>
            <w:r>
              <w:rPr>
                <w:rFonts w:ascii="Arial" w:cs="Arial" w:eastAsia="Arial" w:hAnsi="Arial"/>
                <w:sz w:val="20"/>
                <w:szCs w:val="20"/>
                <w:color w:val="auto"/>
              </w:rPr>
              <w:t>Interest Rate Limitation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119</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9.18</w:t>
            </w:r>
          </w:p>
        </w:tc>
        <w:tc>
          <w:tcPr>
            <w:tcW w:w="8160" w:type="dxa"/>
            <w:vAlign w:val="bottom"/>
          </w:tcPr>
          <w:p>
            <w:pPr>
              <w:ind w:left="300"/>
              <w:spacing w:after="0"/>
              <w:rPr>
                <w:sz w:val="20"/>
                <w:szCs w:val="20"/>
                <w:color w:val="auto"/>
              </w:rPr>
            </w:pPr>
            <w:r>
              <w:rPr>
                <w:rFonts w:ascii="Arial" w:cs="Arial" w:eastAsia="Arial" w:hAnsi="Arial"/>
                <w:sz w:val="20"/>
                <w:szCs w:val="20"/>
                <w:color w:val="auto"/>
              </w:rPr>
              <w:t>No Advisory or Fiduciary Responsibility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119</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9.19</w:t>
            </w:r>
          </w:p>
        </w:tc>
        <w:tc>
          <w:tcPr>
            <w:tcW w:w="8160" w:type="dxa"/>
            <w:vAlign w:val="bottom"/>
          </w:tcPr>
          <w:p>
            <w:pPr>
              <w:ind w:left="300"/>
              <w:spacing w:after="0"/>
              <w:rPr>
                <w:sz w:val="20"/>
                <w:szCs w:val="20"/>
                <w:color w:val="auto"/>
              </w:rPr>
            </w:pPr>
            <w:r>
              <w:rPr>
                <w:rFonts w:ascii="Arial" w:cs="Arial" w:eastAsia="Arial" w:hAnsi="Arial"/>
                <w:sz w:val="20"/>
                <w:szCs w:val="20"/>
                <w:color w:val="auto"/>
              </w:rPr>
              <w:t>Intercreditor Agreements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119</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9.20</w:t>
            </w:r>
          </w:p>
        </w:tc>
        <w:tc>
          <w:tcPr>
            <w:tcW w:w="8160" w:type="dxa"/>
            <w:vAlign w:val="bottom"/>
          </w:tcPr>
          <w:p>
            <w:pPr>
              <w:ind w:left="300"/>
              <w:spacing w:after="0"/>
              <w:rPr>
                <w:sz w:val="20"/>
                <w:szCs w:val="20"/>
                <w:color w:val="auto"/>
              </w:rPr>
            </w:pPr>
            <w:r>
              <w:rPr>
                <w:rFonts w:ascii="Arial" w:cs="Arial" w:eastAsia="Arial" w:hAnsi="Arial"/>
                <w:sz w:val="20"/>
                <w:szCs w:val="20"/>
                <w:color w:val="auto"/>
              </w:rPr>
              <w:t>Marketing Consent</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120</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9.21</w:t>
            </w:r>
          </w:p>
        </w:tc>
        <w:tc>
          <w:tcPr>
            <w:tcW w:w="8160" w:type="dxa"/>
            <w:vAlign w:val="bottom"/>
          </w:tcPr>
          <w:p>
            <w:pPr>
              <w:ind w:left="30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120</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ARTICLE X.</w:t>
            </w:r>
          </w:p>
        </w:tc>
        <w:tc>
          <w:tcPr>
            <w:tcW w:w="8160" w:type="dxa"/>
            <w:vAlign w:val="bottom"/>
          </w:tcPr>
          <w:p>
            <w:pPr>
              <w:ind w:left="300"/>
              <w:spacing w:after="0"/>
              <w:rPr>
                <w:sz w:val="20"/>
                <w:szCs w:val="20"/>
                <w:color w:val="auto"/>
              </w:rPr>
            </w:pPr>
            <w:r>
              <w:rPr>
                <w:rFonts w:ascii="Arial" w:cs="Arial" w:eastAsia="Arial" w:hAnsi="Arial"/>
                <w:sz w:val="20"/>
                <w:szCs w:val="20"/>
                <w:color w:val="auto"/>
              </w:rPr>
              <w:t>Loan Guaranty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121</w:t>
            </w:r>
          </w:p>
        </w:tc>
      </w:tr>
      <w:tr>
        <w:trPr>
          <w:trHeight w:val="567"/>
        </w:trPr>
        <w:tc>
          <w:tcPr>
            <w:tcW w:w="1620" w:type="dxa"/>
            <w:vAlign w:val="bottom"/>
          </w:tcPr>
          <w:p>
            <w:pPr>
              <w:spacing w:after="0"/>
              <w:rPr>
                <w:sz w:val="20"/>
                <w:szCs w:val="20"/>
                <w:color w:val="auto"/>
              </w:rPr>
            </w:pPr>
            <w:r>
              <w:rPr>
                <w:rFonts w:ascii="Arial" w:cs="Arial" w:eastAsia="Arial" w:hAnsi="Arial"/>
                <w:sz w:val="20"/>
                <w:szCs w:val="20"/>
                <w:color w:val="auto"/>
              </w:rPr>
              <w:t>SECTION 10.01</w:t>
            </w:r>
          </w:p>
        </w:tc>
        <w:tc>
          <w:tcPr>
            <w:tcW w:w="8160" w:type="dxa"/>
            <w:vAlign w:val="bottom"/>
          </w:tcPr>
          <w:p>
            <w:pPr>
              <w:ind w:left="300"/>
              <w:spacing w:after="0"/>
              <w:rPr>
                <w:sz w:val="20"/>
                <w:szCs w:val="20"/>
                <w:color w:val="auto"/>
              </w:rPr>
            </w:pPr>
            <w:r>
              <w:rPr>
                <w:rFonts w:ascii="Arial" w:cs="Arial" w:eastAsia="Arial" w:hAnsi="Arial"/>
                <w:sz w:val="20"/>
                <w:szCs w:val="20"/>
                <w:color w:val="auto"/>
              </w:rPr>
              <w:t>Guaranty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121</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10.02</w:t>
            </w:r>
          </w:p>
        </w:tc>
        <w:tc>
          <w:tcPr>
            <w:tcW w:w="8160" w:type="dxa"/>
            <w:vAlign w:val="bottom"/>
          </w:tcPr>
          <w:p>
            <w:pPr>
              <w:ind w:left="300"/>
              <w:spacing w:after="0"/>
              <w:rPr>
                <w:sz w:val="20"/>
                <w:szCs w:val="20"/>
                <w:color w:val="auto"/>
              </w:rPr>
            </w:pPr>
            <w:r>
              <w:rPr>
                <w:rFonts w:ascii="Arial" w:cs="Arial" w:eastAsia="Arial" w:hAnsi="Arial"/>
                <w:sz w:val="20"/>
                <w:szCs w:val="20"/>
                <w:color w:val="auto"/>
              </w:rPr>
              <w:t>Guaranty of Payment</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121</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10.03</w:t>
            </w:r>
          </w:p>
        </w:tc>
        <w:tc>
          <w:tcPr>
            <w:tcW w:w="8160" w:type="dxa"/>
            <w:vAlign w:val="bottom"/>
          </w:tcPr>
          <w:p>
            <w:pPr>
              <w:ind w:left="300"/>
              <w:spacing w:after="0"/>
              <w:rPr>
                <w:sz w:val="20"/>
                <w:szCs w:val="20"/>
                <w:color w:val="auto"/>
              </w:rPr>
            </w:pPr>
            <w:r>
              <w:rPr>
                <w:rFonts w:ascii="Arial" w:cs="Arial" w:eastAsia="Arial" w:hAnsi="Arial"/>
                <w:sz w:val="20"/>
                <w:szCs w:val="20"/>
                <w:color w:val="auto"/>
              </w:rPr>
              <w:t>No Discharge or Diminishment of Loan Guaranty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121</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10.04</w:t>
            </w:r>
          </w:p>
        </w:tc>
        <w:tc>
          <w:tcPr>
            <w:tcW w:w="8160" w:type="dxa"/>
            <w:vAlign w:val="bottom"/>
          </w:tcPr>
          <w:p>
            <w:pPr>
              <w:ind w:left="300"/>
              <w:spacing w:after="0"/>
              <w:rPr>
                <w:sz w:val="20"/>
                <w:szCs w:val="20"/>
                <w:color w:val="auto"/>
              </w:rPr>
            </w:pPr>
            <w:r>
              <w:rPr>
                <w:rFonts w:ascii="Arial" w:cs="Arial" w:eastAsia="Arial" w:hAnsi="Arial"/>
                <w:sz w:val="20"/>
                <w:szCs w:val="20"/>
                <w:color w:val="auto"/>
              </w:rPr>
              <w:t>Defenses Waived</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122</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10.05</w:t>
            </w:r>
          </w:p>
        </w:tc>
        <w:tc>
          <w:tcPr>
            <w:tcW w:w="8160" w:type="dxa"/>
            <w:vAlign w:val="bottom"/>
          </w:tcPr>
          <w:p>
            <w:pPr>
              <w:ind w:left="300"/>
              <w:spacing w:after="0"/>
              <w:rPr>
                <w:sz w:val="20"/>
                <w:szCs w:val="20"/>
                <w:color w:val="auto"/>
              </w:rPr>
            </w:pPr>
            <w:r>
              <w:rPr>
                <w:rFonts w:ascii="Arial" w:cs="Arial" w:eastAsia="Arial" w:hAnsi="Arial"/>
                <w:sz w:val="20"/>
                <w:szCs w:val="20"/>
                <w:color w:val="auto"/>
              </w:rPr>
              <w:t>Rights of Subrogation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122</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10.06</w:t>
            </w:r>
          </w:p>
        </w:tc>
        <w:tc>
          <w:tcPr>
            <w:tcW w:w="8160" w:type="dxa"/>
            <w:vAlign w:val="bottom"/>
          </w:tcPr>
          <w:p>
            <w:pPr>
              <w:ind w:left="300"/>
              <w:spacing w:after="0"/>
              <w:rPr>
                <w:sz w:val="20"/>
                <w:szCs w:val="20"/>
                <w:color w:val="auto"/>
              </w:rPr>
            </w:pPr>
            <w:r>
              <w:rPr>
                <w:rFonts w:ascii="Arial" w:cs="Arial" w:eastAsia="Arial" w:hAnsi="Arial"/>
                <w:sz w:val="20"/>
                <w:szCs w:val="20"/>
                <w:color w:val="auto"/>
              </w:rPr>
              <w:t>Reinstatement; Stay of Acceleration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122</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10.07</w:t>
            </w:r>
          </w:p>
        </w:tc>
        <w:tc>
          <w:tcPr>
            <w:tcW w:w="8160" w:type="dxa"/>
            <w:vAlign w:val="bottom"/>
          </w:tcPr>
          <w:p>
            <w:pPr>
              <w:ind w:left="300"/>
              <w:spacing w:after="0"/>
              <w:rPr>
                <w:sz w:val="20"/>
                <w:szCs w:val="20"/>
                <w:color w:val="auto"/>
              </w:rPr>
            </w:pPr>
            <w:r>
              <w:rPr>
                <w:rFonts w:ascii="Arial" w:cs="Arial" w:eastAsia="Arial" w:hAnsi="Arial"/>
                <w:sz w:val="20"/>
                <w:szCs w:val="20"/>
                <w:color w:val="auto"/>
              </w:rPr>
              <w:t>Information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10.08</w:t>
            </w:r>
          </w:p>
        </w:tc>
        <w:tc>
          <w:tcPr>
            <w:tcW w:w="8160" w:type="dxa"/>
            <w:vAlign w:val="bottom"/>
          </w:tcPr>
          <w:p>
            <w:pPr>
              <w:ind w:left="300"/>
              <w:spacing w:after="0"/>
              <w:rPr>
                <w:sz w:val="20"/>
                <w:szCs w:val="20"/>
                <w:color w:val="auto"/>
              </w:rPr>
            </w:pPr>
            <w:r>
              <w:rPr>
                <w:rFonts w:ascii="Arial" w:cs="Arial" w:eastAsia="Arial" w:hAnsi="Arial"/>
                <w:sz w:val="20"/>
                <w:szCs w:val="20"/>
                <w:color w:val="auto"/>
              </w:rPr>
              <w:t>Termination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10.09</w:t>
            </w:r>
          </w:p>
        </w:tc>
        <w:tc>
          <w:tcPr>
            <w:tcW w:w="8160" w:type="dxa"/>
            <w:vAlign w:val="bottom"/>
          </w:tcPr>
          <w:p>
            <w:pPr>
              <w:ind w:left="300"/>
              <w:spacing w:after="0"/>
              <w:rPr>
                <w:sz w:val="20"/>
                <w:szCs w:val="20"/>
                <w:color w:val="auto"/>
              </w:rPr>
            </w:pPr>
            <w:r>
              <w:rPr>
                <w:rFonts w:ascii="Arial" w:cs="Arial" w:eastAsia="Arial" w:hAnsi="Arial"/>
                <w:sz w:val="20"/>
                <w:szCs w:val="20"/>
                <w:color w:val="auto"/>
              </w:rPr>
              <w:t>Taxes</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10.10</w:t>
            </w:r>
          </w:p>
        </w:tc>
        <w:tc>
          <w:tcPr>
            <w:tcW w:w="8160" w:type="dxa"/>
            <w:vAlign w:val="bottom"/>
          </w:tcPr>
          <w:p>
            <w:pPr>
              <w:ind w:left="300"/>
              <w:spacing w:after="0"/>
              <w:rPr>
                <w:sz w:val="20"/>
                <w:szCs w:val="20"/>
                <w:color w:val="auto"/>
              </w:rPr>
            </w:pPr>
            <w:r>
              <w:rPr>
                <w:rFonts w:ascii="Arial" w:cs="Arial" w:eastAsia="Arial" w:hAnsi="Arial"/>
                <w:sz w:val="20"/>
                <w:szCs w:val="20"/>
                <w:color w:val="auto"/>
              </w:rPr>
              <w:t>Maximum Liability</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10.11</w:t>
            </w:r>
          </w:p>
        </w:tc>
        <w:tc>
          <w:tcPr>
            <w:tcW w:w="8160" w:type="dxa"/>
            <w:vAlign w:val="bottom"/>
          </w:tcPr>
          <w:p>
            <w:pPr>
              <w:ind w:left="300"/>
              <w:spacing w:after="0"/>
              <w:rPr>
                <w:sz w:val="20"/>
                <w:szCs w:val="20"/>
                <w:color w:val="auto"/>
              </w:rPr>
            </w:pPr>
            <w:r>
              <w:rPr>
                <w:rFonts w:ascii="Arial" w:cs="Arial" w:eastAsia="Arial" w:hAnsi="Arial"/>
                <w:sz w:val="20"/>
                <w:szCs w:val="20"/>
                <w:color w:val="auto"/>
              </w:rPr>
              <w:t>Contribution</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123</w:t>
            </w:r>
          </w:p>
        </w:tc>
      </w:tr>
      <w:tr>
        <w:trPr>
          <w:trHeight w:val="284"/>
        </w:trPr>
        <w:tc>
          <w:tcPr>
            <w:tcW w:w="1620" w:type="dxa"/>
            <w:vAlign w:val="bottom"/>
          </w:tcPr>
          <w:p>
            <w:pPr>
              <w:spacing w:after="0"/>
              <w:rPr>
                <w:sz w:val="20"/>
                <w:szCs w:val="20"/>
                <w:color w:val="auto"/>
              </w:rPr>
            </w:pPr>
            <w:r>
              <w:rPr>
                <w:rFonts w:ascii="Arial" w:cs="Arial" w:eastAsia="Arial" w:hAnsi="Arial"/>
                <w:sz w:val="20"/>
                <w:szCs w:val="20"/>
                <w:color w:val="auto"/>
              </w:rPr>
              <w:t>SECTION 10.12</w:t>
            </w:r>
          </w:p>
        </w:tc>
        <w:tc>
          <w:tcPr>
            <w:tcW w:w="8160" w:type="dxa"/>
            <w:vAlign w:val="bottom"/>
          </w:tcPr>
          <w:p>
            <w:pPr>
              <w:ind w:left="300"/>
              <w:spacing w:after="0"/>
              <w:rPr>
                <w:sz w:val="20"/>
                <w:szCs w:val="20"/>
                <w:color w:val="auto"/>
              </w:rPr>
            </w:pPr>
            <w:r>
              <w:rPr>
                <w:rFonts w:ascii="Arial" w:cs="Arial" w:eastAsia="Arial" w:hAnsi="Arial"/>
                <w:sz w:val="20"/>
                <w:szCs w:val="20"/>
                <w:color w:val="auto"/>
              </w:rPr>
              <w:t>Liability Cumulative</w:t>
            </w:r>
          </w:p>
        </w:tc>
        <w:tc>
          <w:tcPr>
            <w:tcW w:w="1220" w:type="dxa"/>
            <w:vAlign w:val="bottom"/>
          </w:tcPr>
          <w:p>
            <w:pPr>
              <w:jc w:val="center"/>
              <w:ind w:left="821"/>
              <w:spacing w:after="0"/>
              <w:rPr>
                <w:sz w:val="20"/>
                <w:szCs w:val="20"/>
                <w:color w:val="auto"/>
              </w:rPr>
            </w:pPr>
            <w:r>
              <w:rPr>
                <w:rFonts w:ascii="Arial" w:cs="Arial" w:eastAsia="Arial" w:hAnsi="Arial"/>
                <w:sz w:val="20"/>
                <w:szCs w:val="20"/>
                <w:color w:val="auto"/>
                <w:w w:val="89"/>
              </w:rPr>
              <w:t>124</w:t>
            </w:r>
          </w:p>
        </w:tc>
      </w:tr>
    </w:tbl>
    <w:p>
      <w:pPr>
        <w:spacing w:after="0" w:line="200" w:lineRule="exact"/>
        <w:rPr>
          <w:sz w:val="20"/>
          <w:szCs w:val="20"/>
          <w:color w:val="auto"/>
        </w:rPr>
      </w:pPr>
    </w:p>
    <w:p>
      <w:pPr>
        <w:sectPr>
          <w:pgSz w:w="11900" w:h="16838" w:orient="portrait"/>
          <w:cols w:equalWidth="0" w:num="1">
            <w:col w:w="11000"/>
          </w:cols>
          <w:pgMar w:left="320" w:top="568" w:right="579" w:bottom="349" w:gutter="0" w:footer="0" w:header="0"/>
        </w:sectPr>
      </w:pPr>
    </w:p>
    <w:p>
      <w:pPr>
        <w:spacing w:after="0" w:line="333"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000"/>
          </w:cols>
          <w:pgMar w:left="320" w:top="568" w:right="579" w:bottom="349" w:gutter="0" w:footer="0" w:header="0"/>
          <w:type w:val="continuous"/>
        </w:sectPr>
      </w:pPr>
    </w:p>
    <w:bookmarkStart w:id="12" w:name="page13"/>
    <w:bookmarkEnd w:id="12"/>
    <w:p>
      <w:pPr>
        <w:ind w:left="4040"/>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3"/>
          </w:tcPr>
          <w:p>
            <w:pPr>
              <w:spacing w:after="0"/>
              <w:rPr>
                <w:sz w:val="20"/>
                <w:szCs w:val="20"/>
                <w:color w:val="auto"/>
              </w:rPr>
            </w:pPr>
            <w:r>
              <w:rPr>
                <w:rFonts w:ascii="Arial" w:cs="Arial" w:eastAsia="Arial" w:hAnsi="Arial"/>
                <w:sz w:val="20"/>
                <w:szCs w:val="20"/>
                <w:color w:val="auto"/>
              </w:rPr>
              <w:t>SCHEDULES:</w:t>
            </w:r>
          </w:p>
        </w:tc>
        <w:tc>
          <w:tcPr>
            <w:tcW w:w="3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r>
      <w:tr>
        <w:trPr>
          <w:trHeight w:val="20"/>
        </w:trPr>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r>
      <w:tr>
        <w:trPr>
          <w:trHeight w:val="632"/>
        </w:trPr>
        <w:tc>
          <w:tcPr>
            <w:tcW w:w="2100" w:type="dxa"/>
            <w:vAlign w:val="bottom"/>
            <w:gridSpan w:val="3"/>
          </w:tcPr>
          <w:p>
            <w:pPr>
              <w:spacing w:after="0"/>
              <w:rPr>
                <w:sz w:val="20"/>
                <w:szCs w:val="20"/>
                <w:color w:val="auto"/>
              </w:rPr>
            </w:pPr>
            <w:r>
              <w:rPr>
                <w:rFonts w:ascii="Arial" w:cs="Arial" w:eastAsia="Arial" w:hAnsi="Arial"/>
                <w:sz w:val="20"/>
                <w:szCs w:val="20"/>
                <w:color w:val="auto"/>
              </w:rPr>
              <w:t>Commitment Schedule</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3.15</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Capitalizations and Subsidiaries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3.18</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Insurance</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6.01</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Existing Indebtedness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6.02</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Existing Liens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6.04</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Existing Investments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6.05</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Dispositions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6.08</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Transactions with Affiliates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Schedule 6.11</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Restrictive Agreements</w:t>
            </w:r>
          </w:p>
        </w:tc>
      </w:tr>
      <w:tr>
        <w:trPr>
          <w:trHeight w:val="563"/>
        </w:trPr>
        <w:tc>
          <w:tcPr>
            <w:tcW w:w="210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632"/>
        </w:trPr>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1200" w:type="dxa"/>
            <w:vAlign w:val="bottom"/>
            <w:gridSpan w:val="2"/>
          </w:tcPr>
          <w:p>
            <w:pPr>
              <w:spacing w:after="0"/>
              <w:rPr>
                <w:sz w:val="24"/>
                <w:szCs w:val="24"/>
                <w:color w:val="auto"/>
              </w:rPr>
            </w:pP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Form of Assignment and Assumption</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B</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[Intentionally Omitted]</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Form of Compliance Certificate</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List of Closing Documents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Form of Joinder Agreement</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F-1</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Auction Procedures</w:t>
            </w: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F-2</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Affiliated Lender Assignment Assumption</w:t>
            </w:r>
          </w:p>
        </w:tc>
      </w:tr>
      <w:tr>
        <w:trPr>
          <w:trHeight w:val="239"/>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w w:val="96"/>
              </w:rPr>
              <w:t>- U.S. Tax Certificate (For Foreign Lenders that are not Partnerships for U.S. Federal Income Tax</w:t>
            </w:r>
          </w:p>
        </w:tc>
      </w:tr>
      <w:tr>
        <w:trPr>
          <w:trHeight w:val="254"/>
        </w:trPr>
        <w:tc>
          <w:tcPr>
            <w:tcW w:w="2100" w:type="dxa"/>
            <w:vAlign w:val="bottom"/>
            <w:gridSpan w:val="3"/>
          </w:tcPr>
          <w:p>
            <w:pPr>
              <w:spacing w:after="0"/>
              <w:rPr>
                <w:sz w:val="20"/>
                <w:szCs w:val="20"/>
                <w:color w:val="auto"/>
              </w:rPr>
            </w:pPr>
            <w:r>
              <w:rPr>
                <w:rFonts w:ascii="Arial" w:cs="Arial" w:eastAsia="Arial" w:hAnsi="Arial"/>
                <w:sz w:val="20"/>
                <w:szCs w:val="20"/>
                <w:color w:val="auto"/>
              </w:rPr>
              <w:t>Exhibit G-1</w:t>
            </w:r>
          </w:p>
        </w:tc>
        <w:tc>
          <w:tcPr>
            <w:tcW w:w="4760" w:type="dxa"/>
            <w:vAlign w:val="bottom"/>
            <w:gridSpan w:val="3"/>
          </w:tcPr>
          <w:p>
            <w:pPr>
              <w:ind w:left="280"/>
              <w:spacing w:after="0"/>
              <w:rPr>
                <w:sz w:val="20"/>
                <w:szCs w:val="20"/>
                <w:color w:val="auto"/>
              </w:rPr>
            </w:pPr>
            <w:r>
              <w:rPr>
                <w:rFonts w:ascii="Arial" w:cs="Arial" w:eastAsia="Arial" w:hAnsi="Arial"/>
                <w:sz w:val="20"/>
                <w:szCs w:val="20"/>
                <w:color w:val="auto"/>
              </w:rPr>
              <w:t>Purposes)</w:t>
            </w:r>
          </w:p>
        </w:tc>
        <w:tc>
          <w:tcPr>
            <w:tcW w:w="260" w:type="dxa"/>
            <w:vAlign w:val="bottom"/>
            <w:tcBorders>
              <w:top w:val="single" w:sz="8" w:color="auto"/>
            </w:tcBorders>
            <w:gridSpan w:val="3"/>
          </w:tcPr>
          <w:p>
            <w:pPr>
              <w:spacing w:after="0"/>
              <w:rPr>
                <w:sz w:val="22"/>
                <w:szCs w:val="22"/>
                <w:color w:val="auto"/>
              </w:rPr>
            </w:pPr>
          </w:p>
        </w:tc>
        <w:tc>
          <w:tcPr>
            <w:tcW w:w="3600" w:type="dxa"/>
            <w:vAlign w:val="bottom"/>
            <w:gridSpan w:val="2"/>
          </w:tcPr>
          <w:p>
            <w:pPr>
              <w:spacing w:after="0"/>
              <w:rPr>
                <w:sz w:val="22"/>
                <w:szCs w:val="22"/>
                <w:color w:val="auto"/>
              </w:rPr>
            </w:pPr>
          </w:p>
        </w:tc>
      </w:tr>
      <w:tr>
        <w:trPr>
          <w:trHeight w:val="239"/>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w w:val="93"/>
              </w:rPr>
              <w:t>- U.S. Tax Certificate (For Foreign Participants that are not Partnerships for U.S. Federal Income Tax</w:t>
            </w:r>
          </w:p>
        </w:tc>
      </w:tr>
      <w:tr>
        <w:trPr>
          <w:trHeight w:val="254"/>
        </w:trPr>
        <w:tc>
          <w:tcPr>
            <w:tcW w:w="2100" w:type="dxa"/>
            <w:vAlign w:val="bottom"/>
            <w:gridSpan w:val="3"/>
          </w:tcPr>
          <w:p>
            <w:pPr>
              <w:spacing w:after="0"/>
              <w:rPr>
                <w:sz w:val="20"/>
                <w:szCs w:val="20"/>
                <w:color w:val="auto"/>
              </w:rPr>
            </w:pPr>
            <w:r>
              <w:rPr>
                <w:rFonts w:ascii="Arial" w:cs="Arial" w:eastAsia="Arial" w:hAnsi="Arial"/>
                <w:sz w:val="20"/>
                <w:szCs w:val="20"/>
                <w:color w:val="auto"/>
              </w:rPr>
              <w:t>Exhibit G-2</w:t>
            </w:r>
          </w:p>
        </w:tc>
        <w:tc>
          <w:tcPr>
            <w:tcW w:w="4900" w:type="dxa"/>
            <w:vAlign w:val="bottom"/>
            <w:gridSpan w:val="4"/>
          </w:tcPr>
          <w:p>
            <w:pPr>
              <w:ind w:left="280"/>
              <w:spacing w:after="0"/>
              <w:rPr>
                <w:sz w:val="20"/>
                <w:szCs w:val="20"/>
                <w:color w:val="auto"/>
              </w:rPr>
            </w:pPr>
            <w:r>
              <w:rPr>
                <w:rFonts w:ascii="Arial" w:cs="Arial" w:eastAsia="Arial" w:hAnsi="Arial"/>
                <w:sz w:val="20"/>
                <w:szCs w:val="20"/>
                <w:color w:val="auto"/>
              </w:rPr>
              <w:t>Purposes)</w:t>
            </w:r>
          </w:p>
        </w:tc>
        <w:tc>
          <w:tcPr>
            <w:tcW w:w="240" w:type="dxa"/>
            <w:vAlign w:val="bottom"/>
            <w:tcBorders>
              <w:top w:val="single" w:sz="8" w:color="auto"/>
            </w:tcBorders>
            <w:gridSpan w:val="3"/>
          </w:tcPr>
          <w:p>
            <w:pPr>
              <w:spacing w:after="0"/>
              <w:rPr>
                <w:sz w:val="22"/>
                <w:szCs w:val="22"/>
                <w:color w:val="auto"/>
              </w:rPr>
            </w:pPr>
          </w:p>
        </w:tc>
        <w:tc>
          <w:tcPr>
            <w:tcW w:w="3480" w:type="dxa"/>
            <w:vAlign w:val="bottom"/>
          </w:tcPr>
          <w:p>
            <w:pPr>
              <w:spacing w:after="0"/>
              <w:rPr>
                <w:sz w:val="22"/>
                <w:szCs w:val="22"/>
                <w:color w:val="auto"/>
              </w:rPr>
            </w:pPr>
          </w:p>
        </w:tc>
      </w:tr>
      <w:tr>
        <w:trPr>
          <w:trHeight w:val="239"/>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w w:val="96"/>
              </w:rPr>
              <w:t>- U.S. Tax Certificate (For Foreign Participants that are Partnerships for U.S. Federal Income Tax</w:t>
            </w:r>
          </w:p>
        </w:tc>
      </w:tr>
      <w:tr>
        <w:trPr>
          <w:trHeight w:val="254"/>
        </w:trPr>
        <w:tc>
          <w:tcPr>
            <w:tcW w:w="2100" w:type="dxa"/>
            <w:vAlign w:val="bottom"/>
            <w:gridSpan w:val="3"/>
          </w:tcPr>
          <w:p>
            <w:pPr>
              <w:spacing w:after="0"/>
              <w:rPr>
                <w:sz w:val="20"/>
                <w:szCs w:val="20"/>
                <w:color w:val="auto"/>
              </w:rPr>
            </w:pPr>
            <w:r>
              <w:rPr>
                <w:rFonts w:ascii="Arial" w:cs="Arial" w:eastAsia="Arial" w:hAnsi="Arial"/>
                <w:sz w:val="20"/>
                <w:szCs w:val="20"/>
                <w:color w:val="auto"/>
              </w:rPr>
              <w:t>Exhibit G-3</w:t>
            </w:r>
          </w:p>
        </w:tc>
        <w:tc>
          <w:tcPr>
            <w:tcW w:w="4760" w:type="dxa"/>
            <w:vAlign w:val="bottom"/>
            <w:gridSpan w:val="3"/>
          </w:tcPr>
          <w:p>
            <w:pPr>
              <w:ind w:left="280"/>
              <w:spacing w:after="0"/>
              <w:rPr>
                <w:sz w:val="20"/>
                <w:szCs w:val="20"/>
                <w:color w:val="auto"/>
              </w:rPr>
            </w:pPr>
            <w:r>
              <w:rPr>
                <w:rFonts w:ascii="Arial" w:cs="Arial" w:eastAsia="Arial" w:hAnsi="Arial"/>
                <w:sz w:val="20"/>
                <w:szCs w:val="20"/>
                <w:color w:val="auto"/>
              </w:rPr>
              <w:t>Purposes)</w:t>
            </w:r>
          </w:p>
        </w:tc>
        <w:tc>
          <w:tcPr>
            <w:tcW w:w="240" w:type="dxa"/>
            <w:vAlign w:val="bottom"/>
            <w:tcBorders>
              <w:top w:val="single" w:sz="8" w:color="auto"/>
            </w:tcBorders>
            <w:gridSpan w:val="2"/>
          </w:tcPr>
          <w:p>
            <w:pPr>
              <w:spacing w:after="0"/>
              <w:rPr>
                <w:sz w:val="22"/>
                <w:szCs w:val="22"/>
                <w:color w:val="auto"/>
              </w:rPr>
            </w:pPr>
          </w:p>
        </w:tc>
        <w:tc>
          <w:tcPr>
            <w:tcW w:w="3620" w:type="dxa"/>
            <w:vAlign w:val="bottom"/>
            <w:gridSpan w:val="3"/>
          </w:tcPr>
          <w:p>
            <w:pPr>
              <w:spacing w:after="0"/>
              <w:rPr>
                <w:sz w:val="22"/>
                <w:szCs w:val="22"/>
                <w:color w:val="auto"/>
              </w:rPr>
            </w:pPr>
          </w:p>
        </w:tc>
      </w:tr>
      <w:tr>
        <w:trPr>
          <w:trHeight w:val="239"/>
        </w:trPr>
        <w:tc>
          <w:tcPr>
            <w:tcW w:w="2100" w:type="dxa"/>
            <w:vAlign w:val="bottom"/>
            <w:gridSpan w:val="3"/>
          </w:tcPr>
          <w:p>
            <w:pPr>
              <w:spacing w:after="0"/>
              <w:rPr>
                <w:sz w:val="20"/>
                <w:szCs w:val="20"/>
                <w:color w:val="auto"/>
              </w:rPr>
            </w:pPr>
            <w:r>
              <w:rPr>
                <w:rFonts w:ascii="Arial" w:cs="Arial" w:eastAsia="Arial" w:hAnsi="Arial"/>
                <w:sz w:val="20"/>
                <w:szCs w:val="20"/>
                <w:color w:val="auto"/>
              </w:rPr>
              <w:t>Exhibit G-4</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w w:val="98"/>
              </w:rPr>
              <w:t>- U.S. Tax Certificate (For Foreign that are Partnerships for U.S. Federal Income Tax Purposes)</w:t>
            </w:r>
          </w:p>
        </w:tc>
      </w:tr>
      <w:tr>
        <w:trPr>
          <w:trHeight w:val="308"/>
        </w:trPr>
        <w:tc>
          <w:tcPr>
            <w:tcW w:w="2100" w:type="dxa"/>
            <w:vAlign w:val="bottom"/>
            <w:gridSpan w:val="3"/>
          </w:tcPr>
          <w:p>
            <w:pPr>
              <w:spacing w:after="0"/>
              <w:rPr>
                <w:sz w:val="20"/>
                <w:szCs w:val="20"/>
                <w:color w:val="auto"/>
              </w:rPr>
            </w:pPr>
            <w:r>
              <w:rPr>
                <w:rFonts w:ascii="Arial" w:cs="Arial" w:eastAsia="Arial" w:hAnsi="Arial"/>
                <w:sz w:val="20"/>
                <w:szCs w:val="20"/>
                <w:color w:val="auto"/>
              </w:rPr>
              <w:t>Exhibit H-1</w:t>
            </w:r>
          </w:p>
        </w:tc>
        <w:tc>
          <w:tcPr>
            <w:tcW w:w="3420" w:type="dxa"/>
            <w:vAlign w:val="bottom"/>
          </w:tcPr>
          <w:p>
            <w:pPr>
              <w:ind w:left="280"/>
              <w:spacing w:after="0"/>
              <w:rPr>
                <w:sz w:val="20"/>
                <w:szCs w:val="20"/>
                <w:color w:val="auto"/>
              </w:rPr>
            </w:pPr>
            <w:r>
              <w:rPr>
                <w:rFonts w:ascii="Arial" w:cs="Arial" w:eastAsia="Arial" w:hAnsi="Arial"/>
                <w:sz w:val="20"/>
                <w:szCs w:val="20"/>
                <w:color w:val="auto"/>
              </w:rPr>
              <w:t>- Form of Borrowing Request</w:t>
            </w:r>
          </w:p>
        </w:tc>
        <w:tc>
          <w:tcPr>
            <w:tcW w:w="240" w:type="dxa"/>
            <w:vAlign w:val="bottom"/>
            <w:tcBorders>
              <w:top w:val="single" w:sz="8" w:color="auto"/>
            </w:tcBorders>
          </w:tcPr>
          <w:p>
            <w:pPr>
              <w:spacing w:after="0"/>
              <w:rPr>
                <w:sz w:val="24"/>
                <w:szCs w:val="24"/>
                <w:color w:val="auto"/>
              </w:rPr>
            </w:pPr>
          </w:p>
        </w:tc>
        <w:tc>
          <w:tcPr>
            <w:tcW w:w="4960" w:type="dxa"/>
            <w:vAlign w:val="bottom"/>
            <w:gridSpan w:val="6"/>
          </w:tcPr>
          <w:p>
            <w:pPr>
              <w:spacing w:after="0"/>
              <w:rPr>
                <w:sz w:val="24"/>
                <w:szCs w:val="24"/>
                <w:color w:val="auto"/>
              </w:rPr>
            </w:pPr>
          </w:p>
        </w:tc>
      </w:tr>
      <w:tr>
        <w:trPr>
          <w:trHeight w:val="284"/>
        </w:trPr>
        <w:tc>
          <w:tcPr>
            <w:tcW w:w="2100" w:type="dxa"/>
            <w:vAlign w:val="bottom"/>
            <w:gridSpan w:val="3"/>
          </w:tcPr>
          <w:p>
            <w:pPr>
              <w:spacing w:after="0"/>
              <w:rPr>
                <w:sz w:val="20"/>
                <w:szCs w:val="20"/>
                <w:color w:val="auto"/>
              </w:rPr>
            </w:pPr>
            <w:r>
              <w:rPr>
                <w:rFonts w:ascii="Arial" w:cs="Arial" w:eastAsia="Arial" w:hAnsi="Arial"/>
                <w:sz w:val="20"/>
                <w:szCs w:val="20"/>
                <w:color w:val="auto"/>
              </w:rPr>
              <w:t>Exhibit H-2</w:t>
            </w:r>
          </w:p>
        </w:tc>
        <w:tc>
          <w:tcPr>
            <w:tcW w:w="8620" w:type="dxa"/>
            <w:vAlign w:val="bottom"/>
            <w:gridSpan w:val="8"/>
          </w:tcPr>
          <w:p>
            <w:pPr>
              <w:ind w:left="280"/>
              <w:spacing w:after="0"/>
              <w:rPr>
                <w:sz w:val="20"/>
                <w:szCs w:val="20"/>
                <w:color w:val="auto"/>
              </w:rPr>
            </w:pPr>
            <w:r>
              <w:rPr>
                <w:rFonts w:ascii="Arial" w:cs="Arial" w:eastAsia="Arial" w:hAnsi="Arial"/>
                <w:sz w:val="20"/>
                <w:szCs w:val="20"/>
                <w:color w:val="auto"/>
              </w:rPr>
              <w:t>- Form of Interest Election Request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0720"/>
          </w:cols>
          <w:pgMar w:left="920" w:top="568" w:right="259" w:bottom="1440" w:gutter="0" w:footer="0" w:header="0"/>
        </w:sectPr>
      </w:pPr>
    </w:p>
    <w:bookmarkStart w:id="13" w:name="page14"/>
    <w:bookmarkEnd w:id="13"/>
    <w:p>
      <w:pPr>
        <w:jc w:val="both"/>
        <w:ind w:firstLine="1297"/>
        <w:spacing w:after="0" w:line="250" w:lineRule="auto"/>
        <w:rPr>
          <w:sz w:val="20"/>
          <w:szCs w:val="20"/>
          <w:color w:val="auto"/>
        </w:rPr>
      </w:pPr>
      <w:r>
        <w:rPr>
          <w:rFonts w:ascii="Arial" w:cs="Arial" w:eastAsia="Arial" w:hAnsi="Arial"/>
          <w:sz w:val="20"/>
          <w:szCs w:val="20"/>
          <w:color w:val="auto"/>
        </w:rPr>
        <w:t>LOAN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November 8, 2016 among WINNEBAGO INDUSTRIES, INC., as Company, OCTAVIUS CORPORATION, as Borrower, the other LOAN PARTIES from time to time party hereto, the LENDERS from time to time party hereto and JPMORGAN CHASE BANK, N.A., as Administrative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parties hereto agree as 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ABL Agent</w:t>
      </w:r>
      <w:r>
        <w:rPr>
          <w:rFonts w:ascii="Arial" w:cs="Arial" w:eastAsia="Arial" w:hAnsi="Arial"/>
          <w:sz w:val="20"/>
          <w:szCs w:val="20"/>
          <w:color w:val="auto"/>
        </w:rPr>
        <w:t>” means JPMCB, in its capacity as administrative agent under the ABL Credit Agreement (or any successor agent thereunder or under any replacement thereof).</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ABL Credit Agreement</w:t>
      </w:r>
      <w:r>
        <w:rPr>
          <w:rFonts w:ascii="Arial" w:cs="Arial" w:eastAsia="Arial" w:hAnsi="Arial"/>
          <w:sz w:val="20"/>
          <w:szCs w:val="20"/>
          <w:color w:val="auto"/>
        </w:rPr>
        <w:t>” means that certain Credit Agreement, dated as of the Effective Date, among the Company, Winnebago of Indiana, LLC, Grand Design and the other Loan Parties from time to time party thereto, the lenders from time to time party thereto, and the ABL Agent, as the same may be amended, restated, supplemented or otherwise modified from time to time and as replaced or refinanced in whole or in part (whether with the same group of lenders or a different group of lenders) in accordance with the terms hereof and of the ABL/Term Loan Intercreditor Agreement.</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Documents</w:t>
      </w:r>
      <w:r>
        <w:rPr>
          <w:rFonts w:ascii="Arial" w:cs="Arial" w:eastAsia="Arial" w:hAnsi="Arial"/>
          <w:sz w:val="19"/>
          <w:szCs w:val="19"/>
          <w:color w:val="auto"/>
        </w:rPr>
        <w:t>” means, collectively, the ABL Credit Agreement and all other agreements, instruments, documents and certificates executed and/or delivered in connection therewith, as the same may be amended, restated, supplemented or otherwise modified from time to time in accordance with the terms hereof and of the ABL/Term Loan Intercreditor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Facility</w:t>
      </w:r>
      <w:r>
        <w:rPr>
          <w:rFonts w:ascii="Arial" w:cs="Arial" w:eastAsia="Arial" w:hAnsi="Arial"/>
          <w:sz w:val="18"/>
          <w:szCs w:val="18"/>
          <w:color w:val="auto"/>
        </w:rPr>
        <w:t>” means the asset-based revolving credit facility incurred pursuant to the terms of the ABL Credit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Obligations</w:t>
      </w:r>
      <w:r>
        <w:rPr>
          <w:rFonts w:ascii="Arial" w:cs="Arial" w:eastAsia="Arial" w:hAnsi="Arial"/>
          <w:sz w:val="19"/>
          <w:szCs w:val="19"/>
          <w:color w:val="auto"/>
        </w:rPr>
        <w:t>” means the Indebtedness and other obligations of the Company and its Subsidiaries under the ABL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Documents.</w:t>
      </w:r>
    </w:p>
    <w:p>
      <w:pPr>
        <w:spacing w:after="0" w:line="200" w:lineRule="exact"/>
        <w:rPr>
          <w:sz w:val="20"/>
          <w:szCs w:val="20"/>
          <w:color w:val="auto"/>
        </w:rPr>
      </w:pPr>
    </w:p>
    <w:p>
      <w:pPr>
        <w:jc w:val="both"/>
        <w:ind w:right="20"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ABL/Term Loan Intercreditor Agreement</w:t>
      </w:r>
      <w:r>
        <w:rPr>
          <w:rFonts w:ascii="Arial" w:cs="Arial" w:eastAsia="Arial" w:hAnsi="Arial"/>
          <w:sz w:val="18"/>
          <w:szCs w:val="18"/>
          <w:color w:val="auto"/>
        </w:rPr>
        <w:t>” means the Intercreditor Agreement, dated as of the Effective Date, by and among the Administrative Agent, as Term Loan Representative, the ABL Agent, as ABL Representative, and each of the Loan Parties party thereto.</w:t>
      </w:r>
    </w:p>
    <w:p>
      <w:pPr>
        <w:spacing w:after="0" w:line="13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a Loan, or the Loans comprising such Borrowing, bearing interest at a rate determined by reference to the Alternate Base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Accepting Lenders</w:t>
      </w:r>
      <w:r>
        <w:rPr>
          <w:rFonts w:ascii="Arial" w:cs="Arial" w:eastAsia="Arial" w:hAnsi="Arial"/>
          <w:sz w:val="20"/>
          <w:szCs w:val="20"/>
          <w:color w:val="auto"/>
        </w:rPr>
        <w:t>” has the meaning given to such term in Section 2.26(a).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Refinancing Lender</w:t>
      </w:r>
      <w:r>
        <w:rPr>
          <w:rFonts w:ascii="Arial" w:cs="Arial" w:eastAsia="Arial" w:hAnsi="Arial"/>
          <w:sz w:val="20"/>
          <w:szCs w:val="20"/>
          <w:color w:val="auto"/>
        </w:rPr>
        <w:t>” has the meaning set forth in Section 2.27(a).</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xml:space="preserve">” means, with respect to any Eurodollar Borrowing for any Interest Period, an interest rate per annum equal to (a) the LIBO Rate for such Interest Period multiplied by (b) the Statutory Reserve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“Adjusted LIBO Rate” shall be deemed to be not less than 1.00% per annum.</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14" w:name="page15"/>
    <w:bookmarkEnd w:id="14"/>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(including its successors, branches and affiliates), in its capacity as administrative agent for the Lenders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Party</w:t>
      </w:r>
      <w:r>
        <w:rPr>
          <w:rFonts w:ascii="Arial" w:cs="Arial" w:eastAsia="Arial" w:hAnsi="Arial"/>
          <w:sz w:val="20"/>
          <w:szCs w:val="20"/>
          <w:color w:val="auto"/>
        </w:rPr>
        <w:t>” has the meaning assigned to such term in Section 9.01(d).</w:t>
      </w:r>
    </w:p>
    <w:p>
      <w:pPr>
        <w:spacing w:after="0" w:line="21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All-in Yield</w:t>
      </w:r>
      <w:r>
        <w:rPr>
          <w:rFonts w:ascii="Arial" w:cs="Arial" w:eastAsia="Arial" w:hAnsi="Arial"/>
          <w:sz w:val="18"/>
          <w:szCs w:val="18"/>
          <w:color w:val="auto"/>
        </w:rPr>
        <w:t xml:space="preserve">” means, with respect to any Loans (or other Indebtedness, if applicable), the effective yield on such Loans (or other Indebtedness, if applicable), as reasonably determined by the Administrative Agent in consultation with the Borrower, taking into account applicable interest rate margins, original issue discount (amortized over the shorter of (x) the original stated life of such Loans (or other Indebtedness, if applicable) and (y) the four years following the date of incurrence thereof), upfront or similar fees, interest rate floors or similar devices and fees payable to Lenders (or other lenders, as applicable) making such Loans (or other Indebtedness, if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that “All-in Yield” shall not include arrangement fees, structuring fees, commitment fees, underwriting fees or other fees payable to any lead arranger (or its affiliates) in connection with the commitment or syndication of such Loans (or other Indebtedness, if applicable).</w:t>
      </w:r>
    </w:p>
    <w:p>
      <w:pPr>
        <w:spacing w:after="0" w:line="169"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xml:space="preserve">” means, for any day, a rate per annum equal to the greatest of (a) the Prime Rate in effect on such day, (b) the NYFRB Rate in effect on such day plus ½ of 1% and (c) the Adjusted LIBO Rate for a one month Interest Period in Dollars on such day (or if such day is not a Business Day, the immediately preceding Business Day) plus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for purposes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the Adjusted LIBO Rate for any day shall be based on the LIBO Rate at approximately 11:00 a.m. London time on such day, subject to the interest rate floors set forth therein and (ii) the “Alternate Base Rate” shall be deemed to be not less than 2.00% per annum.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 (a) and (b) above (subject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foregoing proviso) and shall be determined without reference to clause (c) above.</w:t>
      </w:r>
    </w:p>
    <w:p>
      <w:pPr>
        <w:spacing w:after="0" w:line="17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Company or its Subsidiaries from time to time concerning or relating to bribery or corruption.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Percentage</w:t>
      </w:r>
      <w:r>
        <w:rPr>
          <w:rFonts w:ascii="Arial" w:cs="Arial" w:eastAsia="Arial" w:hAnsi="Arial"/>
          <w:sz w:val="20"/>
          <w:szCs w:val="20"/>
          <w:color w:val="auto"/>
        </w:rPr>
        <w:t>” means, with respect to any Lender, a percentage equal to a fraction the numerator of which is such Lender’s outstanding principal amount of the Tranche B Term Loans and the denominator of which is the aggregate outstanding principal amount of the Tranche B Term Loans of all Tranche B Term Lenders.</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Pledge Percentage</w:t>
      </w:r>
      <w:r>
        <w:rPr>
          <w:rFonts w:ascii="Arial" w:cs="Arial" w:eastAsia="Arial" w:hAnsi="Arial"/>
          <w:sz w:val="20"/>
          <w:szCs w:val="20"/>
          <w:color w:val="auto"/>
        </w:rPr>
        <w:t>” means (a) in the case of a pledge by the Company or any Subsidiary of its voting Equity Interests in an Excluded Domestic Subsidiary or an Excluded Foreign Subsidiary, 65%, and (b) in all other cases, 100%.</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a rate per annum equal to (i) 4.50% in the case of Eurodollar Loans and (ii) 3.50% in the case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ABR Loans.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15" w:name="page16"/>
    <w:bookmarkEnd w:id="1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 Fee Letter</w:t>
      </w:r>
      <w:r>
        <w:rPr>
          <w:rFonts w:ascii="Arial" w:cs="Arial" w:eastAsia="Arial" w:hAnsi="Arial"/>
          <w:sz w:val="18"/>
          <w:szCs w:val="18"/>
          <w:color w:val="auto"/>
        </w:rPr>
        <w:t>” means the Arranger Fee Letter, dated October 2, 2016, by and between the Company and JPMCB.</w:t>
      </w:r>
    </w:p>
    <w:p>
      <w:pPr>
        <w:spacing w:after="0" w:line="23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w:t>
      </w:r>
      <w:r>
        <w:rPr>
          <w:rFonts w:ascii="Arial" w:cs="Arial" w:eastAsia="Arial" w:hAnsi="Arial"/>
          <w:sz w:val="20"/>
          <w:szCs w:val="20"/>
          <w:color w:val="auto"/>
        </w:rPr>
        <w:t>” shall mean an auction pursuant to which a Purchasing Borrower Party offers to purchase Term Loans pursuant to the Auction Procedures.</w:t>
      </w:r>
    </w:p>
    <w:p>
      <w:pPr>
        <w:spacing w:after="0" w:line="1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Auction Manager</w:t>
      </w:r>
      <w:r>
        <w:rPr>
          <w:rFonts w:ascii="Arial" w:cs="Arial" w:eastAsia="Arial" w:hAnsi="Arial"/>
          <w:sz w:val="19"/>
          <w:szCs w:val="19"/>
          <w:color w:val="auto"/>
        </w:rPr>
        <w:t xml:space="preserve">” shall mean (a) the Administrative Agent or (b) any other financial institution or advisor employed by the Borrower (whether or not an Affiliate of the Administrative Agent) to act as an arranger in connection with any Auction;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designate the Administrative Agent as the Auction Manager without the written consent of the Administrative Agent (it being understood that the Administrative Agent shall be under no obligation to agree to act as the Auction Manager).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Procedures</w:t>
      </w:r>
      <w:r>
        <w:rPr>
          <w:rFonts w:ascii="Arial" w:cs="Arial" w:eastAsia="Arial" w:hAnsi="Arial"/>
          <w:sz w:val="20"/>
          <w:szCs w:val="20"/>
          <w:color w:val="auto"/>
        </w:rPr>
        <w:t xml:space="preserve">” shall mean the procedures set forth in </w:t>
      </w:r>
      <w:r>
        <w:rPr>
          <w:rFonts w:ascii="Arial" w:cs="Arial" w:eastAsia="Arial" w:hAnsi="Arial"/>
          <w:sz w:val="20"/>
          <w:szCs w:val="20"/>
          <w:u w:val="single" w:color="auto"/>
          <w:color w:val="auto"/>
        </w:rPr>
        <w:t>Exhibit F-1</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Auction Purchase Offer</w:t>
      </w:r>
      <w:r>
        <w:rPr>
          <w:rFonts w:ascii="Arial" w:cs="Arial" w:eastAsia="Arial" w:hAnsi="Arial"/>
          <w:sz w:val="20"/>
          <w:szCs w:val="20"/>
          <w:color w:val="auto"/>
        </w:rPr>
        <w:t>” shall mean an offer by a Purchasing Borrower Party to purchase Term Loans pursuant to an auction process conducted in accordance with the Auction Procedures and otherwise in accordance with Section 9.04(f).</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Amount</w:t>
      </w:r>
      <w:r>
        <w:rPr>
          <w:rFonts w:ascii="Arial" w:cs="Arial" w:eastAsia="Arial" w:hAnsi="Arial"/>
          <w:sz w:val="20"/>
          <w:szCs w:val="20"/>
          <w:color w:val="auto"/>
        </w:rPr>
        <w:t>” means, on any date of determination (the “</w:t>
      </w:r>
      <w:r>
        <w:rPr>
          <w:rFonts w:ascii="Arial" w:cs="Arial" w:eastAsia="Arial" w:hAnsi="Arial"/>
          <w:sz w:val="20"/>
          <w:szCs w:val="20"/>
          <w:u w:val="single" w:color="auto"/>
          <w:color w:val="auto"/>
        </w:rPr>
        <w:t>Available Amount Reference Date</w:t>
      </w:r>
      <w:r>
        <w:rPr>
          <w:rFonts w:ascii="Arial" w:cs="Arial" w:eastAsia="Arial" w:hAnsi="Arial"/>
          <w:sz w:val="20"/>
          <w:szCs w:val="20"/>
          <w:color w:val="auto"/>
        </w:rPr>
        <w:t>”), an amount (which shall not be less than zero) equal to (without duplication):</w:t>
      </w:r>
    </w:p>
    <w:p>
      <w:pPr>
        <w:spacing w:after="0" w:line="177" w:lineRule="exact"/>
        <w:rPr>
          <w:sz w:val="20"/>
          <w:szCs w:val="20"/>
          <w:color w:val="auto"/>
        </w:rPr>
      </w:pPr>
    </w:p>
    <w:p>
      <w:pPr>
        <w:ind w:left="1780" w:hanging="408"/>
        <w:spacing w:after="0"/>
        <w:tabs>
          <w:tab w:leader="none" w:pos="178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Cumulative Retained Excess Cash Flow as of the Available Amount Reference Time; </w:t>
      </w:r>
      <w:r>
        <w:rPr>
          <w:rFonts w:ascii="Arial" w:cs="Arial" w:eastAsia="Arial" w:hAnsi="Arial"/>
          <w:sz w:val="20"/>
          <w:szCs w:val="20"/>
          <w:u w:val="single" w:color="auto"/>
          <w:color w:val="auto"/>
        </w:rPr>
        <w:t>plus</w:t>
      </w:r>
    </w:p>
    <w:p>
      <w:pPr>
        <w:spacing w:after="0" w:line="215" w:lineRule="exact"/>
        <w:rPr>
          <w:rFonts w:ascii="Arial" w:cs="Arial" w:eastAsia="Arial" w:hAnsi="Arial"/>
          <w:sz w:val="20"/>
          <w:szCs w:val="20"/>
          <w:color w:val="auto"/>
        </w:rPr>
      </w:pPr>
    </w:p>
    <w:p>
      <w:pPr>
        <w:jc w:val="both"/>
        <w:ind w:firstLine="1372"/>
        <w:spacing w:after="0" w:line="246" w:lineRule="auto"/>
        <w:tabs>
          <w:tab w:leader="none" w:pos="1814"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to the extent not otherwise included, the aggregate amount of cash Returns to the Company or any Subsidiary in respect of Investments made pursuant to </w:t>
      </w:r>
      <w:r>
        <w:rPr>
          <w:rFonts w:ascii="Arial" w:cs="Arial" w:eastAsia="Arial" w:hAnsi="Arial"/>
          <w:sz w:val="20"/>
          <w:szCs w:val="20"/>
          <w:u w:val="single" w:color="auto"/>
          <w:color w:val="auto"/>
        </w:rPr>
        <w:t>Section 6.04(cc)</w:t>
      </w:r>
      <w:r>
        <w:rPr>
          <w:rFonts w:ascii="Arial" w:cs="Arial" w:eastAsia="Arial" w:hAnsi="Arial"/>
          <w:sz w:val="20"/>
          <w:szCs w:val="20"/>
          <w:color w:val="auto"/>
        </w:rPr>
        <w:t xml:space="preserve"> during the period from and including the Business Day immediately following the Effective Date through and including the Available Amount Reference Date (other than the portion of any such cash Returns that is used by the Company or any Subsidiary to pay taxes); </w:t>
      </w:r>
      <w:r>
        <w:rPr>
          <w:rFonts w:ascii="Arial" w:cs="Arial" w:eastAsia="Arial" w:hAnsi="Arial"/>
          <w:sz w:val="20"/>
          <w:szCs w:val="20"/>
          <w:u w:val="single" w:color="auto"/>
          <w:color w:val="auto"/>
        </w:rPr>
        <w:t>plus</w:t>
      </w:r>
    </w:p>
    <w:p>
      <w:pPr>
        <w:spacing w:after="0" w:line="191" w:lineRule="exact"/>
        <w:rPr>
          <w:rFonts w:ascii="Arial" w:cs="Arial" w:eastAsia="Arial" w:hAnsi="Arial"/>
          <w:sz w:val="20"/>
          <w:szCs w:val="20"/>
          <w:color w:val="auto"/>
        </w:rPr>
      </w:pPr>
    </w:p>
    <w:p>
      <w:pPr>
        <w:ind w:firstLine="1372"/>
        <w:spacing w:after="0" w:line="260" w:lineRule="auto"/>
        <w:tabs>
          <w:tab w:leader="none" w:pos="1805"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the aggregate amount of Retained Declined Proceeds retained by the Borrower during the period from the Business Day immediately following the Effective Date through and including the Available Amount Reference Date; </w:t>
      </w:r>
      <w:r>
        <w:rPr>
          <w:rFonts w:ascii="Arial" w:cs="Arial" w:eastAsia="Arial" w:hAnsi="Arial"/>
          <w:sz w:val="20"/>
          <w:szCs w:val="20"/>
          <w:u w:val="single" w:color="auto"/>
          <w:color w:val="auto"/>
        </w:rPr>
        <w:t>minus</w:t>
      </w:r>
    </w:p>
    <w:p>
      <w:pPr>
        <w:spacing w:after="0" w:line="176" w:lineRule="exact"/>
        <w:rPr>
          <w:rFonts w:ascii="Arial" w:cs="Arial" w:eastAsia="Arial" w:hAnsi="Arial"/>
          <w:sz w:val="20"/>
          <w:szCs w:val="20"/>
          <w:color w:val="auto"/>
        </w:rPr>
      </w:pPr>
    </w:p>
    <w:p>
      <w:pPr>
        <w:jc w:val="both"/>
        <w:ind w:firstLine="1372"/>
        <w:spacing w:after="0" w:line="259" w:lineRule="auto"/>
        <w:tabs>
          <w:tab w:leader="none" w:pos="1828"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the sum of (i) the aggregate amount of Investments made using the Available Amount pursuant to </w:t>
      </w:r>
      <w:r>
        <w:rPr>
          <w:rFonts w:ascii="Arial" w:cs="Arial" w:eastAsia="Arial" w:hAnsi="Arial"/>
          <w:sz w:val="19"/>
          <w:szCs w:val="19"/>
          <w:u w:val="single" w:color="auto"/>
          <w:color w:val="auto"/>
        </w:rPr>
        <w:t>Section 6.04(cc)</w:t>
      </w:r>
      <w:r>
        <w:rPr>
          <w:rFonts w:ascii="Arial" w:cs="Arial" w:eastAsia="Arial" w:hAnsi="Arial"/>
          <w:sz w:val="19"/>
          <w:szCs w:val="19"/>
          <w:color w:val="auto"/>
        </w:rPr>
        <w:t xml:space="preserve">, (ii) the aggregate amount of Restricted Payments made using the Available Amount pursuant to </w:t>
      </w:r>
      <w:r>
        <w:rPr>
          <w:rFonts w:ascii="Arial" w:cs="Arial" w:eastAsia="Arial" w:hAnsi="Arial"/>
          <w:sz w:val="19"/>
          <w:szCs w:val="19"/>
          <w:u w:val="single" w:color="auto"/>
          <w:color w:val="auto"/>
        </w:rPr>
        <w:t>clause (g)(ii)(C)</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6.09</w:t>
      </w:r>
      <w:r>
        <w:rPr>
          <w:rFonts w:ascii="Arial" w:cs="Arial" w:eastAsia="Arial" w:hAnsi="Arial"/>
          <w:sz w:val="19"/>
          <w:szCs w:val="19"/>
          <w:color w:val="auto"/>
        </w:rPr>
        <w:t xml:space="preserve">, and (iii) the aggregate amount of payments made of or in respect of Subordinated Indebtedness made using the Available Amount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6.10(a)(v)</w:t>
      </w:r>
      <w:r>
        <w:rPr>
          <w:rFonts w:ascii="Arial" w:cs="Arial" w:eastAsia="Arial" w:hAnsi="Arial"/>
          <w:sz w:val="19"/>
          <w:szCs w:val="19"/>
          <w:color w:val="auto"/>
        </w:rPr>
        <w:t>, in each case, during the period from and including the Business Day immediately following the Effective Date through and including the Available Amount Reference Date (without taking account of the intended usage of the Available Amount on such Available Amount Reference Date for which such determination is being made).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11" w:right="239" w:bottom="1440" w:gutter="0" w:footer="0" w:header="0"/>
        </w:sectPr>
      </w:pPr>
    </w:p>
    <w:bookmarkStart w:id="16" w:name="page17"/>
    <w:bookmarkEnd w:id="16"/>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w:t>
      </w:r>
      <w:r>
        <w:rPr>
          <w:rFonts w:ascii="Arial" w:cs="Arial" w:eastAsia="Arial" w:hAnsi="Arial"/>
          <w:sz w:val="20"/>
          <w:szCs w:val="20"/>
          <w:color w:val="auto"/>
        </w:rPr>
        <w:t>” means each and any of the following bank services provided to the Company or any Subsidiary by any lender under the ABL Facility or any of its Affiliates: (a) credit cards for commercial customers (including, without limitation, commercial credit cards and purchasing cards), (b) stored value cards, (c) merchant processing services and (d) treasury management services (including, without limitation, controlled disbursement, automated clearinghouse transactions, return items, any direct debit scheme or arrangement, overdrafts and interstate depository network services).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entitled “Bankruptcy”, as now and hereafter in effect, or any successor statute.</w:t>
      </w:r>
    </w:p>
    <w:p>
      <w:pPr>
        <w:spacing w:after="0" w:line="17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 Hedge Transaction</w:t>
      </w:r>
      <w:r>
        <w:rPr>
          <w:rFonts w:ascii="Arial" w:cs="Arial" w:eastAsia="Arial" w:hAnsi="Arial"/>
          <w:sz w:val="19"/>
          <w:szCs w:val="19"/>
          <w:color w:val="auto"/>
        </w:rPr>
        <w:t>” has the meaning assigned to such term in the definition of “Permitted Call Spread Swap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means Octavius Corporation, a Delaware corporation.</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Term Loan of the same Class and Type, made, converted or continued on the same date and, in the case of Eurodollar Loans, as to which a single Interest Period is in effect.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Request</w:t>
      </w:r>
      <w:r>
        <w:rPr>
          <w:rFonts w:ascii="Arial" w:cs="Arial" w:eastAsia="Arial" w:hAnsi="Arial"/>
          <w:sz w:val="20"/>
          <w:szCs w:val="20"/>
          <w:color w:val="auto"/>
        </w:rPr>
        <w:t>” means a request by the Borrower for a Borrowing in accordance with Section 2.03.</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Burdensome Restrictions</w:t>
      </w:r>
      <w:r>
        <w:rPr>
          <w:rFonts w:ascii="Arial" w:cs="Arial" w:eastAsia="Arial" w:hAnsi="Arial"/>
          <w:sz w:val="20"/>
          <w:szCs w:val="20"/>
          <w:color w:val="auto"/>
        </w:rPr>
        <w:t>” means any consensual encumbrance or restriction of the type described in clause (a) or (b) of Section 6.11 (without giving effect to any exceptions described in clauses (i) and (ii) of the proviso to Section 6.11).</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11" w:right="239" w:bottom="1440" w:gutter="0" w:footer="0" w:header="0"/>
        </w:sectPr>
      </w:pPr>
    </w:p>
    <w:bookmarkStart w:id="17" w:name="page18"/>
    <w:bookmarkEnd w:id="17"/>
    <w:p>
      <w:pPr>
        <w:jc w:val="both"/>
        <w:spacing w:after="0" w:line="260" w:lineRule="auto"/>
        <w:rPr>
          <w:sz w:val="20"/>
          <w:szCs w:val="20"/>
          <w:color w:val="auto"/>
        </w:rPr>
      </w:pPr>
      <w:r>
        <w:rPr>
          <w:rFonts w:ascii="Arial" w:cs="Arial" w:eastAsia="Arial" w:hAnsi="Arial"/>
          <w:sz w:val="20"/>
          <w:szCs w:val="20"/>
          <w:color w:val="auto"/>
        </w:rPr>
        <w:t>used in connection with a Eurodollar Loan,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shall also exclude any day on which banks are not open for general business in London.</w:t>
      </w:r>
    </w:p>
    <w:p>
      <w:pPr>
        <w:spacing w:after="0" w:line="17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(a) the additions to property, plant and equipment and other capital expenditures of the Company and its Subsidiaries that are (or should be) set forth in a consolidated statement of cash flows of the Company and its Subsidiaries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any Subsidiary organized under the laws of any jurisdiction other than the United States of America, any state thereof or the District of Columbia, that is a “controlled foreign corporation” for purposes of Section 957 of the Code.</w:t>
      </w:r>
    </w:p>
    <w:p>
      <w:pPr>
        <w:spacing w:after="0" w:line="17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neither (i) nominated, appointed or approved for consideration by shareholders for election by the board of directors of the Company nor (ii) appointed by the directors of the Company so nominated, appointed or approved; (c) the acquisition of direct or indirect Control of the Company by any Person or group;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(other than directors’ qualifying shares) of the ordinary voting and economic power of the Borrower.</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for purposes of Section 2.15(b), by any lending office of</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11" w:right="239" w:bottom="1440" w:gutter="0" w:footer="0" w:header="0"/>
        </w:sectPr>
      </w:pPr>
    </w:p>
    <w:bookmarkStart w:id="18" w:name="page19"/>
    <w:bookmarkEnd w:id="18"/>
    <w:p>
      <w:pPr>
        <w:jc w:val="both"/>
        <w:spacing w:after="0" w:line="243" w:lineRule="auto"/>
        <w:rPr>
          <w:sz w:val="20"/>
          <w:szCs w:val="20"/>
          <w:color w:val="auto"/>
        </w:rPr>
      </w:pPr>
      <w:r>
        <w:rPr>
          <w:rFonts w:ascii="Arial" w:cs="Arial" w:eastAsia="Arial" w:hAnsi="Arial"/>
          <w:sz w:val="20"/>
          <w:szCs w:val="20"/>
          <w:color w:val="auto"/>
        </w:rPr>
        <w:t xml:space="preserve">such Lender or by such Lender’s holding company, if any) with any request, rules, guideline, requirement or directive (whether or not having the force of law) by any Governmental Authority; </w:t>
      </w:r>
      <w:r>
        <w:rPr>
          <w:rFonts w:ascii="Arial" w:cs="Arial" w:eastAsia="Arial" w:hAnsi="Arial"/>
          <w:sz w:val="20"/>
          <w:szCs w:val="20"/>
          <w:u w:val="single" w:color="auto"/>
          <w:color w:val="auto"/>
        </w:rPr>
        <w:t>provided however</w:t>
      </w:r>
      <w:r>
        <w:rPr>
          <w:rFonts w:ascii="Arial" w:cs="Arial" w:eastAsia="Arial" w:hAnsi="Arial"/>
          <w:sz w:val="20"/>
          <w:szCs w:val="20"/>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means (a) when used with respect to Lenders, refers to whether such Lenders have a Loan or Commitment with respect to a particular Class of Loans or Commitments, (b) when used with respect to Commitments, refers to whether such Commitments are Tranche B Term Loan Commitments, commitments in respect of Incremental Term Loans, or Refinancing Term Loan Commitments of a given Refinancing Series and (c) when used with respect to Loans or a Borrowing, refers to whether such Loans, or the Loans comprising such Borrowing, are Tranche B Term Loans, Incremental Term Loans, Other Tranche B Term Loans or Refinancing Term Loans of a given Refinancing Series.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means any and all property owned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to secure the Secured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case shall the “Collateral” include any Excluded Assets.</w:t>
      </w:r>
    </w:p>
    <w:p>
      <w:pPr>
        <w:spacing w:after="0" w:line="19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the Security Agreement, the Mortgages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Company or any of its Subsidiaries and delivered to the Administrative Agent.</w:t>
      </w:r>
    </w:p>
    <w:p>
      <w:pPr>
        <w:spacing w:after="0" w:line="19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Loan Commitment, commitments in respect of Incremental Term Facilities, or a Refinancing Term Loan Commitment, as the context may require.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Letter</w:t>
      </w:r>
      <w:r>
        <w:rPr>
          <w:rFonts w:ascii="Arial" w:cs="Arial" w:eastAsia="Arial" w:hAnsi="Arial"/>
          <w:sz w:val="20"/>
          <w:szCs w:val="20"/>
          <w:color w:val="auto"/>
        </w:rPr>
        <w:t>” means the Commitment Letter, dated October 2, 2016, by and between the Company and JPMorgan Chase Bank, N.A.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assigned to such term in Section 9.01(d).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11" w:right="239" w:bottom="1440" w:gutter="0" w:footer="0" w:header="0"/>
        </w:sectPr>
      </w:pPr>
    </w:p>
    <w:bookmarkStart w:id="19" w:name="page20"/>
    <w:bookmarkEnd w:id="19"/>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Winnebago Industries, Inc., an Iowa corporation.</w:t>
      </w:r>
    </w:p>
    <w:p>
      <w:pPr>
        <w:spacing w:after="0" w:line="216"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to the extent deducted from revenues in determining Consolidated Net Income, (i) Consolidated Interest Expense, (ii) expense for taxes paid or accrued, (iii) depreciation, (iv) amortization, (v) extraordinary losses incurred other than in the ordinary course of business, (vi) non-cash charges, expenses or losses, (vii) any losses for such period attributable to early extinguishment of Indebtedness or obligations under any Swap Agreement, (viii) any unrealized losses for such period attributable to the application of “mark to market” accounting in respect of Swap Agreements, (ix) the cumulative effect for such period of a change in accounting principles, (x) non-recurring out-of-pocket transactional fees, costs and expenses relating to Permitted Acquisitions (including the Grand Design Acquisition), Investments, Indebtedness, securities offerings and Dispositions, including legal fees, advisory fees and upfront financing fees, (xi) non-recurring out-of-pocket fees, costs and expenses relating to the incurrence, refinancing, amendment or modification of Indebtedness on or prior to the Effective Date, (xii) (A) non-recurring restructuring charges (including, without limitation, relocation costs and costs relating to the opening, closure and/or consolidation of facilities) that are paid or to be paid in cash and (B) with respect to any acquisition or disposition, or issuance, incurrence or assumption of Indebtedness, or other transaction occurring during such period, (1) any projected cost savings (net of continuing associated expenses) expected to be realized as a result of such event, to the extent such cost savings would be permitted to be reflected in financial statements prepared in compliance with Article 11 of Regulation S-X under the Securities Act and (2) any other demonstrable cost-savings (net of continuing associated expenses) not included in the foregoing </w:t>
      </w:r>
      <w:r>
        <w:rPr>
          <w:rFonts w:ascii="Arial" w:cs="Arial" w:eastAsia="Arial" w:hAnsi="Arial"/>
          <w:sz w:val="18"/>
          <w:szCs w:val="18"/>
          <w:u w:val="single" w:color="auto"/>
          <w:color w:val="auto"/>
        </w:rPr>
        <w:t>subclause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(B)(1)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that are reasonably projected in good faith by the Company to be achieved in connection with any such event within the 18-month period following the consummation of such event, that are reasonably identifiable, quantifiable and factually supportable in the good faith judgment of the Company and that are set forth in reasonable detail in a certificate of a Financial Officer of the Company (in the case of each of the foregoing </w:t>
      </w:r>
      <w:r>
        <w:rPr>
          <w:rFonts w:ascii="Arial" w:cs="Arial" w:eastAsia="Arial" w:hAnsi="Arial"/>
          <w:sz w:val="18"/>
          <w:szCs w:val="18"/>
          <w:u w:val="single" w:color="auto"/>
          <w:color w:val="auto"/>
        </w:rPr>
        <w:t>subclauses (B)(1)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calculated on a pro forma basis as though such cost savings had been realized on the first day of such period, net of the amount of actual benefits realized during such period from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for purposes of determining Consolidated EBITDA for any period of four (4) consecutive fiscal quarters, the aggregate amount added back under </w:t>
      </w:r>
      <w:r>
        <w:rPr>
          <w:rFonts w:ascii="Arial" w:cs="Arial" w:eastAsia="Arial" w:hAnsi="Arial"/>
          <w:sz w:val="18"/>
          <w:szCs w:val="18"/>
          <w:u w:val="single" w:color="auto"/>
          <w:color w:val="auto"/>
        </w:rPr>
        <w:t>subclauses</w:t>
      </w:r>
    </w:p>
    <w:p>
      <w:pPr>
        <w:spacing w:after="0" w:line="2" w:lineRule="exact"/>
        <w:rPr>
          <w:sz w:val="20"/>
          <w:szCs w:val="20"/>
          <w:color w:val="auto"/>
        </w:rPr>
      </w:pPr>
    </w:p>
    <w:p>
      <w:pPr>
        <w:jc w:val="both"/>
        <w:ind w:firstLine="8"/>
        <w:spacing w:after="0" w:line="268" w:lineRule="auto"/>
        <w:tabs>
          <w:tab w:leader="none" w:pos="345" w:val="left"/>
        </w:tabs>
        <w:numPr>
          <w:ilvl w:val="0"/>
          <w:numId w:val="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in respect of such period shall not exceed fifteen percent (15%) of Consolidated EBITDA (as calculated without giving effect to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(y) all adjustments pursuant to the foregoing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(xii)</w:t>
      </w:r>
      <w:r>
        <w:rPr>
          <w:rFonts w:ascii="Arial" w:cs="Arial" w:eastAsia="Arial" w:hAnsi="Arial"/>
          <w:sz w:val="18"/>
          <w:szCs w:val="18"/>
          <w:color w:val="auto"/>
        </w:rPr>
        <w:t xml:space="preserve"> will be without duplication of any amounts that are otherwise included or added back in computing Consolidated EBITDA in accordance with this definition and (z) with respect to the foregoing </w:t>
      </w:r>
      <w:r>
        <w:rPr>
          <w:rFonts w:ascii="Arial" w:cs="Arial" w:eastAsia="Arial" w:hAnsi="Arial"/>
          <w:sz w:val="18"/>
          <w:szCs w:val="18"/>
          <w:u w:val="single" w:color="auto"/>
          <w:color w:val="auto"/>
        </w:rPr>
        <w:t>subclause (B)(2)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if any cost savings included in any pro forma calculations based on the anticipation that such cost savings will be achieved within such 18-month period shall at any time cease to be reasonably anticipated by the Company to be so achieved, then on and after such time, such cost savings shall no longer be added to Consolidated EBITDA pursuant to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(xiii) fees, costs and expenses incurred in connection with the Company’s implementation of enterprise resource planning (ERP);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Consolidated EBITDA for any period of four (4) consecutive fiscal quarters of the Company, the aggregate amount added back under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in respect of such period shall not exceed $8,000,000 and (xiv) fees, costs and expenses incurred by the Company or any of its Subsidiaries in connection with (x) certain personnel-related matters previously disclosed to the Administrative Agent and incurred during the fiscal year of the Company ending August 26, 2017 and (y) the Company’s implementation of its strategic sourcing program and incurred during the fiscal year of the Company ended August 27, 2016;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added back under this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during the term of this Agreement shall not exceed $2,000,000 </w:t>
      </w:r>
      <w:r>
        <w:rPr>
          <w:rFonts w:ascii="Arial" w:cs="Arial" w:eastAsia="Arial" w:hAnsi="Arial"/>
          <w:sz w:val="18"/>
          <w:szCs w:val="18"/>
          <w:u w:val="single" w:color="auto"/>
          <w:color w:val="auto"/>
        </w:rPr>
        <w:t>minus</w:t>
      </w:r>
      <w:r>
        <w:rPr>
          <w:rFonts w:ascii="Arial" w:cs="Arial" w:eastAsia="Arial" w:hAnsi="Arial"/>
          <w:sz w:val="18"/>
          <w:szCs w:val="18"/>
          <w:color w:val="auto"/>
        </w:rPr>
        <w:t>, to the extent included in Consolidated Net Income, (1) interest income,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11" w:right="239" w:bottom="1440" w:gutter="0" w:footer="0" w:header="0"/>
        </w:sectPr>
      </w:pPr>
    </w:p>
    <w:bookmarkStart w:id="20" w:name="page21"/>
    <w:bookmarkEnd w:id="20"/>
    <w:p>
      <w:pPr>
        <w:jc w:val="both"/>
        <w:ind w:firstLine="8"/>
        <w:spacing w:after="0" w:line="268" w:lineRule="auto"/>
        <w:tabs>
          <w:tab w:leader="none" w:pos="28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any cash payments made during such period in respect of items described in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above subsequent to the fiscal quarter in which the relevant non-cash expenses or losses were incurred, (3) extraordinary gains realized other than in the ordinary course of business, (4) any non-cash gains for such period, including with respect to write-ups of assets or goodwill, determined on a consolidated basis in accordance with GAAP, (5) any gains attributable to the early extinguishment of Indebtedness or obligations under any Swap Agreement, determined on a consolidated basis in accordance with GAAP, (6) the cumulative effect for such period of a change in accounting principles and (7) any unrealized gains for such period attributable to the application of “mark to market” accounting in respect of Swap Agreements,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8"/>
          <w:szCs w:val="18"/>
          <w:u w:val="single" w:color="auto"/>
          <w:color w:val="auto"/>
        </w:rPr>
        <w:t>Reference Period</w:t>
      </w:r>
      <w:r>
        <w:rPr>
          <w:rFonts w:ascii="Arial" w:cs="Arial" w:eastAsia="Arial" w:hAnsi="Arial"/>
          <w:sz w:val="18"/>
          <w:szCs w:val="18"/>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pro forma effect thereto (in the manner described in Section 1.04(b)) as if such Material Acquisition occurred on the first day of such Reference Period. As used in this Agreement, “</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acquisition of property or 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means any Disposition of property or series of related sales, transfers, or dispositions of property that yields gross proceeds to the Company or any of its Subsidiaries in excess of $10,000,000. Notwithstanding the foregoing, but subject to any adjustment set forth above (and in </w:t>
      </w:r>
      <w:r>
        <w:rPr>
          <w:rFonts w:ascii="Arial" w:cs="Arial" w:eastAsia="Arial" w:hAnsi="Arial"/>
          <w:sz w:val="18"/>
          <w:szCs w:val="18"/>
          <w:u w:val="single" w:color="auto"/>
          <w:color w:val="auto"/>
        </w:rPr>
        <w:t>Section 1.04(b)</w:t>
      </w:r>
      <w:r>
        <w:rPr>
          <w:rFonts w:ascii="Arial" w:cs="Arial" w:eastAsia="Arial" w:hAnsi="Arial"/>
          <w:sz w:val="18"/>
          <w:szCs w:val="18"/>
          <w:color w:val="auto"/>
        </w:rPr>
        <w:t>) with respect to any transactions occurring after the Closing Date, for purposes of determining Consolidated EBITDA for any period that includes the fiscal quarters of the Company ended February 27, 2016, May 28, 2016 and August 27, 2016, Consolidated EBITDA for such fiscal quarters shall be deemed to be $14,018,000, $17,300,000 and $21,204,000, respectively.</w:t>
      </w:r>
    </w:p>
    <w:p>
      <w:pPr>
        <w:spacing w:after="0" w:line="18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8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Subsidiary.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11" w:right="239" w:bottom="1440" w:gutter="0" w:footer="0" w:header="0"/>
        </w:sectPr>
      </w:pPr>
    </w:p>
    <w:bookmarkStart w:id="21" w:name="page22"/>
    <w:bookmarkEnd w:id="21"/>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the date of any determination thereof, total assets of the Company and its Subsidiaries calculated in accordance with GAAP on a consolidated basis as of the last day of the most recent Test Period, determined on a pro forma basis.</w:t>
      </w:r>
    </w:p>
    <w:p>
      <w:pPr>
        <w:spacing w:after="0" w:line="1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clauses (a) or (b) hereof of another Person guaranteed by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 Indebtedness shall exclude the aggregate amount of Indebtedness of the Company and its Subsidiaries in respect of undrawn performance and commercial letters of credit, Guarantees related thereto, and obligations with respect to deposits and advances in the ordinary course of business, and obligations in respect of Repurchase Agreements.</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means, as of any date of determination, any Consolidated Total Indebtedness that is secured by Liens on any assets or property of the Company or any of its Subsidiaries.</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xml:space="preserve">” means, at any date, the excess of (a) the sum of all amounts (other than cash and Permitted Investments) that would, in conformity with GAAP, be set forth opposite the caption “total current assets” (or any like caption) on a consolidated balance sheet of the Company and its Subsidiaries at such date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(b) the sum of (i) all amounts that would, in conformity with GAAP, be set forth opposite the caption “total current liabilities” (or any like caption) on a consolidated balance sheet of the Company and its Subsidiaries on such date and (ii) long-term deferred revenue, but excluding, without duplication, (1) the current portion of any Funded Debt,</w:t>
      </w:r>
    </w:p>
    <w:p>
      <w:pPr>
        <w:spacing w:after="0" w:line="4" w:lineRule="exact"/>
        <w:rPr>
          <w:sz w:val="20"/>
          <w:szCs w:val="20"/>
          <w:color w:val="auto"/>
        </w:rPr>
      </w:pPr>
    </w:p>
    <w:p>
      <w:pPr>
        <w:ind w:firstLine="8"/>
        <w:spacing w:after="0" w:line="244" w:lineRule="auto"/>
        <w:tabs>
          <w:tab w:leader="none" w:pos="315" w:val="left"/>
        </w:tabs>
        <w:numPr>
          <w:ilvl w:val="0"/>
          <w:numId w:val="7"/>
        </w:numPr>
        <w:rPr>
          <w:rFonts w:ascii="Arial" w:cs="Arial" w:eastAsia="Arial" w:hAnsi="Arial"/>
          <w:sz w:val="20"/>
          <w:szCs w:val="20"/>
          <w:color w:val="auto"/>
        </w:rPr>
      </w:pPr>
      <w:r>
        <w:rPr>
          <w:rFonts w:ascii="Arial" w:cs="Arial" w:eastAsia="Arial" w:hAnsi="Arial"/>
          <w:sz w:val="20"/>
          <w:szCs w:val="20"/>
          <w:color w:val="auto"/>
        </w:rPr>
        <w:t>all Indebtedness consisting of loans and obligations under letters of credit under the ABL Credit Agreement, to the extent otherwise included therein, (3) the current portion of interest and (4) the current portion of current and deferred income taxes.</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Exposure</w:t>
      </w:r>
      <w:r>
        <w:rPr>
          <w:rFonts w:ascii="Arial" w:cs="Arial" w:eastAsia="Arial" w:hAnsi="Arial"/>
          <w:sz w:val="20"/>
          <w:szCs w:val="20"/>
          <w:color w:val="auto"/>
        </w:rPr>
        <w:t>” means, as to any Lender at any time, an amount equal to the aggregate principal amount of its Term Loans outstanding at such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or any Lender.</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Cumulative Retained Excess Cash Flow Amount</w:t>
      </w:r>
      <w:r>
        <w:rPr>
          <w:rFonts w:ascii="Arial" w:cs="Arial" w:eastAsia="Arial" w:hAnsi="Arial"/>
          <w:sz w:val="19"/>
          <w:szCs w:val="19"/>
          <w:color w:val="auto"/>
        </w:rPr>
        <w:t>” means, as of any date, an amount not less than zero in the aggregate for any Excess Cash Flow Period, determined on a cumulative basis equal to the aggregate cumulative sum of the Retained Percentage of Excess Cash Flow for all Excess Cash Flow Periods ending after the Effective Date and prior to such date.</w:t>
      </w:r>
    </w:p>
    <w:p>
      <w:pPr>
        <w:spacing w:after="0" w:line="17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(2) Business Days of the date required to be funded or paid, to (i) fund any portion of its Loans or (ii)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11" w:right="239" w:bottom="1440" w:gutter="0" w:footer="0" w:header="0"/>
        </w:sectPr>
      </w:pPr>
    </w:p>
    <w:bookmarkStart w:id="22" w:name="page23"/>
    <w:bookmarkEnd w:id="22"/>
    <w:p>
      <w:pPr>
        <w:jc w:val="both"/>
        <w:spacing w:after="0" w:line="256" w:lineRule="auto"/>
        <w:rPr>
          <w:sz w:val="20"/>
          <w:szCs w:val="20"/>
          <w:color w:val="auto"/>
        </w:rPr>
      </w:pPr>
      <w:r>
        <w:rPr>
          <w:rFonts w:ascii="Arial" w:cs="Arial" w:eastAsia="Arial" w:hAnsi="Arial"/>
          <w:sz w:val="19"/>
          <w:szCs w:val="19"/>
          <w:color w:val="auto"/>
        </w:rPr>
        <w:t>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under this Agreement, provided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has the meaning assigned to such term in Section 6.05.</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Equity Interest</w:t>
      </w:r>
      <w:r>
        <w:rPr>
          <w:rFonts w:ascii="Arial" w:cs="Arial" w:eastAsia="Arial" w:hAnsi="Arial"/>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6" w:lineRule="exact"/>
        <w:rPr>
          <w:sz w:val="20"/>
          <w:szCs w:val="20"/>
          <w:color w:val="auto"/>
        </w:rPr>
      </w:pPr>
    </w:p>
    <w:p>
      <w:pPr>
        <w:jc w:val="both"/>
        <w:ind w:left="660" w:firstLine="645"/>
        <w:spacing w:after="0" w:line="250" w:lineRule="auto"/>
        <w:tabs>
          <w:tab w:leader="none" w:pos="1938" w:val="left"/>
        </w:tabs>
        <w:numPr>
          <w:ilvl w:val="0"/>
          <w:numId w:val="8"/>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19" w:val="left"/>
        </w:tabs>
        <w:numPr>
          <w:ilvl w:val="0"/>
          <w:numId w:val="8"/>
        </w:numPr>
        <w:rPr>
          <w:rFonts w:ascii="Arial" w:cs="Arial" w:eastAsia="Arial" w:hAnsi="Arial"/>
          <w:sz w:val="20"/>
          <w:szCs w:val="20"/>
          <w:color w:val="auto"/>
        </w:rPr>
      </w:pPr>
      <w:r>
        <w:rPr>
          <w:rFonts w:ascii="Arial" w:cs="Arial" w:eastAsia="Arial" w:hAnsi="Arial"/>
          <w:sz w:val="20"/>
          <w:szCs w:val="20"/>
          <w:color w:val="auto"/>
        </w:rPr>
        <w:t>is or becomes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43" w:val="left"/>
        </w:tabs>
        <w:numPr>
          <w:ilvl w:val="0"/>
          <w:numId w:val="8"/>
        </w:numPr>
        <w:rPr>
          <w:rFonts w:ascii="Arial" w:cs="Arial" w:eastAsia="Arial" w:hAnsi="Arial"/>
          <w:sz w:val="20"/>
          <w:szCs w:val="20"/>
          <w:color w:val="auto"/>
        </w:rPr>
      </w:pPr>
      <w:r>
        <w:rPr>
          <w:rFonts w:ascii="Arial" w:cs="Arial" w:eastAsia="Arial" w:hAnsi="Arial"/>
          <w:sz w:val="20"/>
          <w:szCs w:val="20"/>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in each case, on or prior to the date that is ninety one (91) days after the Latest Maturity Date (determined as of the date of issuance thereof or, in the case of any such Equity Interests outstanding on the Effective Date,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Secured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Lenders</w:t>
      </w:r>
      <w:r>
        <w:rPr>
          <w:rFonts w:ascii="Arial" w:cs="Arial" w:eastAsia="Arial" w:hAnsi="Arial"/>
          <w:sz w:val="20"/>
          <w:szCs w:val="20"/>
          <w:color w:val="auto"/>
        </w:rPr>
        <w:t>” means (a) entities that have been specifically identified by the Company to the Administrative Agent in writing prior to October 2, 2016, or after October 2, 2016 and prior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11"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8"/>
          <w:szCs w:val="18"/>
          <w:color w:val="auto"/>
        </w:rPr>
        <w:t xml:space="preserve">to the Effective Date with the reasonable consent of the Lead Arranger, (b) entities that are reasonably determined by the Company to be competitors of the Company or its subsidiaries (including Grand Design and its subsidiaries) and which are specifically identified by the Company to the Administrative Agent in writing prior to the Effective Date and (c) in the case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any of such entities’ Affiliates to the extent such Affiliates (x)(i) are clearly identifiable as Affiliates of such entities based solely on the similarity of such Affiliates’ and such entities’ names and (ii) are not bona fide debt investment funds or (y)(i) upon reasonable notice to the Administrative Agent after the Effective Date, are identified as Affiliates in writing after the Effective Date in a written supplement to the list of “Disqualified Lenders”, which supplement shall become effective three (3) Business Days after delivery to the Administrative Agent and the Lenders, but which shall not apply retroactively to disqualify any parties that have previously acquired an assignment or participation interest in the Loans and (ii) are not bona fide debt investment funds. It is understood and agreed that (i) any supplement to the list of Persons that are Disqualified Lenders contemplated by the foregoing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Section 9.01 shall render such list (or supplement) not received and not effective and (iv) “Disqualified Lender” shall exclude any Person that the Company has designated as no longer being a “Disqualified Lender” by written notice delivered to the Administrative Agent from time to time in accordance with Section 9.01.</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Foreign Holdco Subsidiary</w:t>
      </w:r>
      <w:r>
        <w:rPr>
          <w:rFonts w:ascii="Arial" w:cs="Arial" w:eastAsia="Arial" w:hAnsi="Arial"/>
          <w:sz w:val="20"/>
          <w:szCs w:val="20"/>
          <w:color w:val="auto"/>
        </w:rPr>
        <w:t>” means any Domestic Subsidiary substantially all of the assets of which consist of the Equity Interests (or Equity Interests and Indebtedness) of one or more CFCs.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9.04(e)(iv)</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ECF Percentage</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2.11(d)</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4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11" w:right="239" w:bottom="1440" w:gutter="0" w:footer="0" w:header="0"/>
        </w:sectPr>
      </w:pPr>
    </w:p>
    <w:bookmarkStart w:id="24" w:name="page25"/>
    <w:bookmarkEnd w:id="24"/>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9.02).</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System</w:t>
      </w:r>
      <w:r>
        <w:rPr>
          <w:rFonts w:ascii="Arial" w:cs="Arial" w:eastAsia="Arial" w:hAnsi="Arial"/>
          <w:sz w:val="20"/>
          <w:szCs w:val="20"/>
          <w:color w:val="auto"/>
        </w:rPr>
        <w:t>” means any electronic system, including e-mail, e-fax, web portal access for the Company, Intralinks®, ClearPar®, Debt Domain, Syndtrak and any other Internet or extranet-based site, whether such electronic system is owned, operated or hosted by the Administrative Agent and any of its Related Parties or any other Person, providing for access to data protected by passcodes or other security system.</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15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3" w:lineRule="exact"/>
        <w:rPr>
          <w:sz w:val="20"/>
          <w:szCs w:val="20"/>
          <w:color w:val="auto"/>
        </w:rPr>
      </w:pPr>
    </w:p>
    <w:p>
      <w:pPr>
        <w:ind w:firstLine="8"/>
        <w:spacing w:after="0" w:line="244" w:lineRule="auto"/>
        <w:tabs>
          <w:tab w:leader="none" w:pos="297" w:val="left"/>
        </w:tabs>
        <w:numPr>
          <w:ilvl w:val="0"/>
          <w:numId w:val="9"/>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w:t>
      </w:r>
    </w:p>
    <w:p>
      <w:pPr>
        <w:spacing w:after="0" w:line="4" w:lineRule="exact"/>
        <w:rPr>
          <w:sz w:val="20"/>
          <w:szCs w:val="20"/>
          <w:color w:val="auto"/>
        </w:rPr>
      </w:pPr>
    </w:p>
    <w:p>
      <w:pPr>
        <w:ind w:right="20" w:firstLine="8"/>
        <w:spacing w:after="0" w:line="269" w:lineRule="auto"/>
        <w:tabs>
          <w:tab w:leader="none" w:pos="302"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receipt by the Company or any ERISA Affiliate from the PBGC or a plan administrator of any notice relating to an intention to terminate any Plan or Plans or to appoint a trustee to administer any Plan; (f) the incurrence by the Company or any of its ERISA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1041" w:right="239" w:bottom="1440" w:gutter="0" w:footer="0" w:header="0"/>
        </w:sectPr>
      </w:pPr>
    </w:p>
    <w:bookmarkStart w:id="25" w:name="page26"/>
    <w:bookmarkEnd w:id="25"/>
    <w:p>
      <w:pPr>
        <w:jc w:val="both"/>
        <w:ind w:right="20"/>
        <w:spacing w:after="0" w:line="282" w:lineRule="auto"/>
        <w:rPr>
          <w:sz w:val="20"/>
          <w:szCs w:val="20"/>
          <w:color w:val="auto"/>
        </w:rPr>
      </w:pPr>
      <w:r>
        <w:rPr>
          <w:rFonts w:ascii="Arial" w:cs="Arial" w:eastAsia="Arial" w:hAnsi="Arial"/>
          <w:sz w:val="18"/>
          <w:szCs w:val="18"/>
          <w:color w:val="auto"/>
        </w:rPr>
        <w:t>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within the meaning of Title IV of ERISA.</w:t>
      </w:r>
    </w:p>
    <w:p>
      <w:pPr>
        <w:spacing w:after="0" w:line="1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when used in reference to any Loan or Borrowing, means that such Loan, or the Loans comprising such Borrowing, bears interest at a rate determined by reference to the Adjusted LIBO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Cash Flow</w:t>
      </w:r>
      <w:r>
        <w:rPr>
          <w:rFonts w:ascii="Arial" w:cs="Arial" w:eastAsia="Arial" w:hAnsi="Arial"/>
          <w:sz w:val="20"/>
          <w:szCs w:val="20"/>
          <w:color w:val="auto"/>
        </w:rPr>
        <w:t>” means, for any period, an amount equal to the excess of:</w:t>
      </w:r>
    </w:p>
    <w:p>
      <w:pPr>
        <w:spacing w:after="0" w:line="216" w:lineRule="exact"/>
        <w:rPr>
          <w:sz w:val="20"/>
          <w:szCs w:val="20"/>
          <w:color w:val="auto"/>
        </w:rPr>
      </w:pPr>
    </w:p>
    <w:p>
      <w:pPr>
        <w:ind w:left="1580" w:hanging="275"/>
        <w:spacing w:after="0"/>
        <w:tabs>
          <w:tab w:leader="none" w:pos="1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2180" w:hanging="227"/>
        <w:spacing w:after="0"/>
        <w:tabs>
          <w:tab w:leader="none" w:pos="2180" w:val="left"/>
        </w:tabs>
        <w:numPr>
          <w:ilvl w:val="1"/>
          <w:numId w:val="11"/>
        </w:numPr>
        <w:rPr>
          <w:rFonts w:ascii="Arial" w:cs="Arial" w:eastAsia="Arial" w:hAnsi="Arial"/>
          <w:sz w:val="20"/>
          <w:szCs w:val="20"/>
          <w:color w:val="auto"/>
        </w:rPr>
      </w:pPr>
      <w:r>
        <w:rPr>
          <w:rFonts w:ascii="Arial" w:cs="Arial" w:eastAsia="Arial" w:hAnsi="Arial"/>
          <w:sz w:val="20"/>
          <w:szCs w:val="20"/>
          <w:color w:val="auto"/>
        </w:rPr>
        <w:t>Consolidated Net Income for such period;</w:t>
      </w:r>
    </w:p>
    <w:p>
      <w:pPr>
        <w:spacing w:after="0" w:line="215" w:lineRule="exact"/>
        <w:rPr>
          <w:rFonts w:ascii="Arial" w:cs="Arial" w:eastAsia="Arial" w:hAnsi="Arial"/>
          <w:sz w:val="20"/>
          <w:szCs w:val="20"/>
          <w:color w:val="auto"/>
        </w:rPr>
      </w:pPr>
    </w:p>
    <w:p>
      <w:pPr>
        <w:ind w:left="1960" w:right="20" w:hanging="7"/>
        <w:spacing w:after="0" w:line="260" w:lineRule="auto"/>
        <w:tabs>
          <w:tab w:leader="none" w:pos="2279"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 amount equal to the amount of all non-cash charges (including depreciation and amortization) to the extent deducted in arriving at such Consolidated Net Income;</w:t>
      </w:r>
    </w:p>
    <w:p>
      <w:pPr>
        <w:spacing w:after="0" w:line="176" w:lineRule="exact"/>
        <w:rPr>
          <w:rFonts w:ascii="Arial" w:cs="Arial" w:eastAsia="Arial" w:hAnsi="Arial"/>
          <w:sz w:val="20"/>
          <w:szCs w:val="20"/>
          <w:color w:val="auto"/>
        </w:rPr>
      </w:pPr>
    </w:p>
    <w:p>
      <w:pPr>
        <w:jc w:val="both"/>
        <w:ind w:left="1960" w:hanging="7"/>
        <w:spacing w:after="0" w:line="250" w:lineRule="auto"/>
        <w:tabs>
          <w:tab w:leader="none" w:pos="2370" w:val="left"/>
        </w:tabs>
        <w:numPr>
          <w:ilvl w:val="1"/>
          <w:numId w:val="11"/>
        </w:numPr>
        <w:rPr>
          <w:rFonts w:ascii="Arial" w:cs="Arial" w:eastAsia="Arial" w:hAnsi="Arial"/>
          <w:sz w:val="20"/>
          <w:szCs w:val="20"/>
          <w:color w:val="auto"/>
        </w:rPr>
      </w:pPr>
      <w:r>
        <w:rPr>
          <w:rFonts w:ascii="Arial" w:cs="Arial" w:eastAsia="Arial" w:hAnsi="Arial"/>
          <w:sz w:val="20"/>
          <w:szCs w:val="20"/>
          <w:color w:val="auto"/>
        </w:rPr>
        <w:t>decreases in Consolidated Working Capital for such period (other than any such decreases arising from acquisitions by the Company and its Subsidiaries completed during such period or the application of purchase accounting);</w:t>
      </w:r>
    </w:p>
    <w:p>
      <w:pPr>
        <w:spacing w:after="0" w:line="186" w:lineRule="exact"/>
        <w:rPr>
          <w:rFonts w:ascii="Arial" w:cs="Arial" w:eastAsia="Arial" w:hAnsi="Arial"/>
          <w:sz w:val="20"/>
          <w:szCs w:val="20"/>
          <w:color w:val="auto"/>
        </w:rPr>
      </w:pPr>
    </w:p>
    <w:p>
      <w:pPr>
        <w:jc w:val="both"/>
        <w:ind w:left="1960" w:hanging="7"/>
        <w:spacing w:after="0" w:line="250" w:lineRule="auto"/>
        <w:tabs>
          <w:tab w:leader="none" w:pos="2314"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 amount equal to the aggregate net non-cash loss on dispositions by the Company and its Subsidiaries during such period (other than dispositions in the ordinary course of business) to the extent deducted in arriving at such Consolidated Net Income; and</w:t>
      </w:r>
    </w:p>
    <w:p>
      <w:pPr>
        <w:spacing w:after="0" w:line="186" w:lineRule="exact"/>
        <w:rPr>
          <w:rFonts w:ascii="Arial" w:cs="Arial" w:eastAsia="Arial" w:hAnsi="Arial"/>
          <w:sz w:val="20"/>
          <w:szCs w:val="20"/>
          <w:color w:val="auto"/>
        </w:rPr>
      </w:pPr>
    </w:p>
    <w:p>
      <w:pPr>
        <w:ind w:left="1960" w:hanging="7"/>
        <w:spacing w:after="0" w:line="260" w:lineRule="auto"/>
        <w:tabs>
          <w:tab w:leader="none" w:pos="2301" w:val="left"/>
        </w:tabs>
        <w:numPr>
          <w:ilvl w:val="1"/>
          <w:numId w:val="11"/>
        </w:numPr>
        <w:rPr>
          <w:rFonts w:ascii="Arial" w:cs="Arial" w:eastAsia="Arial" w:hAnsi="Arial"/>
          <w:sz w:val="20"/>
          <w:szCs w:val="20"/>
          <w:color w:val="auto"/>
        </w:rPr>
      </w:pPr>
      <w:r>
        <w:rPr>
          <w:rFonts w:ascii="Arial" w:cs="Arial" w:eastAsia="Arial" w:hAnsi="Arial"/>
          <w:sz w:val="20"/>
          <w:szCs w:val="20"/>
          <w:color w:val="auto"/>
        </w:rPr>
        <w:t xml:space="preserve">cash receipts in respect of Swap Agreements during such period to the extent not otherwise included in Consolidated Net Income; </w:t>
      </w:r>
      <w:r>
        <w:rPr>
          <w:rFonts w:ascii="Arial" w:cs="Arial" w:eastAsia="Arial" w:hAnsi="Arial"/>
          <w:sz w:val="20"/>
          <w:szCs w:val="20"/>
          <w:u w:val="single" w:color="auto"/>
          <w:color w:val="auto"/>
        </w:rPr>
        <w:t>over</w:t>
      </w:r>
    </w:p>
    <w:p>
      <w:pPr>
        <w:spacing w:after="0" w:line="176" w:lineRule="exact"/>
        <w:rPr>
          <w:rFonts w:ascii="Arial" w:cs="Arial" w:eastAsia="Arial" w:hAnsi="Arial"/>
          <w:sz w:val="20"/>
          <w:szCs w:val="20"/>
          <w:color w:val="auto"/>
        </w:rPr>
      </w:pPr>
    </w:p>
    <w:p>
      <w:pPr>
        <w:ind w:left="1580" w:hanging="275"/>
        <w:spacing w:after="0"/>
        <w:tabs>
          <w:tab w:leader="none" w:pos="15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sum, without duplication, of:</w:t>
      </w:r>
    </w:p>
    <w:p>
      <w:pPr>
        <w:spacing w:after="0" w:line="215" w:lineRule="exact"/>
        <w:rPr>
          <w:rFonts w:ascii="Arial" w:cs="Arial" w:eastAsia="Arial" w:hAnsi="Arial"/>
          <w:sz w:val="20"/>
          <w:szCs w:val="20"/>
          <w:color w:val="auto"/>
        </w:rPr>
      </w:pPr>
    </w:p>
    <w:p>
      <w:pPr>
        <w:ind w:left="1960" w:hanging="7"/>
        <w:spacing w:after="0" w:line="260" w:lineRule="auto"/>
        <w:tabs>
          <w:tab w:leader="none" w:pos="2215" w:val="left"/>
        </w:tabs>
        <w:numPr>
          <w:ilvl w:val="1"/>
          <w:numId w:val="11"/>
        </w:numPr>
        <w:rPr>
          <w:rFonts w:ascii="Arial" w:cs="Arial" w:eastAsia="Arial" w:hAnsi="Arial"/>
          <w:sz w:val="20"/>
          <w:szCs w:val="20"/>
          <w:color w:val="auto"/>
        </w:rPr>
      </w:pPr>
      <w:r>
        <w:rPr>
          <w:rFonts w:ascii="Arial" w:cs="Arial" w:eastAsia="Arial" w:hAnsi="Arial"/>
          <w:sz w:val="20"/>
          <w:szCs w:val="20"/>
          <w:color w:val="auto"/>
        </w:rPr>
        <w:t>an amount equal to the amount of all non-cash credits included in arriving at such Consolidated Net Income and cash charges to the extent included in arriving at such Consolidated Net Income;</w:t>
      </w:r>
    </w:p>
    <w:p>
      <w:pPr>
        <w:spacing w:after="0" w:line="176" w:lineRule="exact"/>
        <w:rPr>
          <w:rFonts w:ascii="Arial" w:cs="Arial" w:eastAsia="Arial" w:hAnsi="Arial"/>
          <w:sz w:val="20"/>
          <w:szCs w:val="20"/>
          <w:color w:val="auto"/>
        </w:rPr>
      </w:pPr>
    </w:p>
    <w:p>
      <w:pPr>
        <w:jc w:val="both"/>
        <w:ind w:left="1960" w:hanging="7"/>
        <w:spacing w:after="0" w:line="291" w:lineRule="auto"/>
        <w:tabs>
          <w:tab w:leader="none" w:pos="2261"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without duplication of amounts deducted pursuant to </w:t>
      </w:r>
      <w:r>
        <w:rPr>
          <w:rFonts w:ascii="Arial" w:cs="Arial" w:eastAsia="Arial" w:hAnsi="Arial"/>
          <w:sz w:val="18"/>
          <w:szCs w:val="18"/>
          <w:u w:val="single" w:color="auto"/>
          <w:color w:val="auto"/>
        </w:rPr>
        <w:t>clause (ix)</w:t>
      </w:r>
      <w:r>
        <w:rPr>
          <w:rFonts w:ascii="Arial" w:cs="Arial" w:eastAsia="Arial" w:hAnsi="Arial"/>
          <w:sz w:val="18"/>
          <w:szCs w:val="18"/>
          <w:color w:val="auto"/>
        </w:rPr>
        <w:t xml:space="preserve"> below in prior fiscal years, the amount of Capital Expenditures or acquisitions made in cash during such period, except to the extent that such Capital Expenditures or acquisitions were financed with the proceeds of Indebtedness of the Company or its Subsidiaries;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11" w:right="239" w:bottom="1440" w:gutter="0" w:footer="0" w:header="0"/>
        </w:sectPr>
      </w:pPr>
    </w:p>
    <w:bookmarkStart w:id="26" w:name="page27"/>
    <w:bookmarkEnd w:id="26"/>
    <w:p>
      <w:pPr>
        <w:ind w:left="1120" w:hanging="367"/>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amount of all principal payments of Indebtedness of the Company and its Subsidiaries (including</w:t>
      </w:r>
    </w:p>
    <w:p>
      <w:pPr>
        <w:spacing w:after="0" w:line="38" w:lineRule="exact"/>
        <w:rPr>
          <w:rFonts w:ascii="Arial" w:cs="Arial" w:eastAsia="Arial" w:hAnsi="Arial"/>
          <w:sz w:val="18"/>
          <w:szCs w:val="18"/>
          <w:color w:val="auto"/>
        </w:rPr>
      </w:pPr>
    </w:p>
    <w:p>
      <w:pPr>
        <w:jc w:val="both"/>
        <w:ind w:left="760"/>
        <w:spacing w:after="0"/>
        <w:rPr>
          <w:rFonts w:ascii="Arial" w:cs="Arial" w:eastAsia="Arial" w:hAnsi="Arial"/>
          <w:sz w:val="18"/>
          <w:szCs w:val="18"/>
          <w:color w:val="auto"/>
        </w:rPr>
      </w:pPr>
      <w:r>
        <w:rPr>
          <w:rFonts w:ascii="Arial" w:cs="Arial" w:eastAsia="Arial" w:hAnsi="Arial"/>
          <w:sz w:val="20"/>
          <w:szCs w:val="20"/>
          <w:color w:val="auto"/>
        </w:rPr>
        <w:t xml:space="preserve">(A) the principal component of Capital Lease Obligations and (B) the amount of any scheduled repayment of Term Loans, but excluding (1) all prepayments of Term Loans and (2) prepayments in respect of any revolving credit facility, except, in the case of </w:t>
      </w:r>
      <w:r>
        <w:rPr>
          <w:rFonts w:ascii="Arial" w:cs="Arial" w:eastAsia="Arial" w:hAnsi="Arial"/>
          <w:sz w:val="20"/>
          <w:szCs w:val="20"/>
          <w:u w:val="single" w:color="auto"/>
          <w:color w:val="auto"/>
        </w:rPr>
        <w:t>clause (2)</w:t>
      </w:r>
      <w:r>
        <w:rPr>
          <w:rFonts w:ascii="Arial" w:cs="Arial" w:eastAsia="Arial" w:hAnsi="Arial"/>
          <w:sz w:val="20"/>
          <w:szCs w:val="20"/>
          <w:color w:val="auto"/>
        </w:rPr>
        <w:t>, to the extent there is an equivalent permanent reduction in commitments thereunder) made during such period, except to the extent financed with the proceeds of an incurrence or issuance of other Indebtedness of the Company or its Subsidiaries;</w:t>
      </w:r>
    </w:p>
    <w:p>
      <w:pPr>
        <w:spacing w:after="0" w:line="198" w:lineRule="exact"/>
        <w:rPr>
          <w:rFonts w:ascii="Arial" w:cs="Arial" w:eastAsia="Arial" w:hAnsi="Arial"/>
          <w:sz w:val="18"/>
          <w:szCs w:val="18"/>
          <w:color w:val="auto"/>
        </w:rPr>
      </w:pPr>
    </w:p>
    <w:p>
      <w:pPr>
        <w:jc w:val="both"/>
        <w:ind w:left="760" w:hanging="7"/>
        <w:spacing w:after="0" w:line="250" w:lineRule="auto"/>
        <w:tabs>
          <w:tab w:leader="none" w:pos="1095" w:val="left"/>
        </w:tabs>
        <w:numPr>
          <w:ilvl w:val="0"/>
          <w:numId w:val="12"/>
        </w:numPr>
        <w:rPr>
          <w:rFonts w:ascii="Arial" w:cs="Arial" w:eastAsia="Arial" w:hAnsi="Arial"/>
          <w:sz w:val="20"/>
          <w:szCs w:val="20"/>
          <w:color w:val="auto"/>
        </w:rPr>
      </w:pPr>
      <w:r>
        <w:rPr>
          <w:rFonts w:ascii="Arial" w:cs="Arial" w:eastAsia="Arial" w:hAnsi="Arial"/>
          <w:sz w:val="20"/>
          <w:szCs w:val="20"/>
          <w:color w:val="auto"/>
        </w:rPr>
        <w:t>an amount equal to the aggregate net non-cash gain on sales, transfers or other dispositions by the Company and its Subsidiaries during such period (other than sales, transfers or other dispositions in the ordinary course of business) to the extent included in arriving at such Consolidated Net Income;</w:t>
      </w:r>
    </w:p>
    <w:p>
      <w:pPr>
        <w:spacing w:after="0" w:line="186" w:lineRule="exact"/>
        <w:rPr>
          <w:rFonts w:ascii="Arial" w:cs="Arial" w:eastAsia="Arial" w:hAnsi="Arial"/>
          <w:sz w:val="20"/>
          <w:szCs w:val="20"/>
          <w:color w:val="auto"/>
        </w:rPr>
      </w:pPr>
    </w:p>
    <w:p>
      <w:pPr>
        <w:ind w:left="760" w:right="20" w:hanging="7"/>
        <w:spacing w:after="0" w:line="316" w:lineRule="auto"/>
        <w:tabs>
          <w:tab w:leader="none" w:pos="10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in Consolidated Working Capital for such period (other than any such increases arising from acquisitions by the Company and its Subsidiaries completed during such period or the application of purchase accounting);</w:t>
      </w:r>
    </w:p>
    <w:p>
      <w:pPr>
        <w:spacing w:after="0" w:line="130" w:lineRule="exact"/>
        <w:rPr>
          <w:rFonts w:ascii="Arial" w:cs="Arial" w:eastAsia="Arial" w:hAnsi="Arial"/>
          <w:sz w:val="18"/>
          <w:szCs w:val="18"/>
          <w:color w:val="auto"/>
        </w:rPr>
      </w:pPr>
    </w:p>
    <w:p>
      <w:pPr>
        <w:jc w:val="both"/>
        <w:ind w:left="760" w:hanging="7"/>
        <w:spacing w:after="0" w:line="250" w:lineRule="auto"/>
        <w:tabs>
          <w:tab w:leader="none" w:pos="1114" w:val="left"/>
        </w:tabs>
        <w:numPr>
          <w:ilvl w:val="0"/>
          <w:numId w:val="12"/>
        </w:numPr>
        <w:rPr>
          <w:rFonts w:ascii="Arial" w:cs="Arial" w:eastAsia="Arial" w:hAnsi="Arial"/>
          <w:sz w:val="20"/>
          <w:szCs w:val="20"/>
          <w:color w:val="auto"/>
        </w:rPr>
      </w:pPr>
      <w:r>
        <w:rPr>
          <w:rFonts w:ascii="Arial" w:cs="Arial" w:eastAsia="Arial" w:hAnsi="Arial"/>
          <w:sz w:val="20"/>
          <w:szCs w:val="20"/>
          <w:color w:val="auto"/>
        </w:rPr>
        <w:t>cash payments by the Company and its Subsidiaries during such period in respect of long-term liabilities of the Company and its Subsidiaries other than Indebtedness, to the extent not already deducted from Consolidated Net Income;</w:t>
      </w:r>
    </w:p>
    <w:p>
      <w:pPr>
        <w:spacing w:after="0" w:line="186" w:lineRule="exact"/>
        <w:rPr>
          <w:rFonts w:ascii="Arial" w:cs="Arial" w:eastAsia="Arial" w:hAnsi="Arial"/>
          <w:sz w:val="20"/>
          <w:szCs w:val="20"/>
          <w:color w:val="auto"/>
        </w:rPr>
      </w:pPr>
    </w:p>
    <w:p>
      <w:pPr>
        <w:jc w:val="both"/>
        <w:ind w:left="760" w:hanging="7"/>
        <w:spacing w:after="0" w:line="244" w:lineRule="auto"/>
        <w:tabs>
          <w:tab w:leader="none" w:pos="115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ml:space="preserve">without duplication of amounts deducted pursuant to </w:t>
      </w:r>
      <w:r>
        <w:rPr>
          <w:rFonts w:ascii="Arial" w:cs="Arial" w:eastAsia="Arial" w:hAnsi="Arial"/>
          <w:sz w:val="20"/>
          <w:szCs w:val="20"/>
          <w:u w:val="single" w:color="auto"/>
          <w:color w:val="auto"/>
        </w:rPr>
        <w:t>clause (ix)</w:t>
      </w:r>
      <w:r>
        <w:rPr>
          <w:rFonts w:ascii="Arial" w:cs="Arial" w:eastAsia="Arial" w:hAnsi="Arial"/>
          <w:sz w:val="20"/>
          <w:szCs w:val="20"/>
          <w:color w:val="auto"/>
        </w:rPr>
        <w:t xml:space="preserve"> below in prior periods, the amount of Investments (including acquisitions) made by the Company and its Subsidiaries (on a consolidated basis) during such period pursuant to Section 6.04 (other than clauses (b), (c)(i), (d) and (e) of Section 6.04) except to the extent that such Investments were financed with the proceeds of an incurrence or issuance of Indebtedness of the Company or its Subsidiaries;</w:t>
      </w:r>
    </w:p>
    <w:p>
      <w:pPr>
        <w:spacing w:after="0" w:line="194" w:lineRule="exact"/>
        <w:rPr>
          <w:rFonts w:ascii="Arial" w:cs="Arial" w:eastAsia="Arial" w:hAnsi="Arial"/>
          <w:sz w:val="20"/>
          <w:szCs w:val="20"/>
          <w:color w:val="auto"/>
        </w:rPr>
      </w:pPr>
    </w:p>
    <w:p>
      <w:pPr>
        <w:jc w:val="both"/>
        <w:ind w:left="760" w:hanging="7"/>
        <w:spacing w:after="0" w:line="246" w:lineRule="auto"/>
        <w:tabs>
          <w:tab w:leader="none" w:pos="1220"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aggregate amount of any premium, make-whole or penalty payments actually paid in cash by the Company and its Subsidiaries during such period that are required to be made in connection with any prepayment of Indebtedness except to the extent that such amounts were financed with the proceeds of an incurrence or issuance of Indebtedness of the Company or its Subsidiaries;</w:t>
      </w:r>
    </w:p>
    <w:p>
      <w:pPr>
        <w:spacing w:after="0" w:line="191" w:lineRule="exact"/>
        <w:rPr>
          <w:rFonts w:ascii="Arial" w:cs="Arial" w:eastAsia="Arial" w:hAnsi="Arial"/>
          <w:sz w:val="20"/>
          <w:szCs w:val="20"/>
          <w:color w:val="auto"/>
        </w:rPr>
      </w:pPr>
    </w:p>
    <w:p>
      <w:pPr>
        <w:jc w:val="both"/>
        <w:ind w:left="760" w:hanging="7"/>
        <w:spacing w:after="0" w:line="271" w:lineRule="auto"/>
        <w:tabs>
          <w:tab w:leader="none" w:pos="11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without duplication of amounts deducted from Excess Cash Flow in prior periods, the aggregate consideration required to be paid in cash by the Company or any of its Subsidiaries pursuant to binding contracts (the “</w:t>
      </w:r>
      <w:r>
        <w:rPr>
          <w:rFonts w:ascii="Arial" w:cs="Arial" w:eastAsia="Arial" w:hAnsi="Arial"/>
          <w:sz w:val="18"/>
          <w:szCs w:val="18"/>
          <w:u w:val="single" w:color="auto"/>
          <w:color w:val="auto"/>
        </w:rPr>
        <w:t>Contract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entered into prior to or during such period relating to Permitted Acquisitions, Capital Expenditures or acquisitions to be consummated or made, plus any restructuring cash expenses, pension payments or tax contingency payments that have been added to Excess Cash Flow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required to be made, in each case during the period of four (4) consecutive fiscal quarters of the Company following the end of such period except to the extent intended to be financed with the proceeds of an incurrence or issuance of other Indebtedness of the Company 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aggregate amount utilized to finance such Permitted Acquisitions, Capital Expenditures or acquisitions during such period of four (4) consecutive fiscal quarters is less than the Contract Consideration, the amount of such shortfall, shall be added to the calculation of Excess Cash Flow at the end of such period of four (4) consecutive fiscal quarters;</w:t>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220"/>
          </w:cols>
          <w:pgMar w:left="1440" w:top="811" w:right="239" w:bottom="1440" w:gutter="0" w:footer="0" w:header="0"/>
        </w:sectPr>
      </w:pPr>
    </w:p>
    <w:bookmarkStart w:id="27" w:name="page28"/>
    <w:bookmarkEnd w:id="27"/>
    <w:p>
      <w:pPr>
        <w:jc w:val="both"/>
        <w:ind w:left="1960" w:hanging="7"/>
        <w:spacing w:after="0" w:line="250" w:lineRule="auto"/>
        <w:tabs>
          <w:tab w:leader="none" w:pos="2259"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amount of Taxes (including penalties and interest) paid in cash or Tax reserves set aside or payable (without duplication) in such period to the extent they exceed the amount of Tax expense deducted in determining Consolidated Net Income for such period;</w:t>
      </w:r>
    </w:p>
    <w:p>
      <w:pPr>
        <w:spacing w:after="0" w:line="186" w:lineRule="exact"/>
        <w:rPr>
          <w:rFonts w:ascii="Arial" w:cs="Arial" w:eastAsia="Arial" w:hAnsi="Arial"/>
          <w:sz w:val="20"/>
          <w:szCs w:val="20"/>
          <w:color w:val="auto"/>
        </w:rPr>
      </w:pPr>
    </w:p>
    <w:p>
      <w:pPr>
        <w:jc w:val="both"/>
        <w:ind w:left="1960" w:hanging="7"/>
        <w:spacing w:after="0" w:line="250" w:lineRule="auto"/>
        <w:tabs>
          <w:tab w:leader="none" w:pos="2299"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amount equal to the aggregate amount of any gain attributable to the Company or its Subsidiaries as a result of the redemption of one or more of the Company’s or its Subsidiaries’ corporation owned life insurance policies to the extent such amounts are held in trust for the payment of employee benefits; and</w:t>
      </w:r>
    </w:p>
    <w:p>
      <w:pPr>
        <w:spacing w:after="0" w:line="186" w:lineRule="exact"/>
        <w:rPr>
          <w:rFonts w:ascii="Arial" w:cs="Arial" w:eastAsia="Arial" w:hAnsi="Arial"/>
          <w:sz w:val="20"/>
          <w:szCs w:val="20"/>
          <w:color w:val="auto"/>
        </w:rPr>
      </w:pPr>
    </w:p>
    <w:p>
      <w:pPr>
        <w:ind w:left="1960" w:hanging="7"/>
        <w:spacing w:after="0" w:line="260" w:lineRule="auto"/>
        <w:tabs>
          <w:tab w:leader="none" w:pos="2352" w:val="left"/>
        </w:tabs>
        <w:numPr>
          <w:ilvl w:val="0"/>
          <w:numId w:val="13"/>
        </w:numPr>
        <w:rPr>
          <w:rFonts w:ascii="Arial" w:cs="Arial" w:eastAsia="Arial" w:hAnsi="Arial"/>
          <w:sz w:val="20"/>
          <w:szCs w:val="20"/>
          <w:color w:val="auto"/>
        </w:rPr>
      </w:pPr>
      <w:r>
        <w:rPr>
          <w:rFonts w:ascii="Arial" w:cs="Arial" w:eastAsia="Arial" w:hAnsi="Arial"/>
          <w:sz w:val="20"/>
          <w:szCs w:val="20"/>
          <w:color w:val="auto"/>
        </w:rPr>
        <w:t>cash expenditures in respect of Swap Agreements during such period to the extent not deducted in arriving at such Consolidated Net Income;</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with respect to the fiscal year ending August 26, 2017, Excess Cash Flow shall be calculated solely with respect to the full fiscal quarters ended after the Effective Date.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Cash Flow Period</w:t>
      </w:r>
      <w:r>
        <w:rPr>
          <w:rFonts w:ascii="Arial" w:cs="Arial" w:eastAsia="Arial" w:hAnsi="Arial"/>
          <w:sz w:val="19"/>
          <w:szCs w:val="19"/>
          <w:color w:val="auto"/>
        </w:rPr>
        <w:t xml:space="preserve">” means each fiscal year of the Borrower commencing with the fiscal year ending on or about August 26, 2017, but in all cases for purposes of calculating the Cumulative Retained Excess Cash Flow Amount shall only include such fiscal years for which financial statements have been delivered in accordance with Sections 5.01(a) and 5.01(b) and for which any prepayments required by Section 2.11(d) (if any) have been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the fiscal year ending August 26, 2017, the Excess Cash Flow Period shall begin on the first day of the first full fiscal quarter ending after the Effective Date.</w:t>
      </w:r>
    </w:p>
    <w:p>
      <w:pPr>
        <w:spacing w:after="0" w:line="194"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collectively:</w:t>
      </w:r>
    </w:p>
    <w:p>
      <w:pPr>
        <w:spacing w:after="0" w:line="216" w:lineRule="exact"/>
        <w:rPr>
          <w:sz w:val="20"/>
          <w:szCs w:val="20"/>
          <w:color w:val="auto"/>
        </w:rPr>
      </w:pPr>
    </w:p>
    <w:p>
      <w:pPr>
        <w:ind w:left="1580" w:hanging="275"/>
        <w:spacing w:after="0"/>
        <w:tabs>
          <w:tab w:leader="none" w:pos="1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fee-owned real property that does not constitute Material Real Property and all leasehold interests in real property;</w:t>
      </w:r>
    </w:p>
    <w:p>
      <w:pPr>
        <w:spacing w:after="0" w:line="238" w:lineRule="exact"/>
        <w:rPr>
          <w:rFonts w:ascii="Arial" w:cs="Arial" w:eastAsia="Arial" w:hAnsi="Arial"/>
          <w:sz w:val="18"/>
          <w:szCs w:val="18"/>
          <w:color w:val="auto"/>
        </w:rPr>
      </w:pPr>
    </w:p>
    <w:p>
      <w:pPr>
        <w:jc w:val="both"/>
        <w:ind w:firstLine="1305"/>
        <w:spacing w:after="0" w:line="244" w:lineRule="auto"/>
        <w:tabs>
          <w:tab w:leader="none" w:pos="1577"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194" w:lineRule="exact"/>
        <w:rPr>
          <w:rFonts w:ascii="Arial" w:cs="Arial" w:eastAsia="Arial" w:hAnsi="Arial"/>
          <w:sz w:val="20"/>
          <w:szCs w:val="20"/>
          <w:color w:val="auto"/>
        </w:rPr>
      </w:pPr>
    </w:p>
    <w:p>
      <w:pPr>
        <w:jc w:val="both"/>
        <w:ind w:firstLine="1305"/>
        <w:spacing w:after="0" w:line="244" w:lineRule="auto"/>
        <w:tabs>
          <w:tab w:leader="none" w:pos="1606"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upon the ineffectiveness, lapse or termination of any such prohibitions, such assets shall automatically cease to constitute Excluded Assets;</w:t>
      </w:r>
    </w:p>
    <w:p>
      <w:pPr>
        <w:spacing w:after="0" w:line="194" w:lineRule="exact"/>
        <w:rPr>
          <w:rFonts w:ascii="Arial" w:cs="Arial" w:eastAsia="Arial" w:hAnsi="Arial"/>
          <w:sz w:val="20"/>
          <w:szCs w:val="20"/>
          <w:color w:val="auto"/>
        </w:rPr>
      </w:pPr>
    </w:p>
    <w:p>
      <w:pPr>
        <w:ind w:left="1580" w:hanging="275"/>
        <w:spacing w:after="0"/>
        <w:tabs>
          <w:tab w:leader="none" w:pos="15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margin stock (within the meaning of Regulation U issued by the Board);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420"/>
          </w:cols>
          <w:pgMar w:left="240" w:top="811" w:right="239" w:bottom="1440" w:gutter="0" w:footer="0" w:header="0"/>
        </w:sectPr>
      </w:pPr>
    </w:p>
    <w:bookmarkStart w:id="28" w:name="page29"/>
    <w:bookmarkEnd w:id="28"/>
    <w:p>
      <w:pPr>
        <w:jc w:val="both"/>
        <w:ind w:right="20" w:firstLine="1305"/>
        <w:spacing w:after="0" w:line="250" w:lineRule="auto"/>
        <w:tabs>
          <w:tab w:leader="none" w:pos="1572" w:val="left"/>
        </w:tabs>
        <w:numPr>
          <w:ilvl w:val="0"/>
          <w:numId w:val="15"/>
        </w:numPr>
        <w:rPr>
          <w:rFonts w:ascii="Arial" w:cs="Arial" w:eastAsia="Arial" w:hAnsi="Arial"/>
          <w:sz w:val="20"/>
          <w:szCs w:val="20"/>
          <w:color w:val="auto"/>
        </w:rPr>
      </w:pPr>
      <w:r>
        <w:rPr>
          <w:rFonts w:ascii="Arial" w:cs="Arial" w:eastAsia="Arial" w:hAnsi="Arial"/>
          <w:sz w:val="20"/>
          <w:szCs w:val="20"/>
          <w:color w:val="auto"/>
        </w:rPr>
        <w:t>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spacing w:after="0" w:line="186" w:lineRule="exact"/>
        <w:rPr>
          <w:rFonts w:ascii="Arial" w:cs="Arial" w:eastAsia="Arial" w:hAnsi="Arial"/>
          <w:sz w:val="20"/>
          <w:szCs w:val="20"/>
          <w:color w:val="auto"/>
        </w:rPr>
      </w:pPr>
    </w:p>
    <w:p>
      <w:pPr>
        <w:ind w:right="20" w:firstLine="1305"/>
        <w:spacing w:after="0" w:line="316" w:lineRule="auto"/>
        <w:tabs>
          <w:tab w:leader="none" w:pos="1544"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letter of credit rights with a value of less than $5,000,000 (other than to the extent the security interest in such letter of credit right may be perfected by the filing of UCC financing statements) and commercial tort claims with a value of less than $5,000,000;</w:t>
      </w:r>
    </w:p>
    <w:p>
      <w:pPr>
        <w:spacing w:after="0" w:line="130" w:lineRule="exact"/>
        <w:rPr>
          <w:rFonts w:ascii="Arial" w:cs="Arial" w:eastAsia="Arial" w:hAnsi="Arial"/>
          <w:sz w:val="18"/>
          <w:szCs w:val="18"/>
          <w:color w:val="auto"/>
        </w:rPr>
      </w:pPr>
    </w:p>
    <w:p>
      <w:pPr>
        <w:jc w:val="both"/>
        <w:ind w:firstLine="1305"/>
        <w:spacing w:after="0" w:line="273" w:lineRule="auto"/>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upon the ineffectiveness, lapse or termination of any such term, such assets shall automatically cease to constitute Excluded Assets;</w:t>
      </w:r>
    </w:p>
    <w:p>
      <w:pPr>
        <w:spacing w:after="0" w:line="169" w:lineRule="exact"/>
        <w:rPr>
          <w:rFonts w:ascii="Arial" w:cs="Arial" w:eastAsia="Arial" w:hAnsi="Arial"/>
          <w:sz w:val="18"/>
          <w:szCs w:val="18"/>
          <w:color w:val="auto"/>
        </w:rPr>
      </w:pPr>
    </w:p>
    <w:p>
      <w:pPr>
        <w:jc w:val="both"/>
        <w:ind w:firstLine="1305"/>
        <w:spacing w:after="0" w:line="250" w:lineRule="auto"/>
        <w:tabs>
          <w:tab w:leader="none" w:pos="159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spacing w:after="0" w:line="186" w:lineRule="exact"/>
        <w:rPr>
          <w:rFonts w:ascii="Arial" w:cs="Arial" w:eastAsia="Arial" w:hAnsi="Arial"/>
          <w:sz w:val="20"/>
          <w:szCs w:val="20"/>
          <w:color w:val="auto"/>
        </w:rPr>
      </w:pPr>
    </w:p>
    <w:p>
      <w:pPr>
        <w:ind w:right="20" w:firstLine="1305"/>
        <w:spacing w:after="0" w:line="287" w:lineRule="auto"/>
        <w:tabs>
          <w:tab w:leader="none" w:pos="15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those assets as to which the Administrative Agent and the Borrower reasonably agree that the cost of obtaining such a security interest or perfection thereof are excessive in relation to the benefit to the Lenders of the security to be afforded thereby;</w:t>
      </w:r>
    </w:p>
    <w:p>
      <w:pPr>
        <w:spacing w:after="0" w:line="152" w:lineRule="exact"/>
        <w:rPr>
          <w:rFonts w:ascii="Arial" w:cs="Arial" w:eastAsia="Arial" w:hAnsi="Arial"/>
          <w:sz w:val="19"/>
          <w:szCs w:val="19"/>
          <w:color w:val="auto"/>
        </w:rPr>
      </w:pPr>
    </w:p>
    <w:p>
      <w:pPr>
        <w:ind w:left="1540" w:hanging="235"/>
        <w:spacing w:after="0"/>
        <w:tabs>
          <w:tab w:leader="none" w:pos="154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any aircrafts and aircraft engines; and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(j) Excluded Accounts.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“Excluded Assets” shall not include any proceeds, products, substitutions or replacements of Excluded Assets (unless such proceeds, products, substitutions or replacements would otherwise constitute Excluded Assets).</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Domestic Subsidiary</w:t>
      </w:r>
      <w:r>
        <w:rPr>
          <w:rFonts w:ascii="Arial" w:cs="Arial" w:eastAsia="Arial" w:hAnsi="Arial"/>
          <w:sz w:val="20"/>
          <w:szCs w:val="20"/>
          <w:color w:val="auto"/>
        </w:rPr>
        <w:t>” means (a) any Domestic Subsidiary whose Equity Interests are owned directly or indirectly by a CFC and (b) any Domestic Foreign Holdco Subsidiary.</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Foreign Subsidiary</w:t>
      </w:r>
      <w:r>
        <w:rPr>
          <w:rFonts w:ascii="Arial" w:cs="Arial" w:eastAsia="Arial" w:hAnsi="Arial"/>
          <w:sz w:val="20"/>
          <w:szCs w:val="20"/>
          <w:color w:val="auto"/>
        </w:rPr>
        <w:t>” means a Foreign Subsidiary which is (a) a CFC or (b) a direct or indirect Foreign Subsidiary owned by a CFC or Domestic Foreign Holdco Subsidiary.</w:t>
      </w:r>
    </w:p>
    <w:p>
      <w:pPr>
        <w:spacing w:after="0" w:line="177"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8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acquires such interest in the Loan or Commitment (other than pursuant to an assignment request by the Borrower under Section 2.19(b)) or</w:t>
      </w:r>
    </w:p>
    <w:p>
      <w:pPr>
        <w:spacing w:after="0" w:line="39" w:lineRule="exact"/>
        <w:rPr>
          <w:sz w:val="20"/>
          <w:szCs w:val="20"/>
          <w:color w:val="auto"/>
        </w:rPr>
      </w:pPr>
    </w:p>
    <w:p>
      <w:pPr>
        <w:jc w:val="both"/>
        <w:ind w:firstLine="8"/>
        <w:spacing w:after="0" w:line="241" w:lineRule="auto"/>
        <w:tabs>
          <w:tab w:leader="none" w:pos="298" w:val="left"/>
        </w:tabs>
        <w:numPr>
          <w:ilvl w:val="0"/>
          <w:numId w:val="16"/>
        </w:numPr>
        <w:rPr>
          <w:rFonts w:ascii="Arial" w:cs="Arial" w:eastAsia="Arial" w:hAnsi="Arial"/>
          <w:sz w:val="20"/>
          <w:szCs w:val="20"/>
          <w:color w:val="auto"/>
        </w:rPr>
      </w:pPr>
      <w:r>
        <w:rPr>
          <w:rFonts w:ascii="Arial" w:cs="Arial" w:eastAsia="Arial" w:hAnsi="Arial"/>
          <w:sz w:val="20"/>
          <w:szCs w:val="20"/>
          <w:color w:val="auto"/>
        </w:rPr>
        <w:t>such Lender changes its lending office, except in each case to the extent that, pursuant to Section 2.17, amounts with respect to such Taxes were payable either to such Lender’s assignor immediately before such Lender acquired the applicable interest in a Loan or Commitment or to such Lender immediately before it changed its lending office, (c) Taxes attributable to such Recipient’s failure to comply with Section 2.17(f) and (d) any U.S. Federal withholding Taxes imposed under FATCA.</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that certain Credit Agreement, dated as of October 31, 2012 by and among the Company and Winnebago of Indiana, as borrowers, the other credit parties from time to time party thereto, the lenders party thereto and Wells Fargo Bank, N.A., as agent, as amended, restated, supplemented or otherwise modified prior to the Effective Date.</w:t>
      </w:r>
    </w:p>
    <w:p>
      <w:pPr>
        <w:spacing w:after="0" w:line="17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the term loan facility evidenced by the Tranche B Term Loan Commitments and the Tranche B Term Loans or (b) any other credit facility created hereunder pursuant to an Incremental Amendment, a Loan Modification Agreement or a Refinancing Amendment, as the context may require.</w:t>
      </w:r>
    </w:p>
    <w:p>
      <w:pPr>
        <w:spacing w:after="0" w:line="18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(or any amended or successor version that is substantively comparable and not materially more onerous to comply with), any intergovernmental agreement between a non-U.S. jurisdiction and the United States of America with respect to the foregoing and any law, regulation, fiscal or regulatory legislation, or official rule, guidance note or practice adopted pursuant to any such intergovernmental agreement.</w:t>
      </w:r>
    </w:p>
    <w:p>
      <w:pPr>
        <w:spacing w:after="0" w:line="179"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Release Conditions</w:t>
      </w:r>
      <w:r>
        <w:rPr>
          <w:rFonts w:ascii="Arial" w:cs="Arial" w:eastAsia="Arial" w:hAnsi="Arial"/>
          <w:sz w:val="20"/>
          <w:szCs w:val="20"/>
          <w:color w:val="auto"/>
        </w:rPr>
        <w:t>” has the meaning assigned to such term in Section 9.22(c).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227"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Net Leverage Ratio</w:t>
      </w:r>
      <w:r>
        <w:rPr>
          <w:rFonts w:ascii="Arial" w:cs="Arial" w:eastAsia="Arial" w:hAnsi="Arial"/>
          <w:sz w:val="16"/>
          <w:szCs w:val="16"/>
          <w:color w:val="auto"/>
        </w:rPr>
        <w:t xml:space="preserve">” means, as of any date of determination, the ratio of (a) an amount equal to (i) Consolidated Total Secured Indebtedness, but excluding any secured indebtedness to the extent the Liens with respect thereto are subordinated to the Liens securing the Secured Obligations or the ABL Obligations, as of the last day of the most recent Test Period on or prior to such date of determination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(ii) Consolidated EBITDA of the Company and its Subsidiaries for such Test Period.</w:t>
      </w:r>
    </w:p>
    <w:p>
      <w:pPr>
        <w:spacing w:after="0" w:line="14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Tier Foreign Subsidiary</w:t>
      </w:r>
      <w:r>
        <w:rPr>
          <w:rFonts w:ascii="Arial" w:cs="Arial" w:eastAsia="Arial" w:hAnsi="Arial"/>
          <w:sz w:val="19"/>
          <w:szCs w:val="19"/>
          <w:color w:val="auto"/>
        </w:rPr>
        <w:t>” means each Foreign Subsidiary with respect to which any one or more of the Company and its Domestic Subsidiaries directly owns more than 50% of such Foreign Subsidiary’s issued and outstanding Equity Interests.</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has the meaning assigned to such term in Article VIII.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811" w:right="239" w:bottom="1440" w:gutter="0" w:footer="0" w:header="0"/>
        </w:sectPr>
      </w:pPr>
    </w:p>
    <w:bookmarkStart w:id="30" w:name="page31"/>
    <w:bookmarkEnd w:id="30"/>
    <w:p>
      <w:pPr>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such Borrower is resident for tax purposes.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which is not a Domestic Subsidiary.</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Debt</w:t>
      </w:r>
      <w:r>
        <w:rPr>
          <w:rFonts w:ascii="Arial" w:cs="Arial" w:eastAsia="Arial" w:hAnsi="Arial"/>
          <w:sz w:val="19"/>
          <w:szCs w:val="19"/>
          <w:color w:val="auto"/>
        </w:rPr>
        <w:t>” means all Indebtedness of the Company and the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w:t>
      </w:r>
      <w:r>
        <w:rPr>
          <w:rFonts w:ascii="Arial" w:cs="Arial" w:eastAsia="Arial" w:hAnsi="Arial"/>
          <w:sz w:val="20"/>
          <w:szCs w:val="20"/>
          <w:color w:val="auto"/>
        </w:rPr>
        <w:t>” means Grand Design RV, LLC, an Indiana limited liability company.</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Acquisition</w:t>
      </w:r>
      <w:r>
        <w:rPr>
          <w:rFonts w:ascii="Arial" w:cs="Arial" w:eastAsia="Arial" w:hAnsi="Arial"/>
          <w:sz w:val="20"/>
          <w:szCs w:val="20"/>
          <w:color w:val="auto"/>
        </w:rPr>
        <w:t>” means the acquisition of all of the outstanding Equity Interests of Grand Design by the Company pursuant to the Grand Design Purchase Agreement.</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Purchase Agreement</w:t>
      </w:r>
      <w:r>
        <w:rPr>
          <w:rFonts w:ascii="Arial" w:cs="Arial" w:eastAsia="Arial" w:hAnsi="Arial"/>
          <w:sz w:val="20"/>
          <w:szCs w:val="20"/>
          <w:color w:val="auto"/>
        </w:rPr>
        <w:t>” means the Securities Purchase Agreement, dated as of October 2, 2016, by and among Grand Design, as the company, Summit Partners Growth Equity Fund VIII-B, L.P., Summit Partners Growth Equity Fund VIII-A, L.P., Summit Partners Entrepreneur Advisors Fund I, L.P., Summit Investors I, LLC, Summit Investors I (UK), L.P., SP GE VIII-B GD RV Holdings, L.P. and RDB III, Inc., as sellers, Donald Clark, Ronald Fenech and William Fenech, as RDB shareholders, SP GE VIII-B GD RV Holdings, L.P., as sellers’ representative, Octavius Corporation, as buyer, and the Company.</w:t>
      </w:r>
    </w:p>
    <w:p>
      <w:pPr>
        <w:spacing w:after="0" w:line="195"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Purchase Agreement Representations</w:t>
      </w:r>
      <w:r>
        <w:rPr>
          <w:rFonts w:ascii="Arial" w:cs="Arial" w:eastAsia="Arial" w:hAnsi="Arial"/>
          <w:sz w:val="20"/>
          <w:szCs w:val="20"/>
          <w:color w:val="auto"/>
        </w:rPr>
        <w:t>” means such of the representations made by or on behalf of Grand Design in the Grand Design Merger Agreement as are material to the interests of the Lenders, but only to the extent that the accuracy of any such representation is a condition to the Company’s (or any of its affiliates’) obligations to close the Grand Design Acquisition under the Grand Design Merger Agreement or the Company (or any of its affiliates) has the right to terminate the Company’s (or any of its affiliates’) obligations under the Grand Design Purchase Agreement or decline to consummate the Grand Design Acquisition as a result of a breach of such representations in the Grand Design Purchase Agreement.</w:t>
      </w:r>
    </w:p>
    <w:p>
      <w:pPr>
        <w:spacing w:after="0" w:line="19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11" w:right="239" w:bottom="1440" w:gutter="0" w:footer="0" w:header="0"/>
        </w:sectPr>
      </w:pPr>
    </w:p>
    <w:bookmarkStart w:id="31" w:name="page32"/>
    <w:bookmarkEnd w:id="31"/>
    <w:p>
      <w:pPr>
        <w:jc w:val="both"/>
        <w:ind w:right="20"/>
        <w:spacing w:after="0" w:line="287" w:lineRule="auto"/>
        <w:rPr>
          <w:sz w:val="20"/>
          <w:szCs w:val="20"/>
          <w:color w:val="auto"/>
        </w:rPr>
      </w:pPr>
      <w:r>
        <w:rPr>
          <w:rFonts w:ascii="Arial" w:cs="Arial" w:eastAsia="Arial" w:hAnsi="Arial"/>
          <w:sz w:val="19"/>
          <w:szCs w:val="19"/>
          <w:color w:val="auto"/>
        </w:rPr>
        <w:t xml:space="preserve">obligation or (d) as an account party in respect of any letter of credit or letter of guaranty issued to support such Indebtedness or obligation;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term Guarantee shall not include endorsements for collection or deposit in the ordinary course of business.</w:t>
      </w:r>
    </w:p>
    <w:p>
      <w:pPr>
        <w:spacing w:after="0" w:line="153"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Hostile Acquisition</w:t>
      </w:r>
      <w:r>
        <w:rPr>
          <w:rFonts w:ascii="Arial" w:cs="Arial" w:eastAsia="Arial" w:hAnsi="Arial"/>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Amendment</w:t>
      </w:r>
      <w:r>
        <w:rPr>
          <w:rFonts w:ascii="Arial" w:cs="Arial" w:eastAsia="Arial" w:hAnsi="Arial"/>
          <w:sz w:val="20"/>
          <w:szCs w:val="20"/>
          <w:color w:val="auto"/>
        </w:rPr>
        <w:t>” has the meaning assigned to such term in Section 2.20.</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means Indebtedness in the form of senior secured, senior unsecured, senior subordinated, or subordinated notes or loans incurred by any Loan Party in lieu of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principal amount of all Incremental Equivalent Debt at the time of issuance or incurrence shall not exceed the amount that would be permitted to be incurred as Incremental Loans under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at such time (with any Incremental Equivalent Debt being deemed to constitute Indebtedness that is secured on a pari passu basis with the Term Loans for purposes calculating the First Lien Net Leverage Ratio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 xml:space="preserve"> even if not so secured), (B) such Indebtedness shall not mature earlier than the date that is ninety-one (91) days after the Latest Maturity Date then in effect, and shall have a Weighted Average Life to Maturity no shorter than the Class of Term Loans with the latest Maturity Date in effect at the time of incurrence of such Indebtedness, (C) such Indebtedness shall not (and any Guarantees thereof by the Company or any of the Subsidiaries shall not) be secured by any collateral other than the Collateral, (D) the covenants, events of default and other terms applicable to such Indebtedness shall be customary for similar Indebtedness in light of then-prevailing market conditions, (E) such Indebtedness shall not be guaranteed by any Persons other than a Loan Party, (F) if such Indebtedness is a in the form of a term loan facility and is secured by a Lien on the Collateral that is pari passu with the Lien securing the Secured Obligations, the terms set forth in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of the penultimate sentence of </w:t>
      </w:r>
      <w:r>
        <w:rPr>
          <w:rFonts w:ascii="Arial" w:cs="Arial" w:eastAsia="Arial" w:hAnsi="Arial"/>
          <w:sz w:val="18"/>
          <w:szCs w:val="18"/>
          <w:u w:val="single" w:color="auto"/>
          <w:color w:val="auto"/>
        </w:rPr>
        <w:t>Section 2.20(b)</w:t>
      </w:r>
      <w:r>
        <w:rPr>
          <w:rFonts w:ascii="Arial" w:cs="Arial" w:eastAsia="Arial" w:hAnsi="Arial"/>
          <w:sz w:val="18"/>
          <w:szCs w:val="18"/>
          <w:color w:val="auto"/>
        </w:rPr>
        <w:t xml:space="preserve"> shall have been complied with as if such Indebtedness was considered an Incremental Term Loan, (G) if such Indebtedness is secured, the trustee, collateral agent, security agent or similar Person, acting on behalf of the holders of such Indebtedness, shall have become party to an Intercreditor Agreement and (H) the Borrower shall have delivered to the Administrative Agent a certificate of a Responsible Officer, together with all relevant financial information reasonably requested by the Administrative Agent, certifying compliance with clauses (A) through (G) of this proviso. Incremental Equivalent Debt will include any Registered Equivalent Notes issued in exchange therefor.</w:t>
      </w:r>
    </w:p>
    <w:p>
      <w:pPr>
        <w:spacing w:after="0" w:line="175"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means the incurrence by the Borrower of one or more additional tranches of Loans hereunder or the increase in the amount of the Loans hereunder in accordance with the terms of Section 2.20 (such Loans, the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has the meaning assigned to such term in the definition of “Incremental Term Facility”.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11" w:right="239" w:bottom="1440" w:gutter="0" w:footer="0" w:header="0"/>
        </w:sectPr>
      </w:pPr>
    </w:p>
    <w:bookmarkStart w:id="32" w:name="page33"/>
    <w:bookmarkEnd w:id="32"/>
    <w:p>
      <w:pPr>
        <w:jc w:val="both"/>
        <w:ind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w:t>
      </w:r>
    </w:p>
    <w:p>
      <w:pPr>
        <w:spacing w:after="0" w:line="1" w:lineRule="exact"/>
        <w:rPr>
          <w:sz w:val="20"/>
          <w:szCs w:val="20"/>
          <w:color w:val="auto"/>
        </w:rPr>
      </w:pPr>
    </w:p>
    <w:p>
      <w:pPr>
        <w:jc w:val="both"/>
        <w:ind w:firstLine="8"/>
        <w:spacing w:after="0" w:line="268" w:lineRule="auto"/>
        <w:tabs>
          <w:tab w:leader="none" w:pos="2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and (k) obligations of such Person under Sale and Leaseback Transactions (other than such obligations constituting operating lease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obligations under any Swap Agreement; (v) obligations in respect of Banking Services; (vi) licenses and operating leases or (vii) Permitted Call Spread Swap Agreements, and any obligations thereunder.</w:t>
      </w:r>
    </w:p>
    <w:p>
      <w:pPr>
        <w:spacing w:after="0" w:line="172"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Confidential Information Memorandum dated October 2016 relating to the Company and the Transactions.</w:t>
      </w:r>
    </w:p>
    <w:p>
      <w:pPr>
        <w:spacing w:after="0" w:line="177" w:lineRule="exact"/>
        <w:rPr>
          <w:sz w:val="20"/>
          <w:szCs w:val="20"/>
          <w:color w:val="auto"/>
        </w:rPr>
      </w:pPr>
    </w:p>
    <w:p>
      <w:pPr>
        <w:jc w:val="both"/>
        <w:ind w:firstLine="1297"/>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Intercreditor Agreement</w:t>
      </w:r>
      <w:r>
        <w:rPr>
          <w:rFonts w:ascii="Arial" w:cs="Arial" w:eastAsia="Arial" w:hAnsi="Arial"/>
          <w:sz w:val="16"/>
          <w:szCs w:val="16"/>
          <w:color w:val="auto"/>
        </w:rPr>
        <w:t>” means (a) in respect of the ABL Facility, the ABL/Term Loan Intercreditor Agreement (b) in respect of any other Indebtedness intended to be secured by some or all of the Collateral on a pari passu basis with the Secured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Borrower and (c) in respect of any other Indebtedness intended to be secured by some or all of the Collateral on a junior priority basis with the Secured Obligations, an intercreditor agreement reasonably acceptable to the Administrative Agent the terms of which are consistent 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Borrower.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11" w:right="239" w:bottom="1440" w:gutter="0" w:footer="0" w:header="0"/>
        </w:sectPr>
      </w:pPr>
    </w:p>
    <w:bookmarkStart w:id="33" w:name="page34"/>
    <w:bookmarkEnd w:id="33"/>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to convert or continue a Borrowing in accordance with 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2.08.</w:t>
      </w:r>
    </w:p>
    <w:p>
      <w:pPr>
        <w:spacing w:after="0" w:line="200"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day of each March, June, September and December and the Maturity Date of the Facility under which such ABR Loan was made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of the Facility under which such Eurodollar Loan was made.</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Eurodollar Borrowing, the period commencing on the date of such Borrowing and ending on the numerically corresponding day in the calendar month that is one, two, three or six months thereafter, as the Borrower may elect; </w:t>
      </w:r>
      <w:r>
        <w:rPr>
          <w:rFonts w:ascii="Arial" w:cs="Arial" w:eastAsia="Arial" w:hAnsi="Arial"/>
          <w:sz w:val="18"/>
          <w:szCs w:val="18"/>
          <w:u w:val="single" w:color="auto"/>
          <w:color w:val="auto"/>
        </w:rPr>
        <w:t>provided</w:t>
      </w:r>
      <w:r>
        <w:rPr>
          <w:rFonts w:ascii="Arial" w:cs="Arial" w:eastAsia="Arial" w:hAnsi="Arial"/>
          <w:sz w:val="18"/>
          <w:szCs w:val="18"/>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6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Interpolated Rate</w:t>
      </w:r>
      <w:r>
        <w:rPr>
          <w:rFonts w:ascii="Arial" w:cs="Arial" w:eastAsia="Arial" w:hAnsi="Arial"/>
          <w:sz w:val="19"/>
          <w:szCs w:val="19"/>
          <w:color w:val="auto"/>
        </w:rPr>
        <w:t>” means, at any time, for any Interest Period, the rate per annum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Notwithstanding the foregoing, if any Interpolated Rate shall be less than zero, such rate shall be deemed to be zero for purposes of this Agreement.</w:t>
      </w:r>
    </w:p>
    <w:p>
      <w:pPr>
        <w:spacing w:after="0" w:line="17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with respect to a specified Person, (a) any direct or indirect acquisition of or investment by such Person in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 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minus any payments actually received in cash, or other property that has been converted into cash or is readily marketable for cash, by such specified Person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811" w:right="239" w:bottom="1440" w:gutter="0" w:footer="0" w:header="0"/>
        </w:sectPr>
      </w:pPr>
    </w:p>
    <w:bookmarkStart w:id="34" w:name="page35"/>
    <w:bookmarkEnd w:id="34"/>
    <w:p>
      <w:pPr>
        <w:jc w:val="both"/>
        <w:spacing w:after="0" w:line="269" w:lineRule="auto"/>
        <w:rPr>
          <w:sz w:val="20"/>
          <w:szCs w:val="20"/>
          <w:color w:val="auto"/>
        </w:rPr>
      </w:pPr>
      <w:r>
        <w:rPr>
          <w:rFonts w:ascii="Arial" w:cs="Arial" w:eastAsia="Arial" w:hAnsi="Arial"/>
          <w:sz w:val="18"/>
          <w:szCs w:val="18"/>
          <w:color w:val="auto"/>
        </w:rPr>
        <w:t xml:space="preserve">representing a return of capital of, or dividends or other distributions in respect of, such Investment, but without any adjustment for increases or decreases in value of, or write-ups, write-downs or write-offs with respect to, such Investment after the date of such transfer, (iv) any Investment (other than any Investment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plus the cost of all additions, as of such date, thereto, and minus the amount, as of such date, of any portion of such Investment repaid to the investor in cash as a repayment of principal or a return of capital, and of any payments or other amounts actually received by such investor representing dividends, returns, interest, profits, distributions, income or similar amount, in respect of such Investment,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 of the Company.</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means a Joinder Agreement in substantially the form of Exhibit 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 national banking association, in its individual capacity, and its successors.</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Latest Maturity Date</w:t>
      </w:r>
      <w:r>
        <w:rPr>
          <w:rFonts w:ascii="Arial" w:cs="Arial" w:eastAsia="Arial" w:hAnsi="Arial"/>
          <w:sz w:val="20"/>
          <w:szCs w:val="20"/>
          <w:color w:val="auto"/>
        </w:rPr>
        <w:t>” means, at any date of determination, the latest Maturity Date applicable to any Loan or Commitment hereunder at such time, in each case as extended in accordance with this Agreement from time to time.</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w:t>
      </w:r>
      <w:r>
        <w:rPr>
          <w:rFonts w:ascii="Arial" w:cs="Arial" w:eastAsia="Arial" w:hAnsi="Arial"/>
          <w:sz w:val="20"/>
          <w:szCs w:val="20"/>
          <w:color w:val="auto"/>
        </w:rPr>
        <w:t>” means JPMorgan Chase Bank, N.A. in its capacity as the sole lead arranger and bookrunner for the credit facility evidenced by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3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Lenders</w:t>
      </w:r>
      <w:r>
        <w:rPr>
          <w:rFonts w:ascii="Arial" w:cs="Arial" w:eastAsia="Arial" w:hAnsi="Arial"/>
          <w:sz w:val="20"/>
          <w:szCs w:val="20"/>
          <w:color w:val="auto"/>
        </w:rPr>
        <w:t xml:space="preserve">” means the Persons listed on the </w:t>
      </w:r>
      <w:r>
        <w:rPr>
          <w:rFonts w:ascii="Arial" w:cs="Arial" w:eastAsia="Arial" w:hAnsi="Arial"/>
          <w:sz w:val="20"/>
          <w:szCs w:val="20"/>
          <w:u w:val="single" w:color="auto"/>
          <w:color w:val="auto"/>
        </w:rPr>
        <w:t>Commitment Schedule</w:t>
      </w:r>
      <w:r>
        <w:rPr>
          <w:rFonts w:ascii="Arial" w:cs="Arial" w:eastAsia="Arial" w:hAnsi="Arial"/>
          <w:sz w:val="20"/>
          <w:szCs w:val="20"/>
          <w:color w:val="auto"/>
        </w:rPr>
        <w:t xml:space="preserve"> and any other Person that shall have become a Lender hereunder pursuant to Section 2.20 or Section 2.27 or pursuant to an Assignment and Assumption or other documentation contemplated hereby, other than any such Person that ceases to be a party hereto pursuant to an Assignment and Assumption or other documentation contemplated hereby.</w:t>
      </w:r>
    </w:p>
    <w:p>
      <w:pPr>
        <w:spacing w:after="0" w:line="192"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811" w:right="239" w:bottom="1440" w:gutter="0" w:footer="0" w:header="0"/>
        </w:sectPr>
      </w:pPr>
    </w:p>
    <w:bookmarkStart w:id="35" w:name="page36"/>
    <w:bookmarkEnd w:id="35"/>
    <w:p>
      <w:pPr>
        <w:jc w:val="both"/>
        <w:spacing w:after="0" w:line="273" w:lineRule="auto"/>
        <w:rPr>
          <w:sz w:val="20"/>
          <w:szCs w:val="20"/>
          <w:color w:val="auto"/>
        </w:rPr>
      </w:pPr>
      <w:r>
        <w:rPr>
          <w:rFonts w:ascii="Arial" w:cs="Arial" w:eastAsia="Arial" w:hAnsi="Arial"/>
          <w:sz w:val="18"/>
          <w:szCs w:val="18"/>
          <w:color w:val="auto"/>
        </w:rPr>
        <w:t>reasonable discretion, in each case (the “</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at approximately 11:00 a.m., London time, two (2) Business Days prior to the commencement of such Interest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if the LIBO Screen Rate shall be less than zero, such rate shall be deemed to be zero for the purposes of this Agreement and (y) if the LIBO Screen Rate shall not be available at such time for a period equal in length to such Interest Period (an “</w:t>
      </w:r>
      <w:r>
        <w:rPr>
          <w:rFonts w:ascii="Arial" w:cs="Arial" w:eastAsia="Arial" w:hAnsi="Arial"/>
          <w:sz w:val="18"/>
          <w:szCs w:val="18"/>
          <w:u w:val="single" w:color="auto"/>
          <w:color w:val="auto"/>
        </w:rPr>
        <w:t>Impacted Interest Period</w:t>
      </w:r>
      <w:r>
        <w:rPr>
          <w:rFonts w:ascii="Arial" w:cs="Arial" w:eastAsia="Arial" w:hAnsi="Arial"/>
          <w:sz w:val="18"/>
          <w:szCs w:val="18"/>
          <w:color w:val="auto"/>
        </w:rPr>
        <w:t xml:space="preserve">”), then the LIBO Rate shall be the Interpolated Rate at such time, subject to Section 2.14 in the event that the Administrative Agent shall conclude that it shall not be possible to determine such Interpolated Rate (which conclusion shall be conclusive and binding absent manifest error);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any Interpolated Rate shall be less than zero, such rate shall be deemed to be zero for purposes of this Agreement. Notwithstanding the above, to the extent that “</w:t>
      </w:r>
      <w:r>
        <w:rPr>
          <w:rFonts w:ascii="Arial" w:cs="Arial" w:eastAsia="Arial" w:hAnsi="Arial"/>
          <w:sz w:val="18"/>
          <w:szCs w:val="18"/>
          <w:u w:val="single" w:color="auto"/>
          <w:color w:val="auto"/>
        </w:rPr>
        <w:t>LIBO Rate</w:t>
      </w:r>
      <w:r>
        <w:rPr>
          <w:rFonts w:ascii="Arial" w:cs="Arial" w:eastAsia="Arial" w:hAnsi="Arial"/>
          <w:sz w:val="18"/>
          <w:szCs w:val="18"/>
          <w:color w:val="auto"/>
        </w:rPr>
        <w:t>” or “</w:t>
      </w:r>
      <w:r>
        <w:rPr>
          <w:rFonts w:ascii="Arial" w:cs="Arial" w:eastAsia="Arial" w:hAnsi="Arial"/>
          <w:sz w:val="18"/>
          <w:szCs w:val="18"/>
          <w:u w:val="single" w:color="auto"/>
          <w:color w:val="auto"/>
        </w:rPr>
        <w:t>Adjusted LIBO Rate</w:t>
      </w:r>
      <w:r>
        <w:rPr>
          <w:rFonts w:ascii="Arial" w:cs="Arial" w:eastAsia="Arial" w:hAnsi="Arial"/>
          <w:sz w:val="18"/>
          <w:szCs w:val="18"/>
          <w:color w:val="auto"/>
        </w:rPr>
        <w:t>” is used in connection with an ABR Borrowing, such rate shall be determined as modified by the definition of Alternate Base Rate.</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Screen Rate</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7"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Conditionality Provision</w:t>
      </w:r>
      <w:r>
        <w:rPr>
          <w:rFonts w:ascii="Arial" w:cs="Arial" w:eastAsia="Arial" w:hAnsi="Arial"/>
          <w:sz w:val="19"/>
          <w:szCs w:val="19"/>
          <w:color w:val="auto"/>
        </w:rPr>
        <w:t>” means that, to the extent any Collateral (including the grant or perfection of any security interest therein) is not or cannot be provided on the Effective Date (other than the grant and perfection of security interests in (x) assets of the Company and any other Loan Party with respect to which a Lien may be perfected solely by the filing of a financing statement under the UCC or (y) Equity Interests, if any, of Grand Design or any wholly-owned Pledge Subsidiary of Grand Design with respect to which a Lien may be perfected by the delivery of certificates representing such Equity Interests (to the extent required to be pledged hereunder and received from the Company after its use of commercially reasonable efforts to do so)) after the Company’s use of commercially reasonable efforts to do so or without undue burden or expense, then the provision of such Collateral (including the grant or perfection of any security interest therein) shall not constitute a condition precedent to the effectiveness of this Agreement on the Effective Date and, notwithstanding any provisions set forth in Section 5.14 to the contrary, such Collateral shall not be required to be provided (including the grant and perfection of any security interest therein) until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Effective Date (or such later date as may be agreed upon by the Administrative Agent in its reasonable discretion).</w:t>
      </w:r>
    </w:p>
    <w:p>
      <w:pPr>
        <w:spacing w:after="0" w:line="188"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Conditionality Acquisition</w:t>
      </w:r>
      <w:r>
        <w:rPr>
          <w:rFonts w:ascii="Arial" w:cs="Arial" w:eastAsia="Arial" w:hAnsi="Arial"/>
          <w:sz w:val="18"/>
          <w:szCs w:val="18"/>
          <w:color w:val="auto"/>
        </w:rPr>
        <w:t>” means any acquisition by the Company or any Subsidiary of all or substantially all of the Equity Interests or assets or business of another Person or assets constituting a business unit, line of business or division of such Person (a) that is permitted by this Agreement and (b) the consummation of which is not conditioned upon the availability of, or on obtaining, third party financing or in connection with which any fee or expense would be payable by the Company or its Subsidiaries to the seller or target in the event financing to consummate the acquisition is not obtained as contemplated by the definitive acquisition agreement.</w:t>
      </w:r>
    </w:p>
    <w:p>
      <w:pPr>
        <w:spacing w:after="0" w:line="16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Acquisition Agreement</w:t>
      </w:r>
      <w:r>
        <w:rPr>
          <w:rFonts w:ascii="Arial" w:cs="Arial" w:eastAsia="Arial" w:hAnsi="Arial"/>
          <w:sz w:val="20"/>
          <w:szCs w:val="20"/>
          <w:color w:val="auto"/>
        </w:rPr>
        <w:t>” means, with respect to any Limited Conditionality Acquisition, the definitive acquisition documentation in respect thereof.</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Agreement Refinancing Indebtedness</w:t>
      </w:r>
      <w:r>
        <w:rPr>
          <w:rFonts w:ascii="Arial" w:cs="Arial" w:eastAsia="Arial" w:hAnsi="Arial"/>
          <w:sz w:val="20"/>
          <w:szCs w:val="20"/>
          <w:color w:val="auto"/>
        </w:rPr>
        <w:t>” means Indebtedness incurred pursuant to a Refinancing Amendment, in each case, issued, incurred or otherwise obtained (including by means of the extension or renewal of existing Indebtedness) in exchange for, or to extend, renew, replace, repurchase,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811" w:right="239" w:bottom="1440" w:gutter="0" w:footer="0" w:header="0"/>
        </w:sectPr>
      </w:pPr>
    </w:p>
    <w:bookmarkStart w:id="36" w:name="page37"/>
    <w:bookmarkEnd w:id="36"/>
    <w:p>
      <w:pPr>
        <w:spacing w:after="0" w:line="260" w:lineRule="auto"/>
        <w:rPr>
          <w:sz w:val="20"/>
          <w:szCs w:val="20"/>
          <w:color w:val="auto"/>
        </w:rPr>
      </w:pPr>
      <w:r>
        <w:rPr>
          <w:rFonts w:ascii="Arial" w:cs="Arial" w:eastAsia="Arial" w:hAnsi="Arial"/>
          <w:sz w:val="20"/>
          <w:szCs w:val="20"/>
          <w:color w:val="auto"/>
        </w:rPr>
        <w:t>retire or refinance, in whole or part, existing Term Loans or any then-existing Loan Agreement Refinancing Indebtedness (“</w:t>
      </w:r>
      <w:r>
        <w:rPr>
          <w:rFonts w:ascii="Arial" w:cs="Arial" w:eastAsia="Arial" w:hAnsi="Arial"/>
          <w:sz w:val="20"/>
          <w:szCs w:val="20"/>
          <w:u w:val="single" w:color="auto"/>
          <w:color w:val="auto"/>
        </w:rPr>
        <w:t>Refinanced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7" w:lineRule="exact"/>
        <w:rPr>
          <w:sz w:val="20"/>
          <w:szCs w:val="20"/>
          <w:color w:val="auto"/>
        </w:rPr>
      </w:pPr>
    </w:p>
    <w:p>
      <w:pPr>
        <w:jc w:val="both"/>
        <w:ind w:firstLine="1305"/>
        <w:spacing w:after="0" w:line="250" w:lineRule="auto"/>
        <w:tabs>
          <w:tab w:leader="none" w:pos="1550"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such Loan Agreement Refinancing Indebtedness has a maturity no earlier, and, in the case of Refinancing Term Loans, a Weighted Average Life to Maturity equal to or greater, than the maturity date or the Weighted Average Life to Maturity, as applicable, of the Refinanced Debt;</w:t>
      </w:r>
    </w:p>
    <w:p>
      <w:pPr>
        <w:spacing w:after="0" w:line="186" w:lineRule="exact"/>
        <w:rPr>
          <w:rFonts w:ascii="Arial" w:cs="Arial" w:eastAsia="Arial" w:hAnsi="Arial"/>
          <w:sz w:val="20"/>
          <w:szCs w:val="20"/>
          <w:color w:val="auto"/>
        </w:rPr>
      </w:pPr>
    </w:p>
    <w:p>
      <w:pPr>
        <w:jc w:val="both"/>
        <w:ind w:firstLine="1305"/>
        <w:spacing w:after="0" w:line="250" w:lineRule="auto"/>
        <w:tabs>
          <w:tab w:leader="none" w:pos="1594"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such Loan Agreement Refinancing Indebtedness shall not have a greater principal amount than the principal amount of the applicable Refinanced Debt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accrued interest, fees, premiums (if any) and penalties thereon and fees and expenses associated with the refinancing;</w:t>
      </w:r>
    </w:p>
    <w:p>
      <w:pPr>
        <w:spacing w:after="0" w:line="186" w:lineRule="exact"/>
        <w:rPr>
          <w:rFonts w:ascii="Arial" w:cs="Arial" w:eastAsia="Arial" w:hAnsi="Arial"/>
          <w:sz w:val="20"/>
          <w:szCs w:val="20"/>
          <w:color w:val="auto"/>
        </w:rPr>
      </w:pPr>
    </w:p>
    <w:p>
      <w:pPr>
        <w:jc w:val="both"/>
        <w:ind w:firstLine="1305"/>
        <w:spacing w:after="0" w:line="269" w:lineRule="auto"/>
        <w:tabs>
          <w:tab w:leader="none" w:pos="16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terms and conditions of such Loan Agreement Refinancing Indebtedness (except as otherwise provided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and with respect to pricing, interest rate margins, premiums, discounts, fees, rate floors and optional prepayment or redemption terms) are substantially identical to, or (taken as a whole) are no more favorable (as reasonably determined by the Company) to the lenders or holders providing such Loan Agreement Refinancing Indebtedness, than those applicable to the Refinanced Debt being refinanced (except for covenants or other provisions applicable only to periods after the Latest Maturity Date at the time of incurrence of such Loan Agreement Refinancing Indebtedness, it being understood that to the extent any such covenants (including any financial maintenance covenant) or other provisions are added for the benefit of any Loan Agreement Refinancing Indebtedness, no consent shall be required from the Administrative Agent or any of the Lenders to the extent that such covenants (including any financial maintenance covenant) or other provisions are also added for the benefit of any corresponding existing Facility at the time of such refinancing) (provided that a certificate of a Financial Officer delivered to the Administrative Agent at least five (5) Business Days prior to the incurrence of such Loan Agreement Refinancing Indebtedness, together with a reasonably detailed description of the material terms and conditions of such Loan Agreement Refinancing Indebtedness or drafts of the material definitive documentation relating thereto, stating that the Company has determined in good faith that such terms and conditions satisfy the requirement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conclusive evidence that such terms and conditions satisfy such requirement unless the Administrative Agent notifies the Company within such five (5) Business Day period that it disagrees with such determination (including a description of the basis upon which it disagrees));</w:t>
      </w:r>
    </w:p>
    <w:p>
      <w:pPr>
        <w:spacing w:after="0" w:line="179" w:lineRule="exact"/>
        <w:rPr>
          <w:rFonts w:ascii="Arial" w:cs="Arial" w:eastAsia="Arial" w:hAnsi="Arial"/>
          <w:sz w:val="18"/>
          <w:szCs w:val="18"/>
          <w:color w:val="auto"/>
        </w:rPr>
      </w:pPr>
    </w:p>
    <w:p>
      <w:pPr>
        <w:jc w:val="both"/>
        <w:ind w:firstLine="1305"/>
        <w:spacing w:after="0" w:line="269" w:lineRule="auto"/>
        <w:tabs>
          <w:tab w:leader="none" w:pos="1633" w:val="left"/>
        </w:tabs>
        <w:numPr>
          <w:ilvl w:val="0"/>
          <w:numId w:val="18"/>
        </w:numPr>
        <w:rPr>
          <w:rFonts w:ascii="Arial" w:cs="Arial" w:eastAsia="Arial" w:hAnsi="Arial"/>
          <w:sz w:val="19"/>
          <w:szCs w:val="19"/>
          <w:color w:val="auto"/>
        </w:rPr>
      </w:pPr>
      <w:r>
        <w:rPr>
          <w:rFonts w:ascii="Arial" w:cs="Arial" w:eastAsia="Arial" w:hAnsi="Arial"/>
          <w:sz w:val="19"/>
          <w:szCs w:val="19"/>
          <w:color w:val="auto"/>
        </w:rPr>
        <w:t>such Loan Agreement Refinancing Debt shall be secured by a pari passu Lien on the Collateral (and no other property) and no Subsidiary shall be a borrower or a guarantor under any Loan Agreement Refinancing Debt unless such Subsidiary is a Loan Party which shall have previously or substantially concurrently guaranteed or borrowed, as applicable, the Secured Obligations;</w:t>
      </w:r>
    </w:p>
    <w:p>
      <w:pPr>
        <w:spacing w:after="0" w:line="170" w:lineRule="exact"/>
        <w:rPr>
          <w:rFonts w:ascii="Arial" w:cs="Arial" w:eastAsia="Arial" w:hAnsi="Arial"/>
          <w:sz w:val="19"/>
          <w:szCs w:val="19"/>
          <w:color w:val="auto"/>
        </w:rPr>
      </w:pPr>
    </w:p>
    <w:p>
      <w:pPr>
        <w:jc w:val="both"/>
        <w:ind w:firstLine="1305"/>
        <w:spacing w:after="0" w:line="246" w:lineRule="auto"/>
        <w:tabs>
          <w:tab w:leader="none" w:pos="159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any mandatory prepayment requirements, in the case of any Refinancing Term Loans, may provide that such Refinancing Term Loans may participate in any mandatory prepayment on a pro rata basis with any Class of existing Term Loans, but may not provide for prepayment requirements that are more favorable to the Lenders holding such Refinancing Term Loans than to the Lenders holding such Class of Term Loans; and</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675" w:val="left"/>
        </w:tabs>
        <w:numPr>
          <w:ilvl w:val="0"/>
          <w:numId w:val="18"/>
        </w:numPr>
        <w:rPr>
          <w:rFonts w:ascii="Arial" w:cs="Arial" w:eastAsia="Arial" w:hAnsi="Arial"/>
          <w:sz w:val="20"/>
          <w:szCs w:val="20"/>
          <w:color w:val="auto"/>
        </w:rPr>
      </w:pPr>
      <w:r>
        <w:rPr>
          <w:rFonts w:ascii="Arial" w:cs="Arial" w:eastAsia="Arial" w:hAnsi="Arial"/>
          <w:sz w:val="20"/>
          <w:szCs w:val="20"/>
          <w:color w:val="auto"/>
        </w:rPr>
        <w:t>such Refinanced Debt shall be repaid or repurchased, all accrued interest, fees, premiums (if any) and penalties in connection therewith shall be paid, and all commitments thereunder terminated, on the date such Loan Agreement Refinancing Indebtedness is incurred or obtained.</w:t>
      </w:r>
    </w:p>
    <w:p>
      <w:pPr>
        <w:spacing w:after="0" w:line="186"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Documents</w:t>
      </w:r>
      <w:r>
        <w:rPr>
          <w:rFonts w:ascii="Arial" w:cs="Arial" w:eastAsia="Arial" w:hAnsi="Arial"/>
          <w:sz w:val="20"/>
          <w:szCs w:val="20"/>
          <w:color w:val="auto"/>
        </w:rPr>
        <w:t>” means, collectively, this Agreement, the Collateral Documents, the Loan Guaranty, the Intercreditor Agreements, any promissory notes executed and delivered pursuant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811" w:right="2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Section 2.10(e), and any and all other instruments and documents executed and delivered in connection with any of the foregoing.</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means each Loan Party.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Guaranty</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Modification Agreement</w:t>
      </w:r>
      <w:r>
        <w:rPr>
          <w:rFonts w:ascii="Arial" w:cs="Arial" w:eastAsia="Arial" w:hAnsi="Arial"/>
          <w:sz w:val="18"/>
          <w:szCs w:val="18"/>
          <w:color w:val="auto"/>
        </w:rPr>
        <w:t>” means a Loan Modification Agreement, in form and substance reasonably satisfactory to the Administrative Agent, among the Company, the Borrower, the Administrative Agent and one or more Accepting Lenders, effecting one or more Permitted Amendments and such other amendments hereto and to the other Loan Documents as are contemplated by Section 2.26.</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Modification Offer</w:t>
      </w:r>
      <w:r>
        <w:rPr>
          <w:rFonts w:ascii="Arial" w:cs="Arial" w:eastAsia="Arial" w:hAnsi="Arial"/>
          <w:sz w:val="20"/>
          <w:szCs w:val="20"/>
          <w:color w:val="auto"/>
        </w:rPr>
        <w:t>” has the meaning given to such term in Section 2.26.</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Company, the Borrower, the Company’s Material Domestic Subsidiaries and any other Person who becomes a party to this Agreement pursuant to a Joinder Agreement and their successors and assigns, and the term “Loan Party” shall mean any one of them or all of them individually, as the context may require.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made by the Lenders pursuant to this Agreement.</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operations, or financial condition of the Company and the Subsidiaries taken as a whole, (b) the ability of the Loan Parties, taken as a whole, to perform any of their respective payment obligations under this Agreement, (c) the validity or enforceability of this Agreement or any and all other Loan Documents, or (d) the material rights or remedies of the Administrative Agent or the Lenders under the Loan Documents.</w:t>
      </w:r>
    </w:p>
    <w:p>
      <w:pPr>
        <w:spacing w:after="0" w:line="19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means each Domestic Subsidiary (other than an Excluded Domestic Subsidiary) that constitutes a Material Subsidiary.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Foreign Subsidiary</w:t>
      </w:r>
      <w:r>
        <w:rPr>
          <w:rFonts w:ascii="Arial" w:cs="Arial" w:eastAsia="Arial" w:hAnsi="Arial"/>
          <w:sz w:val="20"/>
          <w:szCs w:val="20"/>
          <w:color w:val="auto"/>
        </w:rPr>
        <w:t>” means each Foreign Subsidiary that constitutes a Material Subsidiary.</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any Indebtedness (other than the Loans), or obligations in respect of one or more Swap Agreements, of any one or more of the Company and its Subsidiaries in an aggregate principal amount exceeding $15,000,000.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means real property located in the United States with a book value (as reflected in the financial statements delivered pursuant to Section 5.01(a), 5.01(b) or 5.01(c) (or, prior to the delivery of any such financial statements, the financial statements referred to in Section 3.04)) of more than $7,500,000 that is owned by the Company or any Domestic Subsidiary that is a Loan Party.</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xml:space="preserve">” means each Subsidiary (i) which, as of the most recent fiscal quarter of the Company during the Test Period, contributed greater than five percent (5%) of the Company’s Consolidated EBITDA for such period or (ii) which contributed greater than five percent (5%) of Consolidated Total Assets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 aggregate amount of Consolidated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811" w:right="239" w:bottom="1440" w:gutter="0" w:footer="0" w:header="0"/>
        </w:sectPr>
      </w:pPr>
    </w:p>
    <w:bookmarkStart w:id="38" w:name="page39"/>
    <w:bookmarkEnd w:id="38"/>
    <w:p>
      <w:pPr>
        <w:jc w:val="both"/>
        <w:spacing w:after="0" w:line="244" w:lineRule="auto"/>
        <w:rPr>
          <w:sz w:val="20"/>
          <w:szCs w:val="20"/>
          <w:color w:val="auto"/>
        </w:rPr>
      </w:pPr>
      <w:r>
        <w:rPr>
          <w:rFonts w:ascii="Arial" w:cs="Arial" w:eastAsia="Arial" w:hAnsi="Arial"/>
          <w:sz w:val="20"/>
          <w:szCs w:val="20"/>
          <w:color w:val="auto"/>
        </w:rPr>
        <w:t>EBITDA or Consolidated Total Assets attributable to all Subsidiaries that are not Material Subsidiaries exceeds twenty percent (20%) of Consolidated EBITDA for any such period or twenty percent (20%) of Consolidated Total Assets as of the end of any such fiscal quarter,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spacing w:after="0" w:line="19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means (a) with respect to the Tranche B Term Loans, November 8, 2023 (or with respect to a Tranche B Term Lender that has extended the maturity date of its Tranche B Term Loans pursuant to Section 2.26, the extended maturity date set forth in the applicable Loan Modification Agreement), (b) with respect to any Refinancing Term Loans, the final maturity date applicable thereto as specified in the applicable Refinancing Amendment (or with respect to a Lender that has extended the maturity date of its Refinancing Term Loans pursuant to Section 2.26, the extended maturity date set forth in the applicable Loan Modification Agreement) and (c) with respect to any Incremental Term Loans, the final maturity date applicable thereto as specified in the applicable Incremental Amendment (or with respect to any Lender that has extended the maturity date of its Incremental Term Loan pursuant to Section 2.26, the extended maturity date set forth in the applicable Loan Modification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MNPI</w:t>
      </w:r>
      <w:r>
        <w:rPr>
          <w:rFonts w:ascii="Arial" w:cs="Arial" w:eastAsia="Arial" w:hAnsi="Arial"/>
          <w:sz w:val="20"/>
          <w:szCs w:val="20"/>
          <w:color w:val="auto"/>
        </w:rPr>
        <w:t>” means material information concerning the Company and the Subsidiaries and their securities that has not been disseminated in a manner making it available to investors generally, within the meaning of Regulation FD under the Securities Act and the Securities Exchange Act of 1934.</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w:t>
      </w:r>
      <w:r>
        <w:rPr>
          <w:rFonts w:ascii="Arial" w:cs="Arial" w:eastAsia="Arial" w:hAnsi="Arial"/>
          <w:sz w:val="20"/>
          <w:szCs w:val="20"/>
          <w:color w:val="auto"/>
        </w:rPr>
        <w:t xml:space="preserve">”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Mortgage shall contain any defaults other than by reference to the defaults set forth in this Agreement; and further provided, in the event the Mortgage shall be recorded in a jurisdiction which charges mortgage recording taxes, intangible taxes or documentary taxes or other similar taxes and/or charges, such Mortgage shall only secure such an amount not to exceed the fair market value (as reasonably determined by Company and as reasonably acceptable to the Administrative Agent) of the Material Real Property secured by such Mortgage.</w:t>
      </w:r>
    </w:p>
    <w:p>
      <w:pPr>
        <w:spacing w:after="0" w:line="19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Instruments</w:t>
      </w:r>
      <w:r>
        <w:rPr>
          <w:rFonts w:ascii="Arial" w:cs="Arial" w:eastAsia="Arial" w:hAnsi="Arial"/>
          <w:sz w:val="18"/>
          <w:szCs w:val="18"/>
          <w:color w:val="auto"/>
        </w:rPr>
        <w:t>” means with respect to any Material Real Property for which a Mortgage is being recorded, (a) such title reports and ALTA title insurance policies (or unconditional commitment to issue such policy or policies) reasonably acceptable to Administrative Agent, in an amount not to exceed 110% of the fair market value (as reasonably acceptable to the Administrative Agent) of such Material Real Property (with endorsements reasonably requested by Administrative Agent and as are available in the applicable jurisdiction) and with all premiums fully paid, (b) either (i) an ALTA survey reasonably acceptable to Administrative Agent or (ii) previously obtained ALTA survey and affidavits of “no-change” with respect to each such survey, such survey and affidavit to be in form and substance reasonably acceptable to the Administrative Agent and to be sufficient to issue title insurance policies to the Administrative Agent providing all reasonably required survey coverage and survey endorsements and zoning endorsements, (c) acquisition of FEMA standard life-of-loan flood hazard determinations for such Material Real Property, and if any building located on such Material Real Property is determined to be in a special hazard area, delivery of (i) a notice with respect to such flood insurance and (ii) evidence of flood insurance, (d) a local counsel opinion as to the enforceability of each Mortgage in the state in which the Material Real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11"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9"/>
          <w:szCs w:val="19"/>
          <w:color w:val="auto"/>
        </w:rPr>
        <w:t>Property described in such Mortgage is located and other matters customarily covered in real estate enforceability opinions in form and substance reasonably acceptable to Administrative Agent, (e) mortgage tax affidavits and declarations and other similar information and related certifications that are required in the jurisdiction in which a Mortgage is being filed in order to permit such filing and such affidavits and certificates as are required to issue the title insurance policies, provided, appraisals shall not be required to be delivered in connection with any Mortgage (in each case, other than such documentation already in the possession of any Loan Party) and (f) environmental assessments and reports and zoning reports in form and substance reasonably acceptable to the Administrative Agent.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means, with respect to any event, (a) the cash proceeds actually received in respect of such event including</w:t>
      </w:r>
    </w:p>
    <w:p>
      <w:pPr>
        <w:spacing w:after="0" w:line="39" w:lineRule="exact"/>
        <w:rPr>
          <w:sz w:val="20"/>
          <w:szCs w:val="20"/>
          <w:color w:val="auto"/>
        </w:rPr>
      </w:pPr>
    </w:p>
    <w:p>
      <w:pPr>
        <w:jc w:val="both"/>
        <w:ind w:firstLine="8"/>
        <w:spacing w:after="0" w:line="306" w:lineRule="auto"/>
        <w:tabs>
          <w:tab w:leader="none" w:pos="261"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actually made to a Loan Party, net of (b) the sum of (i) all attorneys’, accountants’ investment banking and other fees and out-of-pocket expenses paid to third parties (other than Affiliates) in connection with such event (including, without limitation, attorneys’ fees, accountants’ fees, investment banking fees, survey costs, title insurance premiums, and related search and recording charges, transfer taxes, deed or mortgage recording taxes, other customary expenses and brokerage, consultant and customary fees), (ii) in the case of a sale, transfer or other disposition of an asset (including pursuant to a Sale and Leaseback transaction or a casualty or a condemnation or similar proceeding), the amount of all payments (including principal, any premium or penalty, and interest) required to be made as a result of such event to repay Indebtedness secured by such asset (other than (x) Loans and (y) Indebtedness secured by Liens on such asset junior to the Liens thereon securing the Loans) or otherwise subject to mandatory prepayment as a result of such event (other than under this Agreement),</w:t>
      </w:r>
    </w:p>
    <w:p>
      <w:pPr>
        <w:spacing w:after="0" w:line="179" w:lineRule="exact"/>
        <w:rPr>
          <w:rFonts w:ascii="Arial" w:cs="Arial" w:eastAsia="Arial" w:hAnsi="Arial"/>
          <w:sz w:val="16"/>
          <w:szCs w:val="16"/>
          <w:color w:val="auto"/>
        </w:rPr>
      </w:pPr>
    </w:p>
    <w:p>
      <w:pPr>
        <w:jc w:val="both"/>
        <w:ind w:firstLine="8"/>
        <w:spacing w:after="0" w:line="269" w:lineRule="auto"/>
        <w:tabs>
          <w:tab w:leader="none" w:pos="3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in the case of any event involving a Subsidiary that is not a wholly-owned Subsidiary, the pro rata portion of the Net Proceeds thereof (calculated without regard to this clause (iii)) attributable to minority interests and not available for distribution to or for the account of the company or a wholly-owned Subsidiary as a result thereof, (iv) the amount of all taxes paid (or reasonably estimated to be payable and indemnification obligations associated with such transaction) and (v) the amount of any reserves established against any adjustment to the sale price or any liabilities (other than taxes deducted pursuant to </w:t>
      </w:r>
      <w:r>
        <w:rPr>
          <w:rFonts w:ascii="Arial" w:cs="Arial" w:eastAsia="Arial" w:hAnsi="Arial"/>
          <w:sz w:val="18"/>
          <w:szCs w:val="18"/>
          <w:u w:val="single" w:color="auto"/>
          <w:color w:val="auto"/>
        </w:rPr>
        <w:t>clause (v)</w:t>
      </w:r>
      <w:r>
        <w:rPr>
          <w:rFonts w:ascii="Arial" w:cs="Arial" w:eastAsia="Arial" w:hAnsi="Arial"/>
          <w:sz w:val="18"/>
          <w:szCs w:val="18"/>
          <w:color w:val="auto"/>
        </w:rPr>
        <w:t>) (x) related to any of the applicable assets and (y) retained by the Company or any Subsidiary including, without limitation, pension and other postemployment benefit liabilities and liabilities related to environmental matters or against any indemnification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amount of any subsequent reduction of such reserve (other than in connection with a payment in respect of any such liability) shall be deemed to be Net Proceeds of such Disposition or Casualty Event occurring on the date of such reduction), in each case during the year that such event occurred or the next succeeding year and that are directly attributable to such event (as determined reasonably and in good faith by a Financial Officer).</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 Rate</w:t>
      </w:r>
      <w:r>
        <w:rPr>
          <w:rFonts w:ascii="Arial" w:cs="Arial" w:eastAsia="Arial" w:hAnsi="Arial"/>
          <w:sz w:val="20"/>
          <w:szCs w:val="20"/>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none of such rates are published for any day that is a Business Day, the term “NYFRB Rate” means the rate for a federal funds transaction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811" w:right="239" w:bottom="1440" w:gutter="0" w:footer="0" w:header="0"/>
        </w:sectPr>
      </w:pPr>
    </w:p>
    <w:bookmarkStart w:id="40" w:name="page41"/>
    <w:bookmarkEnd w:id="40"/>
    <w:p>
      <w:pPr>
        <w:jc w:val="both"/>
        <w:spacing w:after="0" w:line="250" w:lineRule="auto"/>
        <w:rPr>
          <w:sz w:val="20"/>
          <w:szCs w:val="20"/>
          <w:color w:val="auto"/>
        </w:rPr>
      </w:pPr>
      <w:r>
        <w:rPr>
          <w:rFonts w:ascii="Arial" w:cs="Arial" w:eastAsia="Arial" w:hAnsi="Arial"/>
          <w:sz w:val="20"/>
          <w:szCs w:val="20"/>
          <w:color w:val="auto"/>
        </w:rPr>
        <w:t xml:space="preserve">quoted at 11:00 a.m., New York City time, on such day received by the Administrative Agent from a Federal funds broker of recognized standing selected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any of the aforesaid rates shall be less than zero, such rate shall be deemed to be zero for purposes of this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has the meaning assigned to such term in Section 10.02.</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Treasury.</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Tranche B Term Loans</w:t>
      </w:r>
      <w:r>
        <w:rPr>
          <w:rFonts w:ascii="Arial" w:cs="Arial" w:eastAsia="Arial" w:hAnsi="Arial"/>
          <w:sz w:val="20"/>
          <w:szCs w:val="20"/>
          <w:color w:val="auto"/>
        </w:rPr>
        <w:t>” means Tranche B Term Loans that result from a Loan Modification Agreement.</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set forth in Section 9.04.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set forth in Section 9.04(c).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by any Loan Party or Subsidiary in a transaction that satisfies each of the following requirements:</w:t>
      </w:r>
    </w:p>
    <w:p>
      <w:pPr>
        <w:spacing w:after="0" w:line="177" w:lineRule="exact"/>
        <w:rPr>
          <w:sz w:val="20"/>
          <w:szCs w:val="20"/>
          <w:color w:val="auto"/>
        </w:rPr>
      </w:pPr>
    </w:p>
    <w:p>
      <w:pPr>
        <w:ind w:left="1720" w:hanging="415"/>
        <w:spacing w:after="0"/>
        <w:tabs>
          <w:tab w:leader="none" w:pos="1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such Acquisition is not a Hostile Acquisition;</w:t>
      </w:r>
    </w:p>
    <w:p>
      <w:pPr>
        <w:spacing w:after="0" w:line="215" w:lineRule="exact"/>
        <w:rPr>
          <w:rFonts w:ascii="Arial" w:cs="Arial" w:eastAsia="Arial" w:hAnsi="Arial"/>
          <w:sz w:val="20"/>
          <w:szCs w:val="20"/>
          <w:color w:val="auto"/>
        </w:rPr>
      </w:pPr>
    </w:p>
    <w:p>
      <w:pPr>
        <w:ind w:firstLine="1305"/>
        <w:spacing w:after="0" w:line="260" w:lineRule="auto"/>
        <w:tabs>
          <w:tab w:leader="none" w:pos="1750" w:val="left"/>
        </w:tabs>
        <w:numPr>
          <w:ilvl w:val="0"/>
          <w:numId w:val="21"/>
        </w:numPr>
        <w:rPr>
          <w:rFonts w:ascii="Arial" w:cs="Arial" w:eastAsia="Arial" w:hAnsi="Arial"/>
          <w:sz w:val="20"/>
          <w:szCs w:val="20"/>
          <w:color w:val="auto"/>
        </w:rPr>
      </w:pPr>
      <w:r>
        <w:rPr>
          <w:rFonts w:ascii="Arial" w:cs="Arial" w:eastAsia="Arial" w:hAnsi="Arial"/>
          <w:sz w:val="20"/>
          <w:szCs w:val="20"/>
          <w:color w:val="auto"/>
        </w:rPr>
        <w:t>such Person or division or line of business is engaged in the same or a similar line of business as the Company or any of its Subsidiaries or any business activities reasonably related or ancillary thereto;</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no Default exists at the time of such Acquisition or would result therefrom;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811" w:right="239" w:bottom="1440" w:gutter="0" w:footer="0" w:header="0"/>
        </w:sectPr>
      </w:pPr>
    </w:p>
    <w:bookmarkStart w:id="41" w:name="page42"/>
    <w:bookmarkEnd w:id="41"/>
    <w:p>
      <w:pPr>
        <w:jc w:val="both"/>
        <w:ind w:firstLine="1305"/>
        <w:spacing w:after="0" w:line="246" w:lineRule="auto"/>
        <w:tabs>
          <w:tab w:leader="none" w:pos="1766"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such Acquisition constitutes a Material Acquisition, the Administrative Agent shall have received a description of the material terms of such Acquisition and the audited financial statements (or, if unavailable, management-prepared financial statements) of such Person or division or line of business of such Person for its two most recently ended fiscal years and for any fiscal quarters ended within the fiscal year to-date for which such financial statements are available;</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745" w:val="left"/>
        </w:tabs>
        <w:numPr>
          <w:ilvl w:val="0"/>
          <w:numId w:val="22"/>
        </w:numPr>
        <w:rPr>
          <w:rFonts w:ascii="Arial" w:cs="Arial" w:eastAsia="Arial" w:hAnsi="Arial"/>
          <w:sz w:val="20"/>
          <w:szCs w:val="20"/>
          <w:color w:val="auto"/>
        </w:rPr>
      </w:pPr>
      <w:r>
        <w:rPr>
          <w:rFonts w:ascii="Arial" w:cs="Arial" w:eastAsia="Arial" w:hAnsi="Arial"/>
          <w:sz w:val="20"/>
          <w:szCs w:val="20"/>
          <w:color w:val="auto"/>
        </w:rPr>
        <w:t>if such Acquisition involves a merger, amalgamation or a consolidation involving the Company or any other Loan Party, the Company or a Loan Party, as applicable, shall be the surviving entity in compliance with Section 6.03 (subject to any grace periods specified in Section 5.14); and</w:t>
      </w:r>
    </w:p>
    <w:p>
      <w:pPr>
        <w:spacing w:after="0" w:line="186" w:lineRule="exact"/>
        <w:rPr>
          <w:rFonts w:ascii="Arial" w:cs="Arial" w:eastAsia="Arial" w:hAnsi="Arial"/>
          <w:sz w:val="20"/>
          <w:szCs w:val="20"/>
          <w:color w:val="auto"/>
        </w:rPr>
      </w:pPr>
    </w:p>
    <w:p>
      <w:pPr>
        <w:ind w:right="20" w:firstLine="1305"/>
        <w:spacing w:after="0" w:line="260" w:lineRule="auto"/>
        <w:tabs>
          <w:tab w:leader="none" w:pos="1775"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Company shall have delivered to the Administrative Agent final executed material documentation relating to such Acquisition promptly after request therefor by the Administrative Agent.</w:t>
      </w:r>
    </w:p>
    <w:p>
      <w:pPr>
        <w:spacing w:after="0" w:line="17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Amendment</w:t>
      </w:r>
      <w:r>
        <w:rPr>
          <w:rFonts w:ascii="Arial" w:cs="Arial" w:eastAsia="Arial" w:hAnsi="Arial"/>
          <w:sz w:val="18"/>
          <w:szCs w:val="18"/>
          <w:color w:val="auto"/>
        </w:rPr>
        <w:t>” means an amendment to this Agreement and the other Loan Documents, effected in connection with a Loan Modification Offer pursuant to Section 2.26, providing for an extension of the Maturity Date applicable to the Loans and/or Commitments of the Accepting Lenders and, in connection therewith, (a) any changes in the interest rates with respect to the Loans and/or Commitments of the Accepting Lenders, (b) any changes in the fees payable to, or the inclusion of new fees to be payable to, the Accepting Lenders, (c) such amendments to this Agreement and the other Loan Documents as shall be appropriate, in the reasonable judgment of the Administrative Agent, to provide the rights and benefits of this Agreement and other Loan Documents to each new “Class” of loans and/or commitments resulting therefrom and (d) additional amendments to the terms of this Agreement applicable to the applicable Loans and/or Commitments of the Accepting Lenders that are less favorable to such Accepting Lenders than the terms of this Agreement prior to giving effect to such Permitted Amendments and that are reasonably acceptable to the Administrative Agent.</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Call Spread Swap Agreements</w:t>
      </w:r>
      <w:r>
        <w:rPr>
          <w:rFonts w:ascii="Arial" w:cs="Arial" w:eastAsia="Arial" w:hAnsi="Arial"/>
          <w:sz w:val="19"/>
          <w:szCs w:val="19"/>
          <w:color w:val="auto"/>
        </w:rPr>
        <w:t>”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w:t>
      </w:r>
      <w:r>
        <w:rPr>
          <w:rFonts w:ascii="Arial" w:cs="Arial" w:eastAsia="Arial" w:hAnsi="Arial"/>
          <w:sz w:val="19"/>
          <w:szCs w:val="19"/>
          <w:u w:val="single" w:color="auto"/>
          <w:color w:val="auto"/>
        </w:rPr>
        <w:t>Bond Hedge Transaction</w:t>
      </w:r>
      <w:r>
        <w:rPr>
          <w:rFonts w:ascii="Arial" w:cs="Arial" w:eastAsia="Arial" w:hAnsi="Arial"/>
          <w:sz w:val="19"/>
          <w:szCs w:val="19"/>
          <w:color w:val="auto"/>
        </w:rPr>
        <w:t>”)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t>
      </w:r>
      <w:r>
        <w:rPr>
          <w:rFonts w:ascii="Arial" w:cs="Arial" w:eastAsia="Arial" w:hAnsi="Arial"/>
          <w:sz w:val="19"/>
          <w:szCs w:val="19"/>
          <w:u w:val="single" w:color="auto"/>
          <w:color w:val="auto"/>
        </w:rPr>
        <w:t>Warrant Transaction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terms, conditions and covenants of each such Swap Agreement shall be acceptable to the Administrative Agent in its Permitted Discretion), (ii) the purchase price for such Bond Hedge Transaction, less the proceeds received by the Company from the sale of any related Warrant Transaction, does not exceed the net proceeds received by the Company from the issuance of the related Permitted Convertible Notes and (iii) in the case of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such Swap Agreement would be classified as an equity instrument in accordance with GAAP.</w:t>
      </w:r>
    </w:p>
    <w:p>
      <w:pPr>
        <w:spacing w:after="0" w:line="18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Convertible Notes</w:t>
      </w:r>
      <w:r>
        <w:rPr>
          <w:rFonts w:ascii="Arial" w:cs="Arial" w:eastAsia="Arial" w:hAnsi="Arial"/>
          <w:sz w:val="19"/>
          <w:szCs w:val="19"/>
          <w:color w:val="auto"/>
        </w:rPr>
        <w:t>”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811" w:right="239" w:bottom="1440" w:gutter="0" w:footer="0" w:header="0"/>
        </w:sectPr>
      </w:pPr>
    </w:p>
    <w:bookmarkStart w:id="42" w:name="page43"/>
    <w:bookmarkEnd w:id="42"/>
    <w:p>
      <w:pPr>
        <w:jc w:val="both"/>
        <w:spacing w:after="0" w:line="271" w:lineRule="auto"/>
        <w:rPr>
          <w:sz w:val="20"/>
          <w:szCs w:val="20"/>
          <w:color w:val="auto"/>
        </w:rPr>
      </w:pPr>
      <w:r>
        <w:rPr>
          <w:rFonts w:ascii="Arial" w:cs="Arial" w:eastAsia="Arial" w:hAnsi="Arial"/>
          <w:sz w:val="18"/>
          <w:szCs w:val="18"/>
          <w:color w:val="auto"/>
        </w:rPr>
        <w:t xml:space="preserve">market price of such common stock or such other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ninety-one (91) days after the Latest Maturity Date (it being understood that neither (x) any provision requiring an offer to purchase such Indebtedness as a result of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a Loan Party (which guarantees, if such Indebtedness is subordinated, shall be expressly subordinated to the Secured Obligations on terms not less favorable to the Lenders than the subordination terms of such Subordinated Indebtedness) and (iv) the terms, conditions and covenants of such Indebtedness must be customary for convertible Indebtedness of such type (as determined by the board of directors of the Company, or a committee thereof, in good faith).</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1580" w:hanging="275"/>
        <w:spacing w:after="0"/>
        <w:tabs>
          <w:tab w:leader="none" w:pos="15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Liens imposed by law for Taxes that are not yet delinquent or are being contested in compliance with Section 5.04;</w:t>
      </w:r>
    </w:p>
    <w:p>
      <w:pPr>
        <w:spacing w:after="0" w:line="227" w:lineRule="exact"/>
        <w:rPr>
          <w:rFonts w:ascii="Arial" w:cs="Arial" w:eastAsia="Arial" w:hAnsi="Arial"/>
          <w:sz w:val="19"/>
          <w:szCs w:val="19"/>
          <w:color w:val="auto"/>
        </w:rPr>
      </w:pPr>
    </w:p>
    <w:p>
      <w:pPr>
        <w:jc w:val="both"/>
        <w:ind w:left="660" w:firstLine="645"/>
        <w:spacing w:after="0" w:line="250" w:lineRule="auto"/>
        <w:tabs>
          <w:tab w:leader="none" w:pos="1618" w:val="left"/>
        </w:tabs>
        <w:numPr>
          <w:ilvl w:val="0"/>
          <w:numId w:val="23"/>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199" w:lineRule="exact"/>
        <w:rPr>
          <w:rFonts w:ascii="Arial" w:cs="Arial" w:eastAsia="Arial" w:hAnsi="Arial"/>
          <w:sz w:val="20"/>
          <w:szCs w:val="20"/>
          <w:color w:val="auto"/>
        </w:rPr>
      </w:pPr>
    </w:p>
    <w:p>
      <w:pPr>
        <w:ind w:left="1580" w:hanging="275"/>
        <w:spacing w:after="0"/>
        <w:tabs>
          <w:tab w:leader="none" w:pos="1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 pledges and deposits made in the ordinary course of business in compliance with workers’ compensation, unemployment</w:t>
      </w:r>
    </w:p>
    <w:p>
      <w:pPr>
        <w:spacing w:after="0" w:line="86" w:lineRule="exact"/>
        <w:rPr>
          <w:rFonts w:ascii="Arial" w:cs="Arial" w:eastAsia="Arial" w:hAnsi="Arial"/>
          <w:sz w:val="16"/>
          <w:szCs w:val="16"/>
          <w:color w:val="auto"/>
        </w:rPr>
      </w:pPr>
    </w:p>
    <w:p>
      <w:pPr>
        <w:jc w:val="both"/>
        <w:ind w:left="660"/>
        <w:spacing w:after="0" w:line="322" w:lineRule="auto"/>
        <w:rPr>
          <w:rFonts w:ascii="Arial" w:cs="Arial" w:eastAsia="Arial" w:hAnsi="Arial"/>
          <w:sz w:val="16"/>
          <w:szCs w:val="16"/>
          <w:color w:val="auto"/>
        </w:rPr>
      </w:pPr>
      <w:r>
        <w:rPr>
          <w:rFonts w:ascii="Arial" w:cs="Arial" w:eastAsia="Arial" w:hAnsi="Arial"/>
          <w:sz w:val="18"/>
          <w:szCs w:val="18"/>
          <w:color w:val="auto"/>
        </w:rPr>
        <w:t>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spacing w:after="0" w:line="139" w:lineRule="exact"/>
        <w:rPr>
          <w:rFonts w:ascii="Arial" w:cs="Arial" w:eastAsia="Arial" w:hAnsi="Arial"/>
          <w:sz w:val="16"/>
          <w:szCs w:val="16"/>
          <w:color w:val="auto"/>
        </w:rPr>
      </w:pPr>
    </w:p>
    <w:p>
      <w:pPr>
        <w:jc w:val="both"/>
        <w:ind w:left="660" w:firstLine="645"/>
        <w:spacing w:after="0" w:line="246" w:lineRule="auto"/>
        <w:tabs>
          <w:tab w:leader="none" w:pos="1607"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 each case in the ordinary course of business;</w:t>
      </w:r>
    </w:p>
    <w:p>
      <w:pPr>
        <w:spacing w:after="0" w:line="191" w:lineRule="exact"/>
        <w:rPr>
          <w:rFonts w:ascii="Arial" w:cs="Arial" w:eastAsia="Arial" w:hAnsi="Arial"/>
          <w:sz w:val="20"/>
          <w:szCs w:val="20"/>
          <w:color w:val="auto"/>
        </w:rPr>
      </w:pPr>
    </w:p>
    <w:p>
      <w:pPr>
        <w:ind w:left="1580" w:hanging="275"/>
        <w:spacing w:after="0"/>
        <w:tabs>
          <w:tab w:leader="none" w:pos="15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judgment Liens in respect of judgments that do not constitute an Event of Default under clause (k) of Article VII;</w:t>
      </w:r>
    </w:p>
    <w:p>
      <w:pPr>
        <w:spacing w:after="0" w:line="215" w:lineRule="exact"/>
        <w:rPr>
          <w:rFonts w:ascii="Arial" w:cs="Arial" w:eastAsia="Arial" w:hAnsi="Arial"/>
          <w:sz w:val="20"/>
          <w:szCs w:val="20"/>
          <w:color w:val="auto"/>
        </w:rPr>
      </w:pPr>
    </w:p>
    <w:p>
      <w:pPr>
        <w:jc w:val="both"/>
        <w:ind w:left="660" w:firstLine="645"/>
        <w:spacing w:after="0" w:line="260" w:lineRule="auto"/>
        <w:tabs>
          <w:tab w:leader="none" w:pos="1559" w:val="left"/>
        </w:tabs>
        <w:numPr>
          <w:ilvl w:val="0"/>
          <w:numId w:val="23"/>
        </w:numPr>
        <w:rPr>
          <w:rFonts w:ascii="Arial" w:cs="Arial" w:eastAsia="Arial" w:hAnsi="Arial"/>
          <w:sz w:val="19"/>
          <w:szCs w:val="19"/>
          <w:color w:val="auto"/>
        </w:rPr>
      </w:pPr>
      <w:r>
        <w:rPr>
          <w:rFonts w:ascii="Arial" w:cs="Arial" w:eastAsia="Arial" w:hAnsi="Arial"/>
          <w:sz w:val="19"/>
          <w:szCs w:val="19"/>
          <w:color w:val="auto"/>
        </w:rPr>
        <w:t>matters of record affecting title to any real or leased property and any survey exceptions, encroachments, rights of parties in possession under written leases or occupancy agreements, title defects, easements, zoning restrictions, rights-of-way and similar encumbrances on real property imposed by law or arising in the ordinary course of business that do not secure any monetary obligations that are substantial in amount and do not materially detract from the value of the affected property or interfere in any material respect with the ordinary conduct of business of the Company or any Subsidiary;</w:t>
      </w:r>
    </w:p>
    <w:p>
      <w:pPr>
        <w:spacing w:after="0" w:line="180" w:lineRule="exact"/>
        <w:rPr>
          <w:rFonts w:ascii="Arial" w:cs="Arial" w:eastAsia="Arial" w:hAnsi="Arial"/>
          <w:sz w:val="19"/>
          <w:szCs w:val="19"/>
          <w:color w:val="auto"/>
        </w:rPr>
      </w:pPr>
    </w:p>
    <w:p>
      <w:pPr>
        <w:ind w:left="1580" w:hanging="275"/>
        <w:spacing w:after="0"/>
        <w:tabs>
          <w:tab w:leader="none" w:pos="15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Liens in favor of a banking or other financial institution arising as a matter of law or in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811" w:right="239" w:bottom="1440" w:gutter="0" w:footer="0" w:header="0"/>
        </w:sectPr>
      </w:pPr>
    </w:p>
    <w:bookmarkStart w:id="43" w:name="page44"/>
    <w:bookmarkEnd w:id="43"/>
    <w:p>
      <w:pPr>
        <w:jc w:val="both"/>
        <w:ind w:left="660"/>
        <w:spacing w:after="0" w:line="250" w:lineRule="auto"/>
        <w:rPr>
          <w:sz w:val="20"/>
          <w:szCs w:val="20"/>
          <w:color w:val="auto"/>
        </w:rPr>
      </w:pPr>
      <w:r>
        <w:rPr>
          <w:rFonts w:ascii="Arial" w:cs="Arial" w:eastAsia="Arial" w:hAnsi="Arial"/>
          <w:sz w:val="20"/>
          <w:szCs w:val="20"/>
          <w:color w:val="auto"/>
        </w:rPr>
        <w:t>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86" w:lineRule="exact"/>
        <w:rPr>
          <w:sz w:val="20"/>
          <w:szCs w:val="20"/>
          <w:color w:val="auto"/>
        </w:rPr>
      </w:pPr>
    </w:p>
    <w:p>
      <w:pPr>
        <w:jc w:val="both"/>
        <w:ind w:left="660" w:firstLine="645"/>
        <w:spacing w:after="0" w:line="250" w:lineRule="auto"/>
        <w:tabs>
          <w:tab w:leader="none" w:pos="1597"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86" w:lineRule="exact"/>
        <w:rPr>
          <w:rFonts w:ascii="Arial" w:cs="Arial" w:eastAsia="Arial" w:hAnsi="Arial"/>
          <w:sz w:val="20"/>
          <w:szCs w:val="20"/>
          <w:color w:val="auto"/>
        </w:rPr>
      </w:pPr>
    </w:p>
    <w:p>
      <w:pPr>
        <w:ind w:left="660" w:firstLine="645"/>
        <w:spacing w:after="0" w:line="316" w:lineRule="auto"/>
        <w:tabs>
          <w:tab w:leader="none" w:pos="15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0" w:lineRule="exact"/>
        <w:rPr>
          <w:rFonts w:ascii="Arial" w:cs="Arial" w:eastAsia="Arial" w:hAnsi="Arial"/>
          <w:sz w:val="18"/>
          <w:szCs w:val="18"/>
          <w:color w:val="auto"/>
        </w:rPr>
      </w:pPr>
    </w:p>
    <w:p>
      <w:pPr>
        <w:jc w:val="both"/>
        <w:ind w:left="660" w:firstLine="645"/>
        <w:spacing w:after="0" w:line="278" w:lineRule="auto"/>
        <w:tabs>
          <w:tab w:leader="none" w:pos="15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leases, licenses, subleases or sublicenses granted to others in the ordinary course of business that do not (A) interfere in any material respect with the business of the Company and its Subsidiaries, taken as a whole or (B) secure any Indebtedness or (ii) the rights reserved or vested in any Person (including any Governmental Authority) by the terms of any lease, license, franchise, grant or permit held by the Company or any of its Subsidiaries or by a statutory provision, to terminate any such lease, license, franchise, grant or permit, or to require annual or periodic payments as a condition to the continuance thereof;</w:t>
      </w:r>
    </w:p>
    <w:p>
      <w:pPr>
        <w:spacing w:after="0" w:line="165" w:lineRule="exact"/>
        <w:rPr>
          <w:rFonts w:ascii="Arial" w:cs="Arial" w:eastAsia="Arial" w:hAnsi="Arial"/>
          <w:sz w:val="18"/>
          <w:szCs w:val="18"/>
          <w:color w:val="auto"/>
        </w:rPr>
      </w:pPr>
    </w:p>
    <w:p>
      <w:pPr>
        <w:ind w:left="660" w:firstLine="645"/>
        <w:spacing w:after="0" w:line="260" w:lineRule="auto"/>
        <w:tabs>
          <w:tab w:leader="none" w:pos="1607" w:val="left"/>
        </w:tabs>
        <w:numPr>
          <w:ilvl w:val="0"/>
          <w:numId w:val="24"/>
        </w:numPr>
        <w:rPr>
          <w:rFonts w:ascii="Arial" w:cs="Arial" w:eastAsia="Arial" w:hAnsi="Arial"/>
          <w:sz w:val="20"/>
          <w:szCs w:val="20"/>
          <w:color w:val="auto"/>
        </w:rPr>
      </w:pPr>
      <w:r>
        <w:rPr>
          <w:rFonts w:ascii="Arial" w:cs="Arial" w:eastAsia="Arial" w:hAnsi="Arial"/>
          <w:sz w:val="20"/>
          <w:szCs w:val="20"/>
          <w:color w:val="auto"/>
        </w:rPr>
        <w:t>ground leases or subleases, licenses or sublicenses in respect of real property on which facilities owned or leased by the Company or any Subsidiary are located;</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589"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Company and its Subsidiaries, taken as a whole;</w:t>
      </w:r>
    </w:p>
    <w:p>
      <w:pPr>
        <w:spacing w:after="0" w:line="191" w:lineRule="exact"/>
        <w:rPr>
          <w:rFonts w:ascii="Arial" w:cs="Arial" w:eastAsia="Arial" w:hAnsi="Arial"/>
          <w:sz w:val="20"/>
          <w:szCs w:val="20"/>
          <w:color w:val="auto"/>
        </w:rPr>
      </w:pPr>
    </w:p>
    <w:p>
      <w:pPr>
        <w:ind w:left="1640" w:hanging="335"/>
        <w:spacing w:after="0"/>
        <w:tabs>
          <w:tab w:leader="none" w:pos="164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Liens arising from precautionary UCC financing statement or similar filings;</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licenses, sublicenses and cross-licenses of Intellectual Property in the ordinary course of business; and</w:t>
      </w:r>
    </w:p>
    <w:p>
      <w:pPr>
        <w:spacing w:after="0" w:line="215" w:lineRule="exact"/>
        <w:rPr>
          <w:rFonts w:ascii="Arial" w:cs="Arial" w:eastAsia="Arial" w:hAnsi="Arial"/>
          <w:sz w:val="20"/>
          <w:szCs w:val="20"/>
          <w:color w:val="auto"/>
        </w:rPr>
      </w:pPr>
    </w:p>
    <w:p>
      <w:pPr>
        <w:ind w:left="660" w:firstLine="645"/>
        <w:spacing w:after="0" w:line="260" w:lineRule="auto"/>
        <w:tabs>
          <w:tab w:leader="none" w:pos="1593"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any interest or title of a lessor, sublessor, lessee or sublessee under any lease in existence on the day hereof or permitted by this Agreement and the Collateral Documents.</w:t>
      </w:r>
    </w:p>
    <w:p>
      <w:pPr>
        <w:spacing w:after="0" w:line="17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First Priority Refinancing Indebtedness</w:t>
      </w:r>
      <w:r>
        <w:rPr>
          <w:rFonts w:ascii="Arial" w:cs="Arial" w:eastAsia="Arial" w:hAnsi="Arial"/>
          <w:sz w:val="19"/>
          <w:szCs w:val="19"/>
          <w:color w:val="auto"/>
        </w:rPr>
        <w:t xml:space="preserve">” means Indebtedness of the Borrower or any other Loan Party in the form of term loans (other than, for the avoidance of doubt, Incremental Term Loans or other Term Loans under this Agreement) or bonds, debentures, notes or similar instruments (a) that is secured by Liens on the Collateral on a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basis (but without regard to the control of remedies) to the Liens on the Collateral securing the Secured Obligations and is not secured by any property or assets of the Company or any of the Subsidiaries other than the Collateral, (b) the Net Proceeds of which, substantially concurrently with the incurrence thereof, are applied to the repayment or prepayment of then outstanding Term Loan Borrowings of any Class in an aggregate principal amount equal to the aggregate amount of such Permitted First Priority Refinancing Indebtedness (less the aggregate amount of accrued and unpaid interest with respect to such outstanding Term Loan Borrowings and any reasonable fees, premium and expenses relating to such refinancing), (c) that does not mature earlier than the Latest Maturity Date then in effect,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812" w:right="239" w:bottom="1440" w:gutter="0" w:footer="0" w:header="0"/>
        </w:sectPr>
      </w:pPr>
    </w:p>
    <w:bookmarkStart w:id="44" w:name="page45"/>
    <w:bookmarkEnd w:id="44"/>
    <w:p>
      <w:pPr>
        <w:jc w:val="both"/>
        <w:spacing w:after="0" w:line="269" w:lineRule="auto"/>
        <w:rPr>
          <w:sz w:val="20"/>
          <w:szCs w:val="20"/>
          <w:color w:val="auto"/>
        </w:rPr>
      </w:pPr>
      <w:r>
        <w:rPr>
          <w:rFonts w:ascii="Arial" w:cs="Arial" w:eastAsia="Arial" w:hAnsi="Arial"/>
          <w:sz w:val="18"/>
          <w:szCs w:val="18"/>
          <w:color w:val="auto"/>
        </w:rPr>
        <w:t xml:space="preserve">and has a Weighted Average Life to Maturity no shorter than the Class of Term Loans with the Latest Maturity Date in effect at the time of incurrence of such Indebtedness, (d) that contains covenants, events of default and other terms that are customary for similar Indebtedness in light of then-prevailing market conditions and, when taken as a whole (other than interest rates, rate floors, fees and optional prepayment or redemption terms), are no more favorable (as reasonably determined by the Borrower in good faith) to the lenders or investors, as the case may be, providing such Permitted First Priority Refinancing Indebtedness than those set forth in the Loan Documents are with respect to the Lenders (other than covenants or other provisions applicable only to periods after the Latest Maturity Date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Financial Officer of the Borrower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Borrower has determined in good faith that such terms and conditions satisfy the foregoing requirements shall be conclusive unless the Administrative Agent provides notice to the Borrower of its reasonable objection during such period together with a reasonable description of the basis upon which it objects, (e) the security agreements relating to which are substantially the same as the Collateral Documents (with such differences as are reasonably satisfactory to the Administrative Agent), (f) that is not guaranteed by any Persons other than a Loan Party, (g) any Permitted First Priority Refinancing Indebtedness may participate in any mandatory prepayment on a pro rata basis with any Class of existing Term Loans, but may not provide for prepayment requirements that are more favorable to the holders of such Permitted First Priority Refinancing Indebtedness than to the Lenders holding such Class of Term Loans and (h) in respect of which a trustee, collateral agent, security agent or similar Person, acting on behalf of the holders thereof, shall have become party to an Intercreditor Agreement. Permitted First Priority Refinancing Indebtedness will include any Registered Equivalent Notes issued in exchange therefor.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16" w:lineRule="exact"/>
        <w:rPr>
          <w:sz w:val="20"/>
          <w:szCs w:val="20"/>
          <w:color w:val="auto"/>
        </w:rPr>
      </w:pPr>
    </w:p>
    <w:p>
      <w:pPr>
        <w:jc w:val="both"/>
        <w:ind w:left="660" w:right="20" w:firstLine="645"/>
        <w:spacing w:after="0" w:line="250" w:lineRule="auto"/>
        <w:tabs>
          <w:tab w:leader="none" w:pos="1599" w:val="left"/>
        </w:tabs>
        <w:numPr>
          <w:ilvl w:val="0"/>
          <w:numId w:val="25"/>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6" w:lineRule="exact"/>
        <w:rPr>
          <w:rFonts w:ascii="Arial" w:cs="Arial" w:eastAsia="Arial" w:hAnsi="Arial"/>
          <w:sz w:val="20"/>
          <w:szCs w:val="20"/>
          <w:color w:val="auto"/>
        </w:rPr>
      </w:pPr>
    </w:p>
    <w:p>
      <w:pPr>
        <w:ind w:left="660" w:firstLine="645"/>
        <w:spacing w:after="0" w:line="260" w:lineRule="auto"/>
        <w:tabs>
          <w:tab w:leader="none" w:pos="159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76" w:lineRule="exact"/>
        <w:rPr>
          <w:rFonts w:ascii="Arial" w:cs="Arial" w:eastAsia="Arial" w:hAnsi="Arial"/>
          <w:sz w:val="20"/>
          <w:szCs w:val="20"/>
          <w:color w:val="auto"/>
        </w:rPr>
      </w:pPr>
    </w:p>
    <w:p>
      <w:pPr>
        <w:jc w:val="both"/>
        <w:ind w:left="660" w:firstLine="645"/>
        <w:spacing w:after="0" w:line="246" w:lineRule="auto"/>
        <w:tabs>
          <w:tab w:leader="none" w:pos="1596"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91" w:lineRule="exact"/>
        <w:rPr>
          <w:rFonts w:ascii="Arial" w:cs="Arial" w:eastAsia="Arial" w:hAnsi="Arial"/>
          <w:sz w:val="20"/>
          <w:szCs w:val="20"/>
          <w:color w:val="auto"/>
        </w:rPr>
      </w:pPr>
    </w:p>
    <w:p>
      <w:pPr>
        <w:ind w:left="660" w:firstLine="645"/>
        <w:spacing w:after="0" w:line="260" w:lineRule="auto"/>
        <w:tabs>
          <w:tab w:leader="none" w:pos="15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599" w:val="left"/>
        </w:tabs>
        <w:numPr>
          <w:ilvl w:val="0"/>
          <w:numId w:val="25"/>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 Rule 2a-7 under the Investment Company Act of 1940, (ii) are rated AAA by S&amp;P and Aaa by Moody’s and (iii) have portfolio assets of at least $5,000,000,000;</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811" w:right="239" w:bottom="1440" w:gutter="0" w:footer="0" w:header="0"/>
        </w:sectPr>
      </w:pPr>
    </w:p>
    <w:bookmarkStart w:id="45" w:name="page46"/>
    <w:bookmarkEnd w:id="45"/>
    <w:p>
      <w:pPr>
        <w:jc w:val="both"/>
        <w:ind w:left="660" w:firstLine="645"/>
        <w:spacing w:after="0" w:line="250" w:lineRule="auto"/>
        <w:tabs>
          <w:tab w:leader="none" w:pos="1557" w:val="left"/>
        </w:tabs>
        <w:numPr>
          <w:ilvl w:val="0"/>
          <w:numId w:val="26"/>
        </w:numPr>
        <w:rPr>
          <w:rFonts w:ascii="Arial" w:cs="Arial" w:eastAsia="Arial" w:hAnsi="Arial"/>
          <w:sz w:val="20"/>
          <w:szCs w:val="20"/>
          <w:color w:val="auto"/>
        </w:rPr>
      </w:pPr>
      <w:r>
        <w:rPr>
          <w:rFonts w:ascii="Arial" w:cs="Arial" w:eastAsia="Arial" w:hAnsi="Arial"/>
          <w:sz w:val="20"/>
          <w:szCs w:val="20"/>
          <w:color w:val="auto"/>
        </w:rPr>
        <w:t>other investments made in accordance with the Company’s investment policy as disclosed to the Administrative Agent prior to the Effective Date and with such amendments or modifications thereto as are from time to time approved by the Administrative Agent;</w:t>
      </w:r>
    </w:p>
    <w:p>
      <w:pPr>
        <w:spacing w:after="0" w:line="186" w:lineRule="exact"/>
        <w:rPr>
          <w:rFonts w:ascii="Arial" w:cs="Arial" w:eastAsia="Arial" w:hAnsi="Arial"/>
          <w:sz w:val="20"/>
          <w:szCs w:val="20"/>
          <w:color w:val="auto"/>
        </w:rPr>
      </w:pPr>
    </w:p>
    <w:p>
      <w:pPr>
        <w:jc w:val="both"/>
        <w:ind w:left="660" w:firstLine="645"/>
        <w:spacing w:after="0" w:line="246" w:lineRule="auto"/>
        <w:tabs>
          <w:tab w:leader="none" w:pos="1589"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investments in Indebtedness that is (x) issued by Persons with (i) a short term credit rating of “P-1” or higher from Moody’s or “A-1” or higher from S&amp;P or (ii) a long term rating of “A2” or higher from Moody’s or “A” or higher from S&amp;P, in each case for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with maturities not more than twelve (12) months after the date of acquisition and (y) of a type customarily used by companies for cash management purposes;</w:t>
      </w:r>
    </w:p>
    <w:p>
      <w:pPr>
        <w:spacing w:after="0" w:line="191" w:lineRule="exact"/>
        <w:rPr>
          <w:rFonts w:ascii="Arial" w:cs="Arial" w:eastAsia="Arial" w:hAnsi="Arial"/>
          <w:sz w:val="20"/>
          <w:szCs w:val="20"/>
          <w:color w:val="auto"/>
        </w:rPr>
      </w:pPr>
    </w:p>
    <w:p>
      <w:pPr>
        <w:jc w:val="both"/>
        <w:ind w:left="660" w:firstLine="645"/>
        <w:spacing w:after="0" w:line="278" w:lineRule="auto"/>
        <w:tabs>
          <w:tab w:leader="none" w:pos="163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of America, by any political subdivision or taxing authority of any such state, commonwealth or territory or by any foreign government, the securities of which state, commonwealth, territory, political subdivision, taxing authority or foreign government (as the case may be) receive at least (i) a short term credit rating of “P-1” or higher from Moody’s or “A-1” or higher from S&amp;P or (ii) a long term rating of “A2” or higher from Moody’s or “A” or higher from S&amp;P;</w:t>
      </w:r>
    </w:p>
    <w:p>
      <w:pPr>
        <w:spacing w:after="0" w:line="165" w:lineRule="exact"/>
        <w:rPr>
          <w:rFonts w:ascii="Arial" w:cs="Arial" w:eastAsia="Arial" w:hAnsi="Arial"/>
          <w:sz w:val="18"/>
          <w:szCs w:val="18"/>
          <w:color w:val="auto"/>
        </w:rPr>
      </w:pPr>
    </w:p>
    <w:p>
      <w:pPr>
        <w:ind w:left="660" w:firstLine="645"/>
        <w:spacing w:after="0" w:line="260" w:lineRule="auto"/>
        <w:tabs>
          <w:tab w:leader="none" w:pos="1547" w:val="left"/>
        </w:tabs>
        <w:numPr>
          <w:ilvl w:val="0"/>
          <w:numId w:val="26"/>
        </w:numPr>
        <w:rPr>
          <w:rFonts w:ascii="Arial" w:cs="Arial" w:eastAsia="Arial" w:hAnsi="Arial"/>
          <w:sz w:val="20"/>
          <w:szCs w:val="20"/>
          <w:color w:val="auto"/>
        </w:rPr>
      </w:pPr>
      <w:r>
        <w:rPr>
          <w:rFonts w:ascii="Arial" w:cs="Arial" w:eastAsia="Arial" w:hAnsi="Arial"/>
          <w:sz w:val="20"/>
          <w:szCs w:val="20"/>
          <w:color w:val="auto"/>
        </w:rPr>
        <w:t>investments in money market funds substantially all the assets of which are comprised of securities of the types described in clauses (a) through (h) above</w:t>
      </w:r>
    </w:p>
    <w:p>
      <w:pPr>
        <w:spacing w:after="0" w:line="176" w:lineRule="exact"/>
        <w:rPr>
          <w:rFonts w:ascii="Arial" w:cs="Arial" w:eastAsia="Arial" w:hAnsi="Arial"/>
          <w:sz w:val="20"/>
          <w:szCs w:val="20"/>
          <w:color w:val="auto"/>
        </w:rPr>
      </w:pPr>
    </w:p>
    <w:p>
      <w:pPr>
        <w:ind w:left="660" w:right="20" w:firstLine="645"/>
        <w:spacing w:after="0" w:line="260" w:lineRule="auto"/>
        <w:tabs>
          <w:tab w:leader="none" w:pos="1547" w:val="left"/>
        </w:tabs>
        <w:numPr>
          <w:ilvl w:val="0"/>
          <w:numId w:val="26"/>
        </w:numPr>
        <w:rPr>
          <w:rFonts w:ascii="Arial" w:cs="Arial" w:eastAsia="Arial" w:hAnsi="Arial"/>
          <w:sz w:val="20"/>
          <w:szCs w:val="20"/>
          <w:color w:val="auto"/>
        </w:rPr>
      </w:pPr>
      <w:r>
        <w:rPr>
          <w:rFonts w:ascii="Arial" w:cs="Arial" w:eastAsia="Arial" w:hAnsi="Arial"/>
          <w:sz w:val="20"/>
          <w:szCs w:val="20"/>
          <w:color w:val="auto"/>
        </w:rPr>
        <w:t>securities with maturities of six months or less from the date of acquisition backed by standby letters of credit issued by any Lender or any commercial bank satisfying the requirements of clause (c) above; and</w:t>
      </w:r>
    </w:p>
    <w:p>
      <w:pPr>
        <w:spacing w:after="0" w:line="176" w:lineRule="exact"/>
        <w:rPr>
          <w:rFonts w:ascii="Arial" w:cs="Arial" w:eastAsia="Arial" w:hAnsi="Arial"/>
          <w:sz w:val="20"/>
          <w:szCs w:val="20"/>
          <w:color w:val="auto"/>
        </w:rPr>
      </w:pPr>
    </w:p>
    <w:p>
      <w:pPr>
        <w:ind w:left="660" w:firstLine="645"/>
        <w:spacing w:after="0" w:line="316" w:lineRule="auto"/>
        <w:tabs>
          <w:tab w:leader="none" w:pos="1599"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3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Second Priority Refinancing Indebtedness</w:t>
      </w:r>
      <w:r>
        <w:rPr>
          <w:rFonts w:ascii="Arial" w:cs="Arial" w:eastAsia="Arial" w:hAnsi="Arial"/>
          <w:sz w:val="18"/>
          <w:szCs w:val="18"/>
          <w:color w:val="auto"/>
        </w:rPr>
        <w:t xml:space="preserve">” means Indebtedness of the Company or any other Loan Party in the form of term loans (other than, for the avoidance of doubt, Incremental Term Loans or other Term Loans under this Agreement) or bonds, debentures, notes or similar instruments (a) that is secured by Liens on the Collateral on a junior basis to the Liens on the Collateral securing the Secured Obligations and is not secured by any property or assets of the Company or any of the Subsidiaries other than the Collateral, (b) the Net Proceeds of which, substantially concurrently with the incurrence thereof, are applied to the repayment or prepayment of then outstanding Term Loan Borrowings of any Class in an aggregate principal amount equal to the aggregate amount of such Permitted Second Priority Refinancing Indebtedness (less the aggregate amount of accrued and unpaid interest with respect to such outstanding Term Loan Borrowings and any reasonable fees, premium and expenses relating to such refinancing), (c) that does not mature earlier than the Latest Maturity Date then in effect, and has a Weighted Average Life to Maturity no shorter than the Class of Term Loans with the Latest Maturity Date in effect at the time of incurrence of such Indebtedness, (d) that contains covenants, events of default and other terms that are customary for similar Indebtedness in light of then-prevailing market conditions and, when taken as a whole (other than interest rates, rate floors, fees and optional prepayment or redemption terms), are no more favorable to the lenders or investors, as the case may be, providing such Permitted Second Priority Refinancing Indebtedness than those set forth in the Loan Documents are with respect to the Lenders (other than covenants or other provisions applicable only to periods after the Latest Maturity Date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811" w:right="2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8"/>
          <w:szCs w:val="18"/>
          <w:color w:val="auto"/>
        </w:rPr>
        <w:t>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unless the Administrative Agent provides notice to the Company of its reasonable objection during such period together with a reasonable description of the basis upon which it objects, (e) the security agreements relating to which are substantially the same as the Collateral Documents (giving effect to differences between the nature of first and second lien security agreements, with such other differences as are reasonably satisfactory to the Administrative Agent), (f) that is not guaranteed by any Persons other than a Loan Party, (g) that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and (h) in respect of which a trustee, collateral agent, security agent or similar Person, acting on behalf of the holders thereof, shall have become party to an Intercreditor Agreement. Permitted Second Priority Refinancing Indebtedness will include any Registered Equivalent Notes issued in exchange therefor.</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Surviving Debt</w:t>
      </w:r>
      <w:r>
        <w:rPr>
          <w:rFonts w:ascii="Arial" w:cs="Arial" w:eastAsia="Arial" w:hAnsi="Arial"/>
          <w:sz w:val="20"/>
          <w:szCs w:val="20"/>
          <w:color w:val="auto"/>
        </w:rPr>
        <w:t>” means (i) purchase money Indebtedness, capital leases and equipment financings of Grand Design and its subsidiaries that will remain outstanding following the Effective Date, (ii) intercompany Indebtedness among Grand Design and its subsidiaries, (iii) any Indebtedness specifically contemplated by the Grand Design Purchase Agreement, as in effect on October 2, 2016, to remain outstanding following the Effective Date and (iv) other Indebtedness that is permitted to be outstanding following the Effective Date by the terms hereof.</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Indebtedness</w:t>
      </w:r>
      <w:r>
        <w:rPr>
          <w:rFonts w:ascii="Arial" w:cs="Arial" w:eastAsia="Arial" w:hAnsi="Arial"/>
          <w:sz w:val="18"/>
          <w:szCs w:val="18"/>
          <w:color w:val="auto"/>
        </w:rPr>
        <w:t xml:space="preserve">” means Indebtedness of the Company or any Subsidiary (a) that is not (and any Guarantees thereof by the Company or Subsidiaries are not) secured by any collateral (including the Collateral), (b) that does not mature earlier than the date that is ninety-one (91) days after the Latest Maturity Date then in effect, and has a Weighted Average Life to Maturity no shorter than the Class of Term Loans with the latest Maturity Date in effect at the time of incurrence of such Indebtedness, (c) that,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date that is the Latest Maturity Date, (d) that contains covenants, events of default, guarantees and other terms that are customary for similar Indebtedness in light of then-prevailing market conditions (it being understood and agreed that such Indebtedness shall not include any financial maintenance covenants and that applicable negative covenants shall be incurrence-based to the extent customary for similar Indebtedness) and, when taken as a whole (other than interest rates, rate floors, fees and optional prepayment or redemption terms), are not more favorable (as reasonably determined by the Company in good faith) to the lenders or investors providing such Permitted Unsecured Indebtedness, as the case may be, than those set forth in the Loan Documents are with respect to the Lenders (other than covenants or other provisions applicable only to periods after the Latest Maturity Date then in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811" w:right="2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20"/>
          <w:szCs w:val="20"/>
          <w:color w:val="auto"/>
        </w:rPr>
        <w:t>the foregoing requirements shall be conclusive, and (e) that is not guaranteed by any Person other than on an unsecured basis by the Company and/or Subsidiaries that are Loan Parties.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means Debt Domain, Intralinks, Syndtrak or a substantially similar electronic transmission system.</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Pledge Subsidiary</w:t>
      </w:r>
      <w:r>
        <w:rPr>
          <w:rFonts w:ascii="Arial" w:cs="Arial" w:eastAsia="Arial" w:hAnsi="Arial"/>
          <w:sz w:val="19"/>
          <w:szCs w:val="19"/>
          <w:color w:val="auto"/>
        </w:rPr>
        <w:t>” means (i) each Domestic Subsidiary and (ii) each First Tier Foreign Subsidiary which is a Material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Subsidiary.</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Prepayment Event</w:t>
      </w:r>
      <w:r>
        <w:rPr>
          <w:rFonts w:ascii="Arial" w:cs="Arial" w:eastAsia="Arial" w:hAnsi="Arial"/>
          <w:sz w:val="20"/>
          <w:szCs w:val="20"/>
          <w:color w:val="auto"/>
        </w:rPr>
        <w:t>” means:</w:t>
      </w:r>
    </w:p>
    <w:p>
      <w:pPr>
        <w:spacing w:after="0" w:line="216" w:lineRule="exact"/>
        <w:rPr>
          <w:sz w:val="20"/>
          <w:szCs w:val="20"/>
          <w:color w:val="auto"/>
        </w:rPr>
      </w:pPr>
    </w:p>
    <w:p>
      <w:pPr>
        <w:ind w:firstLine="1305"/>
        <w:spacing w:after="0" w:line="260" w:lineRule="auto"/>
        <w:tabs>
          <w:tab w:leader="none" w:pos="1568"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sale, transfer or other disposition (including pursuant to a sale and leaseback transaction) of any property or asset of the Company or any Subsidiary pursuant to Section 6.05(r); or</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602" w:val="left"/>
        </w:tabs>
        <w:numPr>
          <w:ilvl w:val="0"/>
          <w:numId w:val="27"/>
        </w:numPr>
        <w:rPr>
          <w:rFonts w:ascii="Arial" w:cs="Arial" w:eastAsia="Arial" w:hAnsi="Arial"/>
          <w:sz w:val="20"/>
          <w:szCs w:val="20"/>
          <w:color w:val="auto"/>
        </w:rPr>
      </w:pPr>
      <w:r>
        <w:rPr>
          <w:rFonts w:ascii="Arial" w:cs="Arial" w:eastAsia="Arial" w:hAnsi="Arial"/>
          <w:sz w:val="20"/>
          <w:szCs w:val="20"/>
          <w:color w:val="auto"/>
        </w:rPr>
        <w:t>any casualty or other insured damage to, or any taking under power of eminent domain or by condemnation or similar proceeding of, any property or asset of the Company or any Subsidiary with a fair market value immediately prior to such event equal to or greater than $7,500,000; or</w:t>
      </w:r>
    </w:p>
    <w:p>
      <w:pPr>
        <w:spacing w:after="0" w:line="186" w:lineRule="exact"/>
        <w:rPr>
          <w:rFonts w:ascii="Arial" w:cs="Arial" w:eastAsia="Arial" w:hAnsi="Arial"/>
          <w:sz w:val="20"/>
          <w:szCs w:val="20"/>
          <w:color w:val="auto"/>
        </w:rPr>
      </w:pPr>
    </w:p>
    <w:p>
      <w:pPr>
        <w:ind w:right="20" w:firstLine="1305"/>
        <w:spacing w:after="0" w:line="260" w:lineRule="auto"/>
        <w:tabs>
          <w:tab w:leader="none" w:pos="1627"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incurrence by the Company or any Subsidiary of any Indebtedness, other than Indebtedness permitted under Section 6.01 or permitted by the Required Lenders pursuant to Section 9.02.</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publicly announced from time to time by JPMCB as its prime rate in effect at its principal offices in New York City; each change in the Prime Rate shall be effective from and including the date such change is publicly announced as being effective.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has the meaning assigned to such term in Section 3.11.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Purchasing Borrower Party</w:t>
      </w:r>
      <w:r>
        <w:rPr>
          <w:rFonts w:ascii="Arial" w:cs="Arial" w:eastAsia="Arial" w:hAnsi="Arial"/>
          <w:sz w:val="20"/>
          <w:szCs w:val="20"/>
          <w:color w:val="auto"/>
        </w:rPr>
        <w:t>” has the meaning assigned to such term in Section 9.04(f).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Equity Interests of the Company other than Disqualified Equity Interests.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and (b) any Lender.</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Amendment</w:t>
      </w:r>
      <w:r>
        <w:rPr>
          <w:rFonts w:ascii="Arial" w:cs="Arial" w:eastAsia="Arial" w:hAnsi="Arial"/>
          <w:sz w:val="20"/>
          <w:szCs w:val="20"/>
          <w:color w:val="auto"/>
        </w:rPr>
        <w:t>” means an amendment to this Agreement executed by each of (a) the Borrower, (b) the Administrative Agent, (c) each Additional Refinancing Lender and (d) each Lender that agrees to provide any portion of any Refinancing Term Loans incurred pursuant thereto, in accordance with Section 2.27.</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Convertible Notes</w:t>
      </w:r>
      <w:r>
        <w:rPr>
          <w:rFonts w:ascii="Arial" w:cs="Arial" w:eastAsia="Arial" w:hAnsi="Arial"/>
          <w:sz w:val="20"/>
          <w:szCs w:val="20"/>
          <w:color w:val="auto"/>
        </w:rPr>
        <w:t>” has the meaning assigned to such term in Section 6.09.</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Indebtedness</w:t>
      </w:r>
      <w:r>
        <w:rPr>
          <w:rFonts w:ascii="Arial" w:cs="Arial" w:eastAsia="Arial" w:hAnsi="Arial"/>
          <w:sz w:val="20"/>
          <w:szCs w:val="20"/>
          <w:color w:val="auto"/>
        </w:rPr>
        <w:t>” means, in respect of any Indebtedness (the “</w:t>
      </w:r>
      <w:r>
        <w:rPr>
          <w:rFonts w:ascii="Arial" w:cs="Arial" w:eastAsia="Arial" w:hAnsi="Arial"/>
          <w:sz w:val="20"/>
          <w:szCs w:val="20"/>
          <w:u w:val="single" w:color="auto"/>
          <w:color w:val="auto"/>
        </w:rPr>
        <w:t>Original Indebtedness</w:t>
      </w:r>
      <w:r>
        <w:rPr>
          <w:rFonts w:ascii="Arial" w:cs="Arial" w:eastAsia="Arial" w:hAnsi="Arial"/>
          <w:sz w:val="20"/>
          <w:szCs w:val="20"/>
          <w:color w:val="auto"/>
        </w:rPr>
        <w:t>”), any Indebtedness that extends, renews or refinances such Original Indebtedness (or 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812" w:right="239" w:bottom="1440" w:gutter="0" w:footer="0" w:header="0"/>
        </w:sectPr>
      </w:pPr>
    </w:p>
    <w:bookmarkStart w:id="48" w:name="page49"/>
    <w:bookmarkEnd w:id="48"/>
    <w:p>
      <w:pPr>
        <w:jc w:val="both"/>
        <w:spacing w:after="0" w:line="267" w:lineRule="auto"/>
        <w:rPr>
          <w:sz w:val="20"/>
          <w:szCs w:val="20"/>
          <w:color w:val="auto"/>
        </w:rPr>
      </w:pPr>
      <w:r>
        <w:rPr>
          <w:rFonts w:ascii="Arial" w:cs="Arial" w:eastAsia="Arial" w:hAnsi="Arial"/>
          <w:sz w:val="18"/>
          <w:szCs w:val="18"/>
          <w:color w:val="auto"/>
        </w:rPr>
        <w:t xml:space="preserve">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the maturity of such Original Indebtedness or (ii) otherwise, the date that is ninety one (91) days after the Latest Maturity Date in effect on the date of such extension, renewal or refinancing; (d) 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 Indebtedness) an obligor in respect of such Original Indebtedness, and shall not constitute an obligation of the Company if the Company shall not have been an obligor in respect of such Original Indebtedness, and, in each case, shall constitute an obligation of such Subsidiary or of the Company only to the extent of their obligations in respect of such Original Indebtedness; (f) if such Original Indebtedness shall have been subordinated to the Secured Obligations, such Refinancing Indebtedness shall also be subordinated to the Secured Obligations on terms not less favorable in any material respect to the Lenders; (g) in the case of any Refinancing Indebtedness that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Term Loans, any mandatory prepayment requirements with respect thereto may provide that such Refinancing Indebtedness may participate in any mandatory prepayment on a pro rata basis with any Class of existing Term Loans, but may not provide for prepayment requirements that are more favorable to the Lenders holding such Refinancing Indebtedness than to the Lenders holding such Class of Term Loans, (h)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(i)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terms), are more favorable (as reasonably determined by the Company in good faith) to the lenders, holders or investors, as the case may be, providing such Refinancing Indebtedness than those applicable to the relevant Original Indebtedness (provided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Company has determined in good faith that such terms and conditions satisfy the requirement of this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shall be conclusive evidence that such terms and conditions satisfy such requirement unless the Administrative Agent notifies the Company within such five (5) Business Day period that it disagrees with such determination (including a description of the basis upon which it disagrees)), and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811" w:right="239" w:bottom="1440" w:gutter="0" w:footer="0" w:header="0"/>
        </w:sectPr>
      </w:pPr>
    </w:p>
    <w:bookmarkStart w:id="49" w:name="page50"/>
    <w:bookmarkEnd w:id="49"/>
    <w:p>
      <w:pPr>
        <w:jc w:val="both"/>
        <w:ind w:firstLine="8"/>
        <w:spacing w:after="0" w:line="260" w:lineRule="auto"/>
        <w:tabs>
          <w:tab w:leader="none" w:pos="247" w:val="left"/>
        </w:tabs>
        <w:numPr>
          <w:ilvl w:val="0"/>
          <w:numId w:val="28"/>
        </w:numPr>
        <w:rPr>
          <w:rFonts w:ascii="Arial" w:cs="Arial" w:eastAsia="Arial" w:hAnsi="Arial"/>
          <w:sz w:val="19"/>
          <w:szCs w:val="19"/>
          <w:color w:val="auto"/>
        </w:rPr>
      </w:pPr>
      <w:r>
        <w:rPr>
          <w:rFonts w:ascii="Arial" w:cs="Arial" w:eastAsia="Arial" w:hAnsi="Arial"/>
          <w:sz w:val="19"/>
          <w:szCs w:val="19"/>
          <w:color w:val="auto"/>
        </w:rPr>
        <w:t>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Secured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spacing w:after="0" w:line="181"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Series</w:t>
      </w:r>
      <w:r>
        <w:rPr>
          <w:rFonts w:ascii="Arial" w:cs="Arial" w:eastAsia="Arial" w:hAnsi="Arial"/>
          <w:sz w:val="19"/>
          <w:szCs w:val="19"/>
          <w:color w:val="auto"/>
        </w:rPr>
        <w:t>” means all Refinancing Term Loans or Refinancing Term Loan Commitments that are established pursuant to the same Refinancing Amendment (or any subsequent Refinancing Amendment to the extent such Refinancing Amendment expressly provides that the Refinancing Term Loans or Refinancing Term Loan Commitments provided for therein are intended to be a part of any previously established Refinancing Series) and that provide for the same All-In-Yield and amortization schedule.</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Term Loan Commitments</w:t>
      </w:r>
      <w:r>
        <w:rPr>
          <w:rFonts w:ascii="Arial" w:cs="Arial" w:eastAsia="Arial" w:hAnsi="Arial"/>
          <w:sz w:val="20"/>
          <w:szCs w:val="20"/>
          <w:color w:val="auto"/>
        </w:rPr>
        <w:t>” means commitments of Term Lenders to make Refinancing Term Loans pursuant to a Refinancing Amendment.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Term Loans</w:t>
      </w:r>
      <w:r>
        <w:rPr>
          <w:rFonts w:ascii="Arial" w:cs="Arial" w:eastAsia="Arial" w:hAnsi="Arial"/>
          <w:sz w:val="18"/>
          <w:szCs w:val="18"/>
          <w:color w:val="auto"/>
        </w:rPr>
        <w:t>” means one or more Classes of Term Loans hereunder that result from a Refinancing Amendment.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set forth in Section 9.04.</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Registered Equivalent Notes</w:t>
      </w:r>
      <w:r>
        <w:rPr>
          <w:rFonts w:ascii="Arial" w:cs="Arial" w:eastAsia="Arial" w:hAnsi="Arial"/>
          <w:sz w:val="19"/>
          <w:szCs w:val="19"/>
          <w:color w:val="auto"/>
        </w:rPr>
        <w:t>” means, with respect to any bonds, notes, debentures or similar instruments originally issued in a Rule 144A or other private placement transaction under the Securities Act, substantially identical notes (having the same Guarantees) issued in a dollar for dollar exchange therefor pursuant to an exchange offer registered with the SEC.</w:t>
      </w:r>
    </w:p>
    <w:p>
      <w:pPr>
        <w:spacing w:after="0" w:line="170"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advisors and representatives of such Person and such Person’s Affiliates.</w:t>
      </w:r>
    </w:p>
    <w:p>
      <w:pPr>
        <w:spacing w:after="0" w:line="17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Repricing Transaction</w:t>
      </w:r>
      <w:r>
        <w:rPr>
          <w:rFonts w:ascii="Arial" w:cs="Arial" w:eastAsia="Arial" w:hAnsi="Arial"/>
          <w:sz w:val="18"/>
          <w:szCs w:val="18"/>
          <w:color w:val="auto"/>
        </w:rPr>
        <w:t xml:space="preserve">” means (a) any voluntary prepayment or repayment of all or any portion of the Tranche B Term Loans using proceeds of, or conversion of all or any portion of the Tranche B Term Loans into, any new or replacement Indebtedness consisting of secured term loans incurred by the Company or any of its Subsidiaries for which the All-In Yield on the date of such prepayment or repayment or conversion is lower than the All-In Yield applicable to the Tranche B Term Loans subject to such event (as such comparative yields are reasonably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prepayment or repayment of the Tranche B Term Loans in connection with a Change in Control constitute a Repricing Transaction and (b) any amendment, modification or waiver to this Agreement which reduces the All-In Yield applicable to the Tranche B Term Loans. Any determination by the Administrative Agent with respect to whether a Repricing Transaction shall have occurred shall be conclusive and binding on all Tranche B Term Lenders.</w:t>
      </w:r>
    </w:p>
    <w:p>
      <w:pPr>
        <w:spacing w:after="0" w:line="16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Repurchase Agreements</w:t>
      </w:r>
      <w:r>
        <w:rPr>
          <w:rFonts w:ascii="Arial" w:cs="Arial" w:eastAsia="Arial" w:hAnsi="Arial"/>
          <w:sz w:val="18"/>
          <w:szCs w:val="18"/>
          <w:color w:val="auto"/>
        </w:rPr>
        <w:t>” means, collectively, repurchase agreements, by and among one or more Loan Parties and a financial institution that provides financing to a dealer who purchases vehicles from one or more Loan Parties, which repurchase agreements (i) provide that, in the event of default by a dealer in its obligation to such financial institution, such Loan Party or Loan Parties will repurchase vehicles sold to the dealer that have not been purchased by customers and (ii) are entered into by the applicable Loan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811" w:right="2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Parties in the ordinary course of business consistent with past practices (or are otherwise customarily entered into in the ordinary course of business generally by manufacturers of recreational vehicles).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means, subject to Section 2.25, at any time, Lenders having Credit Exposures and unused Commitments representing more than 50% of the sum of the total Credit Exposures and unused Commitments at such time.</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with respect to any Person,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chief executive officer, president, a Financial Officer or a member of the senior management team of the Company or any other Person designated by any such Person in writing to the Administrative Agent and reasonably acceptable to the Administrative Agent.</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Declined Proceeds</w:t>
      </w:r>
      <w:r>
        <w:rPr>
          <w:rFonts w:ascii="Arial" w:cs="Arial" w:eastAsia="Arial" w:hAnsi="Arial"/>
          <w:sz w:val="20"/>
          <w:szCs w:val="20"/>
          <w:color w:val="auto"/>
        </w:rPr>
        <w:t>” has the meaning assigned to such term in Section 2.11(f).</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Retained Percentage</w:t>
      </w:r>
      <w:r>
        <w:rPr>
          <w:rFonts w:ascii="Arial" w:cs="Arial" w:eastAsia="Arial" w:hAnsi="Arial"/>
          <w:sz w:val="20"/>
          <w:szCs w:val="20"/>
          <w:color w:val="auto"/>
        </w:rPr>
        <w:t xml:space="preserve">” means, with respect to any Excess Cash Flow Period, (a) 100%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ECF Percentage with respect to such Excess Cash Flow Period.</w:t>
      </w:r>
    </w:p>
    <w:p>
      <w:pPr>
        <w:spacing w:after="0" w:line="17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Return</w:t>
      </w:r>
      <w:r>
        <w:rPr>
          <w:rFonts w:ascii="Arial" w:cs="Arial" w:eastAsia="Arial" w:hAnsi="Arial"/>
          <w:sz w:val="19"/>
          <w:szCs w:val="19"/>
          <w:color w:val="auto"/>
        </w:rPr>
        <w:t>” means, with respect to any Investment, any dividend, distribution, repayment of principal, income, profit (from a disposition or otherwise) and any other amount received or realized in respect thereof in each case that represents a return of capital.</w:t>
      </w:r>
    </w:p>
    <w:p>
      <w:pPr>
        <w:spacing w:after="0" w:line="15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any sale or other transfer of any property or asset by any Person with the intent to lease such property or asset as lessee.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S&amp;P Global Ratings and Standard and Poor's Financial Services LLC business or any successor thereto.</w:t>
      </w:r>
    </w:p>
    <w:p>
      <w:pPr>
        <w:spacing w:after="0" w:line="22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Crimea, Cuba, Iran, North Korea, Sudan and Syria).</w:t>
      </w:r>
    </w:p>
    <w:p>
      <w:pPr>
        <w:spacing w:after="0" w:line="17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811" w:right="239" w:bottom="1440" w:gutter="0" w:footer="0" w:header="0"/>
        </w:sectPr>
      </w:pPr>
    </w:p>
    <w:bookmarkStart w:id="51" w:name="page52"/>
    <w:bookmarkEnd w:id="51"/>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means all unpaid principal of and accrued and unpaid interest on the Loans,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other instruments at any time evidencing any thereof.</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(a) the Administrative Agent, (b) the Lenders, (c) the beneficiaries of each indemnification obligation undertaken by any Loan Party under any Loan Document, and (d) the successors and assigns of each of the foregoing..</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United States Securities Act of 1933, as amended from time to time.</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Pledge and Security Agreement (including any and all supplements thereto), dated as of the date hereof, between the Loan Parties and the Administrative Agent, for the benefit of the Administrative Agent and the other Secured Parties, as the same may be amended, restated or otherwise modified from time to time.</w:t>
      </w:r>
    </w:p>
    <w:p>
      <w:pPr>
        <w:spacing w:after="0" w:line="18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Senior Secured Net Leverage Ratio</w:t>
      </w:r>
      <w:r>
        <w:rPr>
          <w:rFonts w:ascii="Arial" w:cs="Arial" w:eastAsia="Arial" w:hAnsi="Arial"/>
          <w:sz w:val="20"/>
          <w:szCs w:val="20"/>
          <w:color w:val="auto"/>
        </w:rPr>
        <w:t xml:space="preserve">” means, as of any date of determination, the ratio of (a) an amount equal to (i) Consolidated Total Secured Indebtedness, but excluding any Subordinated Indebtedness, as of such date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(ii) the aggregate amount of unrestricted and unencumbered cash and Permitted Investments included in the consolidated balance sheet of the Company and its Subsidiaries as of such date to (ii) Consolidated EBITDA of the Company and its Subsidiaries for the most recent four (4) fiscal quarter period of the Company ended on or prior to such date.</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means the representations and warranties set forth in Sections 3.01(a), 3.02, 3.03(b) (with respect to no violation of the charter, by-laws or other organizational documents of the Company or any other Loan Party), 3.08, 3.12, 3.16(a), 3.18 (subject to the Limited Conditionality Provision) and 3.19 of this Agreement.</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Transaction</w:t>
      </w:r>
      <w:r>
        <w:rPr>
          <w:rFonts w:ascii="Arial" w:cs="Arial" w:eastAsia="Arial" w:hAnsi="Arial"/>
          <w:sz w:val="20"/>
          <w:szCs w:val="20"/>
          <w:color w:val="auto"/>
        </w:rPr>
        <w:t>” means any (a) Disposition, (b) asset acquisition, (c) Investment, (d) Restricted Payment or (e) incurrence, repayment, repurchase or redemption of Indebtedness, in each case, with respect to which the terms of the Loan Documents permitting such transaction require pro forma compliance with a test or covenant hereunder or require such test or covenant to be calculated on a pro forma basis or to be given pro forma effect.</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Statements</w:t>
      </w:r>
      <w:r>
        <w:rPr>
          <w:rFonts w:ascii="Arial" w:cs="Arial" w:eastAsia="Arial" w:hAnsi="Arial"/>
          <w:sz w:val="20"/>
          <w:szCs w:val="20"/>
          <w:color w:val="auto"/>
        </w:rPr>
        <w:t>” has the meaning assigned to such term in Section 2.18(g).</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811" w:right="239" w:bottom="1440" w:gutter="0" w:footer="0" w:header="0"/>
        </w:sectPr>
      </w:pPr>
    </w:p>
    <w:bookmarkStart w:id="52" w:name="page53"/>
    <w:bookmarkEnd w:id="52"/>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the Company or any Subsidiary the payment of which is subordinated to payment of the obligations under the Loan Documents.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 Documents</w:t>
      </w:r>
      <w:r>
        <w:rPr>
          <w:rFonts w:ascii="Arial" w:cs="Arial" w:eastAsia="Arial" w:hAnsi="Arial"/>
          <w:sz w:val="20"/>
          <w:szCs w:val="20"/>
          <w:color w:val="auto"/>
        </w:rPr>
        <w:t>” means any document, agreement or instrument evidencing any Subordinated Indebtedness or entered into in connection with any Subordinated Indebtedness.</w:t>
      </w:r>
    </w:p>
    <w:p>
      <w:pPr>
        <w:spacing w:after="0" w:line="17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subsidiary of the Company.</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w:t>
      </w:r>
      <w:r>
        <w:rPr>
          <w:rFonts w:ascii="Arial" w:cs="Arial" w:eastAsia="Arial" w:hAnsi="Arial"/>
          <w:sz w:val="20"/>
          <w:szCs w:val="20"/>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phantom stock or similar plan providing for payments only on account of services provided by current or former directors, officers, employees or consultants of the Company or the Subsidiaries shall be a Swap Agreement.</w:t>
      </w:r>
    </w:p>
    <w:p>
      <w:pPr>
        <w:spacing w:after="0" w:line="197"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Lender</w:t>
      </w:r>
      <w:r>
        <w:rPr>
          <w:rFonts w:ascii="Arial" w:cs="Arial" w:eastAsia="Arial" w:hAnsi="Arial"/>
          <w:sz w:val="20"/>
          <w:szCs w:val="20"/>
          <w:color w:val="auto"/>
        </w:rPr>
        <w:t>” means, at any time, each Lender having a Term Loan Commitment or that holds Term Loans.</w:t>
      </w:r>
    </w:p>
    <w:p>
      <w:pPr>
        <w:spacing w:after="0" w:line="216"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collectively, the Tranche B Term Loan Commitments, the Other Term Loan Commitments, any commitments in respect of Incremental Term Loans or any Refinancing Term Loan Commitments, as the context may require.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811" w:right="239" w:bottom="1440" w:gutter="0" w:footer="0" w:header="0"/>
        </w:sectPr>
      </w:pPr>
    </w:p>
    <w:bookmarkStart w:id="53" w:name="page54"/>
    <w:bookmarkEnd w:id="53"/>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Priority Collateral</w:t>
      </w:r>
      <w:r>
        <w:rPr>
          <w:rFonts w:ascii="Arial" w:cs="Arial" w:eastAsia="Arial" w:hAnsi="Arial"/>
          <w:sz w:val="18"/>
          <w:szCs w:val="18"/>
          <w:color w:val="auto"/>
        </w:rPr>
        <w:t>” has the meaning assigned thereto in the ABL/Term Loan Intercreditor Agreement, and is intended to indicate that portion of the Collateral subject to a prior Lien in favor of the Administrative Agent and the other Secured Parties.</w:t>
      </w:r>
    </w:p>
    <w:p>
      <w:pPr>
        <w:spacing w:after="0" w:line="13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means, collectively, the Tranche B Term Loans, the Incremental Term Loans or Refinancing Term Loans, as the context may require.</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a single period consisting of the most recent four consecutive fiscal quarters of the Company for which financial statements have been required to be delivered pursuant to Section 5.01(a) or Section 5.01(b), as applicable (or, if prior to the date of the delivery of the first financial statements to be delivered pursuant to Section 5.01(a) or (b), the most recent financial statements referred to in Section 3.04(a)).</w:t>
      </w:r>
    </w:p>
    <w:p>
      <w:pPr>
        <w:spacing w:after="0" w:line="192"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means, as of any date of determination, the ratio of (a) an amount equal to (i) Consolidated Total Indebtedness as of the last day of the most recently ended Test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amount of unrestricted and unencumbered cash and Permitted Investments included in the consolidated balance sheet of the Company and its Subsidiaries as of such date of determination to</w:t>
      </w:r>
    </w:p>
    <w:p>
      <w:pPr>
        <w:spacing w:after="0" w:line="1" w:lineRule="exact"/>
        <w:rPr>
          <w:sz w:val="20"/>
          <w:szCs w:val="20"/>
          <w:color w:val="auto"/>
        </w:rPr>
      </w:pPr>
    </w:p>
    <w:p>
      <w:pPr>
        <w:ind w:firstLine="8"/>
        <w:spacing w:after="0" w:line="244" w:lineRule="auto"/>
        <w:tabs>
          <w:tab w:leader="none" w:pos="286" w:val="left"/>
        </w:tabs>
        <w:numPr>
          <w:ilvl w:val="0"/>
          <w:numId w:val="29"/>
        </w:numPr>
        <w:rPr>
          <w:rFonts w:ascii="Arial" w:cs="Arial" w:eastAsia="Arial" w:hAnsi="Arial"/>
          <w:sz w:val="20"/>
          <w:szCs w:val="20"/>
          <w:color w:val="auto"/>
        </w:rPr>
      </w:pPr>
      <w:r>
        <w:rPr>
          <w:rFonts w:ascii="Arial" w:cs="Arial" w:eastAsia="Arial" w:hAnsi="Arial"/>
          <w:sz w:val="20"/>
          <w:szCs w:val="20"/>
          <w:color w:val="auto"/>
        </w:rPr>
        <w:t>Consolidated EBITDA for such Test Period, all calculated for the Company and its Subsidiaries on a consolidated basis in accordance with GAAP.</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Term Lender</w:t>
      </w:r>
      <w:r>
        <w:rPr>
          <w:rFonts w:ascii="Arial" w:cs="Arial" w:eastAsia="Arial" w:hAnsi="Arial"/>
          <w:sz w:val="18"/>
          <w:szCs w:val="18"/>
          <w:color w:val="auto"/>
        </w:rPr>
        <w:t>” means, at any time, each Lender having a Tranche B Term Loan Commitment or that holds Tranche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B Term Loans.</w:t>
      </w:r>
    </w:p>
    <w:p>
      <w:pPr>
        <w:spacing w:after="0" w:line="20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B Term Loan Commitment</w:t>
      </w:r>
      <w:r>
        <w:rPr>
          <w:rFonts w:ascii="Arial" w:cs="Arial" w:eastAsia="Arial" w:hAnsi="Arial"/>
          <w:sz w:val="19"/>
          <w:szCs w:val="19"/>
          <w:color w:val="auto"/>
        </w:rPr>
        <w:t xml:space="preserve">” means (a) as to any Tranche B Term Lender, the aggregate commitment of such Tranche B Term Lender to make Tranche B Term Loans as set forth on the </w:t>
      </w:r>
      <w:r>
        <w:rPr>
          <w:rFonts w:ascii="Arial" w:cs="Arial" w:eastAsia="Arial" w:hAnsi="Arial"/>
          <w:sz w:val="19"/>
          <w:szCs w:val="19"/>
          <w:u w:val="single" w:color="auto"/>
          <w:color w:val="auto"/>
        </w:rPr>
        <w:t>Commitment Schedule</w:t>
      </w:r>
      <w:r>
        <w:rPr>
          <w:rFonts w:ascii="Arial" w:cs="Arial" w:eastAsia="Arial" w:hAnsi="Arial"/>
          <w:sz w:val="19"/>
          <w:szCs w:val="19"/>
          <w:color w:val="auto"/>
        </w:rPr>
        <w:t xml:space="preserve"> or in the most recent Assignment Agreement or other documentation contemplated hereby executed by such Tranche B Term Lender and (b) as to all Tranche B Term Lenders, the aggregate commitment of all Tranche B Term Lenders to make Tranche B Term Loans, which aggregate commitment shall be $300,000,000 on the Effective Date. After advancing the Tranche B Term Loans, each reference to a Tranche B Term Lender’s Tranche B Term Loan Commitment shall refer to that Tranche B Term Lender’s Applicable Percentage of the Tranche B Term Loans.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Term Loans</w:t>
      </w:r>
      <w:r>
        <w:rPr>
          <w:rFonts w:ascii="Arial" w:cs="Arial" w:eastAsia="Arial" w:hAnsi="Arial"/>
          <w:sz w:val="16"/>
          <w:szCs w:val="16"/>
          <w:color w:val="auto"/>
        </w:rPr>
        <w:t>” means the term loans made by the Tranche B Term Lenders to the Borrower pursuant to Section 2.01.</w:t>
      </w:r>
    </w:p>
    <w:p>
      <w:pPr>
        <w:spacing w:after="0" w:line="26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Costs</w:t>
      </w:r>
      <w:r>
        <w:rPr>
          <w:rFonts w:ascii="Arial" w:cs="Arial" w:eastAsia="Arial" w:hAnsi="Arial"/>
          <w:sz w:val="19"/>
          <w:szCs w:val="19"/>
          <w:color w:val="auto"/>
        </w:rPr>
        <w:t>” means any fees or expenses incurred or paid by the Company or any Subsidiary in connection with the Transactions, this Agreement and the other Loan Documents and the transactions contemplated hereby and thereby.</w:t>
      </w:r>
    </w:p>
    <w:p>
      <w:pPr>
        <w:spacing w:after="0" w:line="15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execution, delivery and performance by the Loan Parties of this Agreement, the borrowing of Loans, the use of the proceeds thereof and the granting of Liens by the Loan Parties under the Loan Documents, (b) the execution, delivery and performance by the Loan Parties of the ABL Documents to which they are a party, the borrowing of loans thereunder, the use of the proceeds thereof and the granting of Liens by the Loan Parties under the ABL Documents, (c) the consummation of the Grand Design Acquisition and the other transactions contemplated by the Grand Design Purchase Agreement, (d) the termination and cancellation of the Existing Credit Agreement and the repayment of Indebtedness thereunder, (e) the refinancing of certain Indebtedness of Grand Design on the Effective Date, (f) the consummation of any other transactions in connection with the foregoing and (g) the payment of the fees and expenses incurred in connection with any of the foregoing.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811" w:right="239" w:bottom="1440" w:gutter="0" w:footer="0" w:header="0"/>
        </w:sectPr>
      </w:pPr>
    </w:p>
    <w:bookmarkStart w:id="54" w:name="page55"/>
    <w:bookmarkEnd w:id="54"/>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Unliquidated Obligations</w:t>
      </w:r>
      <w:r>
        <w:rPr>
          <w:rFonts w:ascii="Arial" w:cs="Arial" w:eastAsia="Arial" w:hAnsi="Arial"/>
          <w:sz w:val="20"/>
          <w:szCs w:val="20"/>
          <w:color w:val="auto"/>
        </w:rPr>
        <w:t>” means, at any time, any Secured Obligations (or portion thereof) that are contingent in nature or unliquidated at such time, including any Secured Obligation that is: (i) an obligation (including any guarantee) that is contingent in nature at such time; or (ii) an obligation to provide collateral to secure any of the foregoing types of obligations.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2.17(f)(ii)(B)(3).</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w:t>
      </w:r>
      <w:r>
        <w:rPr>
          <w:rFonts w:ascii="Arial" w:cs="Arial" w:eastAsia="Arial" w:hAnsi="Arial"/>
          <w:sz w:val="18"/>
          <w:szCs w:val="18"/>
          <w:color w:val="auto"/>
        </w:rPr>
        <w:t>” has the meaning assigned to such term in the definition of “Permitted Call Spread Swap Agreement”.</w:t>
      </w:r>
    </w:p>
    <w:p>
      <w:pPr>
        <w:spacing w:after="0" w:line="23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or the Administrative Agent.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0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Type (e.g., a “Eurodollar Loan”). Borrowings also may be classified and referred to by Type (e.g., a “Eurodollar Borrowing”).</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1.03 </w:t>
      </w:r>
      <w:r>
        <w:rPr>
          <w:rFonts w:ascii="Arial" w:cs="Arial" w:eastAsia="Arial" w:hAnsi="Arial"/>
          <w:sz w:val="20"/>
          <w:szCs w:val="20"/>
          <w:u w:val="single" w:color="auto"/>
          <w:color w:val="auto"/>
        </w:rPr>
        <w:t>Terms Generally.</w:t>
      </w:r>
      <w:r>
        <w:rPr>
          <w:rFonts w:ascii="Arial" w:cs="Arial" w:eastAsia="Arial" w:hAnsi="Arial"/>
          <w:sz w:val="20"/>
          <w:szCs w:val="20"/>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811" w:right="239" w:bottom="1440" w:gutter="0" w:footer="0" w:header="0"/>
        </w:sectPr>
      </w:pPr>
    </w:p>
    <w:bookmarkStart w:id="55" w:name="page56"/>
    <w:bookmarkEnd w:id="55"/>
    <w:p>
      <w:pPr>
        <w:jc w:val="both"/>
        <w:spacing w:after="0" w:line="334" w:lineRule="auto"/>
        <w:rPr>
          <w:sz w:val="20"/>
          <w:szCs w:val="20"/>
          <w:color w:val="auto"/>
        </w:rPr>
      </w:pPr>
      <w:r>
        <w:rPr>
          <w:rFonts w:ascii="Arial" w:cs="Arial" w:eastAsia="Arial" w:hAnsi="Arial"/>
          <w:sz w:val="16"/>
          <w:szCs w:val="16"/>
          <w:color w:val="auto"/>
        </w:rPr>
        <w:t>having the force of law or with which affected Persons customarily comply), and all judgments, orders and decrees, of all Governmental Authorities.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w:t>
      </w:r>
    </w:p>
    <w:p>
      <w:pPr>
        <w:spacing w:after="0" w:line="5" w:lineRule="exact"/>
        <w:rPr>
          <w:sz w:val="20"/>
          <w:szCs w:val="20"/>
          <w:color w:val="auto"/>
        </w:rPr>
      </w:pPr>
    </w:p>
    <w:p>
      <w:pPr>
        <w:jc w:val="both"/>
        <w:ind w:firstLine="8"/>
        <w:spacing w:after="0" w:line="273" w:lineRule="auto"/>
        <w:tabs>
          <w:tab w:leader="none" w:pos="281" w:val="left"/>
        </w:tabs>
        <w:numPr>
          <w:ilvl w:val="0"/>
          <w:numId w:val="30"/>
        </w:numPr>
        <w:rPr>
          <w:rFonts w:ascii="Arial" w:cs="Arial" w:eastAsia="Arial" w:hAnsi="Arial"/>
          <w:sz w:val="20"/>
          <w:szCs w:val="20"/>
          <w:color w:val="auto"/>
        </w:rPr>
      </w:pPr>
      <w:r>
        <w:rPr>
          <w:rFonts w:ascii="Arial" w:cs="Arial" w:eastAsia="Arial" w:hAnsi="Arial"/>
          <w:sz w:val="20"/>
          <w:szCs w:val="20"/>
          <w:color w:val="auto"/>
        </w:rPr>
        <w:t>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1"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1.04</w:t>
      </w:r>
      <w:r>
        <w:rPr>
          <w:sz w:val="20"/>
          <w:szCs w:val="20"/>
          <w:color w:val="auto"/>
        </w:rPr>
        <w:tab/>
      </w:r>
      <w:r>
        <w:rPr>
          <w:rFonts w:ascii="Arial" w:cs="Arial" w:eastAsia="Arial" w:hAnsi="Arial"/>
          <w:sz w:val="18"/>
          <w:szCs w:val="18"/>
          <w:u w:val="single" w:color="auto"/>
          <w:color w:val="auto"/>
        </w:rPr>
        <w:t xml:space="preserve">Accounting Terms; GAAP; Pro Forma Calculations; Limited Conditionality Acquisition. </w:t>
      </w:r>
      <w:r>
        <w:rPr>
          <w:rFonts w:ascii="Arial" w:cs="Arial" w:eastAsia="Arial" w:hAnsi="Arial"/>
          <w:sz w:val="18"/>
          <w:szCs w:val="18"/>
          <w:color w:val="auto"/>
        </w:rPr>
        <w:t>(a) Except as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9"/>
          <w:szCs w:val="19"/>
          <w:color w:val="auto"/>
        </w:rPr>
        <w:t>otherwise expressly provided herein, all terms of an accounting or financial nature shall be construed in accordance with GAAP, as in effect from time to time; provided that,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 (x) 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 therein and (y)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any obligations relating to a lease that was accounted for by such Person as an operating lease as of the Effective Date and any similar lease entered into after the Effective Date by such Person (or any of Subsidiary or Affiliate of such Person) shall be accounted for as obligations relating to an operating lease and not as Capital Lease Obligations. For the avoidance of doubt, and without limitation of the foregoing, Permitted Convertible Notes shall at all times be valued at the full stated principal amount thereof and shall not include any reduction or appreciation in value of the shares deliverable upon conversion thereof.</w:t>
      </w:r>
    </w:p>
    <w:p>
      <w:pPr>
        <w:spacing w:after="0" w:line="196" w:lineRule="exact"/>
        <w:rPr>
          <w:sz w:val="20"/>
          <w:szCs w:val="20"/>
          <w:color w:val="auto"/>
        </w:rPr>
      </w:pPr>
    </w:p>
    <w:p>
      <w:pPr>
        <w:jc w:val="both"/>
        <w:ind w:firstLine="656"/>
        <w:spacing w:after="0" w:line="278" w:lineRule="auto"/>
        <w:tabs>
          <w:tab w:leader="none" w:pos="1527" w:val="left"/>
        </w:tabs>
        <w:numPr>
          <w:ilvl w:val="0"/>
          <w:numId w:val="31"/>
        </w:numPr>
        <w:rPr>
          <w:rFonts w:ascii="Arial" w:cs="Arial" w:eastAsia="Arial" w:hAnsi="Arial"/>
          <w:sz w:val="20"/>
          <w:szCs w:val="20"/>
          <w:color w:val="auto"/>
        </w:rPr>
      </w:pPr>
      <w:r>
        <w:rPr>
          <w:rFonts w:ascii="Arial" w:cs="Arial" w:eastAsia="Arial" w:hAnsi="Arial"/>
          <w:sz w:val="20"/>
          <w:szCs w:val="20"/>
          <w:color w:val="auto"/>
        </w:rPr>
        <w:t>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825" w:right="239" w:bottom="1440" w:gutter="0" w:footer="0" w:header="0"/>
        </w:sectPr>
      </w:pPr>
    </w:p>
    <w:bookmarkStart w:id="56" w:name="page57"/>
    <w:bookmarkEnd w:id="56"/>
    <w:p>
      <w:pPr>
        <w:jc w:val="both"/>
        <w:spacing w:after="0" w:line="285" w:lineRule="auto"/>
        <w:rPr>
          <w:sz w:val="20"/>
          <w:szCs w:val="20"/>
          <w:color w:val="auto"/>
        </w:rPr>
      </w:pPr>
      <w:r>
        <w:rPr>
          <w:rFonts w:ascii="Arial" w:cs="Arial" w:eastAsia="Arial" w:hAnsi="Arial"/>
          <w:sz w:val="19"/>
          <w:szCs w:val="19"/>
          <w:color w:val="auto"/>
        </w:rPr>
        <w:t>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“Consolidated EBITDA”)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spacing w:after="0" w:line="188" w:lineRule="exact"/>
        <w:rPr>
          <w:sz w:val="20"/>
          <w:szCs w:val="20"/>
          <w:color w:val="auto"/>
        </w:rPr>
      </w:pPr>
    </w:p>
    <w:p>
      <w:pPr>
        <w:jc w:val="both"/>
        <w:ind w:firstLine="656"/>
        <w:spacing w:after="0" w:line="297" w:lineRule="auto"/>
        <w:tabs>
          <w:tab w:leader="none" w:pos="1516" w:val="left"/>
        </w:tabs>
        <w:numPr>
          <w:ilvl w:val="1"/>
          <w:numId w:val="32"/>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or any Loan Document to the contrary (but subject to the terms and conditions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 when calculating any applicable ratio or determining other compliance with this Agreement (including the determination of compliance with any provision of this Agreement which requires that no Default or Event of Default has occurred, is continuing or would result therefrom) in connection with a Specified Transaction undertaken in connection with the consummation of a Limited Conditionality Acquisition, the date of determination of such ratio and determination of whether any Default or Event of Default has occurred, is continuing or would result therefrom or other applicable covenant shall, at the option of the Borrower (the Borrower’s election to exercise such option in connection with any Limited Conditionality Acquisition, an “</w:t>
      </w:r>
      <w:r>
        <w:rPr>
          <w:rFonts w:ascii="Arial" w:cs="Arial" w:eastAsia="Arial" w:hAnsi="Arial"/>
          <w:sz w:val="18"/>
          <w:szCs w:val="18"/>
          <w:u w:val="single" w:color="auto"/>
          <w:color w:val="auto"/>
        </w:rPr>
        <w:t>LCA Election</w:t>
      </w:r>
      <w:r>
        <w:rPr>
          <w:rFonts w:ascii="Arial" w:cs="Arial" w:eastAsia="Arial" w:hAnsi="Arial"/>
          <w:sz w:val="18"/>
          <w:szCs w:val="18"/>
          <w:color w:val="auto"/>
        </w:rPr>
        <w:t>”), be deemed to be the date the Limited Conditionality Acquisition Agreement is entered into (the “</w:t>
      </w:r>
      <w:r>
        <w:rPr>
          <w:rFonts w:ascii="Arial" w:cs="Arial" w:eastAsia="Arial" w:hAnsi="Arial"/>
          <w:sz w:val="18"/>
          <w:szCs w:val="18"/>
          <w:u w:val="single" w:color="auto"/>
          <w:color w:val="auto"/>
        </w:rPr>
        <w:t>LCA Test Date</w:t>
      </w:r>
      <w:r>
        <w:rPr>
          <w:rFonts w:ascii="Arial" w:cs="Arial" w:eastAsia="Arial" w:hAnsi="Arial"/>
          <w:sz w:val="18"/>
          <w:szCs w:val="18"/>
          <w:color w:val="auto"/>
        </w:rPr>
        <w:t>”) and if, after such ratios and other provisions are measured on a pro forma basis after giving effect to such Limited Conditionality Acquisition and the other Specified Transactions to be entered into in connection therewith (including any incurrence of Indebtedness) as if they occurred at the beginning of the four (4)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 doubt,</w:t>
      </w:r>
    </w:p>
    <w:p>
      <w:pPr>
        <w:spacing w:after="0" w:line="5" w:lineRule="exact"/>
        <w:rPr>
          <w:rFonts w:ascii="Arial" w:cs="Arial" w:eastAsia="Arial" w:hAnsi="Arial"/>
          <w:sz w:val="18"/>
          <w:szCs w:val="18"/>
          <w:color w:val="auto"/>
        </w:rPr>
      </w:pPr>
    </w:p>
    <w:p>
      <w:pPr>
        <w:jc w:val="both"/>
        <w:ind w:firstLine="8"/>
        <w:spacing w:after="0" w:line="285" w:lineRule="auto"/>
        <w:tabs>
          <w:tab w:leader="none" w:pos="299" w:val="left"/>
        </w:tabs>
        <w:numPr>
          <w:ilvl w:val="0"/>
          <w:numId w:val="33"/>
        </w:numPr>
        <w:rPr>
          <w:rFonts w:ascii="Arial" w:cs="Arial" w:eastAsia="Arial" w:hAnsi="Arial"/>
          <w:sz w:val="19"/>
          <w:szCs w:val="19"/>
          <w:color w:val="auto"/>
        </w:rPr>
      </w:pPr>
      <w:r>
        <w:rPr>
          <w:rFonts w:ascii="Arial" w:cs="Arial" w:eastAsia="Arial" w:hAnsi="Arial"/>
          <w:sz w:val="19"/>
          <w:szCs w:val="19"/>
          <w:color w:val="auto"/>
        </w:rPr>
        <w:t>if any of such ratios are exceeded as a result of fluctuations in such ratio (including due to fluctuations in Consolidated EBITDA of the Borrower) at or prior to the consummation of the relevant Limited Conditionality Acquisition, such ratios and other provisions will not be deemed to have been exceeded as a result of such fluctuations solely for purposes of determining whether the Limited Conditionality Acquisition is permitted hereunder and (y) such ratios and other provisions shall not be tested at the time of consummation of such Limited Conditionality Acquisition or related Specified Transactions. If the Borrower has made an LCA Election for any Limited Conditionality Acquisition, then in connection with any subsequent calculation of any ratio or basket availability with respect to any other Specified Transaction on or following the relevant LCA Test Date and prior to the earlier of the date on which such Limited Conditionality Acquisition is consummated or the date that the definitive agreement for such Limited Conditionality Acquisition is terminated or expires without consummation of such Limited Conditionality Acquisition, any such ratio or basket shall be calculated on a pro forma basis assuming such Limited Conditionality Acquisition and other transactions in connection therewith (including any incurrence of Indebtedness and the use of proceeds thereof) have been consummated.</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Status of Obligations</w:t>
      </w:r>
      <w:r>
        <w:rPr>
          <w:rFonts w:ascii="Arial" w:cs="Arial" w:eastAsia="Arial" w:hAnsi="Arial"/>
          <w:sz w:val="20"/>
          <w:szCs w:val="20"/>
          <w:color w:val="auto"/>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825" w:right="239" w:bottom="1440" w:gutter="0" w:footer="0" w:header="0"/>
        </w:sectPr>
      </w:pPr>
    </w:p>
    <w:bookmarkStart w:id="57" w:name="page58"/>
    <w:bookmarkEnd w:id="57"/>
    <w:p>
      <w:pPr>
        <w:jc w:val="both"/>
        <w:spacing w:after="0" w:line="271" w:lineRule="auto"/>
        <w:rPr>
          <w:sz w:val="20"/>
          <w:szCs w:val="20"/>
          <w:color w:val="auto"/>
        </w:rPr>
      </w:pPr>
      <w:r>
        <w:rPr>
          <w:rFonts w:ascii="Arial" w:cs="Arial" w:eastAsia="Arial" w:hAnsi="Arial"/>
          <w:sz w:val="20"/>
          <w:szCs w:val="20"/>
          <w:color w:val="auto"/>
        </w:rPr>
        <w:t>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2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6"/>
          <w:szCs w:val="16"/>
          <w:u w:val="single" w:color="auto"/>
          <w:color w:val="auto"/>
        </w:rPr>
        <w:t xml:space="preserve">Commitments. </w:t>
      </w:r>
      <w:r>
        <w:rPr>
          <w:rFonts w:ascii="Arial" w:cs="Arial" w:eastAsia="Arial" w:hAnsi="Arial"/>
          <w:sz w:val="16"/>
          <w:szCs w:val="16"/>
          <w:color w:val="auto"/>
        </w:rPr>
        <w:t>Subject to the terms and conditions set forth herein, each Lender with a Tranche B Term</w:t>
      </w:r>
    </w:p>
    <w:p>
      <w:pPr>
        <w:spacing w:after="0" w:line="27"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Loan Commitment (severally and not jointly) agrees to make a Tranche B Term Loan to the Borrower in Dollars on the Effective Date, in an amount equal to such Lender’s Tranche B Term Loan Commitment by making immediately available funds available to the Administrative Agent’s designated account, not later than the time specified by the Administrative Agent. Additional Classes of Commitments may be established from time to time pursuant to Section 2.20 or 2.27, and the Loans thereunder shall be made in accordance with, and subject to the terms and conditions set forth, therein. Amounts repaid or prepaid in respect of Term Loans may not be reborrowed.</w:t>
      </w:r>
    </w:p>
    <w:p>
      <w:pPr>
        <w:spacing w:after="0" w:line="1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Loans and Borrowings</w:t>
      </w:r>
      <w:r>
        <w:rPr>
          <w:rFonts w:ascii="Arial" w:cs="Arial" w:eastAsia="Arial" w:hAnsi="Arial"/>
          <w:sz w:val="19"/>
          <w:szCs w:val="19"/>
          <w:color w:val="auto"/>
        </w:rPr>
        <w:t>. Subject to Section 2.14, the Loans may from time to time be Eurodollar Loans or ABR Loans, as determined by the Borrower and notified to the Administrative Agent in accordance with Sections 2.03 and 2.08.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The Tranche B Term Loans shall amortize as set forth in Section 2.10. Each Lender at its option may make any Loan by causing any domestic or foreign branch or Affiliate of such Lender to make such Loan (and in the case of an Affiliate, the provisions of Sections 2.14, 2.15, 2.16 and 2.17 shall apply to such Affiliate to the same extent as to such Lender); provided that any exercise of such option shall not affect the obligation of the Borrower to repay such Loan in accordance with the terms of this Agreement.</w:t>
      </w:r>
    </w:p>
    <w:p>
      <w:pPr>
        <w:spacing w:after="0" w:line="186"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2.03</w:t>
      </w:r>
      <w:r>
        <w:rPr>
          <w:sz w:val="20"/>
          <w:szCs w:val="20"/>
          <w:color w:val="auto"/>
        </w:rPr>
        <w:tab/>
      </w:r>
      <w:r>
        <w:rPr>
          <w:rFonts w:ascii="Arial" w:cs="Arial" w:eastAsia="Arial" w:hAnsi="Arial"/>
          <w:sz w:val="18"/>
          <w:szCs w:val="18"/>
          <w:u w:val="single" w:color="auto"/>
          <w:color w:val="auto"/>
        </w:rPr>
        <w:t>Procedure for Borrowings</w:t>
      </w:r>
    </w:p>
    <w:p>
      <w:pPr>
        <w:spacing w:after="0" w:line="243" w:lineRule="exact"/>
        <w:rPr>
          <w:sz w:val="20"/>
          <w:szCs w:val="20"/>
          <w:color w:val="auto"/>
        </w:rPr>
      </w:pPr>
    </w:p>
    <w:p>
      <w:pPr>
        <w:jc w:val="both"/>
        <w:ind w:firstLine="656"/>
        <w:spacing w:after="0" w:line="270" w:lineRule="auto"/>
        <w:tabs>
          <w:tab w:leader="none" w:pos="151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Borrower shall give the Administrative Agent irrevocable notice of any Borrowing either in writing (delivered by hand or facsimile) in a form attached hereto as Exhibit H-1 or such other form approved by the Administrative Agent and signed by the Borrower or by telephone or through Electronic System, if arrangements for doing so have been approved by the Administrative Agent, not later than (a) in the case of a Eurodollar Borrowing, 10:00 a.m., Chicago time, three (3) Business Days before the date of the proposed Borrowing or (b) in the case of an ABR Borrowing, 10:00 a.m., Chicago time, on the date of the proposed Borrowing. Each such telephonic Borrowing Request shall be irrevocable and shall be confirmed promptly by hand delivery, facsimile or a communication through Electronic System to the Administrative Agent of a written Borrowing Request in the form attached hereto as Exhibit H-1 or such other form approved by the Administrative Agent and signed by the Borrower.</w:t>
      </w:r>
    </w:p>
    <w:p>
      <w:pPr>
        <w:spacing w:after="0" w:line="199"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4"/>
        </w:numPr>
        <w:rPr>
          <w:rFonts w:ascii="Arial" w:cs="Arial" w:eastAsia="Arial" w:hAnsi="Arial"/>
          <w:sz w:val="20"/>
          <w:szCs w:val="20"/>
          <w:color w:val="auto"/>
        </w:rPr>
      </w:pPr>
      <w:r>
        <w:rPr>
          <w:rFonts w:ascii="Arial" w:cs="Arial" w:eastAsia="Arial" w:hAnsi="Arial"/>
          <w:sz w:val="20"/>
          <w:szCs w:val="20"/>
          <w:color w:val="auto"/>
        </w:rPr>
        <w:t>Not later than 1:00 p.m., Chicago time, on the date of any Borrowing each Lender shall make available to the Administrative Agent an amount in immediately available funds equal to the Loan or Loans to be made by such Lender. The Administrative Agent shall credit an account of the Borrower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825" w:right="239" w:bottom="1440" w:gutter="0" w:footer="0" w:header="0"/>
        </w:sectPr>
      </w:pPr>
    </w:p>
    <w:bookmarkStart w:id="58" w:name="page59"/>
    <w:bookmarkEnd w:id="58"/>
    <w:p>
      <w:pPr>
        <w:spacing w:after="0" w:line="289" w:lineRule="auto"/>
        <w:rPr>
          <w:sz w:val="20"/>
          <w:szCs w:val="20"/>
          <w:color w:val="auto"/>
        </w:rPr>
      </w:pPr>
      <w:r>
        <w:rPr>
          <w:rFonts w:ascii="Arial" w:cs="Arial" w:eastAsia="Arial" w:hAnsi="Arial"/>
          <w:sz w:val="20"/>
          <w:szCs w:val="20"/>
          <w:color w:val="auto"/>
        </w:rPr>
        <w:t>designated by the Borrower in the Borrowing Request with the aggregate of the amounts made available to the Administrative Agent by the Lenders in immediately available funds.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SECTION 2.04</w:t>
            </w:r>
          </w:p>
        </w:tc>
        <w:tc>
          <w:tcPr>
            <w:tcW w:w="14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2.05</w:t>
            </w:r>
          </w:p>
        </w:tc>
        <w:tc>
          <w:tcPr>
            <w:tcW w:w="88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8"/>
              </w:rPr>
              <w:t>[Reserved]</w:t>
            </w:r>
          </w:p>
        </w:tc>
        <w:tc>
          <w:tcPr>
            <w:tcW w:w="560" w:type="dxa"/>
            <w:vAlign w:val="bottom"/>
            <w:gridSpan w:val="2"/>
          </w:tcPr>
          <w:p>
            <w:pPr>
              <w:spacing w:after="0"/>
              <w:rPr>
                <w:sz w:val="24"/>
                <w:szCs w:val="24"/>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2.06</w:t>
            </w:r>
          </w:p>
        </w:tc>
        <w:tc>
          <w:tcPr>
            <w:tcW w:w="14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5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2.07</w:t>
            </w:r>
          </w:p>
        </w:tc>
        <w:tc>
          <w:tcPr>
            <w:tcW w:w="144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5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2.08</w:t>
            </w: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9"/>
              </w:rPr>
              <w:t>Interest Elections.</w:t>
            </w:r>
          </w:p>
        </w:tc>
      </w:tr>
    </w:tbl>
    <w:p>
      <w:pPr>
        <w:spacing w:after="0" w:line="253" w:lineRule="exact"/>
        <w:rPr>
          <w:sz w:val="20"/>
          <w:szCs w:val="20"/>
          <w:color w:val="auto"/>
        </w:rPr>
      </w:pPr>
    </w:p>
    <w:p>
      <w:pPr>
        <w:jc w:val="both"/>
        <w:ind w:firstLine="1305"/>
        <w:spacing w:after="0" w:line="288" w:lineRule="auto"/>
        <w:tabs>
          <w:tab w:leader="none" w:pos="2227" w:val="left"/>
        </w:tabs>
        <w:numPr>
          <w:ilvl w:val="0"/>
          <w:numId w:val="35"/>
        </w:numPr>
        <w:rPr>
          <w:rFonts w:ascii="Arial" w:cs="Arial" w:eastAsia="Arial" w:hAnsi="Arial"/>
          <w:sz w:val="19"/>
          <w:szCs w:val="19"/>
          <w:color w:val="auto"/>
        </w:rPr>
      </w:pPr>
      <w:r>
        <w:rPr>
          <w:rFonts w:ascii="Arial" w:cs="Arial" w:eastAsia="Arial" w:hAnsi="Arial"/>
          <w:sz w:val="19"/>
          <w:szCs w:val="19"/>
          <w:color w:val="auto"/>
        </w:rPr>
        <w:t>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2" w:lineRule="exact"/>
        <w:rPr>
          <w:rFonts w:ascii="Arial" w:cs="Arial" w:eastAsia="Arial" w:hAnsi="Arial"/>
          <w:sz w:val="19"/>
          <w:szCs w:val="19"/>
          <w:color w:val="auto"/>
        </w:rPr>
      </w:pPr>
    </w:p>
    <w:p>
      <w:pPr>
        <w:jc w:val="both"/>
        <w:ind w:firstLine="1305"/>
        <w:spacing w:after="0" w:line="304" w:lineRule="auto"/>
        <w:tabs>
          <w:tab w:leader="none" w:pos="222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 election pursuant to this Section, the Borrower shall notify the Administrative Agent of such election by telephone or through Electronic System, if arrangements for doing so have been approved by the Administrative Agent, by the time that a Borrowing Request would be required under Section 2.03 if the Borrower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in the form attached hereto as Exhibit H-2 or such other form approved by the Administrative Agent and signed by the Borrower. Notwithstanding any contrary provision herein, the Borrower shall not be entitled to elect to convert or continue any Borrowing if the Interest Period requested with respect thereto would end after the Maturity Date applicable to the Facility under which such Borrowing was made.</w:t>
      </w:r>
    </w:p>
    <w:p>
      <w:pPr>
        <w:spacing w:after="0" w:line="171" w:lineRule="exact"/>
        <w:rPr>
          <w:rFonts w:ascii="Arial" w:cs="Arial" w:eastAsia="Arial" w:hAnsi="Arial"/>
          <w:sz w:val="18"/>
          <w:szCs w:val="18"/>
          <w:color w:val="auto"/>
        </w:rPr>
      </w:pPr>
    </w:p>
    <w:p>
      <w:pPr>
        <w:ind w:firstLine="1305"/>
        <w:spacing w:after="0" w:line="289" w:lineRule="auto"/>
        <w:tabs>
          <w:tab w:leader="none" w:pos="2227" w:val="left"/>
        </w:tabs>
        <w:numPr>
          <w:ilvl w:val="0"/>
          <w:numId w:val="35"/>
        </w:numPr>
        <w:rPr>
          <w:rFonts w:ascii="Arial" w:cs="Arial" w:eastAsia="Arial" w:hAnsi="Arial"/>
          <w:sz w:val="20"/>
          <w:szCs w:val="20"/>
          <w:color w:val="auto"/>
        </w:rPr>
      </w:pPr>
      <w:r>
        <w:rPr>
          <w:rFonts w:ascii="Arial" w:cs="Arial" w:eastAsia="Arial" w:hAnsi="Arial"/>
          <w:sz w:val="20"/>
          <w:szCs w:val="20"/>
          <w:color w:val="auto"/>
        </w:rPr>
        <w:t>Each telephonic and written Interest Election Request (including requests submitted through Electronic System) shall specify the following information in compliance with Section 2.02:</w:t>
      </w:r>
    </w:p>
    <w:p>
      <w:pPr>
        <w:spacing w:after="0" w:line="175" w:lineRule="exact"/>
        <w:rPr>
          <w:sz w:val="20"/>
          <w:szCs w:val="20"/>
          <w:color w:val="auto"/>
        </w:rPr>
      </w:pPr>
    </w:p>
    <w:p>
      <w:pPr>
        <w:jc w:val="both"/>
        <w:ind w:left="660" w:firstLine="645"/>
        <w:spacing w:after="0" w:line="278" w:lineRule="auto"/>
        <w:tabs>
          <w:tab w:leader="none" w:pos="2143"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86" w:lineRule="exact"/>
        <w:rPr>
          <w:rFonts w:ascii="Arial" w:cs="Arial" w:eastAsia="Arial" w:hAnsi="Arial"/>
          <w:sz w:val="20"/>
          <w:szCs w:val="20"/>
          <w:color w:val="auto"/>
        </w:rPr>
      </w:pPr>
    </w:p>
    <w:p>
      <w:pPr>
        <w:ind w:left="2200" w:hanging="895"/>
        <w:spacing w:after="0"/>
        <w:tabs>
          <w:tab w:leader="none" w:pos="2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65" w:lineRule="exact"/>
        <w:rPr>
          <w:rFonts w:ascii="Arial" w:cs="Arial" w:eastAsia="Arial" w:hAnsi="Arial"/>
          <w:sz w:val="18"/>
          <w:szCs w:val="18"/>
          <w:color w:val="auto"/>
        </w:rPr>
      </w:pPr>
    </w:p>
    <w:p>
      <w:pPr>
        <w:ind w:left="2240" w:hanging="935"/>
        <w:spacing w:after="0"/>
        <w:tabs>
          <w:tab w:leader="none" w:pos="22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825" w:right="239" w:bottom="1440" w:gutter="0" w:footer="0" w:header="0"/>
        </w:sectPr>
      </w:pPr>
    </w:p>
    <w:bookmarkStart w:id="59" w:name="page60"/>
    <w:bookmarkEnd w:id="59"/>
    <w:p>
      <w:pPr>
        <w:ind w:left="660" w:firstLine="645"/>
        <w:spacing w:after="0" w:line="316" w:lineRule="auto"/>
        <w:tabs>
          <w:tab w:leader="none" w:pos="2242"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Interest Period shall be a period contemplated by the definition of the term “Interest Period”.</w:t>
      </w:r>
    </w:p>
    <w:p>
      <w:pPr>
        <w:spacing w:after="0" w:line="1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Borrower shall be deemed to have selected an Interest Period of one month’s duration.</w:t>
      </w:r>
    </w:p>
    <w:p>
      <w:pPr>
        <w:spacing w:after="0" w:line="190" w:lineRule="exact"/>
        <w:rPr>
          <w:sz w:val="20"/>
          <w:szCs w:val="20"/>
          <w:color w:val="auto"/>
        </w:rPr>
      </w:pPr>
    </w:p>
    <w:p>
      <w:pPr>
        <w:ind w:firstLine="1305"/>
        <w:spacing w:after="0" w:line="289" w:lineRule="auto"/>
        <w:tabs>
          <w:tab w:leader="none" w:pos="2175" w:val="left"/>
        </w:tabs>
        <w:numPr>
          <w:ilvl w:val="0"/>
          <w:numId w:val="38"/>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75" w:lineRule="exact"/>
        <w:rPr>
          <w:rFonts w:ascii="Arial" w:cs="Arial" w:eastAsia="Arial" w:hAnsi="Arial"/>
          <w:sz w:val="20"/>
          <w:szCs w:val="20"/>
          <w:color w:val="auto"/>
        </w:rPr>
      </w:pPr>
    </w:p>
    <w:p>
      <w:pPr>
        <w:jc w:val="both"/>
        <w:ind w:firstLine="1305"/>
        <w:spacing w:after="0" w:line="307" w:lineRule="auto"/>
        <w:tabs>
          <w:tab w:leader="none" w:pos="21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67" w:lineRule="exact"/>
        <w:rPr>
          <w:rFonts w:ascii="Arial" w:cs="Arial" w:eastAsia="Arial" w:hAnsi="Arial"/>
          <w:sz w:val="18"/>
          <w:szCs w:val="18"/>
          <w:color w:val="auto"/>
        </w:rPr>
      </w:pPr>
    </w:p>
    <w:p>
      <w:pPr>
        <w:jc w:val="both"/>
        <w:ind w:firstLine="1305"/>
        <w:spacing w:after="0" w:line="314" w:lineRule="auto"/>
        <w:tabs>
          <w:tab w:leader="none" w:pos="21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Borrowing shall be equal to $5,000,000 or a whole multiple of $1,000,000 in excess thereof and (b) no more than ten (10) Eurodollar Borrowings shall be outstanding at any one time.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2.09</w:t>
            </w:r>
          </w:p>
        </w:tc>
        <w:tc>
          <w:tcPr>
            <w:tcW w:w="20" w:type="dxa"/>
            <w:vAlign w:val="bottom"/>
          </w:tcPr>
          <w:p>
            <w:pPr>
              <w:spacing w:after="0"/>
              <w:rPr>
                <w:sz w:val="19"/>
                <w:szCs w:val="19"/>
                <w:color w:val="auto"/>
              </w:rPr>
            </w:pPr>
          </w:p>
        </w:tc>
        <w:tc>
          <w:tcPr>
            <w:tcW w:w="8220" w:type="dxa"/>
            <w:vAlign w:val="bottom"/>
            <w:gridSpan w:val="3"/>
          </w:tcPr>
          <w:p>
            <w:pPr>
              <w:jc w:val="right"/>
              <w:spacing w:after="0"/>
              <w:rPr>
                <w:sz w:val="20"/>
                <w:szCs w:val="20"/>
                <w:color w:val="auto"/>
              </w:rPr>
            </w:pPr>
            <w:r>
              <w:rPr>
                <w:rFonts w:ascii="Arial" w:cs="Arial" w:eastAsia="Arial" w:hAnsi="Arial"/>
                <w:sz w:val="20"/>
                <w:szCs w:val="20"/>
                <w:color w:val="auto"/>
                <w:w w:val="91"/>
              </w:rPr>
              <w:t>Termination of Commitments. Unless previously terminated, the Tranche B Term Loan Commitments</w:t>
            </w:r>
          </w:p>
        </w:tc>
      </w:tr>
      <w:tr>
        <w:trPr>
          <w:trHeight w:val="20"/>
        </w:trPr>
        <w:tc>
          <w:tcPr>
            <w:tcW w:w="320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81"/>
        </w:trPr>
        <w:tc>
          <w:tcPr>
            <w:tcW w:w="11420" w:type="dxa"/>
            <w:vAlign w:val="bottom"/>
            <w:gridSpan w:val="5"/>
          </w:tcPr>
          <w:p>
            <w:pPr>
              <w:spacing w:after="0"/>
              <w:rPr>
                <w:sz w:val="20"/>
                <w:szCs w:val="20"/>
                <w:color w:val="auto"/>
              </w:rPr>
            </w:pPr>
            <w:r>
              <w:rPr>
                <w:rFonts w:ascii="Arial" w:cs="Arial" w:eastAsia="Arial" w:hAnsi="Arial"/>
                <w:sz w:val="20"/>
                <w:szCs w:val="20"/>
                <w:color w:val="auto"/>
              </w:rPr>
              <w:t>shall terminate on the Effective Date (upon funding of the Tranche B Term Loans).</w:t>
            </w:r>
          </w:p>
        </w:tc>
      </w:tr>
      <w:tr>
        <w:trPr>
          <w:trHeight w:val="658"/>
        </w:trPr>
        <w:tc>
          <w:tcPr>
            <w:tcW w:w="3180" w:type="dxa"/>
            <w:vAlign w:val="bottom"/>
          </w:tcPr>
          <w:p>
            <w:pPr>
              <w:ind w:left="660"/>
              <w:spacing w:after="0"/>
              <w:rPr>
                <w:sz w:val="20"/>
                <w:szCs w:val="20"/>
                <w:color w:val="auto"/>
              </w:rPr>
            </w:pPr>
            <w:r>
              <w:rPr>
                <w:rFonts w:ascii="Arial" w:cs="Arial" w:eastAsia="Arial" w:hAnsi="Arial"/>
                <w:sz w:val="20"/>
                <w:szCs w:val="20"/>
                <w:color w:val="auto"/>
              </w:rPr>
              <w:t>SECTION 2.10</w:t>
            </w:r>
          </w:p>
        </w:tc>
        <w:tc>
          <w:tcPr>
            <w:tcW w:w="8240" w:type="dxa"/>
            <w:vAlign w:val="bottom"/>
            <w:gridSpan w:val="4"/>
          </w:tcPr>
          <w:p>
            <w:pPr>
              <w:jc w:val="right"/>
              <w:spacing w:after="0"/>
              <w:rPr>
                <w:sz w:val="20"/>
                <w:szCs w:val="20"/>
                <w:color w:val="auto"/>
              </w:rPr>
            </w:pPr>
            <w:r>
              <w:rPr>
                <w:rFonts w:ascii="Arial" w:cs="Arial" w:eastAsia="Arial" w:hAnsi="Arial"/>
                <w:sz w:val="20"/>
                <w:szCs w:val="20"/>
                <w:color w:val="auto"/>
                <w:w w:val="91"/>
              </w:rPr>
              <w:t>Repayment and Amortization of Loans; Evidence of Debt. (a) The Borrower shall repay the Tranche B</w:t>
            </w:r>
          </w:p>
        </w:tc>
      </w:tr>
      <w:tr>
        <w:trPr>
          <w:trHeight w:val="281"/>
        </w:trPr>
        <w:tc>
          <w:tcPr>
            <w:tcW w:w="3180" w:type="dxa"/>
            <w:vAlign w:val="bottom"/>
          </w:tcPr>
          <w:p>
            <w:pPr>
              <w:spacing w:after="0"/>
              <w:rPr>
                <w:sz w:val="20"/>
                <w:szCs w:val="20"/>
                <w:color w:val="auto"/>
              </w:rPr>
            </w:pPr>
            <w:r>
              <w:rPr>
                <w:rFonts w:ascii="Arial" w:cs="Arial" w:eastAsia="Arial" w:hAnsi="Arial"/>
                <w:sz w:val="20"/>
                <w:szCs w:val="20"/>
                <w:color w:val="auto"/>
              </w:rPr>
              <w:t>Term Loans as follows:</w:t>
            </w:r>
          </w:p>
        </w:tc>
        <w:tc>
          <w:tcPr>
            <w:tcW w:w="20" w:type="dxa"/>
            <w:vAlign w:val="bottom"/>
            <w:tcBorders>
              <w:top w:val="single" w:sz="8" w:color="auto"/>
            </w:tcBorders>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tcPr>
          <w:p>
            <w:pPr>
              <w:spacing w:after="0"/>
              <w:rPr>
                <w:sz w:val="24"/>
                <w:szCs w:val="24"/>
                <w:color w:val="auto"/>
              </w:rPr>
            </w:pPr>
          </w:p>
        </w:tc>
        <w:tc>
          <w:tcPr>
            <w:tcW w:w="3560" w:type="dxa"/>
            <w:vAlign w:val="bottom"/>
          </w:tcPr>
          <w:p>
            <w:pPr>
              <w:spacing w:after="0"/>
              <w:rPr>
                <w:sz w:val="24"/>
                <w:szCs w:val="24"/>
                <w:color w:val="auto"/>
              </w:rPr>
            </w:pPr>
          </w:p>
        </w:tc>
      </w:tr>
    </w:tbl>
    <w:p>
      <w:pPr>
        <w:spacing w:after="0" w:line="209" w:lineRule="exact"/>
        <w:rPr>
          <w:sz w:val="20"/>
          <w:szCs w:val="20"/>
          <w:color w:val="auto"/>
        </w:rPr>
      </w:pPr>
    </w:p>
    <w:p>
      <w:pPr>
        <w:jc w:val="both"/>
        <w:ind w:left="660" w:firstLine="645"/>
        <w:spacing w:after="0" w:line="246" w:lineRule="auto"/>
        <w:tabs>
          <w:tab w:leader="none" w:pos="1566"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on the last day of each March, June, September and December, commencing on March 31, 2017, an aggregate principal amount equal to the percentage set forth below opposite such date multiplied by the aggregate principal amount of all Tranche B Term Loans outstanding on the Effective Date (which payments shall be adjusted from time to time pursuant to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2.11(f)</w:t>
      </w:r>
      <w:r>
        <w:rPr>
          <w:rFonts w:ascii="Arial" w:cs="Arial" w:eastAsia="Arial" w:hAnsi="Arial"/>
          <w:sz w:val="20"/>
          <w:szCs w:val="20"/>
          <w:color w:val="auto"/>
        </w:rPr>
        <w:t>):</w:t>
      </w:r>
    </w:p>
    <w:p>
      <w:pPr>
        <w:spacing w:after="0" w:line="323" w:lineRule="exact"/>
        <w:rPr>
          <w:sz w:val="20"/>
          <w:szCs w:val="20"/>
          <w:color w:val="auto"/>
        </w:rPr>
      </w:pPr>
    </w:p>
    <w:tbl>
      <w:tblPr>
        <w:tblLayout w:type="fixed"/>
        <w:tblInd w:w="3010" w:type="dxa"/>
        <w:tblCellMar>
          <w:top w:w="0" w:type="dxa"/>
          <w:left w:w="0" w:type="dxa"/>
          <w:bottom w:w="0" w:type="dxa"/>
          <w:right w:w="0" w:type="dxa"/>
        </w:tblCellMar>
      </w:tblPr>
      <w:tr>
        <w:trPr>
          <w:trHeight w:val="289"/>
        </w:trPr>
        <w:tc>
          <w:tcPr>
            <w:tcW w:w="2740" w:type="dxa"/>
            <w:vAlign w:val="bottom"/>
            <w:tcBorders>
              <w:top w:val="single" w:sz="8" w:color="auto"/>
              <w:left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8"/>
              </w:rPr>
              <w:t>Repayment Date</w:t>
            </w:r>
          </w:p>
        </w:tc>
        <w:tc>
          <w:tcPr>
            <w:tcW w:w="27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Repayment Percentage</w:t>
            </w:r>
          </w:p>
        </w:tc>
      </w:tr>
      <w:tr>
        <w:trPr>
          <w:trHeight w:val="237"/>
        </w:trPr>
        <w:tc>
          <w:tcPr>
            <w:tcW w:w="2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March 31, 2017</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37"/>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June 30, 2017</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37"/>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September 30, 2017</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r>
        <w:trPr>
          <w:trHeight w:val="237"/>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December 31, 2017 and thereafter</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1.25%</w:t>
            </w:r>
          </w:p>
        </w:tc>
      </w:tr>
      <w:tr>
        <w:trPr>
          <w:trHeight w:val="27"/>
        </w:trPr>
        <w:tc>
          <w:tcPr>
            <w:tcW w:w="2740" w:type="dxa"/>
            <w:vAlign w:val="bottom"/>
            <w:tcBorders>
              <w:left w:val="single" w:sz="8" w:color="auto"/>
              <w:bottom w:val="single" w:sz="8" w:color="auto"/>
              <w:right w:val="single" w:sz="8" w:color="auto"/>
            </w:tcBorders>
          </w:tcPr>
          <w:p>
            <w:pPr>
              <w:spacing w:after="0"/>
              <w:rPr>
                <w:sz w:val="2"/>
                <w:szCs w:val="2"/>
                <w:color w:val="auto"/>
              </w:rPr>
            </w:pPr>
          </w:p>
        </w:tc>
        <w:tc>
          <w:tcPr>
            <w:tcW w:w="272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660" w:firstLine="645"/>
        <w:spacing w:after="0" w:line="260" w:lineRule="auto"/>
        <w:tabs>
          <w:tab w:leader="none" w:pos="1602" w:val="left"/>
        </w:tabs>
        <w:numPr>
          <w:ilvl w:val="0"/>
          <w:numId w:val="40"/>
        </w:numPr>
        <w:rPr>
          <w:rFonts w:ascii="Arial" w:cs="Arial" w:eastAsia="Arial" w:hAnsi="Arial"/>
          <w:sz w:val="20"/>
          <w:szCs w:val="20"/>
          <w:color w:val="auto"/>
        </w:rPr>
      </w:pPr>
      <w:r>
        <w:rPr>
          <w:rFonts w:ascii="Arial" w:cs="Arial" w:eastAsia="Arial" w:hAnsi="Arial"/>
          <w:sz w:val="20"/>
          <w:szCs w:val="20"/>
          <w:color w:val="auto"/>
        </w:rPr>
        <w:t>on the Maturity Date applicable to the Tranche B Term Loans, the aggregate principal amount of all Tranche B Term Loans outstanding on such date.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825" w:right="239" w:bottom="1440" w:gutter="0" w:footer="0" w:header="0"/>
        </w:sectPr>
      </w:pPr>
    </w:p>
    <w:bookmarkStart w:id="60" w:name="page61"/>
    <w:bookmarkEnd w:id="60"/>
    <w:p>
      <w:pPr>
        <w:jc w:val="both"/>
        <w:spacing w:after="0" w:line="342" w:lineRule="auto"/>
        <w:rPr>
          <w:sz w:val="20"/>
          <w:szCs w:val="20"/>
          <w:color w:val="auto"/>
        </w:rPr>
      </w:pPr>
      <w:r>
        <w:rPr>
          <w:rFonts w:ascii="Arial" w:cs="Arial" w:eastAsia="Arial" w:hAnsi="Arial"/>
          <w:sz w:val="16"/>
          <w:szCs w:val="16"/>
          <w:color w:val="auto"/>
        </w:rPr>
        <w:t>The Borrower shall repay Incremental Term Loans and Refinancing Term Loans in such amounts and on such date or dates as shall be specified therefor in the Incremental Amendment or Refinancing Amendment, as applicable, establishing such Term Loans (as such amount shall be adjusted pursuant to Section 2.11(a) or 2.11(f) or pursuant to such Incremental Amendment or Refinancing Amendment, as applicable).</w:t>
      </w:r>
    </w:p>
    <w:p>
      <w:pPr>
        <w:spacing w:after="0" w:line="145" w:lineRule="exact"/>
        <w:rPr>
          <w:sz w:val="20"/>
          <w:szCs w:val="20"/>
          <w:color w:val="auto"/>
        </w:rPr>
      </w:pPr>
    </w:p>
    <w:p>
      <w:pPr>
        <w:jc w:val="both"/>
        <w:ind w:firstLine="656"/>
        <w:spacing w:after="0" w:line="278" w:lineRule="auto"/>
        <w:tabs>
          <w:tab w:leader="none" w:pos="1527" w:val="left"/>
        </w:tabs>
        <w:numPr>
          <w:ilvl w:val="0"/>
          <w:numId w:val="41"/>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200" w:lineRule="exact"/>
        <w:rPr>
          <w:rFonts w:ascii="Arial" w:cs="Arial" w:eastAsia="Arial" w:hAnsi="Arial"/>
          <w:sz w:val="20"/>
          <w:szCs w:val="20"/>
          <w:color w:val="auto"/>
        </w:rPr>
      </w:pPr>
    </w:p>
    <w:p>
      <w:pPr>
        <w:spacing w:after="0" w:line="216"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paragraph (b) or (c) of this Section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jc w:val="both"/>
        <w:ind w:firstLine="656"/>
        <w:spacing w:after="0" w:line="273" w:lineRule="auto"/>
        <w:tabs>
          <w:tab w:leader="none" w:pos="1516" w:val="left"/>
        </w:tabs>
        <w:numPr>
          <w:ilvl w:val="0"/>
          <w:numId w:val="41"/>
        </w:numPr>
        <w:rPr>
          <w:rFonts w:ascii="Arial" w:cs="Arial" w:eastAsia="Arial" w:hAnsi="Arial"/>
          <w:sz w:val="20"/>
          <w:szCs w:val="20"/>
          <w:color w:val="auto"/>
        </w:rPr>
      </w:pPr>
      <w:r>
        <w:rPr>
          <w:rFonts w:ascii="Arial" w:cs="Arial" w:eastAsia="Arial" w:hAnsi="Arial"/>
          <w:sz w:val="20"/>
          <w:szCs w:val="20"/>
          <w:color w:val="auto"/>
        </w:rPr>
        <w:t>Any Lender may request that Loans made by it be evidenced by a promissory note. In such event, the Borrower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91"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p>
    <w:p>
      <w:pPr>
        <w:spacing w:after="0" w:line="243" w:lineRule="exact"/>
        <w:rPr>
          <w:sz w:val="20"/>
          <w:szCs w:val="20"/>
          <w:color w:val="auto"/>
        </w:rPr>
      </w:pPr>
    </w:p>
    <w:p>
      <w:pPr>
        <w:jc w:val="both"/>
        <w:ind w:firstLine="656"/>
        <w:spacing w:after="0" w:line="284" w:lineRule="auto"/>
        <w:tabs>
          <w:tab w:leader="none" w:pos="15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Borrower shall have the right at any time and from time to time to prepay any Borrowing in whole or in part, subject to the provisions set forth in this Section 2.11(a). The Borrower shall notify the Administrative Agent by telephone (confirmed by facsimile) or through Electronic System, if arrangements for doing so have been approved by the Administrative Agent, of any prepayment hereunder not later than 10:00 a.m., Chicago time, (A) in the case of prepayment of a Eurodollar Borrowing, three (3) Business Days before the date of prepayment or (B) in the case of prepayment of an ABR Borrowing, one (1) Business Day before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notice of prepayment of Term Loans pursuant to this Section 2.11(a) may state that such notice is conditioned upon the occurrence of one or more events specified therein, in which case such notice of prepayment may be revoked by the Borrower (by notice to the Administrative Agent on or prior to the specified date of prepayment) if such condition is not satisfied. Promptly following receipt of any such notice relating to a Borrowing, the Administrative Agent shall advise the Lenders of the contents thereof. Each partial prepayment of any Borrowing shall be in an amount that would be permitted in the case of an advance of a Borrowing of the same Type as provided in Section 2.02. Each voluntary prepayment of a Borrowing shall be applied ratably to the Term Loans included in the prepaid Term Loan Borrowing in such order of application as directed by the Borrower, and each mandatory prepayment of a Term Loan Borrowing shall be applied</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811" w:right="239" w:bottom="1440" w:gutter="0" w:footer="0" w:header="0"/>
        </w:sectPr>
      </w:pPr>
    </w:p>
    <w:bookmarkStart w:id="61" w:name="page62"/>
    <w:bookmarkEnd w:id="61"/>
    <w:p>
      <w:pPr>
        <w:spacing w:after="0" w:line="289" w:lineRule="auto"/>
        <w:rPr>
          <w:sz w:val="20"/>
          <w:szCs w:val="20"/>
          <w:color w:val="auto"/>
        </w:rPr>
      </w:pPr>
      <w:r>
        <w:rPr>
          <w:rFonts w:ascii="Arial" w:cs="Arial" w:eastAsia="Arial" w:hAnsi="Arial"/>
          <w:sz w:val="20"/>
          <w:szCs w:val="20"/>
          <w:color w:val="auto"/>
        </w:rPr>
        <w:t>in accordance with Section 2.11(f). Prepayments shall be accompanied by (i) accrued interest to the extent required by Section 2.13, (ii) break funding payments pursuant to Section 2.16 and (iii) premium payments to the extent required by Section 2.11(b).</w:t>
      </w:r>
    </w:p>
    <w:p>
      <w:pPr>
        <w:spacing w:after="0" w:line="175" w:lineRule="exact"/>
        <w:rPr>
          <w:sz w:val="20"/>
          <w:szCs w:val="20"/>
          <w:color w:val="auto"/>
        </w:rPr>
      </w:pPr>
    </w:p>
    <w:p>
      <w:pPr>
        <w:jc w:val="both"/>
        <w:ind w:firstLine="656"/>
        <w:spacing w:after="0" w:line="302" w:lineRule="auto"/>
        <w:tabs>
          <w:tab w:leader="none" w:pos="1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In the event that, on or prior to the first anniversary of the Effective Date, the Borrower (i) prepays, repays, refinances, substitutes or replaces the Tranche B Term Loans in connection with a Repricing Transaction or (ii) effects any amendment, amendment and restatement, other modification or waiver of this Agreement resulting in a Repricing Transaction, the Borrower shall pay to the Administrative Agent, for the ratable account of each of the Tranche B Term Lenders, (x)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 premium of 1.00% of the aggregate principal amount of such Tranche B Term Loans so prepaid, refinanced, substituted or replaced and (y)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a premium equal to 1.00% of the aggregate principal amount of such Tranche B Term Loans outstanding immediately prior to such amendment, amendment and restatement, other modification or waiver that are subject to an effective pricing reduction. If, on or prior to the first anniversary of the Effective Date, any Tranche B Term Lender that is a Non-Consenting Lender is replaced pursuant to Section 9.02(e) in connection with any amendment, amendment and restatement, other modification or waiver of this Agreement resulting in a Repricing Transaction, such Tranche B Term Lender (and not any Person who replaces such Tranche B Term Lender pursuant to Section 9.02(e)) shall receive its pro rata portion (as determined immediately prior to it being so replaced) of the premiums described in the preceding sentence. Such amounts shall be due and payable on the date of effectiveness of such Repricing Transaction.</w:t>
      </w:r>
    </w:p>
    <w:p>
      <w:pPr>
        <w:spacing w:after="0" w:line="169" w:lineRule="exact"/>
        <w:rPr>
          <w:rFonts w:ascii="Arial" w:cs="Arial" w:eastAsia="Arial" w:hAnsi="Arial"/>
          <w:sz w:val="18"/>
          <w:szCs w:val="18"/>
          <w:color w:val="auto"/>
        </w:rPr>
      </w:pPr>
    </w:p>
    <w:p>
      <w:pPr>
        <w:jc w:val="both"/>
        <w:ind w:firstLine="656"/>
        <w:spacing w:after="0" w:line="256" w:lineRule="exact"/>
        <w:tabs>
          <w:tab w:leader="none" w:pos="15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In the event and on each occasion that any Net Proceeds are received by or on behalf of the Company or any of its Subsidiaries in respect of any Prepayment Event, the Borrower shall, immediately after such Net Proceeds are received, prepay the Term Loans as set forth in Section 2.11(f) below in an aggregate amount equal to 100% of such Net Proceeds;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event described in clause (a) or (b) of the definition of the term “Prepayment Event”, if the Company shall deliver to the Administrative Agent a certificate of a Financial Officer to the effect that the Company or its relevant Subsidiaries intend to apply the Net Proceeds from such event (or a portion thereof specified in such certificate), within 365 days after receipt of such Net Proceeds, to reinvest in assets used or useful in the business of the Company and/or its Subsidiaries, and certifying that no Default has occurred and is continuing, then no prepayment shall be required pursuant to this paragraph in respect of the Net Proceeds specified in such certificate;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of any such Net Proceeds therefrom that have not been so applied by the end of such 365-day period (or within a period of 180 days thereafter if by the end of such initial 365</w:t>
      </w:r>
      <w:r>
        <w:rPr>
          <w:rFonts w:ascii="MS PGothic" w:cs="MS PGothic" w:eastAsia="MS PGothic" w:hAnsi="MS PGothic"/>
          <w:sz w:val="19"/>
          <w:szCs w:val="19"/>
          <w:color w:val="auto"/>
        </w:rPr>
        <w:t>‑</w:t>
      </w:r>
      <w:r>
        <w:rPr>
          <w:rFonts w:ascii="Arial" w:cs="Arial" w:eastAsia="Arial" w:hAnsi="Arial"/>
          <w:sz w:val="19"/>
          <w:szCs w:val="19"/>
          <w:color w:val="auto"/>
        </w:rPr>
        <w:t>day period the Company or one or more Subsidiaries shall have entered into an agreement with an unaffiliated third party to acquire such assets with such Net Proceeds), at which time a prepayment shall be required in an amount equal to such Net Proceeds that have not been so applied.</w:t>
      </w:r>
    </w:p>
    <w:p>
      <w:pPr>
        <w:spacing w:after="0" w:line="225" w:lineRule="exact"/>
        <w:rPr>
          <w:rFonts w:ascii="Arial" w:cs="Arial" w:eastAsia="Arial" w:hAnsi="Arial"/>
          <w:sz w:val="19"/>
          <w:szCs w:val="19"/>
          <w:color w:val="auto"/>
        </w:rPr>
      </w:pPr>
    </w:p>
    <w:p>
      <w:pPr>
        <w:jc w:val="both"/>
        <w:ind w:firstLine="656"/>
        <w:spacing w:after="0" w:line="303" w:lineRule="auto"/>
        <w:tabs>
          <w:tab w:leader="none" w:pos="15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Borrower shall prepay the Term Loans on the date that is ten (10) days (or such longer period as the Administrative Agent may agree to in its reasonable discretion) after the earlier of (i) the date on which Company’s annual audited financial statements for the immediately preceding fiscal year are delivered pursuant to Section 5.01(a) or (ii) the date on which such annual audited financial statements were required to be delivered pursuant to Section 5.01(a), in an amount equal to (A) the ECF Percentage of the Company’s Excess Cash Flow for such immediately preceding fiscal year (with the first such determination of Excess Cash Flow based on audited financial statements delivered (or required to be delivered) for the fiscal year ending August 26, 2017)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all voluntary prepayments of Term Loans (other than prepayments made with proceeds of other Indebtedness) and amounts actually paid for Term Loans assigned to the Company or any of its Subsidiaries pursuant to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made during such fiscal year or after year-end and prior to when such Excess Cash Flow prepayment is due (and in each case not deducted in determining any payment required to be made pursuant to this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in any prior fiscal year) to the extent such prepayments are funded with the internally generated cash and excluding any such prepayment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825" w:right="239" w:bottom="1440" w:gutter="0" w:footer="0" w:header="0"/>
        </w:sectPr>
      </w:pPr>
    </w:p>
    <w:bookmarkStart w:id="62" w:name="page63"/>
    <w:bookmarkEnd w:id="62"/>
    <w:p>
      <w:pPr>
        <w:jc w:val="both"/>
        <w:spacing w:after="0" w:line="288" w:lineRule="auto"/>
        <w:rPr>
          <w:sz w:val="20"/>
          <w:szCs w:val="20"/>
          <w:color w:val="auto"/>
        </w:rPr>
      </w:pPr>
      <w:r>
        <w:rPr>
          <w:rFonts w:ascii="Arial" w:cs="Arial" w:eastAsia="Arial" w:hAnsi="Arial"/>
          <w:sz w:val="19"/>
          <w:szCs w:val="19"/>
          <w:color w:val="auto"/>
        </w:rPr>
        <w:t>that reduced Excess Cash Flow. As used herein, “</w:t>
      </w:r>
      <w:r>
        <w:rPr>
          <w:rFonts w:ascii="Arial" w:cs="Arial" w:eastAsia="Arial" w:hAnsi="Arial"/>
          <w:sz w:val="19"/>
          <w:szCs w:val="19"/>
          <w:u w:val="single" w:color="auto"/>
          <w:color w:val="auto"/>
        </w:rPr>
        <w:t>ECF Percentage</w:t>
      </w:r>
      <w:r>
        <w:rPr>
          <w:rFonts w:ascii="Arial" w:cs="Arial" w:eastAsia="Arial" w:hAnsi="Arial"/>
          <w:sz w:val="19"/>
          <w:szCs w:val="19"/>
          <w:color w:val="auto"/>
        </w:rPr>
        <w:t>” means (x) fifty percent (50%) if the Total Net Leverage Ratio as of the last day of such period was greater than 2.50 to 1.00, (y) twenty five percent (25%) if the Total Net Leverage Ratio as of the last day of such period was less than or equal to 2.50 to 1.00 but greater than 2.00 to 1.00 and (z) zero percent (0%) if the Total Net Leverage Ratio as of the last day of such period was less than or equal to 2.00 to 1.00. Each Excess Cash Flow prepayment shall be accompanied by a certificate signed by a Financial Officer certifying the manner in which Excess Cash Flow and the resulting prepayment were calculated, which certificate shall be in form and substance reasonably satisfactory to Administrative Agent.</w:t>
      </w:r>
    </w:p>
    <w:p>
      <w:pPr>
        <w:spacing w:after="0" w:line="183" w:lineRule="exact"/>
        <w:rPr>
          <w:sz w:val="20"/>
          <w:szCs w:val="20"/>
          <w:color w:val="auto"/>
        </w:rPr>
      </w:pPr>
    </w:p>
    <w:p>
      <w:pPr>
        <w:jc w:val="both"/>
        <w:ind w:firstLine="656"/>
        <w:spacing w:after="0" w:line="286" w:lineRule="auto"/>
        <w:tabs>
          <w:tab w:leader="none" w:pos="15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In the event of any mandatory prepayment of Term Loans made at a time when Term Loans of more than one Class are outstanding, the aggregate amount of such prepayment shall be allocated among all Classes of Term Loans pro rata based on the aggregate principal amounts of outstanding Borrowings of each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amounts so allocable to any Class of Term Loans may be applied pro rata to other Term Loan Borrowings if so provided in the related Incremental Amendment or Refinancing Amendment establishing such additional Classes of Term Loans. All mandatory prepayment amounts pursuant to Sections 2.11(c) and (d) that are allocable to the Tranche B Term Loans shall be applied,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the installments of the Tranche B Term Loans in direct order of maturity for the next eight (8) scheduled payments pursuant to Section 2.11(a) and, </w:t>
      </w:r>
      <w:r>
        <w:rPr>
          <w:rFonts w:ascii="Arial" w:cs="Arial" w:eastAsia="Arial" w:hAnsi="Arial"/>
          <w:sz w:val="19"/>
          <w:szCs w:val="19"/>
          <w:u w:val="single" w:color="auto"/>
          <w:color w:val="auto"/>
        </w:rPr>
        <w:t>second</w:t>
      </w:r>
      <w:r>
        <w:rPr>
          <w:rFonts w:ascii="Arial" w:cs="Arial" w:eastAsia="Arial" w:hAnsi="Arial"/>
          <w:sz w:val="19"/>
          <w:szCs w:val="19"/>
          <w:color w:val="auto"/>
        </w:rPr>
        <w:t>, to the remaining scheduled installments of the Tranche B Term Loans pursuant to Section 2.11(a) on a pro rata basis.</w:t>
      </w:r>
    </w:p>
    <w:p>
      <w:pPr>
        <w:spacing w:after="0" w:line="185" w:lineRule="exact"/>
        <w:rPr>
          <w:rFonts w:ascii="Arial" w:cs="Arial" w:eastAsia="Arial" w:hAnsi="Arial"/>
          <w:sz w:val="19"/>
          <w:szCs w:val="19"/>
          <w:color w:val="auto"/>
        </w:rPr>
      </w:pPr>
    </w:p>
    <w:p>
      <w:pPr>
        <w:jc w:val="both"/>
        <w:ind w:firstLine="656"/>
        <w:spacing w:after="0" w:line="284" w:lineRule="auto"/>
        <w:tabs>
          <w:tab w:leader="none" w:pos="1494"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Borrower shall notify the Administrative Agent in writing of any mandatory prepayment of Term Loans required to be made pursuant to Section 2.11(c) or Section 2.11(d) at least five (5) Business Days prior to 1:00 p.m., New York City time, on the date of such prepayment. Each such notice shall specify the date of such prepayment and provide a reasonably detailed calculation of the amount of such prepayment. The Administrative Agent will promptly notify each Term Lender of the contents of the Borrower’s prepayment notice and of such Term Lender’s Applicable Percentage of the prepayment. Each Term Lender may reject all or a portion of its Applicable Percentage of any mandatory prepayment (such declined amounts, the “</w:t>
      </w:r>
      <w:r>
        <w:rPr>
          <w:rFonts w:ascii="Arial" w:cs="Arial" w:eastAsia="Arial" w:hAnsi="Arial"/>
          <w:sz w:val="19"/>
          <w:szCs w:val="19"/>
          <w:u w:val="single" w:color="auto"/>
          <w:color w:val="auto"/>
        </w:rPr>
        <w:t>Declined Proceeds</w:t>
      </w:r>
      <w:r>
        <w:rPr>
          <w:rFonts w:ascii="Arial" w:cs="Arial" w:eastAsia="Arial" w:hAnsi="Arial"/>
          <w:sz w:val="19"/>
          <w:szCs w:val="19"/>
          <w:color w:val="auto"/>
        </w:rPr>
        <w:t>”) of Term Loans required to be made pursuant to Section 2.11(c) or Section 2.11(d) by providing written notice (each, a “</w:t>
      </w:r>
      <w:r>
        <w:rPr>
          <w:rFonts w:ascii="Arial" w:cs="Arial" w:eastAsia="Arial" w:hAnsi="Arial"/>
          <w:sz w:val="19"/>
          <w:szCs w:val="19"/>
          <w:u w:val="single" w:color="auto"/>
          <w:color w:val="auto"/>
        </w:rPr>
        <w:t>Rejection Notice</w:t>
      </w:r>
      <w:r>
        <w:rPr>
          <w:rFonts w:ascii="Arial" w:cs="Arial" w:eastAsia="Arial" w:hAnsi="Arial"/>
          <w:sz w:val="19"/>
          <w:szCs w:val="19"/>
          <w:color w:val="auto"/>
        </w:rPr>
        <w:t>”) to the Administrative Agent and the Borrower no later than 5:00 p.m., New York City time, three (3) Business Days after the date of such Term Lender’s receipt of notice from the Administrative Agent regarding such prepayment. Each Rejection Notice from a given Term Lender shall specify the principal amount of the mandatory prepayment of Term Loans to be rejected by such Term Lender. If a Term Lender fails to deliver a Rejection Notice to the Administrative Agent within the time frame specified above or such Rejection Notice fails to specify the principal amount of the Term Loans to be rejected, any such failure will be deemed an acceptance of the total amount of such mandatory repayment of Term Loans. Any Declined Proceeds shall be retained by the Borrower (“</w:t>
      </w:r>
      <w:r>
        <w:rPr>
          <w:rFonts w:ascii="Arial" w:cs="Arial" w:eastAsia="Arial" w:hAnsi="Arial"/>
          <w:sz w:val="19"/>
          <w:szCs w:val="19"/>
          <w:u w:val="single" w:color="auto"/>
          <w:color w:val="auto"/>
        </w:rPr>
        <w:t>Retained Declined Proceeds</w:t>
      </w:r>
      <w:r>
        <w:rPr>
          <w:rFonts w:ascii="Arial" w:cs="Arial" w:eastAsia="Arial" w:hAnsi="Arial"/>
          <w:sz w:val="19"/>
          <w:szCs w:val="19"/>
          <w:color w:val="auto"/>
        </w:rPr>
        <w:t>”).</w:t>
      </w:r>
    </w:p>
    <w:p>
      <w:pPr>
        <w:spacing w:after="0" w:line="191"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6"/>
          <w:szCs w:val="16"/>
          <w:u w:val="single" w:color="auto"/>
          <w:color w:val="auto"/>
        </w:rPr>
        <w:t>Fees.</w:t>
      </w:r>
    </w:p>
    <w:p>
      <w:pPr>
        <w:spacing w:after="0" w:line="243" w:lineRule="exact"/>
        <w:rPr>
          <w:sz w:val="20"/>
          <w:szCs w:val="20"/>
          <w:color w:val="auto"/>
        </w:rPr>
      </w:pPr>
    </w:p>
    <w:p>
      <w:pPr>
        <w:ind w:firstLine="656"/>
        <w:spacing w:after="0" w:line="289" w:lineRule="auto"/>
        <w:tabs>
          <w:tab w:leader="none" w:pos="1516" w:val="left"/>
        </w:tabs>
        <w:numPr>
          <w:ilvl w:val="0"/>
          <w:numId w:val="45"/>
        </w:numPr>
        <w:rPr>
          <w:rFonts w:ascii="Arial" w:cs="Arial" w:eastAsia="Arial" w:hAnsi="Arial"/>
          <w:sz w:val="20"/>
          <w:szCs w:val="20"/>
          <w:color w:val="auto"/>
        </w:rPr>
      </w:pPr>
      <w:r>
        <w:rPr>
          <w:rFonts w:ascii="Arial" w:cs="Arial" w:eastAsia="Arial" w:hAnsi="Arial"/>
          <w:sz w:val="20"/>
          <w:szCs w:val="20"/>
          <w:color w:val="auto"/>
        </w:rPr>
        <w:t>The Borrower agrees to pay to the Administrative Agent, for its own account, fees payable in the amounts and at the times separately agreed upon between the Borrower and the Administrative Agent.</w:t>
      </w:r>
    </w:p>
    <w:p>
      <w:pPr>
        <w:spacing w:after="0" w:line="175" w:lineRule="exact"/>
        <w:rPr>
          <w:rFonts w:ascii="Arial" w:cs="Arial" w:eastAsia="Arial" w:hAnsi="Arial"/>
          <w:sz w:val="20"/>
          <w:szCs w:val="20"/>
          <w:color w:val="auto"/>
        </w:rPr>
      </w:pPr>
    </w:p>
    <w:p>
      <w:pPr>
        <w:ind w:firstLine="656"/>
        <w:spacing w:after="0" w:line="289" w:lineRule="auto"/>
        <w:tabs>
          <w:tab w:leader="none" w:pos="1527" w:val="left"/>
        </w:tabs>
        <w:numPr>
          <w:ilvl w:val="0"/>
          <w:numId w:val="45"/>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Fees paid shall not be refundable under any circumstances.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2.13</w:t>
            </w:r>
          </w:p>
        </w:tc>
        <w:tc>
          <w:tcPr>
            <w:tcW w:w="8240" w:type="dxa"/>
            <w:vAlign w:val="bottom"/>
            <w:gridSpan w:val="2"/>
          </w:tcPr>
          <w:p>
            <w:pPr>
              <w:jc w:val="right"/>
              <w:spacing w:after="0"/>
              <w:rPr>
                <w:sz w:val="20"/>
                <w:szCs w:val="20"/>
                <w:color w:val="auto"/>
              </w:rPr>
            </w:pPr>
            <w:r>
              <w:rPr>
                <w:rFonts w:ascii="Arial" w:cs="Arial" w:eastAsia="Arial" w:hAnsi="Arial"/>
                <w:sz w:val="20"/>
                <w:szCs w:val="20"/>
                <w:color w:val="auto"/>
                <w:w w:val="91"/>
              </w:rPr>
              <w:t>Interest. (a) The Loans comprising each ABR Borrowing shall bear interest at the Alternate Base Rate</w:t>
            </w:r>
          </w:p>
        </w:tc>
      </w:tr>
      <w:tr>
        <w:trPr>
          <w:trHeight w:val="281"/>
        </w:trPr>
        <w:tc>
          <w:tcPr>
            <w:tcW w:w="3180" w:type="dxa"/>
            <w:vAlign w:val="bottom"/>
          </w:tcPr>
          <w:p>
            <w:pPr>
              <w:spacing w:after="0"/>
              <w:rPr>
                <w:sz w:val="20"/>
                <w:szCs w:val="20"/>
                <w:color w:val="auto"/>
              </w:rPr>
            </w:pPr>
            <w:r>
              <w:rPr>
                <w:rFonts w:ascii="Arial" w:cs="Arial" w:eastAsia="Arial" w:hAnsi="Arial"/>
                <w:sz w:val="20"/>
                <w:szCs w:val="20"/>
                <w:color w:val="auto"/>
              </w:rPr>
              <w:t>plus the Applicable Rate.</w:t>
            </w:r>
          </w:p>
        </w:tc>
        <w:tc>
          <w:tcPr>
            <w:tcW w:w="640" w:type="dxa"/>
            <w:vAlign w:val="bottom"/>
            <w:tcBorders>
              <w:top w:val="single" w:sz="8" w:color="auto"/>
            </w:tcBorders>
          </w:tcPr>
          <w:p>
            <w:pPr>
              <w:spacing w:after="0"/>
              <w:rPr>
                <w:sz w:val="24"/>
                <w:szCs w:val="24"/>
                <w:color w:val="auto"/>
              </w:rPr>
            </w:pPr>
          </w:p>
        </w:tc>
        <w:tc>
          <w:tcPr>
            <w:tcW w:w="7600" w:type="dxa"/>
            <w:vAlign w:val="bottom"/>
          </w:tcPr>
          <w:p>
            <w:pPr>
              <w:spacing w:after="0"/>
              <w:rPr>
                <w:sz w:val="24"/>
                <w:szCs w:val="24"/>
                <w:color w:val="auto"/>
              </w:rPr>
            </w:pPr>
          </w:p>
        </w:tc>
      </w:tr>
      <w:tr>
        <w:trPr>
          <w:trHeight w:val="702"/>
        </w:trPr>
        <w:tc>
          <w:tcPr>
            <w:tcW w:w="3180" w:type="dxa"/>
            <w:vAlign w:val="bottom"/>
          </w:tcPr>
          <w:p>
            <w:pPr>
              <w:spacing w:after="0"/>
              <w:rPr>
                <w:sz w:val="24"/>
                <w:szCs w:val="24"/>
                <w:color w:val="auto"/>
              </w:rPr>
            </w:pPr>
          </w:p>
        </w:tc>
        <w:tc>
          <w:tcPr>
            <w:tcW w:w="8240" w:type="dxa"/>
            <w:vAlign w:val="bottom"/>
            <w:gridSpan w:val="2"/>
          </w:tcPr>
          <w:p>
            <w:pPr>
              <w:jc w:val="right"/>
              <w:ind w:right="5600"/>
              <w:spacing w:after="0"/>
              <w:rPr>
                <w:sz w:val="20"/>
                <w:szCs w:val="20"/>
                <w:color w:val="auto"/>
              </w:rPr>
            </w:pPr>
            <w:r>
              <w:rPr>
                <w:rFonts w:ascii="Arial" w:cs="Arial" w:eastAsia="Arial" w:hAnsi="Arial"/>
                <w:sz w:val="20"/>
                <w:szCs w:val="20"/>
                <w:color w:val="auto"/>
              </w:rPr>
              <w:t>50</w:t>
            </w:r>
          </w:p>
        </w:tc>
      </w:tr>
    </w:tbl>
    <w:p>
      <w:pPr>
        <w:sectPr>
          <w:pgSz w:w="11900" w:h="16838" w:orient="portrait"/>
          <w:cols w:equalWidth="0" w:num="1">
            <w:col w:w="11420"/>
          </w:cols>
          <w:pgMar w:left="240" w:top="825" w:right="239" w:bottom="1440" w:gutter="0" w:footer="0" w:header="0"/>
        </w:sectPr>
      </w:pPr>
    </w:p>
    <w:bookmarkStart w:id="63" w:name="page64"/>
    <w:bookmarkEnd w:id="63"/>
    <w:p>
      <w:pPr>
        <w:ind w:firstLine="656"/>
        <w:spacing w:after="0" w:line="289" w:lineRule="auto"/>
        <w:tabs>
          <w:tab w:leader="none" w:pos="1527"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The Loans comprising each Eurodollar Borrowing shall bear interest at the Adjusted LIBO Rate for the Interest Period in effect for such Borrowing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w:t>
      </w:r>
    </w:p>
    <w:p>
      <w:pPr>
        <w:spacing w:after="0" w:line="175" w:lineRule="exact"/>
        <w:rPr>
          <w:rFonts w:ascii="Arial" w:cs="Arial" w:eastAsia="Arial" w:hAnsi="Arial"/>
          <w:sz w:val="20"/>
          <w:szCs w:val="20"/>
          <w:color w:val="auto"/>
        </w:rPr>
      </w:pPr>
    </w:p>
    <w:p>
      <w:pPr>
        <w:jc w:val="both"/>
        <w:ind w:firstLine="656"/>
        <w:spacing w:after="0" w:line="287" w:lineRule="auto"/>
        <w:tabs>
          <w:tab w:leader="none" w:pos="15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 xml:space="preserve">Notwithstanding the foregoing, during the occurrence and continuance of an Event of Default, the Administrative Agent or the Required Lenders may, at their option, by written notice to the Borrower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notice shall be required and the foregoing rates shall automatically take effect upon the occurrence of an Event of Default under clause (a), (h), (i) or (j) of </w:t>
      </w:r>
      <w:r>
        <w:rPr>
          <w:rFonts w:ascii="Arial" w:cs="Arial" w:eastAsia="Arial" w:hAnsi="Arial"/>
          <w:sz w:val="19"/>
          <w:szCs w:val="19"/>
          <w:u w:val="single" w:color="auto"/>
          <w:color w:val="auto"/>
        </w:rPr>
        <w:t>Article VII</w:t>
      </w:r>
      <w:r>
        <w:rPr>
          <w:rFonts w:ascii="Arial" w:cs="Arial" w:eastAsia="Arial" w:hAnsi="Arial"/>
          <w:sz w:val="19"/>
          <w:szCs w:val="19"/>
          <w:color w:val="auto"/>
        </w:rPr>
        <w:t>.</w:t>
      </w:r>
    </w:p>
    <w:p>
      <w:pPr>
        <w:spacing w:after="0" w:line="183" w:lineRule="exact"/>
        <w:rPr>
          <w:rFonts w:ascii="Arial" w:cs="Arial" w:eastAsia="Arial" w:hAnsi="Arial"/>
          <w:sz w:val="19"/>
          <w:szCs w:val="19"/>
          <w:color w:val="auto"/>
        </w:rPr>
      </w:pPr>
    </w:p>
    <w:p>
      <w:pPr>
        <w:jc w:val="both"/>
        <w:ind w:firstLine="656"/>
        <w:spacing w:after="0" w:line="310" w:lineRule="auto"/>
        <w:tabs>
          <w:tab w:leader="none" w:pos="1527"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ABR Loans, accrued through the last day of the prior calendar month) shall be payable in arrears on each Interest Payment Date for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shall be payable on demand, (ii) in the event of any repayment or prepayment of any Loan,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2" w:lineRule="exact"/>
        <w:rPr>
          <w:rFonts w:ascii="Arial" w:cs="Arial" w:eastAsia="Arial" w:hAnsi="Arial"/>
          <w:sz w:val="18"/>
          <w:szCs w:val="18"/>
          <w:color w:val="auto"/>
        </w:rPr>
      </w:pPr>
    </w:p>
    <w:p>
      <w:pPr>
        <w:jc w:val="both"/>
        <w:ind w:firstLine="656"/>
        <w:spacing w:after="0" w:line="273" w:lineRule="auto"/>
        <w:tabs>
          <w:tab w:leader="none" w:pos="1516" w:val="left"/>
        </w:tabs>
        <w:numPr>
          <w:ilvl w:val="0"/>
          <w:numId w:val="46"/>
        </w:numPr>
        <w:rPr>
          <w:rFonts w:ascii="Arial" w:cs="Arial" w:eastAsia="Arial" w:hAnsi="Arial"/>
          <w:sz w:val="20"/>
          <w:szCs w:val="20"/>
          <w:color w:val="auto"/>
        </w:rPr>
      </w:pPr>
      <w:r>
        <w:rPr>
          <w:rFonts w:ascii="Arial" w:cs="Arial" w:eastAsia="Arial" w:hAnsi="Arial"/>
          <w:sz w:val="20"/>
          <w:szCs w:val="20"/>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ind w:left="660"/>
              <w:spacing w:after="0"/>
              <w:rPr>
                <w:sz w:val="20"/>
                <w:szCs w:val="20"/>
                <w:color w:val="auto"/>
              </w:rPr>
            </w:pPr>
            <w:r>
              <w:rPr>
                <w:rFonts w:ascii="Arial" w:cs="Arial" w:eastAsia="Arial" w:hAnsi="Arial"/>
                <w:sz w:val="20"/>
                <w:szCs w:val="20"/>
                <w:color w:val="auto"/>
              </w:rPr>
              <w:t>SECTION 2.14</w:t>
            </w:r>
          </w:p>
        </w:tc>
        <w:tc>
          <w:tcPr>
            <w:tcW w:w="8840" w:type="dxa"/>
            <w:vAlign w:val="bottom"/>
            <w:gridSpan w:val="3"/>
          </w:tcPr>
          <w:p>
            <w:pPr>
              <w:ind w:left="640"/>
              <w:spacing w:after="0"/>
              <w:rPr>
                <w:sz w:val="20"/>
                <w:szCs w:val="20"/>
                <w:color w:val="auto"/>
              </w:rPr>
            </w:pPr>
            <w:r>
              <w:rPr>
                <w:rFonts w:ascii="Arial" w:cs="Arial" w:eastAsia="Arial" w:hAnsi="Arial"/>
                <w:sz w:val="20"/>
                <w:szCs w:val="20"/>
                <w:color w:val="auto"/>
                <w:w w:val="98"/>
              </w:rPr>
              <w:t>Alternate Rate of Interest. If prior to the commencement of any Interest Period for a Eurodollar</w:t>
            </w:r>
          </w:p>
        </w:tc>
      </w:tr>
      <w:tr>
        <w:trPr>
          <w:trHeight w:val="281"/>
        </w:trPr>
        <w:tc>
          <w:tcPr>
            <w:tcW w:w="2580" w:type="dxa"/>
            <w:vAlign w:val="bottom"/>
          </w:tcPr>
          <w:p>
            <w:pPr>
              <w:spacing w:after="0"/>
              <w:rPr>
                <w:sz w:val="20"/>
                <w:szCs w:val="20"/>
                <w:color w:val="auto"/>
              </w:rPr>
            </w:pPr>
            <w:r>
              <w:rPr>
                <w:rFonts w:ascii="Arial" w:cs="Arial" w:eastAsia="Arial" w:hAnsi="Arial"/>
                <w:sz w:val="20"/>
                <w:szCs w:val="20"/>
                <w:color w:val="auto"/>
              </w:rPr>
              <w:t>Borrowing:</w:t>
            </w:r>
          </w:p>
        </w:tc>
        <w:tc>
          <w:tcPr>
            <w:tcW w:w="6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r>
    </w:tbl>
    <w:p>
      <w:pPr>
        <w:spacing w:after="0" w:line="222" w:lineRule="exact"/>
        <w:rPr>
          <w:sz w:val="20"/>
          <w:szCs w:val="20"/>
          <w:color w:val="auto"/>
        </w:rPr>
      </w:pPr>
    </w:p>
    <w:p>
      <w:pPr>
        <w:jc w:val="both"/>
        <w:ind w:firstLine="1305"/>
        <w:spacing w:after="0" w:line="278" w:lineRule="auto"/>
        <w:tabs>
          <w:tab w:leader="none" w:pos="2164"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(including, without limitation, by means of an Interpolated Rate) the Adjusted LIBO Rate or the LIBO Rate, as applicable, for such Interest Period; or</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2175"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the applicable Interest Period will not adequately and fairly reflect the cost to such Lenders (or Lender) of making or maintaining their Loans (or its Loan) included in such Borrowing for such Interest Period;</w:t>
      </w:r>
    </w:p>
    <w:p>
      <w:pPr>
        <w:spacing w:after="0" w:line="173"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then the Administrative Agent shall give notice thereof to the Borrower and the Lenders through Electronic System as provided in Section 9.01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Eurodollar Borrowing shall be ineffective and any such Eurodollar Borrowing shall be repaid on the last day of the then current Interest Period applicable thereto, and (ii) if any Borrowing Request requests a Eurodollar Borrowing, such Borrowing shall be made as an ABR Borrowing.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825" w:right="239" w:bottom="1440" w:gutter="0" w:footer="0" w:header="0"/>
        </w:sectPr>
      </w:pPr>
    </w:p>
    <w:bookmarkStart w:id="64" w:name="page65"/>
    <w:bookmarkEnd w:id="64"/>
    <w:p>
      <w:pPr>
        <w:ind w:left="660"/>
        <w:spacing w:after="0"/>
        <w:tabs>
          <w:tab w:leader="none" w:pos="316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 xml:space="preserve">Increased Costs. </w:t>
      </w:r>
      <w:r>
        <w:rPr>
          <w:rFonts w:ascii="Arial" w:cs="Arial" w:eastAsia="Arial" w:hAnsi="Arial"/>
          <w:sz w:val="16"/>
          <w:szCs w:val="16"/>
          <w:color w:val="auto"/>
        </w:rPr>
        <w:t>(a) If any Change in Law shall:</w:t>
      </w:r>
    </w:p>
    <w:p>
      <w:pPr>
        <w:spacing w:after="0" w:line="243" w:lineRule="exact"/>
        <w:rPr>
          <w:sz w:val="20"/>
          <w:szCs w:val="20"/>
          <w:color w:val="auto"/>
        </w:rPr>
      </w:pPr>
    </w:p>
    <w:p>
      <w:pPr>
        <w:jc w:val="both"/>
        <w:ind w:left="660" w:firstLine="645"/>
        <w:spacing w:after="0" w:line="299" w:lineRule="auto"/>
        <w:tabs>
          <w:tab w:leader="none" w:pos="2143" w:val="left"/>
        </w:tabs>
        <w:numPr>
          <w:ilvl w:val="1"/>
          <w:numId w:val="48"/>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w:t>
      </w:r>
    </w:p>
    <w:p>
      <w:pPr>
        <w:spacing w:after="0" w:line="169" w:lineRule="exact"/>
        <w:rPr>
          <w:rFonts w:ascii="Arial" w:cs="Arial" w:eastAsia="Arial" w:hAnsi="Arial"/>
          <w:sz w:val="19"/>
          <w:szCs w:val="19"/>
          <w:color w:val="auto"/>
        </w:rPr>
      </w:pPr>
    </w:p>
    <w:p>
      <w:pPr>
        <w:ind w:left="660" w:firstLine="645"/>
        <w:spacing w:after="0" w:line="289" w:lineRule="auto"/>
        <w:tabs>
          <w:tab w:leader="none" w:pos="2198" w:val="left"/>
        </w:tabs>
        <w:numPr>
          <w:ilvl w:val="1"/>
          <w:numId w:val="48"/>
        </w:numPr>
        <w:rPr>
          <w:rFonts w:ascii="Arial" w:cs="Arial" w:eastAsia="Arial" w:hAnsi="Arial"/>
          <w:sz w:val="20"/>
          <w:szCs w:val="20"/>
          <w:color w:val="auto"/>
        </w:rPr>
      </w:pPr>
      <w:r>
        <w:rPr>
          <w:rFonts w:ascii="Arial" w:cs="Arial" w:eastAsia="Arial" w:hAnsi="Arial"/>
          <w:sz w:val="20"/>
          <w:szCs w:val="20"/>
          <w:color w:val="auto"/>
        </w:rPr>
        <w:t>impose on any Lender or the London interbank market any other condition, cost or expense (other than Taxes) affecting this Agreement or Loans made by such Lender; or</w:t>
      </w:r>
    </w:p>
    <w:p>
      <w:pPr>
        <w:spacing w:after="0" w:line="175" w:lineRule="exact"/>
        <w:rPr>
          <w:rFonts w:ascii="Arial" w:cs="Arial" w:eastAsia="Arial" w:hAnsi="Arial"/>
          <w:sz w:val="20"/>
          <w:szCs w:val="20"/>
          <w:color w:val="auto"/>
        </w:rPr>
      </w:pPr>
    </w:p>
    <w:p>
      <w:pPr>
        <w:ind w:left="2240" w:hanging="935"/>
        <w:spacing w:after="0"/>
        <w:tabs>
          <w:tab w:leader="none" w:pos="22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w:t>
      </w:r>
    </w:p>
    <w:p>
      <w:pPr>
        <w:spacing w:after="0" w:line="49" w:lineRule="exact"/>
        <w:rPr>
          <w:rFonts w:ascii="Arial" w:cs="Arial" w:eastAsia="Arial" w:hAnsi="Arial"/>
          <w:sz w:val="18"/>
          <w:szCs w:val="18"/>
          <w:color w:val="auto"/>
        </w:rPr>
      </w:pPr>
    </w:p>
    <w:p>
      <w:pPr>
        <w:ind w:left="660" w:hanging="4"/>
        <w:spacing w:after="0" w:line="289" w:lineRule="auto"/>
        <w:tabs>
          <w:tab w:leader="none" w:pos="950" w:val="left"/>
        </w:tabs>
        <w:numPr>
          <w:ilvl w:val="0"/>
          <w:numId w:val="49"/>
        </w:numPr>
        <w:rPr>
          <w:rFonts w:ascii="Arial" w:cs="Arial" w:eastAsia="Arial" w:hAnsi="Arial"/>
          <w:sz w:val="20"/>
          <w:szCs w:val="20"/>
          <w:color w:val="auto"/>
        </w:rPr>
      </w:pPr>
      <w:r>
        <w:rPr>
          <w:rFonts w:ascii="Arial" w:cs="Arial" w:eastAsia="Arial" w:hAnsi="Arial"/>
          <w:sz w:val="20"/>
          <w:szCs w:val="20"/>
          <w:color w:val="auto"/>
        </w:rPr>
        <w:t>of the definition of Excluded Taxes and (C) Connection Income Taxes) on its loans, loan principal, letters of credit, commitments, or other obligations, or its deposits, reserves, other liabilities or capital attributable thereto;</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Loan (or of maintaining its obligation to make any such Loan) or to reduce the amount of any sum received or receivable by such Lender or such other Recipient hereunder, whether of principal, interest or otherwise, then the Borrower will pay to such Lender or such other Recipient, as the case may be, such additional amount or amounts as will compensate such Lender or such other Recipient, as the case may be, for such additional costs incurred or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Section 2.15, after consideration of such factors as the Administrative Agent or such Lender, as applicable, then reasonably determines to be relevant).</w:t>
      </w:r>
    </w:p>
    <w:p>
      <w:pPr>
        <w:spacing w:after="0" w:line="183" w:lineRule="exact"/>
        <w:rPr>
          <w:sz w:val="20"/>
          <w:szCs w:val="20"/>
          <w:color w:val="auto"/>
        </w:rPr>
      </w:pPr>
    </w:p>
    <w:p>
      <w:pPr>
        <w:jc w:val="both"/>
        <w:ind w:firstLine="656"/>
        <w:spacing w:after="0" w:line="285" w:lineRule="auto"/>
        <w:tabs>
          <w:tab w:leader="none" w:pos="1527" w:val="left"/>
        </w:tabs>
        <w:numPr>
          <w:ilvl w:val="0"/>
          <w:numId w:val="50"/>
        </w:numPr>
        <w:rPr>
          <w:rFonts w:ascii="Arial" w:cs="Arial" w:eastAsia="Arial" w:hAnsi="Arial"/>
          <w:sz w:val="19"/>
          <w:szCs w:val="19"/>
          <w:color w:val="auto"/>
        </w:rPr>
      </w:pPr>
      <w:r>
        <w:rPr>
          <w:rFonts w:ascii="Arial" w:cs="Arial" w:eastAsia="Arial" w:hAnsi="Arial"/>
          <w:sz w:val="19"/>
          <w:szCs w:val="19"/>
          <w:color w:val="auto"/>
        </w:rPr>
        <w:t>If any Lender determines that any Change in Law regarding capital or liquidity requirements has or would have the effect of reducing the rate of return on such Lender’s capital or on the capital of such Lender’s holding company, if any, as a consequence of this Agreement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the Borrower will pay to such Lender such additional amount or amounts as will compensate such Lender or such Lender’s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Section 2.15, after consideration of such factors as the Administrative Agent or such Lender, as applicable, then reasonably determines to be relevant).</w:t>
      </w:r>
    </w:p>
    <w:p>
      <w:pPr>
        <w:spacing w:after="0" w:line="187" w:lineRule="exact"/>
        <w:rPr>
          <w:rFonts w:ascii="Arial" w:cs="Arial" w:eastAsia="Arial" w:hAnsi="Arial"/>
          <w:sz w:val="19"/>
          <w:szCs w:val="19"/>
          <w:color w:val="auto"/>
        </w:rPr>
      </w:pPr>
    </w:p>
    <w:p>
      <w:pPr>
        <w:jc w:val="both"/>
        <w:ind w:firstLine="656"/>
        <w:spacing w:after="0" w:line="322" w:lineRule="auto"/>
        <w:tabs>
          <w:tab w:leader="none" w:pos="1516"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certificate of a Lender setting forth the amount or amounts necessary to compensate such Lender or its holding company, as the case may be, as specified in paragraph (a) or (b) of this Section shall be delivered to the Borrower and shall be conclusive absent manifest error. The Borrower shall pay such Lender the amount shown as due on any such certificate within 10 days after receipt thereof.</w:t>
      </w:r>
    </w:p>
    <w:p>
      <w:pPr>
        <w:spacing w:after="0" w:line="152" w:lineRule="exact"/>
        <w:rPr>
          <w:rFonts w:ascii="Arial" w:cs="Arial" w:eastAsia="Arial" w:hAnsi="Arial"/>
          <w:sz w:val="18"/>
          <w:szCs w:val="18"/>
          <w:color w:val="auto"/>
        </w:rPr>
      </w:pPr>
    </w:p>
    <w:p>
      <w:pPr>
        <w:jc w:val="both"/>
        <w:ind w:firstLine="656"/>
        <w:spacing w:after="0" w:line="314" w:lineRule="auto"/>
        <w:tabs>
          <w:tab w:leader="none" w:pos="1527"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shall not constitute a waiver of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pursuant to this Section for any increased costs or reductions incurred more than 180 days prior to the date that such Lender notifies the Borrower of the Change in Law giving rise to such increased costs or reductions and of such Lender’s intention to claim compensation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825" w:right="239" w:bottom="1440" w:gutter="0" w:footer="0" w:header="0"/>
        </w:sectPr>
      </w:pPr>
    </w:p>
    <w:bookmarkStart w:id="65" w:name="page66"/>
    <w:bookmarkEnd w:id="65"/>
    <w:p>
      <w:pPr>
        <w:jc w:val="both"/>
        <w:ind w:right="20"/>
        <w:spacing w:after="0" w:line="289" w:lineRule="auto"/>
        <w:rPr>
          <w:sz w:val="20"/>
          <w:szCs w:val="20"/>
          <w:color w:val="auto"/>
        </w:rPr>
      </w:pPr>
      <w:r>
        <w:rPr>
          <w:rFonts w:ascii="Arial" w:cs="Arial" w:eastAsia="Arial" w:hAnsi="Arial"/>
          <w:sz w:val="20"/>
          <w:szCs w:val="20"/>
          <w:color w:val="auto"/>
        </w:rPr>
        <w:t xml:space="preserve">therefor;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7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2.11(a) and is revoked in accordance therewith) or (d) the assignment of any Eurodollar Loan other than on the last day of the Interest Period applicable thereto as a result of a request by the Borrower pursuant to Section 2.19, then, in any such event, the Borrower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7" w:lineRule="exact"/>
        <w:rPr>
          <w:sz w:val="20"/>
          <w:szCs w:val="20"/>
          <w:color w:val="auto"/>
        </w:rPr>
      </w:pPr>
    </w:p>
    <w:p>
      <w:pPr>
        <w:ind w:firstLine="656"/>
        <w:spacing w:after="0" w:line="289" w:lineRule="auto"/>
        <w:tabs>
          <w:tab w:leader="none" w:pos="1527"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w:t>
      </w:r>
      <w:r>
        <w:rPr>
          <w:rFonts w:ascii="Arial" w:cs="Arial" w:eastAsia="Arial" w:hAnsi="Arial"/>
          <w:sz w:val="20"/>
          <w:szCs w:val="20"/>
          <w:color w:val="auto"/>
        </w:rPr>
        <w:t>. The Borrower shall timely pay to the relevant Governmental Authority in accordance with applicable law, or at the option of the Administrative Agent timely reimburse it for, Other Taxes.</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2" w:lineRule="exact"/>
        <w:rPr>
          <w:rFonts w:ascii="Arial" w:cs="Arial" w:eastAsia="Arial" w:hAnsi="Arial"/>
          <w:sz w:val="20"/>
          <w:szCs w:val="20"/>
          <w:color w:val="auto"/>
        </w:rPr>
      </w:pPr>
    </w:p>
    <w:p>
      <w:pPr>
        <w:ind w:firstLine="656"/>
        <w:spacing w:after="0" w:line="289" w:lineRule="auto"/>
        <w:tabs>
          <w:tab w:leader="none" w:pos="1527"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The Loan Parties shall jointly and severally indemnify each Recipient, within 10 days after demand therefor, for the full amount of any Indemnified Taxes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825" w:right="239" w:bottom="1440" w:gutter="0" w:footer="0" w:header="0"/>
        </w:sectPr>
      </w:pPr>
    </w:p>
    <w:bookmarkStart w:id="66" w:name="page67"/>
    <w:bookmarkEnd w:id="66"/>
    <w:p>
      <w:pPr>
        <w:jc w:val="both"/>
        <w:spacing w:after="0" w:line="290" w:lineRule="auto"/>
        <w:rPr>
          <w:sz w:val="20"/>
          <w:szCs w:val="20"/>
          <w:color w:val="auto"/>
        </w:rPr>
      </w:pPr>
      <w:r>
        <w:rPr>
          <w:rFonts w:ascii="Arial" w:cs="Arial" w:eastAsia="Arial" w:hAnsi="Arial"/>
          <w:sz w:val="19"/>
          <w:szCs w:val="19"/>
          <w:color w:val="auto"/>
        </w:rPr>
        <w:t>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79" w:lineRule="exact"/>
        <w:rPr>
          <w:sz w:val="20"/>
          <w:szCs w:val="20"/>
          <w:color w:val="auto"/>
        </w:rPr>
      </w:pPr>
    </w:p>
    <w:p>
      <w:pPr>
        <w:jc w:val="both"/>
        <w:ind w:firstLine="656"/>
        <w:spacing w:after="0" w:line="303"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8" w:lineRule="exact"/>
        <w:rPr>
          <w:rFonts w:ascii="Arial" w:cs="Arial" w:eastAsia="Arial" w:hAnsi="Arial"/>
          <w:sz w:val="18"/>
          <w:szCs w:val="18"/>
          <w:color w:val="auto"/>
        </w:rPr>
      </w:pPr>
    </w:p>
    <w:p>
      <w:pPr>
        <w:ind w:left="1500" w:hanging="844"/>
        <w:spacing w:after="0"/>
        <w:tabs>
          <w:tab w:leader="none" w:pos="150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85" w:lineRule="auto"/>
        <w:tabs>
          <w:tab w:leader="none" w:pos="2143"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and to comply with any such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9"/>
          <w:szCs w:val="19"/>
          <w:color w:val="auto"/>
        </w:rPr>
      </w:pPr>
    </w:p>
    <w:p>
      <w:pPr>
        <w:ind w:left="2200" w:hanging="895"/>
        <w:spacing w:after="0"/>
        <w:tabs>
          <w:tab w:leader="none" w:pos="22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the Borrower is a U.S. Person:</w:t>
      </w:r>
    </w:p>
    <w:p>
      <w:pPr>
        <w:spacing w:after="0" w:line="242" w:lineRule="exact"/>
        <w:rPr>
          <w:rFonts w:ascii="Arial" w:cs="Arial" w:eastAsia="Arial" w:hAnsi="Arial"/>
          <w:sz w:val="20"/>
          <w:szCs w:val="20"/>
          <w:color w:val="auto"/>
        </w:rPr>
      </w:pPr>
    </w:p>
    <w:p>
      <w:pPr>
        <w:jc w:val="both"/>
        <w:ind w:left="1300" w:firstLine="653"/>
        <w:spacing w:after="0" w:line="274" w:lineRule="auto"/>
        <w:tabs>
          <w:tab w:leader="none" w:pos="2761" w:val="left"/>
        </w:tabs>
        <w:numPr>
          <w:ilvl w:val="2"/>
          <w:numId w:val="52"/>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(or any successor form) certifying that such Lender is exempt from U.S. Federal backup withholding tax;</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825" w:right="239" w:bottom="1440" w:gutter="0" w:footer="0" w:header="0"/>
        </w:sectPr>
      </w:pPr>
    </w:p>
    <w:bookmarkStart w:id="67" w:name="page68"/>
    <w:bookmarkEnd w:id="67"/>
    <w:p>
      <w:pPr>
        <w:jc w:val="both"/>
        <w:ind w:left="100" w:firstLine="653"/>
        <w:spacing w:after="0" w:line="274" w:lineRule="auto"/>
        <w:tabs>
          <w:tab w:leader="none" w:pos="156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92" w:lineRule="exact"/>
        <w:rPr>
          <w:rFonts w:ascii="Arial" w:cs="Arial" w:eastAsia="Arial" w:hAnsi="Arial"/>
          <w:sz w:val="20"/>
          <w:szCs w:val="20"/>
          <w:color w:val="auto"/>
        </w:rPr>
      </w:pPr>
    </w:p>
    <w:p>
      <w:pPr>
        <w:jc w:val="both"/>
        <w:ind w:left="760" w:firstLine="641"/>
        <w:spacing w:after="0" w:line="287" w:lineRule="auto"/>
        <w:tabs>
          <w:tab w:leader="none" w:pos="2249" w:val="left"/>
        </w:tabs>
        <w:numPr>
          <w:ilvl w:val="1"/>
          <w:numId w:val="5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(or any applicable successor form) establishing an exemption from, or reduction of, U.S. Federal withholding Tax pursuant to the “interest” article of such tax treaty and (y) with respect to any other applicable payments under any Loan Document, IRS Form W-8BEN or IRS Form W-8BEN-E (or any applicable successor form) establishing an exemption from, or reduction of, U.S. Federal withholding Tax pursuant to the “business profits” or “other income” article of such tax treaty;</w:t>
      </w:r>
    </w:p>
    <w:p>
      <w:pPr>
        <w:spacing w:after="0" w:line="183" w:lineRule="exact"/>
        <w:rPr>
          <w:rFonts w:ascii="Arial" w:cs="Arial" w:eastAsia="Arial" w:hAnsi="Arial"/>
          <w:sz w:val="19"/>
          <w:szCs w:val="19"/>
          <w:color w:val="auto"/>
        </w:rPr>
      </w:pPr>
    </w:p>
    <w:p>
      <w:pPr>
        <w:ind w:left="760" w:right="20" w:firstLine="641"/>
        <w:spacing w:after="0" w:line="289" w:lineRule="auto"/>
        <w:tabs>
          <w:tab w:leader="none" w:pos="2238" w:val="left"/>
        </w:tabs>
        <w:numPr>
          <w:ilvl w:val="1"/>
          <w:numId w:val="53"/>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executed originals of IRS Form W-8ECI;</w:t>
      </w:r>
    </w:p>
    <w:p>
      <w:pPr>
        <w:spacing w:after="0" w:line="175" w:lineRule="exact"/>
        <w:rPr>
          <w:rFonts w:ascii="Arial" w:cs="Arial" w:eastAsia="Arial" w:hAnsi="Arial"/>
          <w:sz w:val="20"/>
          <w:szCs w:val="20"/>
          <w:color w:val="auto"/>
        </w:rPr>
      </w:pPr>
    </w:p>
    <w:p>
      <w:pPr>
        <w:jc w:val="both"/>
        <w:ind w:left="760" w:firstLine="641"/>
        <w:spacing w:after="0" w:line="288" w:lineRule="auto"/>
        <w:tabs>
          <w:tab w:leader="none" w:pos="2238"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G-1</w:t>
      </w:r>
      <w:r>
        <w:rPr>
          <w:rFonts w:ascii="Arial" w:cs="Arial" w:eastAsia="Arial" w:hAnsi="Arial"/>
          <w:sz w:val="19"/>
          <w:szCs w:val="19"/>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originals of IRS Form W-8BEN or IRS Form W-8BEN-E (or any applicable successor form); or</w:t>
      </w:r>
    </w:p>
    <w:p>
      <w:pPr>
        <w:spacing w:after="0" w:line="182" w:lineRule="exact"/>
        <w:rPr>
          <w:rFonts w:ascii="Arial" w:cs="Arial" w:eastAsia="Arial" w:hAnsi="Arial"/>
          <w:sz w:val="19"/>
          <w:szCs w:val="19"/>
          <w:color w:val="auto"/>
        </w:rPr>
      </w:pPr>
    </w:p>
    <w:p>
      <w:pPr>
        <w:jc w:val="both"/>
        <w:ind w:left="760" w:firstLine="641"/>
        <w:spacing w:after="0" w:line="287" w:lineRule="auto"/>
        <w:tabs>
          <w:tab w:leader="none" w:pos="2249" w:val="left"/>
        </w:tabs>
        <w:numPr>
          <w:ilvl w:val="1"/>
          <w:numId w:val="53"/>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 G-2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G-3</w:t>
      </w:r>
      <w:r>
        <w:rPr>
          <w:rFonts w:ascii="Arial" w:cs="Arial" w:eastAsia="Arial" w:hAnsi="Arial"/>
          <w:sz w:val="19"/>
          <w:szCs w:val="19"/>
          <w:color w:val="auto"/>
        </w:rPr>
        <w:t xml:space="preserve">, IRS Form W-9, and/or other certification documents from each beneficial owner, as applicable (including any applicable successor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G-4</w:t>
      </w:r>
      <w:r>
        <w:rPr>
          <w:rFonts w:ascii="Arial" w:cs="Arial" w:eastAsia="Arial" w:hAnsi="Arial"/>
          <w:sz w:val="19"/>
          <w:szCs w:val="19"/>
          <w:color w:val="auto"/>
        </w:rPr>
        <w:t xml:space="preserve"> on behalf of each such direct and indirect partner;</w:t>
      </w:r>
    </w:p>
    <w:p>
      <w:pPr>
        <w:spacing w:after="0" w:line="183" w:lineRule="exact"/>
        <w:rPr>
          <w:rFonts w:ascii="Arial" w:cs="Arial" w:eastAsia="Arial" w:hAnsi="Arial"/>
          <w:sz w:val="19"/>
          <w:szCs w:val="19"/>
          <w:color w:val="auto"/>
        </w:rPr>
      </w:pPr>
    </w:p>
    <w:p>
      <w:pPr>
        <w:jc w:val="both"/>
        <w:ind w:left="100" w:firstLine="653"/>
        <w:spacing w:after="0" w:line="271" w:lineRule="auto"/>
        <w:tabs>
          <w:tab w:leader="none" w:pos="1561"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200" w:lineRule="exact"/>
        <w:rPr>
          <w:sz w:val="20"/>
          <w:szCs w:val="20"/>
          <w:color w:val="auto"/>
        </w:rPr>
      </w:pPr>
    </w:p>
    <w:p>
      <w:pPr>
        <w:spacing w:after="0" w:line="224"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220"/>
          </w:cols>
          <w:pgMar w:left="1440" w:top="825" w:right="239" w:bottom="1440" w:gutter="0" w:footer="0" w:header="0"/>
        </w:sectPr>
      </w:pPr>
    </w:p>
    <w:bookmarkStart w:id="68" w:name="page69"/>
    <w:bookmarkEnd w:id="68"/>
    <w:p>
      <w:pPr>
        <w:jc w:val="both"/>
        <w:ind w:left="1300" w:firstLine="653"/>
        <w:spacing w:after="0" w:line="297" w:lineRule="auto"/>
        <w:tabs>
          <w:tab w:leader="none" w:pos="2761"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w:t>
      </w:r>
    </w:p>
    <w:p>
      <w:pPr>
        <w:spacing w:after="0" w:line="2" w:lineRule="exact"/>
        <w:rPr>
          <w:rFonts w:ascii="Arial" w:cs="Arial" w:eastAsia="Arial" w:hAnsi="Arial"/>
          <w:sz w:val="18"/>
          <w:szCs w:val="18"/>
          <w:color w:val="auto"/>
        </w:rPr>
      </w:pPr>
    </w:p>
    <w:p>
      <w:pPr>
        <w:jc w:val="both"/>
        <w:ind w:left="1300" w:firstLine="5"/>
        <w:spacing w:after="0" w:line="273" w:lineRule="auto"/>
        <w:tabs>
          <w:tab w:leader="none" w:pos="1543" w:val="left"/>
        </w:tabs>
        <w:numPr>
          <w:ilvl w:val="0"/>
          <w:numId w:val="55"/>
        </w:numPr>
        <w:rPr>
          <w:rFonts w:ascii="Arial" w:cs="Arial" w:eastAsia="Arial" w:hAnsi="Arial"/>
          <w:sz w:val="20"/>
          <w:szCs w:val="20"/>
          <w:color w:val="auto"/>
        </w:rPr>
      </w:pPr>
      <w:r>
        <w:rPr>
          <w:rFonts w:ascii="Arial" w:cs="Arial" w:eastAsia="Arial" w:hAnsi="Arial"/>
          <w:sz w:val="20"/>
          <w:szCs w:val="20"/>
          <w:color w:val="auto"/>
        </w:rPr>
        <w:t>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8" w:lineRule="exact"/>
        <w:rPr>
          <w:sz w:val="20"/>
          <w:szCs w:val="20"/>
          <w:color w:val="auto"/>
        </w:rPr>
      </w:pPr>
    </w:p>
    <w:p>
      <w:pPr>
        <w:ind w:right="20" w:firstLine="648"/>
        <w:spacing w:after="0" w:line="316"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44" w:lineRule="exact"/>
        <w:rPr>
          <w:sz w:val="20"/>
          <w:szCs w:val="20"/>
          <w:color w:val="auto"/>
        </w:rPr>
      </w:pPr>
    </w:p>
    <w:p>
      <w:pPr>
        <w:jc w:val="both"/>
        <w:ind w:firstLine="656"/>
        <w:spacing w:after="0" w:line="284" w:lineRule="auto"/>
        <w:tabs>
          <w:tab w:leader="none" w:pos="1527"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8" w:lineRule="exact"/>
        <w:rPr>
          <w:rFonts w:ascii="Arial" w:cs="Arial" w:eastAsia="Arial" w:hAnsi="Arial"/>
          <w:sz w:val="19"/>
          <w:szCs w:val="19"/>
          <w:color w:val="auto"/>
        </w:rPr>
      </w:pPr>
    </w:p>
    <w:p>
      <w:pPr>
        <w:jc w:val="both"/>
        <w:ind w:firstLine="656"/>
        <w:spacing w:after="0" w:line="278" w:lineRule="auto"/>
        <w:tabs>
          <w:tab w:leader="none" w:pos="1527"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ind w:left="1500" w:hanging="844"/>
        <w:spacing w:after="0"/>
        <w:tabs>
          <w:tab w:leader="none" w:pos="1500"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2.17, the term “applicable law” includes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825" w:right="239" w:bottom="1440" w:gutter="0" w:footer="0" w:header="0"/>
        </w:sectPr>
      </w:pPr>
    </w:p>
    <w:bookmarkStart w:id="69" w:name="page70"/>
    <w:bookmarkEnd w:id="69"/>
    <w:p>
      <w:pPr>
        <w:ind w:left="660"/>
        <w:spacing w:after="0"/>
        <w:tabs>
          <w:tab w:leader="none" w:pos="322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9"/>
          <w:szCs w:val="19"/>
          <w:u w:val="single" w:color="auto"/>
          <w:color w:val="auto"/>
        </w:rPr>
        <w:t xml:space="preserve">Payments Generally; Allocation of Proceeds; Pro Rata Treatment; Sharing of Set-offs. </w:t>
      </w:r>
      <w:r>
        <w:rPr>
          <w:rFonts w:ascii="Arial" w:cs="Arial" w:eastAsia="Arial" w:hAnsi="Arial"/>
          <w:sz w:val="19"/>
          <w:szCs w:val="19"/>
          <w:color w:val="auto"/>
        </w:rPr>
        <w:t>(a) The</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Borrower shall make each payment required to be made by it hereunder (whether of principal, interest, fees or of amounts payable under Section 2.15, 2.16 or 2.17, or otherwise) prior to 4:00 p.m., Chicago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60603, or to the account designated by Administrative Agent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accrue and be payable for the period of such extension. All payments hereunder shall be made in Dollars.</w:t>
      </w:r>
    </w:p>
    <w:p>
      <w:pPr>
        <w:spacing w:after="0" w:line="188" w:lineRule="exact"/>
        <w:rPr>
          <w:sz w:val="20"/>
          <w:szCs w:val="20"/>
          <w:color w:val="auto"/>
        </w:rPr>
      </w:pPr>
    </w:p>
    <w:p>
      <w:pPr>
        <w:jc w:val="both"/>
        <w:ind w:firstLine="656"/>
        <w:spacing w:after="0" w:line="301" w:lineRule="auto"/>
        <w:tabs>
          <w:tab w:leader="none" w:pos="1527"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either (A) a specific payment of principal, interest, fees or other sum payable under the Loan Documents (which shall be applied as specified by the Borrower) or (B) a mandatory prepayment (which shall be applied in accordance with Section 2.11) or (ii) after an Event of Default has occurred and is continuing and the Administrative Agent so elects or the Required Lenders so direct, such funds shall be applied, subject to the terms of the ABL/Term Loan Intercreditor Agreement,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from the Borrower,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or expense reimbursements then due to the Lenders from the Borrower ,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then due and payable on the Loans ratably and </w:t>
      </w:r>
      <w:r>
        <w:rPr>
          <w:rFonts w:ascii="Arial" w:cs="Arial" w:eastAsia="Arial" w:hAnsi="Arial"/>
          <w:sz w:val="18"/>
          <w:szCs w:val="18"/>
          <w:u w:val="single" w:color="auto"/>
          <w:color w:val="auto"/>
        </w:rPr>
        <w:t>fourth</w:t>
      </w:r>
      <w:r>
        <w:rPr>
          <w:rFonts w:ascii="Arial" w:cs="Arial" w:eastAsia="Arial" w:hAnsi="Arial"/>
          <w:sz w:val="18"/>
          <w:szCs w:val="18"/>
          <w:color w:val="auto"/>
        </w:rPr>
        <w:t>, to the payment of any other Secured Obligation due to the Administrative Agent or any Lender by the Borrower. Notwithstanding anything to the contrary contained in this Agreement, unless so directed by the Borrower, or unless a Default is in existence, neither the Administrative Agent nor any Lender shall apply any payment which it receives to any Eurodollar Loan of a Class, except (a) on the expiration date of the Interest Period applicable thereto or (b) in the event, and only to the extent, that there are no outstanding ABR Loans of the same Class and, in any such event, the Borrower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7" w:lineRule="exact"/>
        <w:rPr>
          <w:rFonts w:ascii="Arial" w:cs="Arial" w:eastAsia="Arial" w:hAnsi="Arial"/>
          <w:sz w:val="18"/>
          <w:szCs w:val="18"/>
          <w:color w:val="auto"/>
        </w:rPr>
      </w:pPr>
    </w:p>
    <w:p>
      <w:pPr>
        <w:jc w:val="both"/>
        <w:ind w:firstLine="656"/>
        <w:spacing w:after="0" w:line="284" w:lineRule="auto"/>
        <w:tabs>
          <w:tab w:leader="none" w:pos="1516"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If, except as otherwise expressly provided herein, any Lender shall, by exercising any right of set-off or counterclaim or otherwise, obtain payment in respect of any principal of or interest on any of its Loans resulting in such Lender receiving payment of a greater proportion of the aggregate amount of its Loans and accrued interest thereon than the proportion received by any other similarly situated Lender, then the Lender receiving such greater proportion shall purchase (for cash at face value) participations in the Loans of other Lenders to the extent necessary so that the benefit of all such payments shall be shared by all such Lenders ratably in accordance with the aggregate amount of principal of and accrued interest on their respective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to any assignee or participant, other than to the Company or any Subsidiary or Affiliate thereof (excluding assignments to or purchases by a Purchasing Borrower Party in accordance with Section 9.04(f)) (as to which the provisions of this paragraph shall apply). The Borrower consents to the foregoing and agrees, to the extent it may effectively do so under applicable law, that any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825" w:right="239" w:bottom="1440" w:gutter="0" w:footer="0" w:header="0"/>
        </w:sectPr>
      </w:pPr>
    </w:p>
    <w:bookmarkStart w:id="70" w:name="page71"/>
    <w:bookmarkEnd w:id="70"/>
    <w:p>
      <w:pPr>
        <w:ind w:right="20"/>
        <w:spacing w:after="0" w:line="347" w:lineRule="auto"/>
        <w:rPr>
          <w:sz w:val="20"/>
          <w:szCs w:val="20"/>
          <w:color w:val="auto"/>
        </w:rPr>
      </w:pPr>
      <w:r>
        <w:rPr>
          <w:rFonts w:ascii="Arial" w:cs="Arial" w:eastAsia="Arial" w:hAnsi="Arial"/>
          <w:sz w:val="18"/>
          <w:szCs w:val="18"/>
          <w:color w:val="auto"/>
        </w:rPr>
        <w:t>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31" w:lineRule="exact"/>
        <w:rPr>
          <w:sz w:val="20"/>
          <w:szCs w:val="20"/>
          <w:color w:val="auto"/>
        </w:rPr>
      </w:pPr>
    </w:p>
    <w:p>
      <w:pPr>
        <w:jc w:val="both"/>
        <w:ind w:firstLine="656"/>
        <w:spacing w:after="0" w:line="270" w:lineRule="auto"/>
        <w:tabs>
          <w:tab w:leader="none" w:pos="1527" w:val="left"/>
        </w:tabs>
        <w:numPr>
          <w:ilvl w:val="0"/>
          <w:numId w:val="58"/>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9" w:lineRule="exact"/>
        <w:rPr>
          <w:rFonts w:ascii="Arial" w:cs="Arial" w:eastAsia="Arial" w:hAnsi="Arial"/>
          <w:sz w:val="20"/>
          <w:szCs w:val="20"/>
          <w:color w:val="auto"/>
        </w:rPr>
      </w:pPr>
    </w:p>
    <w:p>
      <w:pPr>
        <w:jc w:val="both"/>
        <w:ind w:firstLine="656"/>
        <w:spacing w:after="0" w:line="307"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and for the benefit of the Administrative Agent to satisfy such Lender’s obligations to it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67" w:lineRule="exact"/>
        <w:rPr>
          <w:rFonts w:ascii="Arial" w:cs="Arial" w:eastAsia="Arial" w:hAnsi="Arial"/>
          <w:sz w:val="18"/>
          <w:szCs w:val="18"/>
          <w:color w:val="auto"/>
        </w:rPr>
      </w:pPr>
    </w:p>
    <w:p>
      <w:pPr>
        <w:jc w:val="both"/>
        <w:ind w:firstLine="656"/>
        <w:spacing w:after="0" w:line="286" w:lineRule="auto"/>
        <w:tabs>
          <w:tab w:leader="none" w:pos="1494"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Administrative Agent may from time to time provide the Borrower with account statements or invoices with respect to any of the Secured Obligations (the “</w:t>
      </w:r>
      <w:r>
        <w:rPr>
          <w:rFonts w:ascii="Arial" w:cs="Arial" w:eastAsia="Arial" w:hAnsi="Arial"/>
          <w:sz w:val="19"/>
          <w:szCs w:val="19"/>
          <w:u w:val="single" w:color="auto"/>
          <w:color w:val="auto"/>
        </w:rPr>
        <w:t>Statements</w:t>
      </w:r>
      <w:r>
        <w:rPr>
          <w:rFonts w:ascii="Arial" w:cs="Arial" w:eastAsia="Arial" w:hAnsi="Arial"/>
          <w:sz w:val="19"/>
          <w:szCs w:val="19"/>
          <w:color w:val="auto"/>
        </w:rPr>
        <w:t xml:space="preserve">”).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 pays the full amount indicated on a Statement on or before the due date indicated on such Statement, the Borrower shall not be in default of payment with respect to the billing period indicated on such Statement; </w:t>
      </w:r>
      <w:r>
        <w:rPr>
          <w:rFonts w:ascii="Arial" w:cs="Arial" w:eastAsia="Arial" w:hAnsi="Arial"/>
          <w:sz w:val="19"/>
          <w:szCs w:val="19"/>
          <w:u w:val="single" w:color="auto"/>
          <w:color w:val="auto"/>
        </w:rPr>
        <w:t>provided</w:t>
      </w:r>
      <w:r>
        <w:rPr>
          <w:rFonts w:ascii="Arial" w:cs="Arial" w:eastAsia="Arial" w:hAnsi="Arial"/>
          <w:sz w:val="19"/>
          <w:szCs w:val="19"/>
          <w:color w:val="auto"/>
        </w:rPr>
        <w:t>,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2.19 </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 xml:space="preserve"> (a) If any Lender requests compensation under Section 2.15, or if the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99" w:lineRule="exact"/>
        <w:rPr>
          <w:sz w:val="20"/>
          <w:szCs w:val="20"/>
          <w:color w:val="auto"/>
        </w:rPr>
      </w:pPr>
    </w:p>
    <w:p>
      <w:pPr>
        <w:jc w:val="both"/>
        <w:ind w:firstLine="656"/>
        <w:spacing w:after="0" w:line="322" w:lineRule="auto"/>
        <w:tabs>
          <w:tab w:leader="none" w:pos="1527"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(i) any Lender requests compensation under Section 2.15, (ii) the Borrower is required to pay any Indemnified Taxes or additional amounts to any Lender or any Governmental Authority for the account of any Lender pursuant to Section 2.17 or (iii) any Lender becomes a Defaulting Lender, then the Borrower may, at its sole expense and effort, upon notice to such Lender and the Administrative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825" w:right="239" w:bottom="1440" w:gutter="0" w:footer="0" w:header="0"/>
        </w:sectPr>
      </w:pPr>
    </w:p>
    <w:bookmarkStart w:id="71" w:name="page72"/>
    <w:bookmarkEnd w:id="71"/>
    <w:p>
      <w:pPr>
        <w:jc w:val="both"/>
        <w:spacing w:after="0" w:line="297" w:lineRule="auto"/>
        <w:rPr>
          <w:sz w:val="20"/>
          <w:szCs w:val="20"/>
          <w:color w:val="auto"/>
        </w:rPr>
      </w:pPr>
      <w:r>
        <w:rPr>
          <w:rFonts w:ascii="Arial" w:cs="Arial" w:eastAsia="Arial" w:hAnsi="Arial"/>
          <w:sz w:val="18"/>
          <w:szCs w:val="18"/>
          <w:color w:val="auto"/>
        </w:rPr>
        <w:t xml:space="preserve">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shall have received the prior written consent of the Administrative Agent, which consent shall not unreasonably be withheld,</w:t>
      </w:r>
    </w:p>
    <w:p>
      <w:pPr>
        <w:spacing w:after="0" w:line="49" w:lineRule="exact"/>
        <w:rPr>
          <w:rFonts w:ascii="Arial" w:cs="Arial" w:eastAsia="Arial" w:hAnsi="Arial"/>
          <w:sz w:val="18"/>
          <w:szCs w:val="18"/>
          <w:color w:val="auto"/>
        </w:rPr>
      </w:pPr>
    </w:p>
    <w:p>
      <w:pPr>
        <w:jc w:val="both"/>
        <w:ind w:firstLine="8"/>
        <w:spacing w:after="0" w:line="307" w:lineRule="auto"/>
        <w:tabs>
          <w:tab w:leader="none" w:pos="29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accrued interest thereon, accrued fees and all other amounts payable to it hereunder, from the assignee (to the extent of such outstanding principal and accrued interest and fees) or the Borrower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 to require such assignment and delegation cease to apply.</w:t>
      </w:r>
    </w:p>
    <w:p>
      <w:pPr>
        <w:spacing w:after="0" w:line="16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2.20</w:t>
      </w:r>
      <w:r>
        <w:rPr>
          <w:sz w:val="20"/>
          <w:szCs w:val="20"/>
          <w:color w:val="auto"/>
        </w:rPr>
        <w:tab/>
      </w:r>
      <w:r>
        <w:rPr>
          <w:rFonts w:ascii="Arial" w:cs="Arial" w:eastAsia="Arial" w:hAnsi="Arial"/>
          <w:sz w:val="18"/>
          <w:szCs w:val="18"/>
          <w:u w:val="single" w:color="auto"/>
          <w:color w:val="auto"/>
        </w:rPr>
        <w:t>Incremental Term Facilities.</w:t>
      </w:r>
    </w:p>
    <w:p>
      <w:pPr>
        <w:spacing w:after="0" w:line="243" w:lineRule="exact"/>
        <w:rPr>
          <w:sz w:val="20"/>
          <w:szCs w:val="20"/>
          <w:color w:val="auto"/>
        </w:rPr>
      </w:pPr>
    </w:p>
    <w:p>
      <w:pPr>
        <w:jc w:val="both"/>
        <w:ind w:firstLine="656"/>
        <w:spacing w:after="0" w:line="278" w:lineRule="auto"/>
        <w:tabs>
          <w:tab w:leader="none" w:pos="1516"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The Borrower may at any time or from time to time after the Effective Date, by notice to the Administrative Agent, request the establishment of one or more Incremental Term Facilities (which may take the form of an increase in the principal amount of any existing tranche of Term Loans);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Incremental Term Loans may be made unless:</w:t>
      </w:r>
    </w:p>
    <w:p>
      <w:pPr>
        <w:spacing w:after="0" w:line="186" w:lineRule="exact"/>
        <w:rPr>
          <w:rFonts w:ascii="Arial" w:cs="Arial" w:eastAsia="Arial" w:hAnsi="Arial"/>
          <w:sz w:val="20"/>
          <w:szCs w:val="20"/>
          <w:color w:val="auto"/>
        </w:rPr>
      </w:pPr>
    </w:p>
    <w:p>
      <w:pPr>
        <w:jc w:val="both"/>
        <w:ind w:left="660" w:firstLine="645"/>
        <w:spacing w:after="0" w:line="300" w:lineRule="auto"/>
        <w:tabs>
          <w:tab w:leader="none" w:pos="2143"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(A) except in the case of an Incremental Term Facility incurred to finance a Limited Conditionality Acquisition, (1) no Default or Event of Default shall have occurred and be continuing immediately prior to and immediately after giving effect (including pro forma effect) to the making of such Incremental Term Loans and (2) the representations and warranties set forth in each Loan Document shall be true and correct in all material respects immediately prior to, and immediately after giving effect to, such Incremental Term Facility, except to the extent any such representations or warranties are expressly limited to an earlier date, in which case such representations and warranties shall be true and correct in all material respects as of such specified earlier date (provided that no materiality qualifier set forth in this </w:t>
      </w:r>
      <w:r>
        <w:rPr>
          <w:rFonts w:ascii="Arial" w:cs="Arial" w:eastAsia="Arial" w:hAnsi="Arial"/>
          <w:sz w:val="18"/>
          <w:szCs w:val="18"/>
          <w:u w:val="single" w:color="auto"/>
          <w:color w:val="auto"/>
        </w:rPr>
        <w:t>subclause (A)(2)</w:t>
      </w:r>
      <w:r>
        <w:rPr>
          <w:rFonts w:ascii="Arial" w:cs="Arial" w:eastAsia="Arial" w:hAnsi="Arial"/>
          <w:sz w:val="18"/>
          <w:szCs w:val="18"/>
          <w:color w:val="auto"/>
        </w:rPr>
        <w:t xml:space="preserve"> shall be applicable to any representations and warranties that already are qualified or modified by materiality in the text thereof) and (B) in the case of an Incremental Term Facility incurred to finance a Limited Conditionality Acquisition, (1) as of the date of execution of the Limited Conditionality Acquisition Agreement by the parties thereto, no Default or Event of Default shall have occurred and be continuing or would result from entry into the Limited Conditionality Acquisition Agreement, (2) as of the date of the borrowing of such Incremental Term Loans, no Event of Default under clause (a), (b), (h) or (i) of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be in existence immediately before or after giving effect (including pro forma effect) to such borrowing and to any concurrent transactions and any substantially concurrent use of proceeds thereof, (3) the representations and warranties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true and correct in all material respects as of the date of execution of the applicable Limited Conditionality Acquisition Agreement by the parties thereto, except to the extent any such representations or warranties are expressly limited to an earlier date, in which case such representations and warranties shall be true and correct in all material respects as of such specified earlier date (provided that no materiality qualifier set forth in this </w:t>
      </w:r>
      <w:r>
        <w:rPr>
          <w:rFonts w:ascii="Arial" w:cs="Arial" w:eastAsia="Arial" w:hAnsi="Arial"/>
          <w:sz w:val="18"/>
          <w:szCs w:val="18"/>
          <w:u w:val="single" w:color="auto"/>
          <w:color w:val="auto"/>
        </w:rPr>
        <w:t>subclause (B)(3)</w:t>
      </w:r>
      <w:r>
        <w:rPr>
          <w:rFonts w:ascii="Arial" w:cs="Arial" w:eastAsia="Arial" w:hAnsi="Arial"/>
          <w:sz w:val="18"/>
          <w:szCs w:val="18"/>
          <w:color w:val="auto"/>
        </w:rPr>
        <w:t xml:space="preserve"> shall be applicable to any representations and warranties that already are qualified or modified by materiality in the text thereof), and (4) as of the date of the borrowing of such Incremental Term Loans, customary “Sungard” representations and warranties (with such representations and warranties to be reasonably determined by the Incremental Lenders providing such Incremental Term Loans) shall be true and correct in all material respects immediately before and after giving effect to the incurrence of such Incremental Term Loans, except to the extent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825" w:right="239" w:bottom="1440" w:gutter="0" w:footer="0" w:header="0"/>
        </w:sectPr>
      </w:pPr>
    </w:p>
    <w:bookmarkStart w:id="72" w:name="page73"/>
    <w:bookmarkEnd w:id="72"/>
    <w:p>
      <w:pPr>
        <w:jc w:val="both"/>
        <w:ind w:left="660"/>
        <w:spacing w:after="0" w:line="274" w:lineRule="auto"/>
        <w:rPr>
          <w:sz w:val="20"/>
          <w:szCs w:val="20"/>
          <w:color w:val="auto"/>
        </w:rPr>
      </w:pPr>
      <w:r>
        <w:rPr>
          <w:rFonts w:ascii="Arial" w:cs="Arial" w:eastAsia="Arial" w:hAnsi="Arial"/>
          <w:sz w:val="20"/>
          <w:szCs w:val="20"/>
          <w:color w:val="auto"/>
        </w:rPr>
        <w:t xml:space="preserve">any such representations or warranties are expressly limited to an earlier date, in which case such representations and warranties shall be true and correct in all material respects as of such specified earlier date (provided that no materiality qualifier set forth in this </w:t>
      </w:r>
      <w:r>
        <w:rPr>
          <w:rFonts w:ascii="Arial" w:cs="Arial" w:eastAsia="Arial" w:hAnsi="Arial"/>
          <w:sz w:val="20"/>
          <w:szCs w:val="20"/>
          <w:u w:val="single" w:color="auto"/>
          <w:color w:val="auto"/>
        </w:rPr>
        <w:t>subclause (B)(4)</w:t>
      </w:r>
      <w:r>
        <w:rPr>
          <w:rFonts w:ascii="Arial" w:cs="Arial" w:eastAsia="Arial" w:hAnsi="Arial"/>
          <w:sz w:val="20"/>
          <w:szCs w:val="20"/>
          <w:color w:val="auto"/>
        </w:rPr>
        <w:t xml:space="preserve"> shall be applicable to any representations and warranties that are already qualified by materiality or Material Adverse Effect); and</w:t>
      </w:r>
    </w:p>
    <w:p>
      <w:pPr>
        <w:spacing w:after="0" w:line="192" w:lineRule="exact"/>
        <w:rPr>
          <w:sz w:val="20"/>
          <w:szCs w:val="20"/>
          <w:color w:val="auto"/>
        </w:rPr>
      </w:pPr>
    </w:p>
    <w:p>
      <w:pPr>
        <w:jc w:val="both"/>
        <w:ind w:left="660" w:firstLine="645"/>
        <w:spacing w:after="0" w:line="290" w:lineRule="auto"/>
        <w:tabs>
          <w:tab w:leader="none" w:pos="2198" w:val="left"/>
        </w:tabs>
        <w:numPr>
          <w:ilvl w:val="0"/>
          <w:numId w:val="62"/>
        </w:numPr>
        <w:rPr>
          <w:rFonts w:ascii="Arial" w:cs="Arial" w:eastAsia="Arial" w:hAnsi="Arial"/>
          <w:sz w:val="19"/>
          <w:szCs w:val="19"/>
          <w:color w:val="auto"/>
        </w:rPr>
      </w:pPr>
      <w:r>
        <w:rPr>
          <w:rFonts w:ascii="Arial" w:cs="Arial" w:eastAsia="Arial" w:hAnsi="Arial"/>
          <w:sz w:val="19"/>
          <w:szCs w:val="19"/>
          <w:color w:val="auto"/>
        </w:rPr>
        <w:t>to the extent reasonably requested by the Administrative Agent, the Administrative Agent shall have received (x) such legal opinions, board resolutions, secretary’s certificates, officer’s certificates and other documents as shall reasonably be requested by the Administrative Agent in connection with any such transaction and (y) such reaffirmation agreements and/or such amendments to the Collateral Documents as may be reasonably requested by the Administrative Agent in order to ensure that such Incremental Term Facilities are provided with the benefit of the applicable Loan Documents.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Notwithstanding anything to the contrary herein, the aggregate principal amount of all Incremental Term Facilities, when taken together with all previously incurred Incremental Equivalent Debt, shall not exceed the sum of (A) $125,000,000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an unlimited additional amount such that,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only, after giving effect (including pro forma effect) thereto (assuming full drawing under such Incremental Term Facilities), the First Lien Net Leverage Ratio calculated on a pro forma basis for the Test Period (with any Incremental Equivalent Debt being deemed to constitute Indebtedness secured on a pari passu basis with the Secured Obligations for purposes of calculating the First Lien Net Leverage Ratio even if unsecured) shall not exceed 2.50 to 1.00;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Incremental Term Facilities may be incurred pursuant to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prior to utilization of the amount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Each Incremental Term Facility shall be in an integral multiple of $10,000,000 and be in an aggregate principal amount that is not less than $10,000,000, provided that such amount may be less than the applicable minimum amount if such amount represents all the remaining availability hereunder as set forth above. Each such notice shall specify (A) the date on which the Borrower proposes that the Incremental Term Loans shall be effective, which shall be a date not less than ten (10) Business Days (or such shorter period as may be agreed to by the Administrative Agent) after the date on which such notice is delivered to the Administrative Agent and (B) the amount of the Incremental Term Loans being requested.</w:t>
      </w:r>
    </w:p>
    <w:p>
      <w:pPr>
        <w:spacing w:after="0" w:line="190" w:lineRule="exact"/>
        <w:rPr>
          <w:sz w:val="20"/>
          <w:szCs w:val="20"/>
          <w:color w:val="auto"/>
        </w:rPr>
      </w:pPr>
    </w:p>
    <w:p>
      <w:pPr>
        <w:jc w:val="both"/>
        <w:ind w:firstLine="656"/>
        <w:spacing w:after="0" w:line="301" w:lineRule="auto"/>
        <w:tabs>
          <w:tab w:leader="none" w:pos="152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Incremental Term Facility shall be secured by a pari passu Lien on the Collateral (and no other property) on terms and pursuant to documentation reasonably satisfactory to the Administrative Agent, the Borrower and the lenders providing such Incremental Term Facility. No Subsidiary shall be a borrower or a guarantor under any Incremental Term Facility unless such Subsidiary is a Loan Party which shall have previously or substantially concurrently guaranteed or borrowed, as applicable, the Secured Obligations. The Incremental Term Loans (i) if made as an increase in the principal amount of any existing tranche of Term Loans, shall have terms identical to those applicable to such Term Loans, (ii) shall not mature earlier than the Maturity Date applicable to any then existing Term Loans (but may have amortization and/or customary prepayments prior to such date), (iv) shall have a Weighted Average Life to Maturity no shorter than the Weighted Average Life to Maturity of any then existing Term Loans, (v) except as set forth above, shall be treated substantially the same as (and in any event , no more favorably than) the Term Loans and (vi) will accrue interest at rates determined by the Borrower and the lenders providing such Incremental Term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All-in Yield for any Incremental Term Loans shall be more than 0.50% higher than the corresponding All-in Yield for any then existing Term Loans, then the All-in Yield with respect to the any then existing Term Loans shall be increased by the amount necessary so that the difference between the All-in Yield with respect to the Incremental Term Loans and the All-in Yield on any then existing Term Loans is equal to 0.50%. The Administrative Agent shall notify the Lenders promptly upon receipt by the Administrative Agent of any notice from the Borrower referred to in this </w:t>
      </w:r>
      <w:r>
        <w:rPr>
          <w:rFonts w:ascii="Arial" w:cs="Arial" w:eastAsia="Arial" w:hAnsi="Arial"/>
          <w:sz w:val="18"/>
          <w:szCs w:val="18"/>
          <w:u w:val="single" w:color="auto"/>
          <w:color w:val="auto"/>
        </w:rPr>
        <w:t>Section 2.21</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825" w:right="239" w:bottom="1440" w:gutter="0" w:footer="0" w:header="0"/>
        </w:sectPr>
      </w:pPr>
    </w:p>
    <w:bookmarkStart w:id="73" w:name="page74"/>
    <w:bookmarkEnd w:id="73"/>
    <w:p>
      <w:pPr>
        <w:ind w:left="280" w:hanging="272"/>
        <w:spacing w:after="0"/>
        <w:tabs>
          <w:tab w:leader="none" w:pos="280" w:val="left"/>
        </w:tabs>
        <w:numPr>
          <w:ilvl w:val="0"/>
          <w:numId w:val="64"/>
        </w:numPr>
        <w:rPr>
          <w:rFonts w:ascii="Arial" w:cs="Arial" w:eastAsia="Arial" w:hAnsi="Arial"/>
          <w:sz w:val="20"/>
          <w:szCs w:val="20"/>
          <w:u w:val="single" w:color="auto"/>
          <w:color w:val="auto"/>
        </w:rPr>
      </w:pPr>
      <w:r>
        <w:rPr>
          <w:rFonts w:ascii="Arial" w:cs="Arial" w:eastAsia="Arial" w:hAnsi="Arial"/>
          <w:sz w:val="20"/>
          <w:szCs w:val="20"/>
          <w:color w:val="auto"/>
        </w:rPr>
        <w:t>and of the effectiveness of any Incremental Commitments, in each case advising the Lenders of the details thereof.</w:t>
      </w:r>
    </w:p>
    <w:p>
      <w:pPr>
        <w:spacing w:after="0" w:line="242" w:lineRule="exact"/>
        <w:rPr>
          <w:rFonts w:ascii="Arial" w:cs="Arial" w:eastAsia="Arial" w:hAnsi="Arial"/>
          <w:sz w:val="20"/>
          <w:szCs w:val="20"/>
          <w:u w:val="single" w:color="auto"/>
          <w:color w:val="auto"/>
        </w:rPr>
      </w:pPr>
    </w:p>
    <w:p>
      <w:pPr>
        <w:jc w:val="both"/>
        <w:ind w:firstLine="656"/>
        <w:spacing w:after="0" w:line="284" w:lineRule="auto"/>
        <w:tabs>
          <w:tab w:leader="none" w:pos="1516" w:val="left"/>
        </w:tabs>
        <w:numPr>
          <w:ilvl w:val="1"/>
          <w:numId w:val="64"/>
        </w:numPr>
        <w:rPr>
          <w:rFonts w:ascii="Arial" w:cs="Arial" w:eastAsia="Arial" w:hAnsi="Arial"/>
          <w:sz w:val="19"/>
          <w:szCs w:val="19"/>
          <w:color w:val="auto"/>
        </w:rPr>
      </w:pPr>
      <w:r>
        <w:rPr>
          <w:rFonts w:ascii="Arial" w:cs="Arial" w:eastAsia="Arial" w:hAnsi="Arial"/>
          <w:sz w:val="19"/>
          <w:szCs w:val="19"/>
          <w:color w:val="auto"/>
        </w:rPr>
        <w:t xml:space="preserve">Incremental Term Facilities may be provided by any existing Lender (provided that no existing Lender shall have (x) an obligation to provide all or any portion of any Incremental Term Facility unless it so agrees in writing as provided in this </w:t>
      </w:r>
      <w:r>
        <w:rPr>
          <w:rFonts w:ascii="Arial" w:cs="Arial" w:eastAsia="Arial" w:hAnsi="Arial"/>
          <w:sz w:val="19"/>
          <w:szCs w:val="19"/>
          <w:u w:val="single" w:color="auto"/>
          <w:color w:val="auto"/>
        </w:rPr>
        <w:t>Section 2.21</w:t>
      </w:r>
      <w:r>
        <w:rPr>
          <w:rFonts w:ascii="Arial" w:cs="Arial" w:eastAsia="Arial" w:hAnsi="Arial"/>
          <w:sz w:val="19"/>
          <w:szCs w:val="19"/>
          <w:color w:val="auto"/>
        </w:rPr>
        <w:t xml:space="preserve"> or (y) the right to provide all or any portion of any Incremental Term Facility) or by other bank, financial institution or other institutional lender or investor (other than an Ineligible Institution) (any such other bank, financial institution or other institutional lender or investor being called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Administrative Agent shall have consented (such consent not to be unreasonably withheld) to such Lender or Additional Lender providing such Incremental Term Facility, to the extent such consent would be required under Section 9.04(b) for an assignment of Loans or Commitments to such Lender or Additional Lender. Commitments in respect of Incremental Term Facilities shall become Commitments under this Agreement pursuant to an amendment or amendment and restatement (each, an “</w:t>
      </w:r>
      <w:r>
        <w:rPr>
          <w:rFonts w:ascii="Arial" w:cs="Arial" w:eastAsia="Arial" w:hAnsi="Arial"/>
          <w:sz w:val="19"/>
          <w:szCs w:val="19"/>
          <w:u w:val="single" w:color="auto"/>
          <w:color w:val="auto"/>
        </w:rPr>
        <w:t>Incremental Amendment</w:t>
      </w:r>
      <w:r>
        <w:rPr>
          <w:rFonts w:ascii="Arial" w:cs="Arial" w:eastAsia="Arial" w:hAnsi="Arial"/>
          <w:sz w:val="19"/>
          <w:szCs w:val="19"/>
          <w:color w:val="auto"/>
        </w:rPr>
        <w:t>”) of this Agreement and, as appropriate, the other Loan Documents, executed by the Borrower, each Lender agreeing to provide such Commitment, if any, each Additional Lender, if any, and the Administrative Agent. The Incremental Amendment may, without the consent of any other Lenders, effect such amendments to this Agreement and the other Loan Documents as may be necessary or appropriate, in the reasonable opinion of the Administrative Agent and the Borrower, to effect the provisions of this Section. The effectiveness of any Incremental Amendment shall be subject to the satisfaction on the date thereof of each of the conditions set forth in Section 4.02 and such other conditions as the parties thereto shall agree. The Borrower will use the proceeds of the Incremental Term Facilities for any purpose not prohibited by this Agreement.</w:t>
      </w:r>
    </w:p>
    <w:p>
      <w:pPr>
        <w:spacing w:after="0" w:line="186" w:lineRule="exact"/>
        <w:rPr>
          <w:rFonts w:ascii="Arial" w:cs="Arial" w:eastAsia="Arial" w:hAnsi="Arial"/>
          <w:sz w:val="19"/>
          <w:szCs w:val="19"/>
          <w:color w:val="auto"/>
        </w:rPr>
      </w:pPr>
    </w:p>
    <w:p>
      <w:pPr>
        <w:ind w:left="1580" w:hanging="924"/>
        <w:spacing w:after="0"/>
        <w:tabs>
          <w:tab w:leader="none" w:pos="1580" w:val="left"/>
        </w:tabs>
        <w:numPr>
          <w:ilvl w:val="1"/>
          <w:numId w:val="64"/>
        </w:numPr>
        <w:rPr>
          <w:rFonts w:ascii="Arial" w:cs="Arial" w:eastAsia="Arial" w:hAnsi="Arial"/>
          <w:sz w:val="20"/>
          <w:szCs w:val="20"/>
          <w:color w:val="auto"/>
        </w:rPr>
      </w:pPr>
      <w:r>
        <w:rPr>
          <w:rFonts w:ascii="Arial" w:cs="Arial" w:eastAsia="Arial" w:hAnsi="Arial"/>
          <w:sz w:val="20"/>
          <w:szCs w:val="20"/>
          <w:color w:val="auto"/>
        </w:rPr>
        <w:t>This Section 2.20 shall supersede any provisions in Section 2.18(c) or Section 9.02 to the contrary.</w:t>
      </w:r>
    </w:p>
    <w:p>
      <w:pPr>
        <w:spacing w:after="0" w:line="24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xml:space="preserve"> If after receipt of any payment which is applied to the payment of all or any part of the Secured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Secured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SECTION 2.22</w:t>
            </w:r>
          </w:p>
        </w:tc>
        <w:tc>
          <w:tcPr>
            <w:tcW w:w="158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2.23</w:t>
            </w:r>
          </w:p>
        </w:tc>
        <w:tc>
          <w:tcPr>
            <w:tcW w:w="158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2.24</w:t>
            </w:r>
          </w:p>
        </w:tc>
        <w:tc>
          <w:tcPr>
            <w:tcW w:w="1580" w:type="dxa"/>
            <w:vAlign w:val="bottom"/>
            <w:gridSpan w:val="3"/>
          </w:tcPr>
          <w:p>
            <w:pPr>
              <w:spacing w:after="0"/>
              <w:rPr>
                <w:sz w:val="20"/>
                <w:szCs w:val="20"/>
                <w:color w:val="auto"/>
              </w:rPr>
            </w:pPr>
            <w:r>
              <w:rPr>
                <w:rFonts w:ascii="Arial" w:cs="Arial" w:eastAsia="Arial" w:hAnsi="Arial"/>
                <w:sz w:val="20"/>
                <w:szCs w:val="20"/>
                <w:color w:val="auto"/>
              </w:rPr>
              <w:t>[Reserved].</w:t>
            </w:r>
          </w:p>
        </w:tc>
      </w:tr>
      <w:tr>
        <w:trPr>
          <w:trHeight w:val="20"/>
        </w:trPr>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53"/>
        </w:trPr>
        <w:tc>
          <w:tcPr>
            <w:tcW w:w="2520" w:type="dxa"/>
            <w:vAlign w:val="bottom"/>
          </w:tcPr>
          <w:p>
            <w:pPr>
              <w:spacing w:after="0"/>
              <w:rPr>
                <w:sz w:val="20"/>
                <w:szCs w:val="20"/>
                <w:color w:val="auto"/>
              </w:rPr>
            </w:pPr>
            <w:r>
              <w:rPr>
                <w:rFonts w:ascii="Arial" w:cs="Arial" w:eastAsia="Arial" w:hAnsi="Arial"/>
                <w:sz w:val="20"/>
                <w:szCs w:val="20"/>
                <w:color w:val="auto"/>
              </w:rPr>
              <w:t>SECTION 2.25</w:t>
            </w: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89"/>
              </w:rPr>
              <w:t>Defaulting Lenders.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825" w:right="239" w:bottom="1440" w:gutter="0" w:footer="0" w:header="0"/>
        </w:sectPr>
      </w:pPr>
    </w:p>
    <w:bookmarkStart w:id="74" w:name="page75"/>
    <w:bookmarkEnd w:id="74"/>
    <w:p>
      <w:pPr>
        <w:jc w:val="both"/>
        <w:ind w:firstLine="656"/>
        <w:spacing w:after="0" w:line="271" w:lineRule="auto"/>
        <w:tabs>
          <w:tab w:leader="none" w:pos="1516"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Notwithstanding any provision of this Agreement to the contrary, if any Lender becomes a Defaulting Lender, then such Defaulting Lender shall not have the right to vote on any issue on which voting is required (other than to the extent expressly provided in Section 9.02(b)) and the Commitment and Credit Exposure of such Defaulting Lender shall not be included in determining whether the Required Lenders have taken or may take any action hereunder (including any consent to any amendment, waiver or other modification pursuant to Section 9.02) or under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that, except as otherwise provided in Section 9.02, this clause (a) shall not apply to the vote of a Defaulting Lender in the case of an amendment, waiver or other modification requiring the consent of such Lender or each Lender directly affected thereby.</w:t>
      </w:r>
    </w:p>
    <w:p>
      <w:pPr>
        <w:spacing w:after="0" w:line="194" w:lineRule="exact"/>
        <w:rPr>
          <w:rFonts w:ascii="Arial" w:cs="Arial" w:eastAsia="Arial" w:hAnsi="Arial"/>
          <w:sz w:val="20"/>
          <w:szCs w:val="20"/>
          <w:color w:val="auto"/>
        </w:rPr>
      </w:pPr>
    </w:p>
    <w:p>
      <w:pPr>
        <w:jc w:val="both"/>
        <w:ind w:firstLine="656"/>
        <w:spacing w:after="0" w:line="271" w:lineRule="auto"/>
        <w:tabs>
          <w:tab w:leader="none" w:pos="1527" w:val="left"/>
        </w:tabs>
        <w:numPr>
          <w:ilvl w:val="0"/>
          <w:numId w:val="65"/>
        </w:numPr>
        <w:rPr>
          <w:rFonts w:ascii="Arial" w:cs="Arial" w:eastAsia="Arial" w:hAnsi="Arial"/>
          <w:sz w:val="20"/>
          <w:szCs w:val="20"/>
          <w:color w:val="auto"/>
        </w:rPr>
      </w:pPr>
      <w:r>
        <w:rPr>
          <w:rFonts w:ascii="Arial" w:cs="Arial" w:eastAsia="Arial" w:hAnsi="Arial"/>
          <w:sz w:val="20"/>
          <w:szCs w:val="20"/>
          <w:color w:val="auto"/>
        </w:rPr>
        <w:t>In the event that the Administrative Agent and the Borrower each agrees that a Defaulting Lender has adequately remedied all matters that caused such Lender to be a Defaulting Lender, the Administrative Agent will so notify the parties hereto, whereupon as of the effective date specified in such notice and subject to any conditions set forth therein, such Lender will cease to be a Defaulting Lender; provided that no adjustments will be made retroactively with respect to fees accrued or payments made by or on behalf of the Borrower while such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9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2.26</w:t>
      </w:r>
      <w:r>
        <w:rPr>
          <w:sz w:val="20"/>
          <w:szCs w:val="20"/>
          <w:color w:val="auto"/>
        </w:rPr>
        <w:tab/>
      </w:r>
      <w:r>
        <w:rPr>
          <w:rFonts w:ascii="Arial" w:cs="Arial" w:eastAsia="Arial" w:hAnsi="Arial"/>
          <w:sz w:val="18"/>
          <w:szCs w:val="18"/>
          <w:u w:val="single" w:color="auto"/>
          <w:color w:val="auto"/>
        </w:rPr>
        <w:t>Loan Modification Offers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97" w:lineRule="auto"/>
        <w:tabs>
          <w:tab w:leader="none" w:pos="151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Borrower may on one or more occasions, by written notice to the Administrative Agent, make one or more offers (each, a “</w:t>
      </w:r>
      <w:r>
        <w:rPr>
          <w:rFonts w:ascii="Arial" w:cs="Arial" w:eastAsia="Arial" w:hAnsi="Arial"/>
          <w:sz w:val="18"/>
          <w:szCs w:val="18"/>
          <w:u w:val="single" w:color="auto"/>
          <w:color w:val="auto"/>
        </w:rPr>
        <w:t>Loan Modification Offer</w:t>
      </w:r>
      <w:r>
        <w:rPr>
          <w:rFonts w:ascii="Arial" w:cs="Arial" w:eastAsia="Arial" w:hAnsi="Arial"/>
          <w:sz w:val="18"/>
          <w:szCs w:val="18"/>
          <w:color w:val="auto"/>
        </w:rPr>
        <w:t>”) to all the Lenders of one or more Classes (each Class subject to such a Loan Modification Offer, an “</w:t>
      </w:r>
      <w:r>
        <w:rPr>
          <w:rFonts w:ascii="Arial" w:cs="Arial" w:eastAsia="Arial" w:hAnsi="Arial"/>
          <w:sz w:val="18"/>
          <w:szCs w:val="18"/>
          <w:u w:val="single" w:color="auto"/>
          <w:color w:val="auto"/>
        </w:rPr>
        <w:t>Affected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Class</w:t>
      </w:r>
      <w:r>
        <w:rPr>
          <w:rFonts w:ascii="Arial" w:cs="Arial" w:eastAsia="Arial" w:hAnsi="Arial"/>
          <w:sz w:val="18"/>
          <w:szCs w:val="18"/>
          <w:color w:val="auto"/>
        </w:rPr>
        <w:t>”) to make one or more Permitted Amendments pursuant to procedures reasonably specified by the Administrative Agent and reasonably acceptable to the Borrower. Such notice shall set forth (i) the terms and conditions of the requested Permitted Amendment and (ii) the date on which such Permitted Amendment is requested to become effective (which shall not be less than ten (10) Business Days nor more than thirty</w:t>
      </w:r>
    </w:p>
    <w:p>
      <w:pPr>
        <w:spacing w:after="0" w:line="2" w:lineRule="exact"/>
        <w:rPr>
          <w:rFonts w:ascii="Arial" w:cs="Arial" w:eastAsia="Arial" w:hAnsi="Arial"/>
          <w:sz w:val="18"/>
          <w:szCs w:val="18"/>
          <w:color w:val="auto"/>
        </w:rPr>
      </w:pPr>
    </w:p>
    <w:p>
      <w:pPr>
        <w:jc w:val="both"/>
        <w:ind w:firstLine="8"/>
        <w:spacing w:after="0" w:line="285" w:lineRule="auto"/>
        <w:tabs>
          <w:tab w:leader="none" w:pos="379" w:val="left"/>
        </w:tabs>
        <w:numPr>
          <w:ilvl w:val="0"/>
          <w:numId w:val="67"/>
        </w:numPr>
        <w:rPr>
          <w:rFonts w:ascii="Arial" w:cs="Arial" w:eastAsia="Arial" w:hAnsi="Arial"/>
          <w:sz w:val="19"/>
          <w:szCs w:val="19"/>
          <w:color w:val="auto"/>
        </w:rPr>
      </w:pPr>
      <w:r>
        <w:rPr>
          <w:rFonts w:ascii="Arial" w:cs="Arial" w:eastAsia="Arial" w:hAnsi="Arial"/>
          <w:sz w:val="19"/>
          <w:szCs w:val="19"/>
          <w:color w:val="auto"/>
        </w:rPr>
        <w:t>Business Days after the date of such notice, unless otherwise agreed to by the Administrative Agent). Permitted Amendments shall become effective only with respect to the Loans and Commitments of the Lenders of the Affected Class that accept the applicable Loan Modification Offer (such Lenders, the “</w:t>
      </w:r>
      <w:r>
        <w:rPr>
          <w:rFonts w:ascii="Arial" w:cs="Arial" w:eastAsia="Arial" w:hAnsi="Arial"/>
          <w:sz w:val="19"/>
          <w:szCs w:val="19"/>
          <w:u w:val="single" w:color="auto"/>
          <w:color w:val="auto"/>
        </w:rPr>
        <w:t>Accepting Lenders</w:t>
      </w:r>
      <w:r>
        <w:rPr>
          <w:rFonts w:ascii="Arial" w:cs="Arial" w:eastAsia="Arial" w:hAnsi="Arial"/>
          <w:sz w:val="19"/>
          <w:szCs w:val="19"/>
          <w:color w:val="auto"/>
        </w:rPr>
        <w:t xml:space="preserve">”) and, in the case of any Accepting Lender, only with respect to such Lender’s Loans and Commitments of such Affected Class as to which such Lender’s acceptance has been made. With respect to all Permitted Amendments consummated by the Borrower pursuant to this </w:t>
      </w:r>
      <w:r>
        <w:rPr>
          <w:rFonts w:ascii="Arial" w:cs="Arial" w:eastAsia="Arial" w:hAnsi="Arial"/>
          <w:sz w:val="19"/>
          <w:szCs w:val="19"/>
          <w:u w:val="single" w:color="auto"/>
          <w:color w:val="auto"/>
        </w:rPr>
        <w:t>Section 2.26</w:t>
      </w:r>
      <w:r>
        <w:rPr>
          <w:rFonts w:ascii="Arial" w:cs="Arial" w:eastAsia="Arial" w:hAnsi="Arial"/>
          <w:sz w:val="19"/>
          <w:szCs w:val="19"/>
          <w:color w:val="auto"/>
        </w:rPr>
        <w:t xml:space="preserve">, (i) such Permitted Amendments shall not constitute voluntary or mandatory payments or prepayments for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(ii) any Loan Modification Offer, unless contemplating a Maturity Date already in effect hereunder pursuant to a previously consummated Permitted Amendment, must be in a minimum amount of $25,000,000 (or such lesser amount as may be approved by the Administrative Agent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may at its election specify as a condition (a “</w:t>
      </w:r>
      <w:r>
        <w:rPr>
          <w:rFonts w:ascii="Arial" w:cs="Arial" w:eastAsia="Arial" w:hAnsi="Arial"/>
          <w:sz w:val="19"/>
          <w:szCs w:val="19"/>
          <w:u w:val="single" w:color="auto"/>
          <w:color w:val="auto"/>
        </w:rPr>
        <w:t>Minimum Extension Condition</w:t>
      </w:r>
      <w:r>
        <w:rPr>
          <w:rFonts w:ascii="Arial" w:cs="Arial" w:eastAsia="Arial" w:hAnsi="Arial"/>
          <w:sz w:val="19"/>
          <w:szCs w:val="19"/>
          <w:color w:val="auto"/>
        </w:rPr>
        <w:t>”) to consummating any such Permitted Amendment that a minimum amount (to be determined and specified in the relevant Loan Modification Offer in the Borrower’s sole discretion and which may be waived by the Borrower) of Commitments or Loans of any or all Affected Classes be extended.</w:t>
      </w:r>
    </w:p>
    <w:p>
      <w:pPr>
        <w:spacing w:after="0" w:line="184" w:lineRule="exact"/>
        <w:rPr>
          <w:rFonts w:ascii="Arial" w:cs="Arial" w:eastAsia="Arial" w:hAnsi="Arial"/>
          <w:sz w:val="19"/>
          <w:szCs w:val="19"/>
          <w:color w:val="auto"/>
        </w:rPr>
      </w:pPr>
    </w:p>
    <w:p>
      <w:pPr>
        <w:jc w:val="both"/>
        <w:ind w:firstLine="656"/>
        <w:spacing w:after="0" w:line="273" w:lineRule="auto"/>
        <w:tabs>
          <w:tab w:leader="none" w:pos="1527"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A Permitted Amendment shall be effected pursuant to a Loan Modification Agreement executed and delivered by the Borrower, each applicable Accepting Lender and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Permitted Amendment shall become effective unless (i) no Event of Default shall have occurred and be continuing on the date of effectiveness thereof, (ii) on the date of effectiveness thereof, the representations and warranties of each Loan Party set forth in the Loan Documents shall be true and correct (x) in the case of the representations and warranties qualified as to materiality, in all respects and (y) otherwise,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825" w:right="239" w:bottom="1440" w:gutter="0" w:footer="0" w:header="0"/>
        </w:sectPr>
      </w:pPr>
    </w:p>
    <w:bookmarkStart w:id="75" w:name="page76"/>
    <w:bookmarkEnd w:id="75"/>
    <w:p>
      <w:pPr>
        <w:jc w:val="both"/>
        <w:spacing w:after="0" w:line="302" w:lineRule="auto"/>
        <w:rPr>
          <w:sz w:val="20"/>
          <w:szCs w:val="20"/>
          <w:color w:val="auto"/>
        </w:rPr>
      </w:pPr>
      <w:r>
        <w:rPr>
          <w:rFonts w:ascii="Arial" w:cs="Arial" w:eastAsia="Arial" w:hAnsi="Arial"/>
          <w:sz w:val="18"/>
          <w:szCs w:val="18"/>
          <w:color w:val="auto"/>
        </w:rPr>
        <w:t>in all material respects, in each case on and as of such date, except in the case of any such representation and warranty that specifically relates to an earlier date, in which case such representation and warranty shall be so true and correct on and as of such earlier date, (iii) the Borrower shall have delivered to the Administrative Agent (x) such legal opinions, board resolutions, secretary’s certificates, officer’s certificates and other documents as shall reasonably be requested by the Administrative Agent in connection therewith and (y) such reaffirmation agreements and/or such amendments to the Collateral Documents as may be reasonably requested by the Administrative Agent in order to ensure that the Loans and Commitments subject to such Loan Modification Offer are provided with the benefit of the applicable Loan Documents and (iv) any applicable Minimum Extension Condition shall be satisfied (unless waived by the Borrower). The Administrative Agent shall promptly notify each Lender as to the effectiveness of each Loan Modification Agreement. Each Loan Modification Agreement may, without the consent of any Lender other than the applicable Accepting Lenders (and with the consent of the Administrative Agent), effect such amendments to this Agreement and the other Loan Documents as may be necessary or appropriate, in the opinion of the Administrative Agent, to give effect to the provisions of this Section, including any amendments necessary to treat the applicable Loans and/or Commitments of the Accepting Lenders as a new Class of loans and/or commitments hereunder.</w:t>
      </w:r>
    </w:p>
    <w:p>
      <w:pPr>
        <w:spacing w:after="0" w:line="170" w:lineRule="exact"/>
        <w:rPr>
          <w:sz w:val="20"/>
          <w:szCs w:val="20"/>
          <w:color w:val="auto"/>
        </w:rPr>
      </w:pPr>
    </w:p>
    <w:p>
      <w:pPr>
        <w:ind w:left="1520" w:hanging="864"/>
        <w:spacing w:after="0"/>
        <w:tabs>
          <w:tab w:leader="none" w:pos="152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This Section 2.26 shall supersede any provisions in Section 2.18(c) or Section 9.02 to the contrary.</w:t>
      </w:r>
    </w:p>
    <w:p>
      <w:pPr>
        <w:spacing w:after="0" w:line="243"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2.27</w:t>
      </w:r>
      <w:r>
        <w:rPr>
          <w:sz w:val="20"/>
          <w:szCs w:val="20"/>
          <w:color w:val="auto"/>
        </w:rPr>
        <w:tab/>
      </w:r>
      <w:r>
        <w:rPr>
          <w:rFonts w:ascii="Arial" w:cs="Arial" w:eastAsia="Arial" w:hAnsi="Arial"/>
          <w:sz w:val="18"/>
          <w:szCs w:val="18"/>
          <w:u w:val="single" w:color="auto"/>
          <w:color w:val="auto"/>
        </w:rPr>
        <w:t>Refinancing Amendments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86" w:lineRule="auto"/>
        <w:tabs>
          <w:tab w:leader="none" w:pos="1516" w:val="left"/>
        </w:tabs>
        <w:numPr>
          <w:ilvl w:val="0"/>
          <w:numId w:val="69"/>
        </w:numPr>
        <w:rPr>
          <w:rFonts w:ascii="Arial" w:cs="Arial" w:eastAsia="Arial" w:hAnsi="Arial"/>
          <w:sz w:val="19"/>
          <w:szCs w:val="19"/>
          <w:color w:val="auto"/>
        </w:rPr>
      </w:pPr>
      <w:r>
        <w:rPr>
          <w:rFonts w:ascii="Arial" w:cs="Arial" w:eastAsia="Arial" w:hAnsi="Arial"/>
          <w:sz w:val="19"/>
          <w:szCs w:val="19"/>
          <w:color w:val="auto"/>
        </w:rPr>
        <w:t>On one or more occasions after the Effective Date, the Borrower may obtain, from any Lender or any other bank, financial institution or other institutional lender or investor (other than an Ineligible Institution) that agrees to provide any portion of any Refinancing Term Loan consisting of Loan Agreement Refinancing Debt, pursuant to a Refinancing Amendment in accordance with this Section 2.27 (each, an “</w:t>
      </w:r>
      <w:r>
        <w:rPr>
          <w:rFonts w:ascii="Arial" w:cs="Arial" w:eastAsia="Arial" w:hAnsi="Arial"/>
          <w:sz w:val="19"/>
          <w:szCs w:val="19"/>
          <w:u w:val="single" w:color="auto"/>
          <w:color w:val="auto"/>
        </w:rPr>
        <w:t>Additional Refinancing Lender</w:t>
      </w:r>
      <w:r>
        <w:rPr>
          <w:rFonts w:ascii="Arial" w:cs="Arial" w:eastAsia="Arial" w:hAnsi="Arial"/>
          <w:sz w:val="19"/>
          <w:szCs w:val="19"/>
          <w:color w:val="auto"/>
        </w:rPr>
        <w:t>”) (provided that the Administrative Agent shall have consented (not to be unreasonably withheld) to such Lender or Additional Refinancing Lender making such Refinancing Term Loans to the extent such consent, if any, would be required under Section 9.04(b) for an assignment of Loans or Commitments, as applicable, to such Lender or Additional Refinancing Lender), in respect of all or any portion of any Class of Term Loans then outstanding under this Agreement, in the form of Refinancing Term Loans or Refinancing Term Commitments pursuant to a Refinancing Amendment.</w:t>
      </w:r>
    </w:p>
    <w:p>
      <w:pPr>
        <w:spacing w:after="0" w:line="185" w:lineRule="exact"/>
        <w:rPr>
          <w:rFonts w:ascii="Arial" w:cs="Arial" w:eastAsia="Arial" w:hAnsi="Arial"/>
          <w:sz w:val="19"/>
          <w:szCs w:val="19"/>
          <w:color w:val="auto"/>
        </w:rPr>
      </w:pPr>
    </w:p>
    <w:p>
      <w:pPr>
        <w:jc w:val="both"/>
        <w:ind w:firstLine="656"/>
        <w:spacing w:after="0" w:line="301" w:lineRule="auto"/>
        <w:tabs>
          <w:tab w:leader="none" w:pos="1527"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The effectiveness of any Refinancing Amendment shall be subject to the following conditions: (i) no Default or Event of Default shall have occurred and be continuing immediately prior to and immediately after giving effect (including pro forma effect) to such Refinancing Amendment, (ii) the representations and warranties set forth in each Loan Document shall be true and correct in all material respects immediately prior to, and immediately after giving effect to, such Refinancing Amendment, except to the extent any such representations or warranties are expressly limited to an earlier date, in which case such representations and warranties shall be true and correct in all material respects as of such specified earlier date (provided that no materiality qualifier set forth in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applicable to any representations and warranties that already are qualified or modified by materiality in the text thereof) and (iii) to the extent reasonably requested by the Administrative Agent, receipt by the Administrative Agent of (1) such legal opinions, board resolutions, secretary’s certificates, officer’s certificates and other documents as shall reasonably be requested by the Administrative Agent in connection with any such transaction and (2) reaffirmation agreements and/or such amendments to the Collateral Documents as may be reasonably requested by the Administrative Agent in order to ensure that such Loan Agreement Refinancing Indebtedness is provided with the benefit of the applicable Loan Documents. Each issuance of Loan Agreement Refinancing Indebtedness under Section 2.27(a) shall be in an aggregate principal amount that is (i) not less than $25,000,000 and (ii) an integral multiple of $5,000,000 in excess thereof.</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825" w:right="239" w:bottom="1440" w:gutter="0" w:footer="0" w:header="0"/>
        </w:sectPr>
      </w:pPr>
    </w:p>
    <w:bookmarkStart w:id="76" w:name="page77"/>
    <w:bookmarkEnd w:id="76"/>
    <w:p>
      <w:pPr>
        <w:jc w:val="both"/>
        <w:ind w:firstLine="656"/>
        <w:spacing w:after="0" w:line="287" w:lineRule="auto"/>
        <w:tabs>
          <w:tab w:leader="none" w:pos="1516" w:val="left"/>
        </w:tabs>
        <w:numPr>
          <w:ilvl w:val="0"/>
          <w:numId w:val="70"/>
        </w:numPr>
        <w:rPr>
          <w:rFonts w:ascii="Arial" w:cs="Arial" w:eastAsia="Arial" w:hAnsi="Arial"/>
          <w:sz w:val="19"/>
          <w:szCs w:val="19"/>
          <w:color w:val="auto"/>
        </w:rPr>
      </w:pPr>
      <w:r>
        <w:rPr>
          <w:rFonts w:ascii="Arial" w:cs="Arial" w:eastAsia="Arial" w:hAnsi="Arial"/>
          <w:sz w:val="19"/>
          <w:szCs w:val="19"/>
          <w:color w:val="auto"/>
        </w:rPr>
        <w:t>Each of the parties hereto hereby agrees that this Agreement and the other Loan Documents may be amended pursuant to a Refinancing Amendment, without the consent of any other Lenders, to the extent (but only to the extent) necessary to (i) reflect the existence and terms of the Loan Agreement Refinancing Indebtedness incurred pursuant thereto and (ii) effect such other amendments to this Agreement and the other Loan Documents as may be necessary or appropriate, in the reasonable opinion of the Administrative Agent and the Borrower, to effect the provisions of this Section 2.27, including any amendments necessary to treat the applicable Loans and/or Commitments established under the Refinancing Amendment as a new Class of loans and/or commitments hereunder, and the Lenders hereby expressly authorize the Administrative Agent to enter into any such Refinancing Amendment.</w:t>
      </w:r>
    </w:p>
    <w:p>
      <w:pPr>
        <w:spacing w:after="0" w:line="183" w:lineRule="exact"/>
        <w:rPr>
          <w:rFonts w:ascii="Arial" w:cs="Arial" w:eastAsia="Arial" w:hAnsi="Arial"/>
          <w:sz w:val="19"/>
          <w:szCs w:val="19"/>
          <w:color w:val="auto"/>
        </w:rPr>
      </w:pPr>
    </w:p>
    <w:p>
      <w:pPr>
        <w:ind w:left="1540" w:hanging="884"/>
        <w:spacing w:after="0"/>
        <w:tabs>
          <w:tab w:leader="none" w:pos="1540" w:val="left"/>
        </w:tabs>
        <w:numPr>
          <w:ilvl w:val="0"/>
          <w:numId w:val="70"/>
        </w:numPr>
        <w:rPr>
          <w:rFonts w:ascii="Arial" w:cs="Arial" w:eastAsia="Arial" w:hAnsi="Arial"/>
          <w:sz w:val="20"/>
          <w:szCs w:val="20"/>
          <w:color w:val="auto"/>
        </w:rPr>
      </w:pPr>
      <w:r>
        <w:rPr>
          <w:rFonts w:ascii="Arial" w:cs="Arial" w:eastAsia="Arial" w:hAnsi="Arial"/>
          <w:sz w:val="20"/>
          <w:szCs w:val="20"/>
          <w:color w:val="auto"/>
        </w:rPr>
        <w:t>This Section 2.27 shall supersede any provisions in Section 2.18(c) or Section 9.02 to the contrary.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Each Loan Party represents and warrants to the Lenders that:</w:t>
      </w:r>
    </w:p>
    <w:p>
      <w:pPr>
        <w:spacing w:after="0" w:line="22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3.01</w:t>
      </w:r>
      <w:r>
        <w:rPr>
          <w:sz w:val="20"/>
          <w:szCs w:val="20"/>
          <w:color w:val="auto"/>
        </w:rPr>
        <w:tab/>
      </w:r>
      <w:r>
        <w:rPr>
          <w:rFonts w:ascii="Arial" w:cs="Arial" w:eastAsia="Arial" w:hAnsi="Arial"/>
          <w:sz w:val="18"/>
          <w:szCs w:val="18"/>
          <w:u w:val="single" w:color="auto"/>
          <w:color w:val="auto"/>
        </w:rPr>
        <w:t xml:space="preserve">Organization; Powers. </w:t>
      </w:r>
      <w:r>
        <w:rPr>
          <w:rFonts w:ascii="Arial" w:cs="Arial" w:eastAsia="Arial" w:hAnsi="Arial"/>
          <w:sz w:val="18"/>
          <w:szCs w:val="18"/>
          <w:color w:val="auto"/>
        </w:rPr>
        <w:t>Each Loan Party and its Material Subsidiaries is duly organized, validly existing</w:t>
      </w:r>
    </w:p>
    <w:p>
      <w:pPr>
        <w:spacing w:after="0" w:line="2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Authorization; Enforceability.</w:t>
      </w:r>
      <w:r>
        <w:rPr>
          <w:rFonts w:ascii="Arial" w:cs="Arial" w:eastAsia="Arial" w:hAnsi="Arial"/>
          <w:sz w:val="20"/>
          <w:szCs w:val="20"/>
          <w:color w:val="auto"/>
        </w:rPr>
        <w:t xml:space="preserve">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law or regulation or the charter, by-laws or other organizational documents of the Company or any of the Material Subsidiaries or any order of any Governmental Authority, (c) will not violate or result in a default under any indenture, agreement or other instrument binding upon the Company or any of the Material Subsidiaries or its assets, or give rise to a right thereunder to require any payment to be made by the Company or any of the Material Subsidiaries, except, in the case of this clause (c), that could not reasonably be expected to result in a Material Adverse Effect, and (d) will not result in the creation or imposition of any Lien on any asset of the Company or any of the Material Subsidiaries, other than Liens created under the Loan Documents.</w:t>
      </w:r>
    </w:p>
    <w:p>
      <w:pPr>
        <w:spacing w:after="0" w:line="18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Financial Condition; No Material Adverse Change.</w:t>
      </w:r>
      <w:r>
        <w:rPr>
          <w:rFonts w:ascii="Arial" w:cs="Arial" w:eastAsia="Arial" w:hAnsi="Arial"/>
          <w:sz w:val="20"/>
          <w:szCs w:val="20"/>
          <w:color w:val="auto"/>
        </w:rPr>
        <w:t xml:space="preserve"> (a) The Company has heretofore furnished to the Lenders its consolidated balance sheet and statements of income, stockholders equity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825" w:right="239" w:bottom="1440" w:gutter="0" w:footer="0" w:header="0"/>
        </w:sectPr>
      </w:pPr>
    </w:p>
    <w:bookmarkStart w:id="77" w:name="page78"/>
    <w:bookmarkEnd w:id="77"/>
    <w:p>
      <w:pPr>
        <w:jc w:val="both"/>
        <w:spacing w:after="0" w:line="278" w:lineRule="auto"/>
        <w:rPr>
          <w:sz w:val="20"/>
          <w:szCs w:val="20"/>
          <w:color w:val="auto"/>
        </w:rPr>
      </w:pPr>
      <w:r>
        <w:rPr>
          <w:rFonts w:ascii="Arial" w:cs="Arial" w:eastAsia="Arial" w:hAnsi="Arial"/>
          <w:sz w:val="20"/>
          <w:szCs w:val="20"/>
          <w:color w:val="auto"/>
        </w:rPr>
        <w:t>cash flows as of and for the fiscal year ended August 27, 2016 reported on by Deloitte &amp; Touche LLP, independent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87" w:lineRule="exact"/>
        <w:rPr>
          <w:sz w:val="20"/>
          <w:szCs w:val="20"/>
          <w:color w:val="auto"/>
        </w:rPr>
      </w:pPr>
    </w:p>
    <w:p>
      <w:pPr>
        <w:jc w:val="both"/>
        <w:ind w:firstLine="656"/>
        <w:spacing w:after="0" w:line="287" w:lineRule="auto"/>
        <w:tabs>
          <w:tab w:leader="none" w:pos="1527"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has heretofore furnished to the Lenders its pro forma consolidated balance sheet and related pro forma consolidated statement of income for the twelve-month period ended August 27, 2016, prepared giving effect to the Transactions (including the acquisition of Grand Design) as if the Transactions had occurred on such date (in the case of such balance sheet) or at the beginning of such period (in the case of such statement of income). Such pro forma consolidated balance sheet and related pro forma consolidated statement of income (i) has been prepared by the Company in good faith, based on assumptions believed by the Company to be reasonable at the time such assumptions were made and (iii) presents fairly, in all material respects, the pro forma financial position of the Company and its consolidated Subsidiaries as of such date as if the Transactions had occurred on such date.</w:t>
      </w:r>
    </w:p>
    <w:p>
      <w:pPr>
        <w:spacing w:after="0" w:line="183" w:lineRule="exact"/>
        <w:rPr>
          <w:rFonts w:ascii="Arial" w:cs="Arial" w:eastAsia="Arial" w:hAnsi="Arial"/>
          <w:sz w:val="19"/>
          <w:szCs w:val="19"/>
          <w:color w:val="auto"/>
        </w:rPr>
      </w:pPr>
    </w:p>
    <w:p>
      <w:pPr>
        <w:ind w:firstLine="656"/>
        <w:spacing w:after="0" w:line="289" w:lineRule="auto"/>
        <w:tabs>
          <w:tab w:leader="none" w:pos="1516" w:val="left"/>
        </w:tabs>
        <w:numPr>
          <w:ilvl w:val="0"/>
          <w:numId w:val="71"/>
        </w:numPr>
        <w:rPr>
          <w:rFonts w:ascii="Arial" w:cs="Arial" w:eastAsia="Arial" w:hAnsi="Arial"/>
          <w:sz w:val="20"/>
          <w:szCs w:val="20"/>
          <w:color w:val="auto"/>
        </w:rPr>
      </w:pPr>
      <w:r>
        <w:rPr>
          <w:rFonts w:ascii="Arial" w:cs="Arial" w:eastAsia="Arial" w:hAnsi="Arial"/>
          <w:sz w:val="20"/>
          <w:szCs w:val="20"/>
          <w:color w:val="auto"/>
        </w:rPr>
        <w:t>Since August 27, 2016, there has been no material adverse change in the business, assets, operations or condition, financial or otherwise, of the Company and its Subsidiaries, taken as a whole.</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(a) Except for Liens permitted pursuant to Section 6.02, each of the Company and its Material Subsidiaries has good title to, or (to the knowledge of the Company)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92" w:lineRule="exact"/>
        <w:rPr>
          <w:sz w:val="20"/>
          <w:szCs w:val="20"/>
          <w:color w:val="auto"/>
        </w:rPr>
      </w:pPr>
    </w:p>
    <w:p>
      <w:pPr>
        <w:jc w:val="both"/>
        <w:ind w:firstLine="656"/>
        <w:spacing w:after="0" w:line="274" w:lineRule="auto"/>
        <w:tabs>
          <w:tab w:leader="none" w:pos="1527" w:val="left"/>
        </w:tabs>
        <w:numPr>
          <w:ilvl w:val="0"/>
          <w:numId w:val="72"/>
        </w:numPr>
        <w:rPr>
          <w:rFonts w:ascii="Arial" w:cs="Arial" w:eastAsia="Arial" w:hAnsi="Arial"/>
          <w:sz w:val="20"/>
          <w:szCs w:val="20"/>
          <w:color w:val="auto"/>
        </w:rPr>
      </w:pPr>
      <w:r>
        <w:rPr>
          <w:rFonts w:ascii="Arial" w:cs="Arial" w:eastAsia="Arial" w:hAnsi="Arial"/>
          <w:sz w:val="20"/>
          <w:szCs w:val="20"/>
          <w:color w:val="auto"/>
        </w:rPr>
        <w:t>Each of the Company and its Subsidiaries owns, or is licensed to use, all trademarks, tradenames, copyrights, patents and other intellectual property material to its business, and the use thereof by the Company and its Subsidiaries does not, to their knowledge, infringe upon the rights of any other Person, except for any such infringements that, individually or in the aggregate, could not reasonably be expected to result in a Material Adverse Effect.</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 xml:space="preserve"> (a) There are no actions, suits, proceedings or investigations by or before any 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183" w:lineRule="exact"/>
        <w:rPr>
          <w:sz w:val="20"/>
          <w:szCs w:val="20"/>
          <w:color w:val="auto"/>
        </w:rPr>
      </w:pPr>
    </w:p>
    <w:p>
      <w:pPr>
        <w:jc w:val="both"/>
        <w:ind w:firstLine="656"/>
        <w:spacing w:after="0" w:line="273" w:lineRule="auto"/>
        <w:tabs>
          <w:tab w:leader="none" w:pos="1527" w:val="left"/>
        </w:tabs>
        <w:numPr>
          <w:ilvl w:val="0"/>
          <w:numId w:val="73"/>
        </w:numPr>
        <w:rPr>
          <w:rFonts w:ascii="Arial" w:cs="Arial" w:eastAsia="Arial" w:hAnsi="Arial"/>
          <w:sz w:val="20"/>
          <w:szCs w:val="20"/>
          <w:color w:val="auto"/>
        </w:rPr>
      </w:pPr>
      <w:r>
        <w:rPr>
          <w:rFonts w:ascii="Arial" w:cs="Arial" w:eastAsia="Arial" w:hAnsi="Arial"/>
          <w:sz w:val="20"/>
          <w:szCs w:val="20"/>
          <w:color w:val="auto"/>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Compliance with Laws and Agreements; No Default</w:t>
      </w:r>
      <w:r>
        <w:rPr>
          <w:rFonts w:ascii="Arial" w:cs="Arial" w:eastAsia="Arial" w:hAnsi="Arial"/>
          <w:sz w:val="20"/>
          <w:szCs w:val="20"/>
          <w:color w:val="auto"/>
        </w:rPr>
        <w:t>. Each of the Company and its Subsidiaries is in compliance with all laws, regulations and orders of any Governmental Authority applicable to it or its property and all indentures, agreements and other instruments binding upon it or its property,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825" w:right="239" w:bottom="1440" w:gutter="0" w:footer="0" w:header="0"/>
        </w:sectPr>
      </w:pPr>
    </w:p>
    <w:bookmarkStart w:id="78" w:name="page79"/>
    <w:bookmarkEnd w:id="78"/>
    <w:p>
      <w:pPr>
        <w:jc w:val="both"/>
        <w:spacing w:after="0" w:line="289" w:lineRule="auto"/>
        <w:rPr>
          <w:sz w:val="20"/>
          <w:szCs w:val="20"/>
          <w:color w:val="auto"/>
        </w:rPr>
      </w:pPr>
      <w:r>
        <w:rPr>
          <w:rFonts w:ascii="Arial" w:cs="Arial" w:eastAsia="Arial" w:hAnsi="Arial"/>
          <w:sz w:val="20"/>
          <w:szCs w:val="20"/>
          <w:color w:val="auto"/>
        </w:rPr>
        <w:t>except where the failure to do so, individually or in the aggregate, could not reasonably be expected to result in a Material Adverse Effect. No Default has occurred and is continuing.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ind w:left="660"/>
              <w:spacing w:after="0"/>
              <w:rPr>
                <w:sz w:val="20"/>
                <w:szCs w:val="20"/>
                <w:color w:val="auto"/>
              </w:rPr>
            </w:pPr>
            <w:r>
              <w:rPr>
                <w:rFonts w:ascii="Arial" w:cs="Arial" w:eastAsia="Arial" w:hAnsi="Arial"/>
                <w:sz w:val="20"/>
                <w:szCs w:val="20"/>
                <w:color w:val="auto"/>
                <w:w w:val="96"/>
              </w:rPr>
              <w:t>SECTION</w:t>
            </w:r>
          </w:p>
        </w:tc>
        <w:tc>
          <w:tcPr>
            <w:tcW w:w="1700" w:type="dxa"/>
            <w:vAlign w:val="bottom"/>
          </w:tcPr>
          <w:p>
            <w:pPr>
              <w:jc w:val="right"/>
              <w:ind w:right="1221"/>
              <w:spacing w:after="0"/>
              <w:rPr>
                <w:sz w:val="20"/>
                <w:szCs w:val="20"/>
                <w:color w:val="auto"/>
              </w:rPr>
            </w:pPr>
            <w:r>
              <w:rPr>
                <w:rFonts w:ascii="Arial" w:cs="Arial" w:eastAsia="Arial" w:hAnsi="Arial"/>
                <w:sz w:val="20"/>
                <w:szCs w:val="20"/>
                <w:color w:val="auto"/>
                <w:w w:val="92"/>
              </w:rPr>
              <w:t>3.08</w:t>
            </w:r>
          </w:p>
        </w:tc>
        <w:tc>
          <w:tcPr>
            <w:tcW w:w="8180" w:type="dxa"/>
            <w:vAlign w:val="bottom"/>
            <w:gridSpan w:val="3"/>
          </w:tcPr>
          <w:p>
            <w:pPr>
              <w:spacing w:after="0"/>
              <w:rPr>
                <w:sz w:val="20"/>
                <w:szCs w:val="20"/>
                <w:color w:val="auto"/>
              </w:rPr>
            </w:pPr>
            <w:r>
              <w:rPr>
                <w:rFonts w:ascii="Arial" w:cs="Arial" w:eastAsia="Arial" w:hAnsi="Arial"/>
                <w:sz w:val="20"/>
                <w:szCs w:val="20"/>
                <w:color w:val="auto"/>
                <w:w w:val="96"/>
              </w:rPr>
              <w:t>Investment Company Status. Neither the Company nor any of its Subsidiaries is an “investment</w:t>
            </w:r>
          </w:p>
        </w:tc>
      </w:tr>
      <w:tr>
        <w:trPr>
          <w:trHeight w:val="20"/>
        </w:trPr>
        <w:tc>
          <w:tcPr>
            <w:tcW w:w="3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r>
        <w:trPr>
          <w:trHeight w:val="281"/>
        </w:trPr>
        <w:tc>
          <w:tcPr>
            <w:tcW w:w="11420" w:type="dxa"/>
            <w:vAlign w:val="bottom"/>
            <w:gridSpan w:val="5"/>
          </w:tcPr>
          <w:p>
            <w:pPr>
              <w:spacing w:after="0"/>
              <w:rPr>
                <w:sz w:val="20"/>
                <w:szCs w:val="20"/>
                <w:color w:val="auto"/>
              </w:rPr>
            </w:pPr>
            <w:r>
              <w:rPr>
                <w:rFonts w:ascii="Arial" w:cs="Arial" w:eastAsia="Arial" w:hAnsi="Arial"/>
                <w:sz w:val="20"/>
                <w:szCs w:val="20"/>
                <w:color w:val="auto"/>
              </w:rPr>
              <w:t>company” as defined in, or subject to regulation under, the Investment Company Act of 1940.</w:t>
            </w:r>
          </w:p>
        </w:tc>
      </w:tr>
      <w:tr>
        <w:trPr>
          <w:trHeight w:val="428"/>
        </w:trPr>
        <w:tc>
          <w:tcPr>
            <w:tcW w:w="1540" w:type="dxa"/>
            <w:vAlign w:val="bottom"/>
          </w:tcPr>
          <w:p>
            <w:pPr>
              <w:ind w:left="660"/>
              <w:spacing w:after="0"/>
              <w:rPr>
                <w:sz w:val="20"/>
                <w:szCs w:val="20"/>
                <w:color w:val="auto"/>
              </w:rPr>
            </w:pPr>
            <w:r>
              <w:rPr>
                <w:rFonts w:ascii="Arial" w:cs="Arial" w:eastAsia="Arial" w:hAnsi="Arial"/>
                <w:sz w:val="20"/>
                <w:szCs w:val="20"/>
                <w:color w:val="auto"/>
                <w:w w:val="96"/>
              </w:rPr>
              <w:t>SECTION</w:t>
            </w:r>
          </w:p>
        </w:tc>
        <w:tc>
          <w:tcPr>
            <w:tcW w:w="1700" w:type="dxa"/>
            <w:vAlign w:val="bottom"/>
          </w:tcPr>
          <w:p>
            <w:pPr>
              <w:jc w:val="right"/>
              <w:ind w:right="1221"/>
              <w:spacing w:after="0"/>
              <w:rPr>
                <w:sz w:val="20"/>
                <w:szCs w:val="20"/>
                <w:color w:val="auto"/>
              </w:rPr>
            </w:pPr>
            <w:r>
              <w:rPr>
                <w:rFonts w:ascii="Arial" w:cs="Arial" w:eastAsia="Arial" w:hAnsi="Arial"/>
                <w:sz w:val="20"/>
                <w:szCs w:val="20"/>
                <w:color w:val="auto"/>
                <w:w w:val="92"/>
              </w:rPr>
              <w:t>3.09</w:t>
            </w:r>
          </w:p>
        </w:tc>
        <w:tc>
          <w:tcPr>
            <w:tcW w:w="8180" w:type="dxa"/>
            <w:vAlign w:val="bottom"/>
            <w:gridSpan w:val="3"/>
          </w:tcPr>
          <w:p>
            <w:pPr>
              <w:spacing w:after="0"/>
              <w:rPr>
                <w:sz w:val="20"/>
                <w:szCs w:val="20"/>
                <w:color w:val="auto"/>
              </w:rPr>
            </w:pPr>
            <w:r>
              <w:rPr>
                <w:rFonts w:ascii="Arial" w:cs="Arial" w:eastAsia="Arial" w:hAnsi="Arial"/>
                <w:sz w:val="20"/>
                <w:szCs w:val="20"/>
                <w:color w:val="auto"/>
                <w:w w:val="95"/>
              </w:rPr>
              <w:t>Taxes. Each of the Company and its Subsidiaries has timely filed or caused to be filed all federal</w:t>
            </w:r>
          </w:p>
        </w:tc>
      </w:tr>
      <w:tr>
        <w:trPr>
          <w:trHeight w:val="20"/>
        </w:trPr>
        <w:tc>
          <w:tcPr>
            <w:tcW w:w="1540" w:type="dxa"/>
            <w:vAlign w:val="bottom"/>
          </w:tcPr>
          <w:p>
            <w:pPr>
              <w:spacing w:after="0" w:line="20" w:lineRule="exact"/>
              <w:rPr>
                <w:sz w:val="1"/>
                <w:szCs w:val="1"/>
                <w:color w:val="auto"/>
              </w:rPr>
            </w:pPr>
          </w:p>
        </w:tc>
        <w:tc>
          <w:tcPr>
            <w:tcW w:w="17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income Tax returns and all other material Tax returns and reports required to have been filed and has paid or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As of the Effective Date, each Loan Party has disclosed to the Lenders all material agreements, instruments and corporate or other restrictions to which it or any of its subsidiaries is subject, and all other matters known to it, that, individually or in the aggregate, could reasonably be expected to result in a Material Adverse Effect. All written information (including the information set forth in the Information Memorandum), other than any projections, estimates, forecasts and other forward-looking information and information of a general economic or industry-specific nature, furnished by or on behalf of the Company or any Subsidiary to the Administrative Agent or any Lender on or prior to the Effective Date, when taken as a whole and after giving effect to all supplements and updates thereto, did not (when furnished) contain any untrue statement of material fact or omit to state a material fact necessary in order to make the statements contained therein not materially misleading (when taken as a whole and after giving effect to all such supplements and updates thereto) in light of the circumstances under which such statements were made; provided that, with respect to the Projections furnished by or on behalf of the Company or any Subsidiary to the Administrative Agent or any Lender on or prior to the Effective Date pursuant to or in connection with the negotiation of this Agreement or any other Loan Document or included therein (the “Projections”), the Company represents only that such information was prepared in good faith based upon assumptions believed by the Company to be reasonable at the time prepared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Material Agreements</w:t>
      </w:r>
      <w:r>
        <w:rPr>
          <w:rFonts w:ascii="Arial" w:cs="Arial" w:eastAsia="Arial" w:hAnsi="Arial"/>
          <w:sz w:val="20"/>
          <w:szCs w:val="20"/>
          <w:color w:val="auto"/>
        </w:rPr>
        <w:t>. No Loan Party is in default in the performance, observance or fulfillment of any of the obligations, covenants or conditions contained in (i) any material agreement to which it is a party or (ii) any agreement or instrument evidencing or governing Material Indebtedness, in any such case of clause (i) or (ii) above, which default could not reasonably be expected to have a Material Adverse Effect.</w:t>
      </w:r>
    </w:p>
    <w:p>
      <w:pPr>
        <w:spacing w:after="0" w:line="19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xml:space="preserve"> No part of the proceeds of any Loan have been used or will be used, whether directly or indirectly, for any purpose that entails a violation of any of the Regulations of the Board, including Regulations T, U and X.</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825"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0"/>
        </w:trPr>
        <w:tc>
          <w:tcPr>
            <w:tcW w:w="3200" w:type="dxa"/>
            <w:vAlign w:val="bottom"/>
          </w:tcPr>
          <w:p>
            <w:pPr>
              <w:ind w:left="660"/>
              <w:spacing w:after="0"/>
              <w:rPr>
                <w:sz w:val="20"/>
                <w:szCs w:val="20"/>
                <w:color w:val="auto"/>
              </w:rPr>
            </w:pPr>
            <w:r>
              <w:rPr>
                <w:rFonts w:ascii="Arial" w:cs="Arial" w:eastAsia="Arial" w:hAnsi="Arial"/>
                <w:sz w:val="20"/>
                <w:szCs w:val="20"/>
                <w:color w:val="auto"/>
              </w:rPr>
              <w:t>SECTION 3.14</w:t>
            </w:r>
          </w:p>
        </w:tc>
        <w:tc>
          <w:tcPr>
            <w:tcW w:w="8220" w:type="dxa"/>
            <w:vAlign w:val="bottom"/>
            <w:gridSpan w:val="3"/>
          </w:tcPr>
          <w:p>
            <w:pPr>
              <w:jc w:val="right"/>
              <w:ind w:right="20"/>
              <w:spacing w:after="0"/>
              <w:rPr>
                <w:sz w:val="20"/>
                <w:szCs w:val="20"/>
                <w:color w:val="auto"/>
              </w:rPr>
            </w:pPr>
            <w:r>
              <w:rPr>
                <w:rFonts w:ascii="Arial" w:cs="Arial" w:eastAsia="Arial" w:hAnsi="Arial"/>
                <w:sz w:val="20"/>
                <w:szCs w:val="20"/>
                <w:color w:val="auto"/>
                <w:w w:val="91"/>
              </w:rPr>
              <w:t>Liens. There are no Liens on any of the real or personal properties of the Company or any Subsidiary</w:t>
            </w:r>
          </w:p>
        </w:tc>
      </w:tr>
      <w:tr>
        <w:trPr>
          <w:trHeight w:val="20"/>
        </w:trPr>
        <w:tc>
          <w:tcPr>
            <w:tcW w:w="3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81"/>
        </w:trPr>
        <w:tc>
          <w:tcPr>
            <w:tcW w:w="11420" w:type="dxa"/>
            <w:vAlign w:val="bottom"/>
            <w:gridSpan w:val="4"/>
          </w:tcPr>
          <w:p>
            <w:pPr>
              <w:spacing w:after="0"/>
              <w:rPr>
                <w:sz w:val="20"/>
                <w:szCs w:val="20"/>
                <w:color w:val="auto"/>
              </w:rPr>
            </w:pPr>
            <w:r>
              <w:rPr>
                <w:rFonts w:ascii="Arial" w:cs="Arial" w:eastAsia="Arial" w:hAnsi="Arial"/>
                <w:sz w:val="20"/>
                <w:szCs w:val="20"/>
                <w:color w:val="auto"/>
              </w:rPr>
              <w:t>except for Liens permitted by Section 6.02.</w:t>
            </w:r>
          </w:p>
        </w:tc>
      </w:tr>
      <w:tr>
        <w:trPr>
          <w:trHeight w:val="428"/>
        </w:trPr>
        <w:tc>
          <w:tcPr>
            <w:tcW w:w="3200" w:type="dxa"/>
            <w:vAlign w:val="bottom"/>
          </w:tcPr>
          <w:p>
            <w:pPr>
              <w:ind w:left="660"/>
              <w:spacing w:after="0"/>
              <w:rPr>
                <w:sz w:val="20"/>
                <w:szCs w:val="20"/>
                <w:color w:val="auto"/>
              </w:rPr>
            </w:pPr>
            <w:r>
              <w:rPr>
                <w:rFonts w:ascii="Arial" w:cs="Arial" w:eastAsia="Arial" w:hAnsi="Arial"/>
                <w:sz w:val="20"/>
                <w:szCs w:val="20"/>
                <w:color w:val="auto"/>
              </w:rPr>
              <w:t>SECTION 3.15</w:t>
            </w:r>
          </w:p>
        </w:tc>
        <w:tc>
          <w:tcPr>
            <w:tcW w:w="8220" w:type="dxa"/>
            <w:vAlign w:val="bottom"/>
            <w:gridSpan w:val="3"/>
          </w:tcPr>
          <w:p>
            <w:pPr>
              <w:jc w:val="right"/>
              <w:spacing w:after="0"/>
              <w:rPr>
                <w:sz w:val="20"/>
                <w:szCs w:val="20"/>
                <w:color w:val="auto"/>
              </w:rPr>
            </w:pPr>
            <w:r>
              <w:rPr>
                <w:rFonts w:ascii="Arial" w:cs="Arial" w:eastAsia="Arial" w:hAnsi="Arial"/>
                <w:sz w:val="20"/>
                <w:szCs w:val="20"/>
                <w:color w:val="auto"/>
                <w:w w:val="93"/>
              </w:rPr>
              <w:t>Capitalization and Subsidiaries. As of the Effective Date, Schedule 3.15 sets forth (a) a correct and</w:t>
            </w:r>
          </w:p>
        </w:tc>
      </w:tr>
      <w:tr>
        <w:trPr>
          <w:trHeight w:val="20"/>
        </w:trPr>
        <w:tc>
          <w:tcPr>
            <w:tcW w:w="3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complete list of the name and relationship to the Company of each Subsidiary, (b) a true and complete listing of each class of each Company’s (other than the Company’s) issued and outstanding Equity Interests, all of which Equity Interests are owned beneficially and of record by the Persons identified on Schedule 3.15, and (c) the type of entity of the Company and each Subsidiary.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3.16</w:t>
            </w:r>
          </w:p>
        </w:tc>
        <w:tc>
          <w:tcPr>
            <w:tcW w:w="4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Arial" w:cs="Arial" w:eastAsia="Arial" w:hAnsi="Arial"/>
                <w:sz w:val="20"/>
                <w:szCs w:val="20"/>
                <w:color w:val="auto"/>
                <w:w w:val="97"/>
              </w:rPr>
              <w:t>No Burdensome Restrictions. On the date hereof, no Loan Party is subject to any Burdensome</w:t>
            </w:r>
          </w:p>
        </w:tc>
      </w:tr>
      <w:tr>
        <w:trPr>
          <w:trHeight w:val="20"/>
        </w:trPr>
        <w:tc>
          <w:tcPr>
            <w:tcW w:w="322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81"/>
        </w:trPr>
        <w:tc>
          <w:tcPr>
            <w:tcW w:w="11400" w:type="dxa"/>
            <w:vAlign w:val="bottom"/>
            <w:gridSpan w:val="5"/>
          </w:tcPr>
          <w:p>
            <w:pPr>
              <w:spacing w:after="0"/>
              <w:rPr>
                <w:sz w:val="20"/>
                <w:szCs w:val="20"/>
                <w:color w:val="auto"/>
              </w:rPr>
            </w:pPr>
            <w:r>
              <w:rPr>
                <w:rFonts w:ascii="Arial" w:cs="Arial" w:eastAsia="Arial" w:hAnsi="Arial"/>
                <w:sz w:val="20"/>
                <w:szCs w:val="20"/>
                <w:color w:val="auto"/>
              </w:rPr>
              <w:t>Restrictions except Burdensome Restrictions permitted under Section 6.11.</w:t>
            </w:r>
          </w:p>
        </w:tc>
      </w:tr>
      <w:tr>
        <w:trPr>
          <w:trHeight w:val="428"/>
        </w:trPr>
        <w:tc>
          <w:tcPr>
            <w:tcW w:w="3180" w:type="dxa"/>
            <w:vAlign w:val="bottom"/>
          </w:tcPr>
          <w:p>
            <w:pPr>
              <w:ind w:left="660"/>
              <w:spacing w:after="0"/>
              <w:rPr>
                <w:sz w:val="20"/>
                <w:szCs w:val="20"/>
                <w:color w:val="auto"/>
              </w:rPr>
            </w:pPr>
            <w:r>
              <w:rPr>
                <w:rFonts w:ascii="Arial" w:cs="Arial" w:eastAsia="Arial" w:hAnsi="Arial"/>
                <w:sz w:val="20"/>
                <w:szCs w:val="20"/>
                <w:color w:val="auto"/>
              </w:rPr>
              <w:t>SECTION 3.17</w:t>
            </w: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7"/>
              </w:rPr>
              <w:t>Solvency.</w:t>
            </w:r>
          </w:p>
        </w:tc>
        <w:tc>
          <w:tcPr>
            <w:tcW w:w="7440" w:type="dxa"/>
            <w:vAlign w:val="bottom"/>
            <w:gridSpan w:val="2"/>
          </w:tcPr>
          <w:p>
            <w:pPr>
              <w:spacing w:after="0"/>
              <w:rPr>
                <w:sz w:val="24"/>
                <w:szCs w:val="24"/>
                <w:color w:val="auto"/>
              </w:rPr>
            </w:pPr>
          </w:p>
        </w:tc>
      </w:tr>
    </w:tbl>
    <w:p>
      <w:pPr>
        <w:spacing w:after="0" w:line="253" w:lineRule="exact"/>
        <w:rPr>
          <w:sz w:val="20"/>
          <w:szCs w:val="20"/>
          <w:color w:val="auto"/>
        </w:rPr>
      </w:pPr>
    </w:p>
    <w:p>
      <w:pPr>
        <w:jc w:val="both"/>
        <w:ind w:firstLine="656"/>
        <w:spacing w:after="0" w:line="345" w:lineRule="auto"/>
        <w:tabs>
          <w:tab w:leader="none" w:pos="1516" w:val="left"/>
        </w:tabs>
        <w:numPr>
          <w:ilvl w:val="0"/>
          <w:numId w:val="7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Effective Date and the making of each Loan on the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contemplated on the date hereof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45" w:lineRule="exact"/>
        <w:rPr>
          <w:rFonts w:ascii="Arial" w:cs="Arial" w:eastAsia="Arial" w:hAnsi="Arial"/>
          <w:sz w:val="16"/>
          <w:szCs w:val="16"/>
          <w:color w:val="auto"/>
        </w:rPr>
      </w:pPr>
    </w:p>
    <w:p>
      <w:pPr>
        <w:jc w:val="both"/>
        <w:ind w:firstLine="656"/>
        <w:spacing w:after="0" w:line="274" w:lineRule="auto"/>
        <w:tabs>
          <w:tab w:leader="none" w:pos="1527"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Schedule 3.18 sets forth a description of all insurance maintained by or on behalf of the Loan Parties and their Subsidiaries as of the Effective Date. As of the Effective Date, all premiums in respect of such insurance due and payable on or prior to the Effective Date have been paid. The Company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3.19 </w:t>
      </w:r>
      <w:r>
        <w:rPr>
          <w:rFonts w:ascii="Arial" w:cs="Arial" w:eastAsia="Arial" w:hAnsi="Arial"/>
          <w:sz w:val="20"/>
          <w:szCs w:val="20"/>
          <w:u w:val="single" w:color="auto"/>
          <w:color w:val="auto"/>
        </w:rPr>
        <w:t>Security Interest in Collateral</w:t>
      </w:r>
      <w:r>
        <w:rPr>
          <w:rFonts w:ascii="Arial" w:cs="Arial" w:eastAsia="Arial" w:hAnsi="Arial"/>
          <w:sz w:val="20"/>
          <w:szCs w:val="20"/>
          <w:color w:val="auto"/>
        </w:rPr>
        <w:t>. The Collateral Documents, upon execution and delivery thereof by the parties thereto, will create in favor of the Administrative Agent, for the benefit of the Secured Parties, a valid and enforceable security interest in the Collateral covered thereby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Section 6.02 and (ii) when financing statements in appropriate form are filed in the applicable filing offices,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801" w:right="239" w:bottom="1440" w:gutter="0" w:footer="0" w:header="0"/>
        </w:sectPr>
      </w:pPr>
    </w:p>
    <w:bookmarkStart w:id="80" w:name="page81"/>
    <w:bookmarkEnd w:id="80"/>
    <w:p>
      <w:pPr>
        <w:jc w:val="both"/>
        <w:spacing w:after="0" w:line="278" w:lineRule="auto"/>
        <w:rPr>
          <w:sz w:val="20"/>
          <w:szCs w:val="20"/>
          <w:color w:val="auto"/>
        </w:rPr>
      </w:pPr>
      <w:r>
        <w:rPr>
          <w:rFonts w:ascii="Arial" w:cs="Arial" w:eastAsia="Arial" w:hAnsi="Arial"/>
          <w:sz w:val="20"/>
          <w:szCs w:val="20"/>
          <w:color w:val="auto"/>
        </w:rPr>
        <w:t>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prior and superior to the rights of any other Person, except for Liens permitted by Section 6.02.</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Employment Matters</w:t>
      </w:r>
      <w:r>
        <w:rPr>
          <w:rFonts w:ascii="Arial" w:cs="Arial" w:eastAsia="Arial" w:hAnsi="Arial"/>
          <w:sz w:val="19"/>
          <w:szCs w:val="19"/>
          <w:color w:val="auto"/>
        </w:rPr>
        <w:t>. As of the Effective Date, there are no strikes, lockouts or slowdowns against any Loan Party or any Subsidiary pending or, to the knowledge of any Loan Party, threatened, that, in the aggregate,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in a manner that, in the aggregate, could reasonably be expected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those that could not reasonably be expected to have a Material Adverse Effect.</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3.21 </w:t>
      </w:r>
      <w:r>
        <w:rPr>
          <w:rFonts w:ascii="Arial" w:cs="Arial" w:eastAsia="Arial" w:hAnsi="Arial"/>
          <w:sz w:val="20"/>
          <w:szCs w:val="20"/>
          <w:u w:val="single" w:color="auto"/>
          <w:color w:val="auto"/>
        </w:rPr>
        <w:t>Anti-Corruption Laws and Sanctions.</w:t>
      </w:r>
      <w:r>
        <w:rPr>
          <w:rFonts w:ascii="Arial" w:cs="Arial" w:eastAsia="Arial" w:hAnsi="Arial"/>
          <w:sz w:val="20"/>
          <w:szCs w:val="20"/>
          <w:color w:val="auto"/>
        </w:rPr>
        <w:t xml:space="preserve"> The Company has implemented and maintains in effect policies and procedures reasonably designed to ensure compliance by the Company, its Subsidiaries and their respective directors, officers, employees and agents with Anti-Corruption Laws and applicable Sanctions, and the Company, its Subsidiaries and to the knowledge of the Company its officers, directors, employees and agents that will act in any capacity in connection with or benefit from the credit facilities established hereby,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use of proceeds or other Transactions will violate any Anti-Corruption Law or applicable Sanctions.</w:t>
      </w:r>
    </w:p>
    <w:p>
      <w:pPr>
        <w:spacing w:after="0" w:line="17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20"/>
                <w:szCs w:val="20"/>
                <w:color w:val="auto"/>
              </w:rPr>
              <w:t>SECTION 3.22</w:t>
            </w:r>
          </w:p>
        </w:tc>
        <w:tc>
          <w:tcPr>
            <w:tcW w:w="8240" w:type="dxa"/>
            <w:vAlign w:val="bottom"/>
            <w:gridSpan w:val="6"/>
          </w:tcPr>
          <w:p>
            <w:pPr>
              <w:spacing w:after="0"/>
              <w:rPr>
                <w:sz w:val="20"/>
                <w:szCs w:val="20"/>
                <w:color w:val="auto"/>
              </w:rPr>
            </w:pPr>
            <w:r>
              <w:rPr>
                <w:rFonts w:ascii="Arial" w:cs="Arial" w:eastAsia="Arial" w:hAnsi="Arial"/>
                <w:sz w:val="20"/>
                <w:szCs w:val="20"/>
                <w:color w:val="auto"/>
              </w:rPr>
              <w:t>EEA Financial Institutions. No Loan Party is an EEA Financial Institution.</w:t>
            </w:r>
          </w:p>
        </w:tc>
      </w:tr>
      <w:tr>
        <w:trPr>
          <w:trHeight w:val="20"/>
        </w:trPr>
        <w:tc>
          <w:tcPr>
            <w:tcW w:w="2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439"/>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60" w:type="dxa"/>
            <w:vAlign w:val="bottom"/>
            <w:gridSpan w:val="4"/>
          </w:tcPr>
          <w:p>
            <w:pPr>
              <w:jc w:val="center"/>
              <w:ind w:right="5160"/>
              <w:spacing w:after="0"/>
              <w:rPr>
                <w:sz w:val="20"/>
                <w:szCs w:val="20"/>
                <w:color w:val="auto"/>
              </w:rPr>
            </w:pPr>
            <w:r>
              <w:rPr>
                <w:rFonts w:ascii="Arial" w:cs="Arial" w:eastAsia="Arial" w:hAnsi="Arial"/>
                <w:sz w:val="20"/>
                <w:szCs w:val="20"/>
                <w:color w:val="auto"/>
                <w:w w:val="96"/>
              </w:rPr>
              <w:t>ARTICLE IV.</w:t>
            </w:r>
          </w:p>
        </w:tc>
      </w:tr>
      <w:tr>
        <w:trPr>
          <w:trHeight w:val="426"/>
        </w:trPr>
        <w:tc>
          <w:tcPr>
            <w:tcW w:w="2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20"/>
                <w:szCs w:val="20"/>
                <w:color w:val="auto"/>
                <w:w w:val="84"/>
              </w:rPr>
              <w:t>Conditions</w:t>
            </w:r>
          </w:p>
        </w:tc>
        <w:tc>
          <w:tcPr>
            <w:tcW w:w="5160" w:type="dxa"/>
            <w:vAlign w:val="bottom"/>
          </w:tcPr>
          <w:p>
            <w:pPr>
              <w:spacing w:after="0"/>
              <w:rPr>
                <w:sz w:val="24"/>
                <w:szCs w:val="24"/>
                <w:color w:val="auto"/>
              </w:rPr>
            </w:pPr>
          </w:p>
        </w:tc>
      </w:tr>
      <w:tr>
        <w:trPr>
          <w:trHeight w:val="20"/>
        </w:trPr>
        <w:tc>
          <w:tcPr>
            <w:tcW w:w="2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Borders>
              <w:right w:val="single" w:sz="8" w:color="auto"/>
            </w:tcBorders>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439"/>
        </w:trPr>
        <w:tc>
          <w:tcPr>
            <w:tcW w:w="2520" w:type="dxa"/>
            <w:vAlign w:val="bottom"/>
          </w:tcPr>
          <w:p>
            <w:pPr>
              <w:spacing w:after="0"/>
              <w:rPr>
                <w:sz w:val="20"/>
                <w:szCs w:val="20"/>
                <w:color w:val="auto"/>
              </w:rPr>
            </w:pPr>
            <w:r>
              <w:rPr>
                <w:rFonts w:ascii="Arial" w:cs="Arial" w:eastAsia="Arial" w:hAnsi="Arial"/>
                <w:sz w:val="20"/>
                <w:szCs w:val="20"/>
                <w:color w:val="auto"/>
              </w:rPr>
              <w:t>SECTION 4.01</w:t>
            </w:r>
          </w:p>
        </w:tc>
        <w:tc>
          <w:tcPr>
            <w:tcW w:w="8240" w:type="dxa"/>
            <w:vAlign w:val="bottom"/>
            <w:gridSpan w:val="6"/>
          </w:tcPr>
          <w:p>
            <w:pPr>
              <w:spacing w:after="0"/>
              <w:rPr>
                <w:sz w:val="20"/>
                <w:szCs w:val="20"/>
                <w:color w:val="auto"/>
              </w:rPr>
            </w:pPr>
            <w:r>
              <w:rPr>
                <w:rFonts w:ascii="Arial" w:cs="Arial" w:eastAsia="Arial" w:hAnsi="Arial"/>
                <w:sz w:val="20"/>
                <w:szCs w:val="20"/>
                <w:color w:val="auto"/>
                <w:w w:val="92"/>
              </w:rPr>
              <w:t>Effective Date. Subject to the Limited Conditionality Provision, the obligations of the Lenders to make</w:t>
            </w:r>
          </w:p>
        </w:tc>
      </w:tr>
      <w:tr>
        <w:trPr>
          <w:trHeight w:val="20"/>
        </w:trPr>
        <w:tc>
          <w:tcPr>
            <w:tcW w:w="25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Loans hereunder shall not become effective until the date on which each of the following conditions is satisfied (or waived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Section 9.02):</w:t>
      </w:r>
    </w:p>
    <w:p>
      <w:pPr>
        <w:spacing w:after="0" w:line="243" w:lineRule="exact"/>
        <w:rPr>
          <w:sz w:val="20"/>
          <w:szCs w:val="20"/>
          <w:color w:val="auto"/>
        </w:rPr>
      </w:pPr>
    </w:p>
    <w:p>
      <w:pPr>
        <w:jc w:val="both"/>
        <w:ind w:left="660" w:firstLine="645"/>
        <w:spacing w:after="0" w:line="272" w:lineRule="auto"/>
        <w:tabs>
          <w:tab w:leader="none" w:pos="2239"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Loan Agreement and Other Loan Documents</w:t>
      </w:r>
      <w:r>
        <w:rPr>
          <w:rFonts w:ascii="Arial" w:cs="Arial" w:eastAsia="Arial" w:hAnsi="Arial"/>
          <w:sz w:val="20"/>
          <w:szCs w:val="20"/>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each of the other documents, instruments, legal opinions and other agreements listed on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that are required to be delivered on or prior to the date hereof, all in form and substance satisfactory to the Administrative Agent and its counsel.</w:t>
      </w:r>
    </w:p>
    <w:p>
      <w:pPr>
        <w:spacing w:after="0" w:line="191" w:lineRule="exact"/>
        <w:rPr>
          <w:rFonts w:ascii="Arial" w:cs="Arial" w:eastAsia="Arial" w:hAnsi="Arial"/>
          <w:sz w:val="20"/>
          <w:szCs w:val="20"/>
          <w:color w:val="auto"/>
        </w:rPr>
      </w:pPr>
    </w:p>
    <w:p>
      <w:pPr>
        <w:jc w:val="both"/>
        <w:ind w:left="660" w:firstLine="645"/>
        <w:spacing w:after="0" w:line="278" w:lineRule="auto"/>
        <w:tabs>
          <w:tab w:leader="none" w:pos="2237"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Payoff Documentation</w:t>
      </w:r>
      <w:r>
        <w:rPr>
          <w:rFonts w:ascii="Arial" w:cs="Arial" w:eastAsia="Arial" w:hAnsi="Arial"/>
          <w:sz w:val="20"/>
          <w:szCs w:val="20"/>
          <w:color w:val="auto"/>
        </w:rPr>
        <w:t>. Payoff documentation providing evidence satisfactory to the Administrative Agent that the Existing Credit Agreement has been terminated and cancelled (along with all of the agreements, documents and instruments delivered in connection therewith),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825" w:right="239" w:bottom="1440" w:gutter="0" w:footer="0" w:header="0"/>
        </w:sectPr>
      </w:pPr>
    </w:p>
    <w:bookmarkStart w:id="81" w:name="page82"/>
    <w:bookmarkEnd w:id="81"/>
    <w:p>
      <w:pPr>
        <w:jc w:val="center"/>
        <w:ind w:right="20"/>
        <w:spacing w:after="0"/>
        <w:rPr>
          <w:sz w:val="20"/>
          <w:szCs w:val="20"/>
          <w:color w:val="auto"/>
        </w:rPr>
      </w:pPr>
      <w:r>
        <w:rPr>
          <w:rFonts w:ascii="Arial" w:cs="Arial" w:eastAsia="Arial" w:hAnsi="Arial"/>
          <w:sz w:val="19"/>
          <w:szCs w:val="19"/>
          <w:color w:val="auto"/>
        </w:rPr>
        <w:t>all Indebtedness owing thereunder has been repaid, and all liens established pursuant to the terms thereof have been terminated.</w:t>
      </w:r>
    </w:p>
    <w:p>
      <w:pPr>
        <w:spacing w:after="0" w:line="254" w:lineRule="exact"/>
        <w:rPr>
          <w:sz w:val="20"/>
          <w:szCs w:val="20"/>
          <w:color w:val="auto"/>
        </w:rPr>
      </w:pPr>
    </w:p>
    <w:p>
      <w:pPr>
        <w:jc w:val="both"/>
        <w:ind w:left="660" w:firstLine="645"/>
        <w:spacing w:after="0" w:line="274" w:lineRule="auto"/>
        <w:tabs>
          <w:tab w:leader="none" w:pos="2239"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ABL Credit Agreement</w:t>
      </w:r>
      <w:r>
        <w:rPr>
          <w:rFonts w:ascii="Arial" w:cs="Arial" w:eastAsia="Arial" w:hAnsi="Arial"/>
          <w:sz w:val="20"/>
          <w:szCs w:val="20"/>
          <w:color w:val="auto"/>
        </w:rPr>
        <w:t xml:space="preserve">. The Administrative Agent shall have received evidence reasonably satisfactory to it that, substantially concurrently with the effectiveness of this Agreement, (i) the ABL Credit Agreement shall be in full force and effect, (ii) the Company shall receive at least $125,000,000 in revolving commitments from lenders under the ABL Credit Agreement and (iii) the commitments referred to in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4.01(c)</w:t>
      </w:r>
      <w:r>
        <w:rPr>
          <w:rFonts w:ascii="Arial" w:cs="Arial" w:eastAsia="Arial" w:hAnsi="Arial"/>
          <w:sz w:val="20"/>
          <w:szCs w:val="20"/>
          <w:color w:val="auto"/>
        </w:rPr>
        <w:t xml:space="preserve"> shall be effective.</w:t>
      </w:r>
    </w:p>
    <w:p>
      <w:pPr>
        <w:spacing w:after="0" w:line="192" w:lineRule="exact"/>
        <w:rPr>
          <w:rFonts w:ascii="Arial" w:cs="Arial" w:eastAsia="Arial" w:hAnsi="Arial"/>
          <w:sz w:val="20"/>
          <w:szCs w:val="20"/>
          <w:color w:val="auto"/>
        </w:rPr>
      </w:pPr>
    </w:p>
    <w:p>
      <w:pPr>
        <w:jc w:val="both"/>
        <w:ind w:left="660" w:firstLine="645"/>
        <w:spacing w:after="0" w:line="301" w:lineRule="auto"/>
        <w:tabs>
          <w:tab w:leader="none" w:pos="2237"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Grand Design Acquisition</w:t>
      </w:r>
      <w:r>
        <w:rPr>
          <w:rFonts w:ascii="Arial" w:cs="Arial" w:eastAsia="Arial" w:hAnsi="Arial"/>
          <w:sz w:val="18"/>
          <w:szCs w:val="18"/>
          <w:color w:val="auto"/>
        </w:rPr>
        <w:t>. The Administrative Agent shall have received evidence reasonably satisfactory to it that the Grand Design Acquisition shall, substantially concurrently with the initial funding of the Loans hereunder, be consummated pursuant to the Grand Design Purchase Agreement, as in effect on October 2, 2016, and no provision thereof shall have been amended or waived, and no consent or request shall have been given under the Grand Design Purchase Agreement, in any way that is materially adverse to the Lenders in their capacities as such (it being understood and agreed that (i) amendments, waivers and other changes to the definition of “Material Adverse Effect” (or other term of similar import), and consents and requests given or made pursuant to such definition shall in each case be deemed to be materially adverse to the Lenders, and (ii) any modification, amendment or express waiver or consents by the Company that results in (x) an increase to the purchase price shall be deemed to not be materially adverse to the Lenders so long as such increase is funded solely with a public issuance of common equity of the Company and (y) a decrease to the purchase price shall be deemed to not be materially adverse to the Lenders so long as (A) such reduction is allocated to reduce the commitments of the lenders under the ABL Facility and (B) such reduction (other than pursuant to any purchase price or similar adjustment provision set forth in the Purchase Agreement, as in effect on October 2, 2016) does not decrease the purchase price by more than ten percent (10%) (cumulative for all such reductions).</w:t>
      </w:r>
    </w:p>
    <w:p>
      <w:pPr>
        <w:spacing w:after="0" w:line="177" w:lineRule="exact"/>
        <w:rPr>
          <w:rFonts w:ascii="Arial" w:cs="Arial" w:eastAsia="Arial" w:hAnsi="Arial"/>
          <w:sz w:val="18"/>
          <w:szCs w:val="18"/>
          <w:color w:val="auto"/>
        </w:rPr>
      </w:pPr>
    </w:p>
    <w:p>
      <w:pPr>
        <w:jc w:val="both"/>
        <w:ind w:left="660" w:firstLine="645"/>
        <w:spacing w:after="0" w:line="273" w:lineRule="auto"/>
        <w:tabs>
          <w:tab w:leader="none" w:pos="2253"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All fees and expenses due and payable to the Administrative Agent,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spacing w:after="0" w:line="191" w:lineRule="exact"/>
        <w:rPr>
          <w:rFonts w:ascii="Arial" w:cs="Arial" w:eastAsia="Arial" w:hAnsi="Arial"/>
          <w:sz w:val="20"/>
          <w:szCs w:val="20"/>
          <w:color w:val="auto"/>
        </w:rPr>
      </w:pPr>
    </w:p>
    <w:p>
      <w:pPr>
        <w:jc w:val="both"/>
        <w:ind w:left="660" w:firstLine="645"/>
        <w:spacing w:after="0" w:line="273" w:lineRule="auto"/>
        <w:tabs>
          <w:tab w:leader="none" w:pos="2204"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At least three (3) Business Days prior to the Effective Date, the Administrative Agent and the Lead Arranger shall have received all documentation and other information about the Company and the other Loan Parties as shall have been reasonably requested in writing by either the Administrative Agent or by the Lead Arranger at least ten (10) days prior to the Effective Date and required by U.S. regulatory authorities under applicable “know your customer” and anti-money laundering rules and regulations, including the Patriot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825"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20"/>
          <w:szCs w:val="20"/>
          <w:u w:val="single" w:color="auto"/>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Until the Commitments shall have expired or been terminated and the principal of and interest on each Loan and all fees payable hereunder shall have been paid in full (other than Unliquidated Obligations not yet due and payable and Secured Obligations expressly stated to survive such payment and termination), each Loan Party executing this Agreement covenants and agrees, jointly and severally with all of the other Loan Parties, with the Lenders that: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5.01</w:t>
            </w:r>
          </w:p>
        </w:tc>
        <w:tc>
          <w:tcPr>
            <w:tcW w:w="8220" w:type="dxa"/>
            <w:vAlign w:val="bottom"/>
            <w:gridSpan w:val="2"/>
          </w:tcPr>
          <w:p>
            <w:pPr>
              <w:spacing w:after="0"/>
              <w:rPr>
                <w:sz w:val="20"/>
                <w:szCs w:val="20"/>
                <w:color w:val="auto"/>
              </w:rPr>
            </w:pPr>
            <w:r>
              <w:rPr>
                <w:rFonts w:ascii="Arial" w:cs="Arial" w:eastAsia="Arial" w:hAnsi="Arial"/>
                <w:sz w:val="20"/>
                <w:szCs w:val="20"/>
                <w:color w:val="auto"/>
                <w:w w:val="91"/>
              </w:rPr>
              <w:t>Financial Statements and Other Information. The Company will furnish to the Administrative Agent for</w:t>
            </w:r>
          </w:p>
        </w:tc>
      </w:tr>
      <w:tr>
        <w:trPr>
          <w:trHeight w:val="281"/>
        </w:trPr>
        <w:tc>
          <w:tcPr>
            <w:tcW w:w="3180" w:type="dxa"/>
            <w:vAlign w:val="bottom"/>
          </w:tcPr>
          <w:p>
            <w:pPr>
              <w:spacing w:after="0"/>
              <w:rPr>
                <w:sz w:val="20"/>
                <w:szCs w:val="20"/>
                <w:color w:val="auto"/>
              </w:rPr>
            </w:pPr>
            <w:r>
              <w:rPr>
                <w:rFonts w:ascii="Arial" w:cs="Arial" w:eastAsia="Arial" w:hAnsi="Arial"/>
                <w:sz w:val="20"/>
                <w:szCs w:val="20"/>
                <w:color w:val="auto"/>
              </w:rPr>
              <w:t>distribution to each Lender:</w:t>
            </w:r>
          </w:p>
        </w:tc>
        <w:tc>
          <w:tcPr>
            <w:tcW w:w="3540" w:type="dxa"/>
            <w:vAlign w:val="bottom"/>
            <w:tcBorders>
              <w:top w:val="single" w:sz="8" w:color="auto"/>
            </w:tcBorders>
          </w:tcPr>
          <w:p>
            <w:pPr>
              <w:spacing w:after="0"/>
              <w:rPr>
                <w:sz w:val="24"/>
                <w:szCs w:val="24"/>
                <w:color w:val="auto"/>
              </w:rPr>
            </w:pPr>
          </w:p>
        </w:tc>
        <w:tc>
          <w:tcPr>
            <w:tcW w:w="4680" w:type="dxa"/>
            <w:vAlign w:val="bottom"/>
          </w:tcPr>
          <w:p>
            <w:pPr>
              <w:spacing w:after="0"/>
              <w:rPr>
                <w:sz w:val="24"/>
                <w:szCs w:val="24"/>
                <w:color w:val="auto"/>
              </w:rPr>
            </w:pPr>
          </w:p>
        </w:tc>
      </w:tr>
    </w:tbl>
    <w:p>
      <w:pPr>
        <w:spacing w:after="0" w:line="222" w:lineRule="exact"/>
        <w:rPr>
          <w:sz w:val="20"/>
          <w:szCs w:val="20"/>
          <w:color w:val="auto"/>
        </w:rPr>
      </w:pPr>
    </w:p>
    <w:p>
      <w:pPr>
        <w:jc w:val="both"/>
        <w:ind w:firstLine="656"/>
        <w:spacing w:after="0" w:line="307" w:lineRule="auto"/>
        <w:tabs>
          <w:tab w:leader="none" w:pos="1516"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67" w:lineRule="exact"/>
        <w:rPr>
          <w:rFonts w:ascii="Arial" w:cs="Arial" w:eastAsia="Arial" w:hAnsi="Arial"/>
          <w:sz w:val="18"/>
          <w:szCs w:val="18"/>
          <w:color w:val="auto"/>
        </w:rPr>
      </w:pPr>
    </w:p>
    <w:p>
      <w:pPr>
        <w:jc w:val="both"/>
        <w:ind w:firstLine="656"/>
        <w:spacing w:after="0" w:line="307" w:lineRule="auto"/>
        <w:tabs>
          <w:tab w:leader="none" w:pos="1527"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within forty-five (45) days after the end of each of the first three fiscal quarters of each fiscal year of the Company, its consolidated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a Financial Officer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67" w:lineRule="exact"/>
        <w:rPr>
          <w:rFonts w:ascii="Arial" w:cs="Arial" w:eastAsia="Arial" w:hAnsi="Arial"/>
          <w:sz w:val="18"/>
          <w:szCs w:val="18"/>
          <w:color w:val="auto"/>
        </w:rPr>
      </w:pPr>
    </w:p>
    <w:p>
      <w:pPr>
        <w:jc w:val="both"/>
        <w:ind w:firstLine="656"/>
        <w:spacing w:after="0" w:line="297" w:lineRule="auto"/>
        <w:tabs>
          <w:tab w:leader="none" w:pos="151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or (b) above, a certificate of a Financial Officer of the Company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 w:lineRule="exact"/>
        <w:rPr>
          <w:rFonts w:ascii="Arial" w:cs="Arial" w:eastAsia="Arial" w:hAnsi="Arial"/>
          <w:sz w:val="18"/>
          <w:szCs w:val="18"/>
          <w:color w:val="auto"/>
        </w:rPr>
      </w:pPr>
    </w:p>
    <w:p>
      <w:pPr>
        <w:jc w:val="both"/>
        <w:ind w:firstLine="8"/>
        <w:spacing w:after="0" w:line="297" w:lineRule="auto"/>
        <w:tabs>
          <w:tab w:leader="none" w:pos="323"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certifying as to whether a Default has occurred and, if a Default has occurred, specifying the details thereof and any action taken or proposed to be taken with respect thereto, (iii) setting forth the amount of the Available Amount utilized for Investments made pursuant to </w:t>
      </w:r>
      <w:r>
        <w:rPr>
          <w:rFonts w:ascii="Arial" w:cs="Arial" w:eastAsia="Arial" w:hAnsi="Arial"/>
          <w:sz w:val="18"/>
          <w:szCs w:val="18"/>
          <w:u w:val="single" w:color="auto"/>
          <w:color w:val="auto"/>
        </w:rPr>
        <w:t>Section 6.04(cc)</w:t>
      </w:r>
      <w:r>
        <w:rPr>
          <w:rFonts w:ascii="Arial" w:cs="Arial" w:eastAsia="Arial" w:hAnsi="Arial"/>
          <w:sz w:val="18"/>
          <w:szCs w:val="18"/>
          <w:color w:val="auto"/>
        </w:rPr>
        <w:t xml:space="preserve">, Restricted Payments made pursuant to </w:t>
      </w:r>
      <w:r>
        <w:rPr>
          <w:rFonts w:ascii="Arial" w:cs="Arial" w:eastAsia="Arial" w:hAnsi="Arial"/>
          <w:sz w:val="18"/>
          <w:szCs w:val="18"/>
          <w:u w:val="single" w:color="auto"/>
          <w:color w:val="auto"/>
        </w:rPr>
        <w:t>clause (g)(ii)(C)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6.09</w:t>
      </w:r>
      <w:r>
        <w:rPr>
          <w:rFonts w:ascii="Arial" w:cs="Arial" w:eastAsia="Arial" w:hAnsi="Arial"/>
          <w:sz w:val="18"/>
          <w:szCs w:val="18"/>
          <w:color w:val="auto"/>
        </w:rPr>
        <w:t xml:space="preserve">, or payments made of or in respect of Subordinated Indebtedness pursuant to </w:t>
      </w:r>
      <w:r>
        <w:rPr>
          <w:rFonts w:ascii="Arial" w:cs="Arial" w:eastAsia="Arial" w:hAnsi="Arial"/>
          <w:sz w:val="18"/>
          <w:szCs w:val="18"/>
          <w:u w:val="single" w:color="auto"/>
          <w:color w:val="auto"/>
        </w:rPr>
        <w:t>Section 6.10(a)(v)</w:t>
      </w:r>
      <w:r>
        <w:rPr>
          <w:rFonts w:ascii="Arial" w:cs="Arial" w:eastAsia="Arial" w:hAnsi="Arial"/>
          <w:sz w:val="18"/>
          <w:szCs w:val="18"/>
          <w:color w:val="auto"/>
        </w:rPr>
        <w:t>, in each case, during the most recent fiscal quarter included in such financial statements and</w:t>
      </w:r>
    </w:p>
    <w:p>
      <w:pPr>
        <w:spacing w:after="0" w:line="1" w:lineRule="exact"/>
        <w:rPr>
          <w:rFonts w:ascii="Arial" w:cs="Arial" w:eastAsia="Arial" w:hAnsi="Arial"/>
          <w:sz w:val="18"/>
          <w:szCs w:val="18"/>
          <w:color w:val="auto"/>
        </w:rPr>
      </w:pPr>
    </w:p>
    <w:p>
      <w:pPr>
        <w:jc w:val="both"/>
        <w:ind w:firstLine="8"/>
        <w:spacing w:after="0" w:line="278" w:lineRule="auto"/>
        <w:tabs>
          <w:tab w:leader="none" w:pos="337" w:val="left"/>
        </w:tabs>
        <w:numPr>
          <w:ilvl w:val="0"/>
          <w:numId w:val="79"/>
        </w:numPr>
        <w:rPr>
          <w:rFonts w:ascii="Arial" w:cs="Arial" w:eastAsia="Arial" w:hAnsi="Arial"/>
          <w:sz w:val="20"/>
          <w:szCs w:val="20"/>
          <w:color w:val="auto"/>
        </w:rPr>
      </w:pPr>
      <w:r>
        <w:rPr>
          <w:rFonts w:ascii="Arial" w:cs="Arial" w:eastAsia="Arial" w:hAnsi="Arial"/>
          <w:sz w:val="20"/>
          <w:szCs w:val="20"/>
          <w:color w:val="auto"/>
        </w:rPr>
        <w:t>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6" w:lineRule="exact"/>
        <w:rPr>
          <w:rFonts w:ascii="Arial" w:cs="Arial" w:eastAsia="Arial" w:hAnsi="Arial"/>
          <w:sz w:val="20"/>
          <w:szCs w:val="20"/>
          <w:color w:val="auto"/>
        </w:rPr>
      </w:pPr>
    </w:p>
    <w:p>
      <w:pPr>
        <w:ind w:firstLine="656"/>
        <w:spacing w:after="0" w:line="289" w:lineRule="auto"/>
        <w:tabs>
          <w:tab w:leader="none" w:pos="1527" w:val="left"/>
        </w:tabs>
        <w:numPr>
          <w:ilvl w:val="1"/>
          <w:numId w:val="79"/>
        </w:numPr>
        <w:rPr>
          <w:rFonts w:ascii="Arial" w:cs="Arial" w:eastAsia="Arial" w:hAnsi="Arial"/>
          <w:sz w:val="20"/>
          <w:szCs w:val="20"/>
          <w:color w:val="auto"/>
        </w:rPr>
      </w:pPr>
      <w:r>
        <w:rPr>
          <w:rFonts w:ascii="Arial" w:cs="Arial" w:eastAsia="Arial" w:hAnsi="Arial"/>
          <w:sz w:val="20"/>
          <w:szCs w:val="20"/>
          <w:color w:val="auto"/>
        </w:rPr>
        <w:t>within ninety (90) days after the end of each fiscal year of the Company, a copy of the plan and forecast of the Company and its Subsidiaries in the form previously provided to, and approved by,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20"/>
          </w:cols>
          <w:pgMar w:left="240" w:top="811" w:right="239" w:bottom="1440" w:gutter="0" w:footer="0" w:header="0"/>
        </w:sectPr>
      </w:pPr>
    </w:p>
    <w:bookmarkStart w:id="83" w:name="page84"/>
    <w:bookmarkEnd w:id="83"/>
    <w:p>
      <w:pPr>
        <w:jc w:val="both"/>
        <w:ind w:firstLine="656"/>
        <w:spacing w:after="0" w:line="322" w:lineRule="auto"/>
        <w:tabs>
          <w:tab w:leader="none" w:pos="1516"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Company or any Subsidiary with the SEC, or any Governmental Authority succeeding to any or all of the functions of said Commission, or with any national securities exchange, or distributed by the Company to its shareholders generally, as the case may be; and</w:t>
      </w:r>
    </w:p>
    <w:p>
      <w:pPr>
        <w:spacing w:after="0" w:line="152" w:lineRule="exact"/>
        <w:rPr>
          <w:rFonts w:ascii="Arial" w:cs="Arial" w:eastAsia="Arial" w:hAnsi="Arial"/>
          <w:sz w:val="18"/>
          <w:szCs w:val="18"/>
          <w:color w:val="auto"/>
        </w:rPr>
      </w:pPr>
    </w:p>
    <w:p>
      <w:pPr>
        <w:jc w:val="both"/>
        <w:ind w:firstLine="656"/>
        <w:spacing w:after="0" w:line="278" w:lineRule="auto"/>
        <w:tabs>
          <w:tab w:leader="none" w:pos="1494" w:val="left"/>
        </w:tabs>
        <w:numPr>
          <w:ilvl w:val="0"/>
          <w:numId w:val="80"/>
        </w:numPr>
        <w:rPr>
          <w:rFonts w:ascii="Arial" w:cs="Arial" w:eastAsia="Arial" w:hAnsi="Arial"/>
          <w:sz w:val="20"/>
          <w:szCs w:val="20"/>
          <w:color w:val="auto"/>
        </w:rPr>
      </w:pPr>
      <w:r>
        <w:rPr>
          <w:rFonts w:ascii="Arial" w:cs="Arial" w:eastAsia="Arial" w:hAnsi="Arial"/>
          <w:sz w:val="20"/>
          <w:szCs w:val="20"/>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Documents required to be delivered pursuant to this Section 5.01 may be delivered electronically and if so delivered, shall be deemed to have been delivered on the date on which such documents are filed for public availability on the SEC’s Electronic Data Gathering and Retrieval System; provided that the Company shall notify (which may be by facsimile or electronic mail) the Administrative Agent of the filing of any such documents and provide to the Administrative Agent by electronic mail electronic versions (i.e., soft copies) of such documents. Notwithstanding anything contained herein, in every instance the Company shall be required to provide paper copies of the compliance certificates required by clause (d) of this Section 5.01 to the Administrative Agent.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xml:space="preserve"> The Company will furnish to the Administrative Agent (for distribution to each Lender) written notice of the following, promptly after a Responsible Officer of the Company obtains actual knowledge thereof:</w:t>
      </w:r>
    </w:p>
    <w:p>
      <w:pPr>
        <w:spacing w:after="0" w:line="175" w:lineRule="exact"/>
        <w:rPr>
          <w:sz w:val="20"/>
          <w:szCs w:val="20"/>
          <w:color w:val="auto"/>
        </w:rPr>
      </w:pPr>
    </w:p>
    <w:p>
      <w:pPr>
        <w:ind w:left="1520" w:hanging="864"/>
        <w:spacing w:after="0"/>
        <w:tabs>
          <w:tab w:leader="none" w:pos="15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filing or commencement of any action, suit or proceeding by or before any arbitrator or Governmental Authority against or affecting the Company or any Subsidiary thereof that, if adversely determined, could reasonably be expected to result in a Material Adverse Effect;</w:t>
      </w:r>
    </w:p>
    <w:p>
      <w:pPr>
        <w:spacing w:after="0" w:line="186" w:lineRule="exact"/>
        <w:rPr>
          <w:rFonts w:ascii="Arial" w:cs="Arial" w:eastAsia="Arial" w:hAnsi="Arial"/>
          <w:sz w:val="20"/>
          <w:szCs w:val="20"/>
          <w:color w:val="auto"/>
        </w:rPr>
      </w:pPr>
    </w:p>
    <w:p>
      <w:pPr>
        <w:ind w:left="1520" w:hanging="864"/>
        <w:spacing w:after="0"/>
        <w:tabs>
          <w:tab w:leader="none" w:pos="15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all amendments to the ABL Credit Agreement, together with a copy of each such amendment;</w:t>
      </w:r>
    </w:p>
    <w:p>
      <w:pPr>
        <w:spacing w:after="0" w:line="242" w:lineRule="exact"/>
        <w:rPr>
          <w:rFonts w:ascii="Arial" w:cs="Arial" w:eastAsia="Arial" w:hAnsi="Arial"/>
          <w:sz w:val="20"/>
          <w:szCs w:val="20"/>
          <w:color w:val="auto"/>
        </w:rPr>
      </w:pPr>
    </w:p>
    <w:p>
      <w:pPr>
        <w:ind w:firstLine="656"/>
        <w:spacing w:after="0" w:line="289" w:lineRule="auto"/>
        <w:tabs>
          <w:tab w:leader="none" w:pos="1527"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 and</w:t>
      </w:r>
    </w:p>
    <w:p>
      <w:pPr>
        <w:spacing w:after="0" w:line="175" w:lineRule="exact"/>
        <w:rPr>
          <w:rFonts w:ascii="Arial" w:cs="Arial" w:eastAsia="Arial" w:hAnsi="Arial"/>
          <w:sz w:val="20"/>
          <w:szCs w:val="20"/>
          <w:color w:val="auto"/>
        </w:rPr>
      </w:pPr>
    </w:p>
    <w:p>
      <w:pPr>
        <w:ind w:left="1520" w:hanging="864"/>
        <w:spacing w:after="0"/>
        <w:tabs>
          <w:tab w:leader="none" w:pos="15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any other development that results in, or could reasonably be expected to result in, a Material Adverse Effect.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delivered under this Section shall be accompanied by a statement of a Responsible Officer or other executive officer of the Company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Information required to be delivered pursuant to clause (b), (c), (d) and (e) of this Section shall be deemed to have been delivered if such information, or one or more annual, quarterly, current or other reports containing such information, is (i) filed for public availability on the SEC’s Electronic Data Gathering and Retrieval System, (ii) posted on www.winnebagoind.com or at another website identified in a notice from the Company and accessible by the Lenders without charge; or (iii) posted on the Company’s behalf on an Internet or intranet website, if any, to which the Administrative Agent and the Lenders have access (whether a 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825" w:right="239" w:bottom="1440" w:gutter="0" w:footer="0" w:header="0"/>
        </w:sectPr>
      </w:pPr>
    </w:p>
    <w:bookmarkStart w:id="84" w:name="page85"/>
    <w:bookmarkEnd w:id="84"/>
    <w:p>
      <w:pPr>
        <w:jc w:val="both"/>
        <w:ind w:firstLine="648"/>
        <w:spacing w:after="0" w:line="30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Each Loan Party will, and will cause each of its Material Subsidiaries to, (a) 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clause (b), to the extent failure to do so could not reasonably be expected to result in a Material Adverse Effect; provided that, the foregoing shall not prohibit any merger, consolidation, liquidation or dissolution permitted under Section 6.03.</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xml:space="preserve"> Each Loan Party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xml:space="preserve"> Each Loan Party will, and will cause each Subsidiary to, keep and maintain all property material to the conduct of its business in good working order and condition, ordinary wear and tear and casualty and condemnation excepted, except to the extent such failure could not reasonably be expected to have a Material Adverse Effect.</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The Loan Parties will, and will cause each of their Subsidiaries to, keep in all material respects proper books of record and account in which full, true and correct entries in all material respects in conformity, in all material respects, with GAAP and applicable law are made of all material dealings and material transactions in relation to its business and activities. The Loan Parties will, and will cause each of the Subsidiaries to, permit any representatives designated by the Administrative Agent, who may be accompanied by a Lender, upon no less than five (5) Business Days’ prior written notice (provided that no such prior written notice shall be required during the occurrence and continuance of an Event of Default) and at reasonable times during normal business hours, to visit and inspect its properties, to examine and make extracts from its books and records, environmental assessment reports and Phase I or Phase II studies, and to discuss its affairs, finances and condition with its officers, all at such reasonable times and as often as reasonably requested; provided, that so long as no Event of Default has occurred and is continuing, the Loan Parties shall not be required to pay for any such inspection. The Loan Parties acknowledge that the Administrative Agent, after exercising its rights of inspection, may prepare and distribute to the Lenders Reports pertaining to the Loan Parties’ assets for internal use by the Administrative Agent and the Lenders. The Loan Parties and the Subsidiaries shall have no obligation to discuss or disclose to Administrative Agent, any Lender, or any of their officers, directors, employees or agents, materials protected by attorney-client privilege (including any attorney work product), materials that constitute non-financial trade secrets or non-financial proprietary information and materials that the Loan Parties or any of the Subsidiaries may not disclose without violation of a confidentiality obligation binding upon it.</w:t>
      </w:r>
    </w:p>
    <w:p>
      <w:pPr>
        <w:spacing w:after="0" w:line="171"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20"/>
          <w:szCs w:val="20"/>
          <w:color w:val="auto"/>
        </w:rPr>
        <w:t>SECTION 5.07</w:t>
      </w:r>
      <w:r>
        <w:rPr>
          <w:sz w:val="20"/>
          <w:szCs w:val="20"/>
          <w:color w:val="auto"/>
        </w:rPr>
        <w:tab/>
      </w:r>
      <w:r>
        <w:rPr>
          <w:rFonts w:ascii="Arial" w:cs="Arial" w:eastAsia="Arial" w:hAnsi="Arial"/>
          <w:sz w:val="19"/>
          <w:szCs w:val="19"/>
          <w:u w:val="single" w:color="auto"/>
          <w:color w:val="auto"/>
        </w:rPr>
        <w:t xml:space="preserve">Compliance with Laws and Material Contractual Obligations. </w:t>
      </w:r>
      <w:r>
        <w:rPr>
          <w:rFonts w:ascii="Arial" w:cs="Arial" w:eastAsia="Arial" w:hAnsi="Arial"/>
          <w:sz w:val="19"/>
          <w:szCs w:val="19"/>
          <w:color w:val="auto"/>
        </w:rPr>
        <w:t>Each Loan Party will, and will cause</w:t>
      </w:r>
    </w:p>
    <w:p>
      <w:pPr>
        <w:spacing w:after="0" w:line="2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each Subsidiary to, (i) comply with all Requirements of Law applicable to it or its property (including without limitation applicable Environmental Laws) and (ii) perform in all material respects its obligations under material agreements to which it is a party, except, in each case for clauses (i) and (ii) above, where the failure to do so, individually or in the aggregate, could not reasonably be expected to result in a Material Adverse Effect. Each Loan Party will maintain in effect and enforce policies and procedures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825" w:right="239" w:bottom="1440" w:gutter="0" w:footer="0" w:header="0"/>
        </w:sectPr>
      </w:pPr>
    </w:p>
    <w:bookmarkStart w:id="85" w:name="page86"/>
    <w:bookmarkEnd w:id="85"/>
    <w:p>
      <w:pPr>
        <w:jc w:val="both"/>
        <w:ind w:right="20"/>
        <w:spacing w:after="0" w:line="289" w:lineRule="auto"/>
        <w:rPr>
          <w:sz w:val="20"/>
          <w:szCs w:val="20"/>
          <w:color w:val="auto"/>
        </w:rPr>
      </w:pPr>
      <w:r>
        <w:rPr>
          <w:rFonts w:ascii="Arial" w:cs="Arial" w:eastAsia="Arial" w:hAnsi="Arial"/>
          <w:sz w:val="20"/>
          <w:szCs w:val="20"/>
          <w:color w:val="auto"/>
        </w:rPr>
        <w:t>designed to ensure compliance by such Loan Party, its Subsidiaries and their respective directors, officers and employees with Anti-Corruption Laws and applicable Sanctions in all material respects.</w:t>
      </w:r>
    </w:p>
    <w:p>
      <w:pPr>
        <w:spacing w:after="0" w:line="17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Use of Proceeds.</w:t>
      </w:r>
      <w:r>
        <w:rPr>
          <w:rFonts w:ascii="Arial" w:cs="Arial" w:eastAsia="Arial" w:hAnsi="Arial"/>
          <w:sz w:val="19"/>
          <w:szCs w:val="19"/>
          <w:color w:val="auto"/>
        </w:rPr>
        <w:t xml:space="preserve"> The proceeds of the Tranche B Term Loan will be used only to finance the Transactions Costs and to finance the working capital needs and for general corporate purposes (including Restricted Payments and Permitted Acquisitions as permitted hereunder) of the Company and its Subsidiaries. No part of the proceeds of any Loan will be used, whether directly or indirectly, for any purpose that entails a violation of any of the Regulations of the Board, including Regulations T, U and X. The Borrower will not request any Borrowing, and the Borrower shall not use, and the Company shall ensure that its Subsidiaries and its or their respective directors, officers, employees and agents shall not use, the proceeds of any Borrowing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(iii) in any manner that would result in the violation of any Sanctions applicable to any party hereto.</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Each Loan Party will, and will cause each Subsidiary to, maintain with financially sound and reputable carriers (a) insurance in such amounts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Company will furnish to the Lenders, upon request of the Administrative Agent, information in reasonable detail as to the insurance so maintained.</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Casualty and Condemnation.</w:t>
      </w:r>
      <w:r>
        <w:rPr>
          <w:rFonts w:ascii="Arial" w:cs="Arial" w:eastAsia="Arial" w:hAnsi="Arial"/>
          <w:sz w:val="20"/>
          <w:szCs w:val="20"/>
          <w:color w:val="auto"/>
        </w:rPr>
        <w:t xml:space="preserve"> The Company will (a) furnish to the Administrative Agent and the Lenders prompt written notice upon obtaining knowledge of any casualty or other insured damage to any Collateral in excess of $7,500,000 or the commencement of any action or proceeding for the taking of any Collateral or interest therein with a book value in excess of $7,500,000 under power of eminent domain or by condemnation or similar proceeding with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20"/>
                <w:szCs w:val="20"/>
                <w:color w:val="auto"/>
              </w:rPr>
              <w:t>SECTION 5.11</w:t>
            </w:r>
          </w:p>
        </w:tc>
        <w:tc>
          <w:tcPr>
            <w:tcW w:w="8200" w:type="dxa"/>
            <w:vAlign w:val="bottom"/>
            <w:gridSpan w:val="4"/>
          </w:tcPr>
          <w:p>
            <w:pPr>
              <w:spacing w:after="0"/>
              <w:rPr>
                <w:sz w:val="20"/>
                <w:szCs w:val="20"/>
                <w:color w:val="auto"/>
              </w:rPr>
            </w:pPr>
            <w:r>
              <w:rPr>
                <w:rFonts w:ascii="Arial" w:cs="Arial" w:eastAsia="Arial" w:hAnsi="Arial"/>
                <w:sz w:val="20"/>
                <w:szCs w:val="20"/>
                <w:color w:val="auto"/>
              </w:rPr>
              <w:t>[Intentionally Omitted.]</w:t>
            </w:r>
          </w:p>
        </w:tc>
      </w:tr>
      <w:tr>
        <w:trPr>
          <w:trHeight w:val="20"/>
        </w:trPr>
        <w:tc>
          <w:tcPr>
            <w:tcW w:w="2560" w:type="dxa"/>
            <w:vAlign w:val="bottom"/>
            <w:tcBorders>
              <w:right w:val="single" w:sz="8" w:color="auto"/>
            </w:tcBorders>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453"/>
        </w:trPr>
        <w:tc>
          <w:tcPr>
            <w:tcW w:w="2560" w:type="dxa"/>
            <w:vAlign w:val="bottom"/>
          </w:tcPr>
          <w:p>
            <w:pPr>
              <w:spacing w:after="0"/>
              <w:rPr>
                <w:sz w:val="20"/>
                <w:szCs w:val="20"/>
                <w:color w:val="auto"/>
              </w:rPr>
            </w:pPr>
            <w:r>
              <w:rPr>
                <w:rFonts w:ascii="Arial" w:cs="Arial" w:eastAsia="Arial" w:hAnsi="Arial"/>
                <w:sz w:val="20"/>
                <w:szCs w:val="20"/>
                <w:color w:val="auto"/>
              </w:rPr>
              <w:t>SECTION 5.12</w:t>
            </w:r>
          </w:p>
        </w:tc>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[Intentionally Omitted.]</w:t>
            </w:r>
          </w:p>
        </w:tc>
        <w:tc>
          <w:tcPr>
            <w:tcW w:w="6340" w:type="dxa"/>
            <w:vAlign w:val="bottom"/>
            <w:gridSpan w:val="2"/>
          </w:tcPr>
          <w:p>
            <w:pPr>
              <w:spacing w:after="0"/>
              <w:rPr>
                <w:sz w:val="24"/>
                <w:szCs w:val="24"/>
                <w:color w:val="auto"/>
              </w:rPr>
            </w:pPr>
          </w:p>
        </w:tc>
      </w:tr>
      <w:tr>
        <w:trPr>
          <w:trHeight w:val="453"/>
        </w:trPr>
        <w:tc>
          <w:tcPr>
            <w:tcW w:w="2560" w:type="dxa"/>
            <w:vAlign w:val="bottom"/>
          </w:tcPr>
          <w:p>
            <w:pPr>
              <w:spacing w:after="0"/>
              <w:rPr>
                <w:sz w:val="20"/>
                <w:szCs w:val="20"/>
                <w:color w:val="auto"/>
              </w:rPr>
            </w:pPr>
            <w:r>
              <w:rPr>
                <w:rFonts w:ascii="Arial" w:cs="Arial" w:eastAsia="Arial" w:hAnsi="Arial"/>
                <w:sz w:val="20"/>
                <w:szCs w:val="20"/>
                <w:color w:val="auto"/>
              </w:rPr>
              <w:t>SECTION 5.13</w:t>
            </w:r>
          </w:p>
        </w:tc>
        <w:tc>
          <w:tcPr>
            <w:tcW w:w="8200" w:type="dxa"/>
            <w:vAlign w:val="bottom"/>
            <w:gridSpan w:val="4"/>
          </w:tcPr>
          <w:p>
            <w:pPr>
              <w:spacing w:after="0"/>
              <w:rPr>
                <w:sz w:val="20"/>
                <w:szCs w:val="20"/>
                <w:color w:val="auto"/>
              </w:rPr>
            </w:pPr>
            <w:r>
              <w:rPr>
                <w:rFonts w:ascii="Arial" w:cs="Arial" w:eastAsia="Arial" w:hAnsi="Arial"/>
                <w:sz w:val="20"/>
                <w:szCs w:val="20"/>
                <w:color w:val="auto"/>
                <w:w w:val="99"/>
              </w:rPr>
              <w:t>Accuracy of Information. The Loan Parties will ensure that any information, including financial</w:t>
            </w:r>
          </w:p>
        </w:tc>
      </w:tr>
      <w:tr>
        <w:trPr>
          <w:trHeight w:val="20"/>
        </w:trPr>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307" w:lineRule="auto"/>
        <w:rPr>
          <w:sz w:val="20"/>
          <w:szCs w:val="20"/>
          <w:color w:val="auto"/>
        </w:rPr>
      </w:pPr>
      <w:r>
        <w:rPr>
          <w:rFonts w:ascii="Arial" w:cs="Arial" w:eastAsia="Arial" w:hAnsi="Arial"/>
          <w:sz w:val="18"/>
          <w:szCs w:val="18"/>
          <w:color w:val="auto"/>
        </w:rPr>
        <w:t xml:space="preserve">statements or other documents, furnished to the Administrative Agent or the Lenders in writing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Company on the date thereof as to the matters specified in this </w:t>
      </w:r>
      <w:r>
        <w:rPr>
          <w:rFonts w:ascii="Arial" w:cs="Arial" w:eastAsia="Arial" w:hAnsi="Arial"/>
          <w:sz w:val="18"/>
          <w:szCs w:val="18"/>
          <w:u w:val="single" w:color="auto"/>
          <w:color w:val="auto"/>
        </w:rPr>
        <w:t>Section 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825" w:right="239" w:bottom="1440" w:gutter="0" w:footer="0" w:header="0"/>
        </w:sectPr>
      </w:pPr>
    </w:p>
    <w:bookmarkStart w:id="86" w:name="page87"/>
    <w:bookmarkEnd w:id="86"/>
    <w:p>
      <w:pPr>
        <w:ind w:left="660"/>
        <w:spacing w:after="0"/>
        <w:tabs>
          <w:tab w:leader="none" w:pos="316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8"/>
          <w:szCs w:val="18"/>
          <w:u w:val="single" w:color="auto"/>
          <w:color w:val="auto"/>
        </w:rPr>
        <w:t>Additional Collateral; Further Assurances.</w:t>
      </w:r>
    </w:p>
    <w:p>
      <w:pPr>
        <w:spacing w:after="0" w:line="243" w:lineRule="exact"/>
        <w:rPr>
          <w:sz w:val="20"/>
          <w:szCs w:val="20"/>
          <w:color w:val="auto"/>
        </w:rPr>
      </w:pPr>
    </w:p>
    <w:p>
      <w:pPr>
        <w:jc w:val="both"/>
        <w:ind w:firstLine="656"/>
        <w:spacing w:after="0" w:line="303" w:lineRule="auto"/>
        <w:tabs>
          <w:tab w:leader="none" w:pos="1516"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the Limited Conditionality Provision, within sixty (60) days (or such later date as may be agreed upon by the Administrative Agent in its reasonable discretion) after any wholly-owned Subsidiary qualifies as a Material Domestic Subsidiary pursuant to the definition of “Material Domestic Subsidiary”, the Company shall provide the Administrative Agent with written notice thereof setting forth information in reasonable detail describing the material assets of such Person and shall cause each such Subsidiary to deliver to the Administrative Agent a Joinder Agreement and a joinder to the Security Agreement (in the form contemplated thereby) pursuant to which such Subsidiary agrees to be bound by the terms and provisions hereof and thereof, such delivery to be accompanied by requisite resolutions, other organizational documentation and legal opinions as may be reasonably requested by, and in form and substance reasonably satisfactory to, the Administrative Agent and its counsel. Notwithstanding anything to the contrary in any Loan Document, no Excluded Domestic Subsidiary or Excluded Foreign Subsidiary shall be required to be a Loan Party.</w:t>
      </w:r>
    </w:p>
    <w:p>
      <w:pPr>
        <w:spacing w:after="0" w:line="173" w:lineRule="exact"/>
        <w:rPr>
          <w:rFonts w:ascii="Arial" w:cs="Arial" w:eastAsia="Arial" w:hAnsi="Arial"/>
          <w:sz w:val="18"/>
          <w:szCs w:val="18"/>
          <w:color w:val="auto"/>
        </w:rPr>
      </w:pPr>
    </w:p>
    <w:p>
      <w:pPr>
        <w:jc w:val="both"/>
        <w:ind w:firstLine="656"/>
        <w:spacing w:after="0" w:line="299" w:lineRule="auto"/>
        <w:tabs>
          <w:tab w:leader="none" w:pos="1527"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Subject to the Limited Conditionality Provision and the terms, limitations and exceptions set forth in the applicable Collateral Documents and this </w:t>
      </w:r>
      <w:r>
        <w:rPr>
          <w:rFonts w:ascii="Arial" w:cs="Arial" w:eastAsia="Arial" w:hAnsi="Arial"/>
          <w:sz w:val="18"/>
          <w:szCs w:val="18"/>
          <w:u w:val="single" w:color="auto"/>
          <w:color w:val="auto"/>
        </w:rPr>
        <w:t>Section 5.14(b)</w:t>
      </w:r>
      <w:r>
        <w:rPr>
          <w:rFonts w:ascii="Arial" w:cs="Arial" w:eastAsia="Arial" w:hAnsi="Arial"/>
          <w:sz w:val="18"/>
          <w:szCs w:val="18"/>
          <w:color w:val="auto"/>
        </w:rPr>
        <w:t>, each Loan Party will cause all of its owned property (whether real, personal, tangible, intangible, or mixed but excluding Excluded Assets and any real property that is not Material Real Property) to be subject at all times to perfected Liens in favor of the Administrative Agent for the benefit of the Secured Parties to secure the Secured Obligations in accordance with the terms and conditions of the Collateral Documents on a first priority basis, subject in any case to Liens permitted by Section 6.02. Without limiting the generality of the foregoing, and subject to the Limited Conditionality Provision and the terms, limitations and exceptions set forth in the applicable Collateral Documents, the Company (i) will cause the Applicable Pledge Percentage of the issued and outstanding Equity Interests of each Pledge Subsidiary directly owned by the Company or any other Loan Party (other than Excluded Assets) to be subject at all times to a first priority perfected (subject in any case to Liens permitted by Section 6.02) Lien in favor of the Administrative Agent to secure the Secured Obligations in accordance with the terms and conditions of the Collateral Documents or such other pledge and security documents as the Administrative Agent shall reasonably request and (ii) will deliver Mortgages and Mortgage Instruments with respect to Material Real Property owned by the Company or such Loan Party to the extent, and within such time period as is, reasonably required by the Administrative Agent. Notwithstanding the foregoing, (i) no such Mortgage or Mortgage Instruments are required to be delivered hereunder until the date that is ninety (90) days (or such later date as may be agreed upon by the Administrative Agent in its reasonable discretion) after (A) the Effective Date, with respect to Material Real Property owned by the Company or any other Loan Party on the Effective Date (after giving effect to the Grand Design Acquisition) or (B) the date of acquisition thereof, with respect to Material Real Property acquired by the Company or any other Loan Party after the Effective Date and (iii) no foreign pledge documentation in respect of the pledge of Equity Interests of a Pledge Subsidiary that is a Material Foreign Subsidiary shall be required hereunder (A) until the date that is ninety (90) days after the Effective Date or such later date as the Administrative Agent may agree in the exercise of its reasonable discretion with respect thereto, (B) to the extent the Administrative Agent or its counsel determines that such pledge would not provide material credit support for the benefit of the Secured Parties pursuant to legally valid, binding and enforceable pledge agreements, and (C) to the extent the Company reasonably determines in its good faith judgment that such pledge would result in a material adverse tax consequence to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825" w:right="239" w:bottom="1440" w:gutter="0" w:footer="0" w:header="0"/>
        </w:sectPr>
      </w:pPr>
    </w:p>
    <w:bookmarkStart w:id="87" w:name="page88"/>
    <w:bookmarkEnd w:id="87"/>
    <w:p>
      <w:pPr>
        <w:jc w:val="both"/>
        <w:ind w:firstLine="656"/>
        <w:spacing w:after="0" w:line="273" w:lineRule="auto"/>
        <w:tabs>
          <w:tab w:leader="none" w:pos="1516"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at any time after the Effective Date any Subsidiary of the Company that is not a Loan Party shall become party to a guaranty of, or grant a Lien on any assets to secure, the ABL Obligations, any Subordinated Indebtedness or any other Material Indebtedness of a Loan Party, the Company shall promptly notify the Administrative Agent thereof and, within ten (10) days thereof (or such later date as may be agreed upon by the Administrative Agent) cause such Subsidiary to comply with Section 5.14(a) and (b) (but without giving effect to the 30-day grace periods provided therein).</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527"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Without limiting the foregoing, each Loan Party will, and will cause each Subsidiary to, execute and deliver, or cause to be executed and delivered, to the Administrative Agent such documents, agreements and instruments, and take or cause to be taken such further actions (including the filing and recording of financing statements, fixture filings, mortgages, deeds of trust and other documents and such other actions or deliveries of the type required by </w:t>
      </w:r>
      <w:r>
        <w:rPr>
          <w:rFonts w:ascii="Arial" w:cs="Arial" w:eastAsia="Arial" w:hAnsi="Arial"/>
          <w:sz w:val="20"/>
          <w:szCs w:val="20"/>
          <w:u w:val="single" w:color="auto"/>
          <w:color w:val="auto"/>
        </w:rPr>
        <w:t>Section 4.01</w:t>
      </w:r>
      <w:r>
        <w:rPr>
          <w:rFonts w:ascii="Arial" w:cs="Arial" w:eastAsia="Arial" w:hAnsi="Arial"/>
          <w:sz w:val="20"/>
          <w:szCs w:val="20"/>
          <w:color w:val="auto"/>
        </w:rPr>
        <w:t>,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Limited Conditionality Provision and the terms, limitations, and exceptions set forth herein or in any Collateral Document, all at the expense of the Loan Parties, in each case to the extent required by, and subject to the limitations and exceptions of, this Agreement and the other Loan Documents.</w:t>
      </w:r>
    </w:p>
    <w:p>
      <w:pPr>
        <w:spacing w:after="0" w:line="196" w:lineRule="exact"/>
        <w:rPr>
          <w:rFonts w:ascii="Arial" w:cs="Arial" w:eastAsia="Arial" w:hAnsi="Arial"/>
          <w:sz w:val="20"/>
          <w:szCs w:val="20"/>
          <w:color w:val="auto"/>
        </w:rPr>
      </w:pPr>
    </w:p>
    <w:p>
      <w:pPr>
        <w:jc w:val="both"/>
        <w:ind w:firstLine="656"/>
        <w:spacing w:after="0" w:line="285" w:lineRule="auto"/>
        <w:tabs>
          <w:tab w:leader="none" w:pos="15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If any material assets (other than Excluded Assets or other assets not required to be Collateral) are acquired by any Loan Party after the Effective Date (other than assets constituting Collateral under the applicable Collateral Documents that become subject to the Lien granted by the Loan Parties in favor of the Administrative Agent in support of all of the Secured Obligations upon acquisition thereof), the Company will promptly (i) notify the Administrative Agent thereof and, if requested by the Administrative Agent or the Required Lenders, cause such assets to be subjected to a Lien securing the Secured Obligations and (ii) take such actions as shall be necessary or reasonably requested by the Administrative Agent to grant and perfect such Liens, including actions described in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of this Section, all at the expense of the Loan Parties, subject, however, to the Limited Conditionality Provision and the terms, limitations and exceptions set forth herein or in any Collateral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Material Real Property acquired by the Company or any other Loan Party after the Effective Date, which property would not be automatically subject to another Lien pursuant to an existing Collateral Document, no Mortgage or Mortgage Instrument shall be required to be delivered hereunder prior to the date that is ninety (90) days after the acquisition thereof as determined by the Company (acting reasonably in good faith) (or such later date as may be agreed upon by the Administrative Agent in its reasonable discretion).</w:t>
      </w:r>
    </w:p>
    <w:p>
      <w:pPr>
        <w:spacing w:after="0" w:line="181" w:lineRule="exact"/>
        <w:rPr>
          <w:rFonts w:ascii="Arial" w:cs="Arial" w:eastAsia="Arial" w:hAnsi="Arial"/>
          <w:sz w:val="19"/>
          <w:szCs w:val="19"/>
          <w:color w:val="auto"/>
        </w:rPr>
      </w:pPr>
    </w:p>
    <w:p>
      <w:pPr>
        <w:jc w:val="both"/>
        <w:ind w:firstLine="656"/>
        <w:spacing w:after="0" w:line="271" w:lineRule="auto"/>
        <w:tabs>
          <w:tab w:leader="none" w:pos="1494" w:val="left"/>
        </w:tabs>
        <w:numPr>
          <w:ilvl w:val="0"/>
          <w:numId w:val="83"/>
        </w:numPr>
        <w:rPr>
          <w:rFonts w:ascii="Arial" w:cs="Arial" w:eastAsia="Arial" w:hAnsi="Arial"/>
          <w:sz w:val="20"/>
          <w:szCs w:val="20"/>
          <w:color w:val="auto"/>
        </w:rPr>
      </w:pPr>
      <w:r>
        <w:rPr>
          <w:rFonts w:ascii="Arial" w:cs="Arial" w:eastAsia="Arial" w:hAnsi="Arial"/>
          <w:sz w:val="20"/>
          <w:szCs w:val="20"/>
          <w:color w:val="auto"/>
        </w:rPr>
        <w:t>Within thirty (30) days following the Effective Date (or such later date as the Administrative Agent agrees to in its sole discretion), the Loan Parties shall deliver to the Administrative Agent certificates of insurance listing the Administrative Agent as (x) lender loss payee for the property casualty insurance policies of the Loan Parties, together with long-form lender loss payable endorsements, as appropriate and (y) additional insured with respect to the liability insurance of the Loan Parties, together with additional insured endorsements. Notwithstanding anything to the contrary herein or in any Loan Documents, such certificates of insurance and endorsements shall not be required to be delivered until the date that is thirty (30) days following the Effective Date (or such later date as the Administrative Agent agrees to in its sole discretion).</w:t>
      </w:r>
    </w:p>
    <w:p>
      <w:pPr>
        <w:spacing w:after="0" w:line="194" w:lineRule="exact"/>
        <w:rPr>
          <w:rFonts w:ascii="Arial" w:cs="Arial" w:eastAsia="Arial" w:hAnsi="Arial"/>
          <w:sz w:val="20"/>
          <w:szCs w:val="20"/>
          <w:color w:val="auto"/>
        </w:rPr>
      </w:pPr>
    </w:p>
    <w:p>
      <w:pPr>
        <w:ind w:firstLine="656"/>
        <w:spacing w:after="0" w:line="289" w:lineRule="auto"/>
        <w:tabs>
          <w:tab w:leader="none" w:pos="1527" w:val="left"/>
        </w:tabs>
        <w:numPr>
          <w:ilvl w:val="0"/>
          <w:numId w:val="83"/>
        </w:numPr>
        <w:rPr>
          <w:rFonts w:ascii="Arial" w:cs="Arial" w:eastAsia="Arial" w:hAnsi="Arial"/>
          <w:sz w:val="20"/>
          <w:szCs w:val="20"/>
          <w:color w:val="auto"/>
        </w:rPr>
      </w:pPr>
      <w:r>
        <w:rPr>
          <w:rFonts w:ascii="Arial" w:cs="Arial" w:eastAsia="Arial" w:hAnsi="Arial"/>
          <w:sz w:val="20"/>
          <w:szCs w:val="20"/>
          <w:color w:val="auto"/>
        </w:rPr>
        <w:t>Notwithstanding the foregoing, the parties hereto acknowledge and agree that (i) in circumstances where the Administrative Agent reasonably determines that the cost or effort of obtaining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825" w:right="239" w:bottom="1440" w:gutter="0" w:footer="0" w:header="0"/>
        </w:sectPr>
      </w:pPr>
    </w:p>
    <w:bookmarkStart w:id="88" w:name="page89"/>
    <w:bookmarkEnd w:id="88"/>
    <w:p>
      <w:pPr>
        <w:jc w:val="both"/>
        <w:spacing w:after="0" w:line="278" w:lineRule="auto"/>
        <w:rPr>
          <w:sz w:val="20"/>
          <w:szCs w:val="20"/>
          <w:color w:val="auto"/>
        </w:rPr>
      </w:pPr>
      <w:r>
        <w:rPr>
          <w:rFonts w:ascii="Arial" w:cs="Arial" w:eastAsia="Arial" w:hAnsi="Arial"/>
          <w:sz w:val="18"/>
          <w:szCs w:val="18"/>
          <w:color w:val="auto"/>
        </w:rPr>
        <w:t>perfecting a security interest in any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spacing w:after="0" w:line="17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5.15 </w:t>
      </w:r>
      <w:r>
        <w:rPr>
          <w:rFonts w:ascii="Arial" w:cs="Arial" w:eastAsia="Arial" w:hAnsi="Arial"/>
          <w:sz w:val="20"/>
          <w:szCs w:val="20"/>
          <w:u w:val="single" w:color="auto"/>
          <w:color w:val="auto"/>
        </w:rPr>
        <w:t>Maintenance of Ratings</w:t>
      </w:r>
      <w:r>
        <w:rPr>
          <w:rFonts w:ascii="Arial" w:cs="Arial" w:eastAsia="Arial" w:hAnsi="Arial"/>
          <w:sz w:val="20"/>
          <w:szCs w:val="20"/>
          <w:color w:val="auto"/>
        </w:rPr>
        <w:t xml:space="preserve">. The Company shall make commercially reasonable efforts to obtain and to maintain (a) public ratings from Moody’s and S&amp;P for the Term Loans and (b) public corporate credit ratings and corporate family ratings, as applicable, from Moody’s and S&amp;P, as applicable, in respect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in each case, that the Company and its Subsidiaries shall not be required to obtain or maintain any specific rating.</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Until the Commitments shall have expired or been terminated and the principal of and interest on each Loan and all fees payable hereunder shall have been paid in full (other than Unliquidated Obligations not yet due and payable and Secured Obligations expressly stated to survive such payment and termination), each Loan Party executing this Agreement covenants and agrees, jointly and severally with all of the other Loan Parties, with the Lenders that:</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Indebtedness.</w:t>
      </w:r>
      <w:r>
        <w:rPr>
          <w:rFonts w:ascii="Arial" w:cs="Arial" w:eastAsia="Arial" w:hAnsi="Arial"/>
          <w:sz w:val="20"/>
          <w:szCs w:val="20"/>
          <w:color w:val="auto"/>
        </w:rPr>
        <w:t xml:space="preserve"> No Loan Party will, nor will it permit any Subsidiary to, create, incur, assume or permit to exist any Indebtedness, except:</w:t>
      </w:r>
    </w:p>
    <w:p>
      <w:pPr>
        <w:spacing w:after="0" w:line="175" w:lineRule="exact"/>
        <w:rPr>
          <w:sz w:val="20"/>
          <w:szCs w:val="20"/>
          <w:color w:val="auto"/>
        </w:rPr>
      </w:pPr>
    </w:p>
    <w:p>
      <w:pPr>
        <w:jc w:val="both"/>
        <w:ind w:firstLine="656"/>
        <w:spacing w:after="0" w:line="278" w:lineRule="auto"/>
        <w:tabs>
          <w:tab w:leader="none" w:pos="1516" w:val="left"/>
        </w:tabs>
        <w:numPr>
          <w:ilvl w:val="0"/>
          <w:numId w:val="84"/>
        </w:numPr>
        <w:rPr>
          <w:rFonts w:ascii="Arial" w:cs="Arial" w:eastAsia="Arial" w:hAnsi="Arial"/>
          <w:sz w:val="20"/>
          <w:szCs w:val="20"/>
          <w:color w:val="auto"/>
        </w:rPr>
      </w:pPr>
      <w:r>
        <w:rPr>
          <w:rFonts w:ascii="Arial" w:cs="Arial" w:eastAsia="Arial" w:hAnsi="Arial"/>
          <w:sz w:val="20"/>
          <w:szCs w:val="20"/>
          <w:color w:val="auto"/>
        </w:rPr>
        <w:t>(i) the Secured Obligations and any other Indebtedness created under the Loan Documents and (ii) (A) Indebtedness under the ABL Credit Agreement in an aggregate principal amount at any one time outstanding not to exceed $192,500,000 and (B) any Refinancing Indebtedness thereof;</w:t>
      </w:r>
    </w:p>
    <w:p>
      <w:pPr>
        <w:spacing w:after="0" w:line="186" w:lineRule="exact"/>
        <w:rPr>
          <w:rFonts w:ascii="Arial" w:cs="Arial" w:eastAsia="Arial" w:hAnsi="Arial"/>
          <w:sz w:val="20"/>
          <w:szCs w:val="20"/>
          <w:color w:val="auto"/>
        </w:rPr>
      </w:pPr>
    </w:p>
    <w:p>
      <w:pPr>
        <w:ind w:left="1540" w:hanging="884"/>
        <w:spacing w:after="0"/>
        <w:tabs>
          <w:tab w:leader="none" w:pos="1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set forth on </w:t>
      </w:r>
      <w:r>
        <w:rPr>
          <w:rFonts w:ascii="Arial" w:cs="Arial" w:eastAsia="Arial" w:hAnsi="Arial"/>
          <w:sz w:val="18"/>
          <w:szCs w:val="18"/>
          <w:u w:val="single" w:color="auto"/>
          <w:color w:val="auto"/>
        </w:rPr>
        <w:t>Schedule 6.01</w:t>
      </w:r>
      <w:r>
        <w:rPr>
          <w:rFonts w:ascii="Arial" w:cs="Arial" w:eastAsia="Arial" w:hAnsi="Arial"/>
          <w:sz w:val="18"/>
          <w:szCs w:val="18"/>
          <w:color w:val="auto"/>
        </w:rPr>
        <w:t xml:space="preserve"> and Refinancing Indebtedness in respect of any</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the foregoing;</w:t>
      </w:r>
    </w:p>
    <w:p>
      <w:pPr>
        <w:spacing w:after="0" w:line="242" w:lineRule="exact"/>
        <w:rPr>
          <w:rFonts w:ascii="Arial" w:cs="Arial" w:eastAsia="Arial" w:hAnsi="Arial"/>
          <w:sz w:val="18"/>
          <w:szCs w:val="18"/>
          <w:color w:val="auto"/>
        </w:rPr>
      </w:pPr>
    </w:p>
    <w:p>
      <w:pPr>
        <w:jc w:val="both"/>
        <w:ind w:firstLine="656"/>
        <w:spacing w:after="0" w:line="272" w:lineRule="auto"/>
        <w:tabs>
          <w:tab w:leader="none" w:pos="1516" w:val="left"/>
        </w:tabs>
        <w:numPr>
          <w:ilvl w:val="0"/>
          <w:numId w:val="84"/>
        </w:numPr>
        <w:rPr>
          <w:rFonts w:ascii="Arial" w:cs="Arial" w:eastAsia="Arial" w:hAnsi="Arial"/>
          <w:sz w:val="20"/>
          <w:szCs w:val="20"/>
          <w:color w:val="auto"/>
        </w:rPr>
      </w:pPr>
      <w:r>
        <w:rPr>
          <w:rFonts w:ascii="Arial" w:cs="Arial" w:eastAsia="Arial" w:hAnsi="Arial"/>
          <w:sz w:val="20"/>
          <w:szCs w:val="20"/>
          <w:color w:val="auto"/>
        </w:rPr>
        <w:t xml:space="preserve">Indebtedness of the Company or any Subsidiary to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Indebtedness owing by the Company or any other Loan Party shall be unsecured and shall be subordinated in right of payment to the Secured Obligations on terms customary for intercompany subordinated Indebtedness, as reasonably determined by the Administrative Agent, (B) any such Indebtedness owing to the Company or any other Loan Party shall be evidenced by a promissory note which shall have been pledged pursuant to the Security Agreement and (C) any such Indebtedness owing by any Subsidiary that is not a Loan Party to any Loan Party shall be incurred in compliance with </w:t>
      </w:r>
      <w:r>
        <w:rPr>
          <w:rFonts w:ascii="Arial" w:cs="Arial" w:eastAsia="Arial" w:hAnsi="Arial"/>
          <w:sz w:val="20"/>
          <w:szCs w:val="20"/>
          <w:u w:val="single" w:color="auto"/>
          <w:color w:val="auto"/>
        </w:rPr>
        <w:t>Section 6.04(d)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540" w:hanging="884"/>
        <w:spacing w:after="0"/>
        <w:tabs>
          <w:tab w:leader="none" w:pos="15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Guarantees incurred in compliance with Section 6.04;</w:t>
      </w:r>
    </w:p>
    <w:p>
      <w:pPr>
        <w:spacing w:after="0" w:line="242" w:lineRule="exact"/>
        <w:rPr>
          <w:rFonts w:ascii="Arial" w:cs="Arial" w:eastAsia="Arial" w:hAnsi="Arial"/>
          <w:sz w:val="20"/>
          <w:szCs w:val="20"/>
          <w:color w:val="auto"/>
        </w:rPr>
      </w:pPr>
    </w:p>
    <w:p>
      <w:pPr>
        <w:ind w:firstLine="656"/>
        <w:spacing w:after="0" w:line="289" w:lineRule="auto"/>
        <w:tabs>
          <w:tab w:leader="none" w:pos="1516" w:val="left"/>
        </w:tabs>
        <w:numPr>
          <w:ilvl w:val="0"/>
          <w:numId w:val="84"/>
        </w:numPr>
        <w:rPr>
          <w:rFonts w:ascii="Arial" w:cs="Arial" w:eastAsia="Arial" w:hAnsi="Arial"/>
          <w:sz w:val="20"/>
          <w:szCs w:val="20"/>
          <w:color w:val="auto"/>
        </w:rPr>
      </w:pPr>
      <w:r>
        <w:rPr>
          <w:rFonts w:ascii="Arial" w:cs="Arial" w:eastAsia="Arial" w:hAnsi="Arial"/>
          <w:sz w:val="20"/>
          <w:szCs w:val="20"/>
          <w:color w:val="auto"/>
        </w:rPr>
        <w:t>Permitted First Priority Refinancing Indebtedness, Permitted Second Priority Refinancing Indebtedness and any Refinancing Indebtedness in respect of any of the foregoing;</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494" w:val="left"/>
        </w:tabs>
        <w:numPr>
          <w:ilvl w:val="0"/>
          <w:numId w:val="84"/>
        </w:numPr>
        <w:rPr>
          <w:rFonts w:ascii="Arial" w:cs="Arial" w:eastAsia="Arial" w:hAnsi="Arial"/>
          <w:sz w:val="20"/>
          <w:szCs w:val="20"/>
          <w:color w:val="auto"/>
        </w:rPr>
      </w:pPr>
      <w:r>
        <w:rPr>
          <w:rFonts w:ascii="Arial" w:cs="Arial" w:eastAsia="Arial" w:hAnsi="Arial"/>
          <w:sz w:val="20"/>
          <w:szCs w:val="20"/>
          <w:color w:val="auto"/>
        </w:rPr>
        <w:t>(i)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811" w:right="239" w:bottom="1440" w:gutter="0" w:footer="0" w:header="0"/>
        </w:sectPr>
      </w:pPr>
    </w:p>
    <w:bookmarkStart w:id="89" w:name="page90"/>
    <w:bookmarkEnd w:id="89"/>
    <w:p>
      <w:pPr>
        <w:jc w:val="both"/>
        <w:spacing w:after="0" w:line="322" w:lineRule="auto"/>
        <w:rPr>
          <w:sz w:val="20"/>
          <w:szCs w:val="20"/>
          <w:color w:val="auto"/>
        </w:rPr>
      </w:pPr>
      <w:r>
        <w:rPr>
          <w:rFonts w:ascii="Arial" w:cs="Arial" w:eastAsia="Arial" w:hAnsi="Arial"/>
          <w:sz w:val="18"/>
          <w:szCs w:val="18"/>
          <w:color w:val="auto"/>
        </w:rPr>
        <w:t xml:space="preserve">the acquisition of any such assets or secured by a Lien on any such assets prior to the acquisition thereof and (ii) Refinancing Indebtedness in respect of Indebtedness incurred or assumed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permitted by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not exceed the greater of (x) $30,000,000 and (y) 3% of Consolidated Total Assets (at the time of incurrence);</w:t>
      </w:r>
    </w:p>
    <w:p>
      <w:pPr>
        <w:spacing w:after="0" w:line="153" w:lineRule="exact"/>
        <w:rPr>
          <w:sz w:val="20"/>
          <w:szCs w:val="20"/>
          <w:color w:val="auto"/>
        </w:rPr>
      </w:pPr>
    </w:p>
    <w:p>
      <w:pPr>
        <w:jc w:val="both"/>
        <w:ind w:firstLine="656"/>
        <w:spacing w:after="0" w:line="286" w:lineRule="auto"/>
        <w:tabs>
          <w:tab w:leader="none" w:pos="1527"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aggregate principal amount of Indebtedness permitted by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shall not exceed the greater of (x) $50,000,000 and (y) 5% of Consolidated Total Assets (at the time of incurrence);</w:t>
      </w:r>
    </w:p>
    <w:p>
      <w:pPr>
        <w:spacing w:after="0" w:line="185" w:lineRule="exact"/>
        <w:rPr>
          <w:rFonts w:ascii="Arial" w:cs="Arial" w:eastAsia="Arial" w:hAnsi="Arial"/>
          <w:sz w:val="19"/>
          <w:szCs w:val="19"/>
          <w:color w:val="auto"/>
        </w:rPr>
      </w:pPr>
    </w:p>
    <w:p>
      <w:pPr>
        <w:jc w:val="both"/>
        <w:ind w:firstLine="656"/>
        <w:spacing w:after="0" w:line="297" w:lineRule="auto"/>
        <w:tabs>
          <w:tab w:leader="none" w:pos="15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Permitted Unsecured Indebtedness and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prior to and immediately after giving effect (including pro forma effect) to the incurrence of any Permitted Unsecured Indebtedness under this </w:t>
      </w:r>
      <w:r>
        <w:rPr>
          <w:rFonts w:ascii="Arial" w:cs="Arial" w:eastAsia="Arial" w:hAnsi="Arial"/>
          <w:sz w:val="18"/>
          <w:szCs w:val="18"/>
          <w:u w:val="single" w:color="auto"/>
          <w:color w:val="auto"/>
        </w:rPr>
        <w:t>clause</w:t>
      </w:r>
    </w:p>
    <w:p>
      <w:pPr>
        <w:jc w:val="both"/>
        <w:spacing w:after="0" w:line="286" w:lineRule="auto"/>
        <w:rPr>
          <w:rFonts w:ascii="Arial" w:cs="Arial" w:eastAsia="Arial" w:hAnsi="Arial"/>
          <w:sz w:val="18"/>
          <w:szCs w:val="18"/>
          <w:color w:val="auto"/>
        </w:rPr>
      </w:pPr>
      <w:r>
        <w:rPr>
          <w:rFonts w:ascii="Arial" w:cs="Arial" w:eastAsia="Arial" w:hAnsi="Arial"/>
          <w:sz w:val="19"/>
          <w:szCs w:val="19"/>
          <w:u w:val="single" w:color="auto"/>
          <w:color w:val="auto"/>
        </w:rPr>
        <w:t>(h)</w:t>
      </w:r>
      <w:r>
        <w:rPr>
          <w:rFonts w:ascii="Arial" w:cs="Arial" w:eastAsia="Arial" w:hAnsi="Arial"/>
          <w:sz w:val="19"/>
          <w:szCs w:val="19"/>
          <w:color w:val="auto"/>
        </w:rPr>
        <w:t xml:space="preserve">, no Default shall have occurred and be continuing, (ii) immediately after giving effect (including pro forma effect) to the incurrence of any Permitted Unsecured Indebtedness, the Total Net Leverage Ratio, calculated on a pro forma basis for the most recently ended Test Period, shall not exceed 4.25 to 1.00, and (iii) the Company will, on the date of incurrence of such Indebtedness, deliver to the Administrative Agent a certificate of a Financial Officer of the Company, dated such date, confirming the satisfaction of the conditions set forth above and attaching a reasonably detailed calculation evidencing compliance with the condition set forth in the preceding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identifying the Permitted Unsecured Indebtedness being incurred and specifying that it is being incurred pursuant to this </w:t>
      </w:r>
      <w:r>
        <w:rPr>
          <w:rFonts w:ascii="Arial" w:cs="Arial" w:eastAsia="Arial" w:hAnsi="Arial"/>
          <w:sz w:val="19"/>
          <w:szCs w:val="19"/>
          <w:u w:val="single" w:color="auto"/>
          <w:color w:val="auto"/>
        </w:rPr>
        <w:t>clause (h)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aggregate amount of Indebtedness incurred by a Subsidiary that is not a Loan Party under this </w:t>
      </w:r>
      <w:r>
        <w:rPr>
          <w:rFonts w:ascii="Arial" w:cs="Arial" w:eastAsia="Arial" w:hAnsi="Arial"/>
          <w:sz w:val="19"/>
          <w:szCs w:val="19"/>
          <w:u w:val="single" w:color="auto"/>
          <w:color w:val="auto"/>
        </w:rPr>
        <w:t>Section 6.01(h)</w:t>
      </w:r>
      <w:r>
        <w:rPr>
          <w:rFonts w:ascii="Arial" w:cs="Arial" w:eastAsia="Arial" w:hAnsi="Arial"/>
          <w:sz w:val="19"/>
          <w:szCs w:val="19"/>
          <w:color w:val="auto"/>
        </w:rPr>
        <w:t xml:space="preserve"> shall not exceed the greater of (x) $30,000,000 and (y) 3% of Consolidated Total Assets (at the time of incurrence);</w:t>
      </w:r>
    </w:p>
    <w:p>
      <w:pPr>
        <w:spacing w:after="0" w:line="185" w:lineRule="exact"/>
        <w:rPr>
          <w:rFonts w:ascii="Arial" w:cs="Arial" w:eastAsia="Arial" w:hAnsi="Arial"/>
          <w:sz w:val="18"/>
          <w:szCs w:val="18"/>
          <w:color w:val="auto"/>
        </w:rPr>
      </w:pPr>
    </w:p>
    <w:p>
      <w:pPr>
        <w:ind w:firstLine="656"/>
        <w:spacing w:after="0" w:line="316" w:lineRule="auto"/>
        <w:tabs>
          <w:tab w:leader="none" w:pos="1483"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and owed in respect of any overdrafts and related liabilities arising from treasury, depository and cash management services or in connection with any automated clearing-house transfers of funds;</w:t>
      </w:r>
    </w:p>
    <w:p>
      <w:pPr>
        <w:spacing w:after="0" w:line="153" w:lineRule="exact"/>
        <w:rPr>
          <w:rFonts w:ascii="Arial" w:cs="Arial" w:eastAsia="Arial" w:hAnsi="Arial"/>
          <w:sz w:val="19"/>
          <w:szCs w:val="19"/>
          <w:color w:val="auto"/>
        </w:rPr>
      </w:pPr>
    </w:p>
    <w:p>
      <w:pPr>
        <w:jc w:val="both"/>
        <w:ind w:firstLine="656"/>
        <w:spacing w:after="0" w:line="307" w:lineRule="auto"/>
        <w:tabs>
          <w:tab w:leader="none" w:pos="1483"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Indebtedness in respect of (1) letters of credit, bank guarantees and similar instruments issued for the account of, and (2) lines of credit established for the account of, the Company or any Subsidiary, in the case of each of clauses (1) and (2) in the ordinary course of business supporting or drawn to support, as applicable,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67" w:lineRule="exact"/>
        <w:rPr>
          <w:rFonts w:ascii="Arial" w:cs="Arial" w:eastAsia="Arial" w:hAnsi="Arial"/>
          <w:sz w:val="18"/>
          <w:szCs w:val="18"/>
          <w:color w:val="auto"/>
        </w:rPr>
      </w:pPr>
    </w:p>
    <w:p>
      <w:pPr>
        <w:ind w:firstLine="656"/>
        <w:spacing w:after="0" w:line="289" w:lineRule="auto"/>
        <w:tabs>
          <w:tab w:leader="none" w:pos="1527"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Indebtedness consisting of (i) client advances or deposits received in the ordinary course of business and (ii) obligations in respect of Repurchase Agreements;</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483" w:val="left"/>
        </w:tabs>
        <w:numPr>
          <w:ilvl w:val="0"/>
          <w:numId w:val="85"/>
        </w:numPr>
        <w:rPr>
          <w:rFonts w:ascii="Arial" w:cs="Arial" w:eastAsia="Arial" w:hAnsi="Arial"/>
          <w:sz w:val="20"/>
          <w:szCs w:val="20"/>
          <w:color w:val="auto"/>
        </w:rPr>
      </w:pPr>
      <w:r>
        <w:rPr>
          <w:rFonts w:ascii="Arial" w:cs="Arial" w:eastAsia="Arial" w:hAnsi="Arial"/>
          <w:sz w:val="20"/>
          <w:szCs w:val="20"/>
          <w:color w:val="auto"/>
        </w:rPr>
        <w:t>Indebtedness of the Company or any Subsidiary in the form of purchase price adjustments (including in respect of working capital), earnouts, deferred compensation, indemnification or other arrangements representing acquisition consideration or deferred payments of a similar nature incurred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825"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 xml:space="preserve">connection with any Permitted Acquisition or other Investments permitted under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04</w:t>
      </w:r>
      <w:r>
        <w:rPr>
          <w:rFonts w:ascii="Arial" w:cs="Arial" w:eastAsia="Arial" w:hAnsi="Arial"/>
          <w:sz w:val="18"/>
          <w:szCs w:val="18"/>
          <w:color w:val="auto"/>
        </w:rPr>
        <w:t xml:space="preserve"> or Dispositions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278" w:lineRule="auto"/>
        <w:tabs>
          <w:tab w:leader="none" w:pos="1582"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Indebtedness of Foreign Subsidiaries and Refinancing Indebtedness in respect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permitted by this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shall not exceed the greater of (x) $50,000,000 and (y) 5% of Consolidated Total Assets (at the time of incurrence);</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86"/>
        </w:numPr>
        <w:rPr>
          <w:rFonts w:ascii="Arial" w:cs="Arial" w:eastAsia="Arial" w:hAnsi="Arial"/>
          <w:sz w:val="20"/>
          <w:szCs w:val="20"/>
          <w:color w:val="auto"/>
        </w:rPr>
      </w:pPr>
      <w:r>
        <w:rPr>
          <w:rFonts w:ascii="Arial" w:cs="Arial" w:eastAsia="Arial" w:hAnsi="Arial"/>
          <w:sz w:val="20"/>
          <w:szCs w:val="20"/>
          <w:color w:val="auto"/>
        </w:rPr>
        <w:t>other unsecured and Subordinated Indebtedness not otherwise described above, and Refinancing Indebtedness in respect thereof, in an aggregate principal amount at any time outstanding not in excess of the greater of (x) $50,000,000 and (y) 5% of Consolidated Total Assets;</w:t>
      </w:r>
    </w:p>
    <w:p>
      <w:pPr>
        <w:spacing w:after="0" w:line="186" w:lineRule="exact"/>
        <w:rPr>
          <w:rFonts w:ascii="Arial" w:cs="Arial" w:eastAsia="Arial" w:hAnsi="Arial"/>
          <w:sz w:val="20"/>
          <w:szCs w:val="20"/>
          <w:color w:val="auto"/>
        </w:rPr>
      </w:pPr>
    </w:p>
    <w:p>
      <w:pPr>
        <w:ind w:firstLine="656"/>
        <w:spacing w:after="0" w:line="289" w:lineRule="auto"/>
        <w:tabs>
          <w:tab w:leader="none" w:pos="1527" w:val="left"/>
        </w:tabs>
        <w:numPr>
          <w:ilvl w:val="0"/>
          <w:numId w:val="86"/>
        </w:numPr>
        <w:rPr>
          <w:rFonts w:ascii="Arial" w:cs="Arial" w:eastAsia="Arial" w:hAnsi="Arial"/>
          <w:sz w:val="20"/>
          <w:szCs w:val="20"/>
          <w:color w:val="auto"/>
        </w:rPr>
      </w:pPr>
      <w:r>
        <w:rPr>
          <w:rFonts w:ascii="Arial" w:cs="Arial" w:eastAsia="Arial" w:hAnsi="Arial"/>
          <w:sz w:val="20"/>
          <w:szCs w:val="20"/>
          <w:color w:val="auto"/>
        </w:rPr>
        <w:t>unfunded pension fund and other employee benefit plan obligations and liabilities to the extent they are permitted to remain unfunded under applicable law;</w:t>
      </w:r>
    </w:p>
    <w:p>
      <w:pPr>
        <w:spacing w:after="0" w:line="175" w:lineRule="exact"/>
        <w:rPr>
          <w:rFonts w:ascii="Arial" w:cs="Arial" w:eastAsia="Arial" w:hAnsi="Arial"/>
          <w:sz w:val="20"/>
          <w:szCs w:val="20"/>
          <w:color w:val="auto"/>
        </w:rPr>
      </w:pPr>
    </w:p>
    <w:p>
      <w:pPr>
        <w:jc w:val="both"/>
        <w:ind w:firstLine="656"/>
        <w:spacing w:after="0" w:line="299" w:lineRule="auto"/>
        <w:tabs>
          <w:tab w:leader="none" w:pos="1527"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69" w:lineRule="exact"/>
        <w:rPr>
          <w:rFonts w:ascii="Arial" w:cs="Arial" w:eastAsia="Arial" w:hAnsi="Arial"/>
          <w:sz w:val="19"/>
          <w:szCs w:val="19"/>
          <w:color w:val="auto"/>
        </w:rPr>
      </w:pPr>
    </w:p>
    <w:p>
      <w:pPr>
        <w:ind w:left="1500" w:hanging="844"/>
        <w:spacing w:after="0"/>
        <w:tabs>
          <w:tab w:leader="none" w:pos="15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Indebtedness in respect to judgments or awards under circumstances not giving rise to an Event of Default;</w:t>
      </w:r>
    </w:p>
    <w:p>
      <w:pPr>
        <w:spacing w:after="0" w:line="242" w:lineRule="exact"/>
        <w:rPr>
          <w:rFonts w:ascii="Arial" w:cs="Arial" w:eastAsia="Arial" w:hAnsi="Arial"/>
          <w:sz w:val="20"/>
          <w:szCs w:val="20"/>
          <w:color w:val="auto"/>
        </w:rPr>
      </w:pPr>
    </w:p>
    <w:p>
      <w:pPr>
        <w:ind w:left="1520" w:hanging="864"/>
        <w:spacing w:after="0"/>
        <w:tabs>
          <w:tab w:leader="none" w:pos="152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Indebtedness in respect of obligations that are being contested in accordance with Section 5.04;</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483"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Indebtedness representing deferred compensation, severance, pension, and health and welfare retirement benefits or the equivalent to current and former employees of the Company and its Subsidiaries incurred in the ordinary course of business or existing on the Effective Date; and</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Indebtedness consisting of promissory notes issued by the Company or any Subsidiary to present or former employees, officers, directors or consultants (or their estates or beneficiaries under their estates) to finance the purchase or redemption of Equity Interests of the Company permitted by Section 6.09; and</w:t>
      </w:r>
    </w:p>
    <w:p>
      <w:pPr>
        <w:spacing w:after="0" w:line="186" w:lineRule="exact"/>
        <w:rPr>
          <w:rFonts w:ascii="Arial" w:cs="Arial" w:eastAsia="Arial" w:hAnsi="Arial"/>
          <w:sz w:val="20"/>
          <w:szCs w:val="20"/>
          <w:color w:val="auto"/>
        </w:rPr>
      </w:pPr>
    </w:p>
    <w:p>
      <w:pPr>
        <w:ind w:left="1540" w:hanging="884"/>
        <w:spacing w:after="0"/>
        <w:tabs>
          <w:tab w:leader="none" w:pos="154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Incremental Equivalent Debt and any Refinancing Indebtedness thereof.</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For purposes of determining compliance with this Section 6.01, in the event that an item of Indebtedness (or any portion thereof) meets the criteria of more than one of the categories of permitted Indebtedness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above, the Company, in its sole discretion, will be permitted to divide and classify such item of Indebtedness (or any portion thereof) on the date of incurrence, and at any time and from time to time may later reclassify all or any portion of any item of Indebtedness as having been incurred under any category of permitted Indebtedness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(v)</w:t>
      </w:r>
      <w:r>
        <w:rPr>
          <w:rFonts w:ascii="Arial" w:cs="Arial" w:eastAsia="Arial" w:hAnsi="Arial"/>
          <w:sz w:val="20"/>
          <w:szCs w:val="20"/>
          <w:color w:val="auto"/>
        </w:rPr>
        <w:t xml:space="preserve"> above so long as such Indebtedness is permitted to be incurred pursuant to such provision at the time of reclassification.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825" w:right="239" w:bottom="1440" w:gutter="0" w:footer="0" w:header="0"/>
        </w:sectPr>
      </w:pPr>
    </w:p>
    <w:bookmarkStart w:id="91" w:name="page92"/>
    <w:bookmarkEnd w:id="91"/>
    <w:p>
      <w:pPr>
        <w:jc w:val="both"/>
        <w:ind w:firstLine="648"/>
        <w:spacing w:after="0" w:line="278"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Liens.</w:t>
      </w:r>
      <w:r>
        <w:rPr>
          <w:rFonts w:ascii="Arial" w:cs="Arial" w:eastAsia="Arial" w:hAnsi="Arial"/>
          <w:sz w:val="20"/>
          <w:szCs w:val="20"/>
          <w:color w:val="auto"/>
        </w:rPr>
        <w:t xml:space="preserve">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7" w:lineRule="exact"/>
        <w:rPr>
          <w:sz w:val="20"/>
          <w:szCs w:val="20"/>
          <w:color w:val="auto"/>
        </w:rPr>
      </w:pPr>
    </w:p>
    <w:p>
      <w:pPr>
        <w:jc w:val="both"/>
        <w:ind w:firstLine="656"/>
        <w:spacing w:after="0" w:line="322" w:lineRule="auto"/>
        <w:tabs>
          <w:tab w:leader="none" w:pos="151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 Liens created under the Loan Documents and (ii) Lien on Collateral of the Loan Parties securing Indebtedness under the ABL Credit Agreement incurred pursuant to </w:t>
      </w:r>
      <w:r>
        <w:rPr>
          <w:rFonts w:ascii="Arial" w:cs="Arial" w:eastAsia="Arial" w:hAnsi="Arial"/>
          <w:sz w:val="18"/>
          <w:szCs w:val="18"/>
          <w:u w:val="single" w:color="auto"/>
          <w:color w:val="auto"/>
        </w:rPr>
        <w:t>Section 6.01(a)(ii)</w:t>
      </w:r>
      <w:r>
        <w:rPr>
          <w:rFonts w:ascii="Arial" w:cs="Arial" w:eastAsia="Arial" w:hAnsi="Arial"/>
          <w:sz w:val="18"/>
          <w:szCs w:val="18"/>
          <w:color w:val="auto"/>
        </w:rPr>
        <w:t xml:space="preserve"> (which Liens shall be subject to the ABL/Term Loan Intercreditor Agreement and, to the extent on Term Loan Priority Collateral, shall be junior to the Liens securing the Secured Obligations);</w:t>
      </w:r>
    </w:p>
    <w:p>
      <w:pPr>
        <w:spacing w:after="0" w:line="152" w:lineRule="exact"/>
        <w:rPr>
          <w:rFonts w:ascii="Arial" w:cs="Arial" w:eastAsia="Arial" w:hAnsi="Arial"/>
          <w:sz w:val="18"/>
          <w:szCs w:val="18"/>
          <w:color w:val="auto"/>
        </w:rPr>
      </w:pPr>
    </w:p>
    <w:p>
      <w:pPr>
        <w:ind w:left="1540" w:hanging="884"/>
        <w:spacing w:after="0"/>
        <w:tabs>
          <w:tab w:leader="none" w:pos="1540" w:val="left"/>
        </w:tabs>
        <w:numPr>
          <w:ilvl w:val="1"/>
          <w:numId w:val="87"/>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42" w:lineRule="exact"/>
        <w:rPr>
          <w:rFonts w:ascii="Arial" w:cs="Arial" w:eastAsia="Arial" w:hAnsi="Arial"/>
          <w:sz w:val="20"/>
          <w:szCs w:val="20"/>
          <w:color w:val="auto"/>
        </w:rPr>
      </w:pPr>
    </w:p>
    <w:p>
      <w:pPr>
        <w:jc w:val="both"/>
        <w:ind w:firstLine="656"/>
        <w:spacing w:after="0" w:line="305" w:lineRule="auto"/>
        <w:tabs>
          <w:tab w:leader="none" w:pos="1516"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any Lien on any asset of the Company or any Subsidiary existing on the Effective Date and set forth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asset of the Company or any Subsidiary other than (A) after-acquired property that is affixed or incorporated into the property covered by such Lien or financed by Indebtedness permitted under Section 6.01 and (B) proceeds and products thereof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as Refinancing Indebtedness in respect thereof;</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527"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Effective Date prior to the time such Person becomes a Subsidiary (or is so merged or consolidated);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w:t>
      </w:r>
    </w:p>
    <w:p>
      <w:pPr>
        <w:spacing w:after="0" w:line="2" w:lineRule="exact"/>
        <w:rPr>
          <w:rFonts w:ascii="Arial" w:cs="Arial" w:eastAsia="Arial" w:hAnsi="Arial"/>
          <w:sz w:val="18"/>
          <w:szCs w:val="18"/>
          <w:color w:val="auto"/>
        </w:rPr>
      </w:pPr>
    </w:p>
    <w:p>
      <w:pPr>
        <w:jc w:val="both"/>
        <w:ind w:firstLine="8"/>
        <w:spacing w:after="0" w:line="303" w:lineRule="auto"/>
        <w:tabs>
          <w:tab w:leader="none" w:pos="361"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proceeds or products of such assets, (B)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 acquisition, and (C)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8"/>
          <w:szCs w:val="18"/>
          <w:u w:val="single" w:color="auto"/>
          <w:color w:val="auto"/>
        </w:rPr>
        <w:t>Section 6.01(g)</w:t>
      </w:r>
      <w:r>
        <w:rPr>
          <w:rFonts w:ascii="Arial" w:cs="Arial" w:eastAsia="Arial" w:hAnsi="Arial"/>
          <w:sz w:val="18"/>
          <w:szCs w:val="18"/>
          <w:color w:val="auto"/>
        </w:rPr>
        <w:t xml:space="preserve"> as Refinancing Indebtedness in respect thereof;</w:t>
      </w:r>
    </w:p>
    <w:p>
      <w:pPr>
        <w:spacing w:after="0" w:line="173" w:lineRule="exact"/>
        <w:rPr>
          <w:rFonts w:ascii="Arial" w:cs="Arial" w:eastAsia="Arial" w:hAnsi="Arial"/>
          <w:sz w:val="18"/>
          <w:szCs w:val="18"/>
          <w:color w:val="auto"/>
        </w:rPr>
      </w:pPr>
    </w:p>
    <w:p>
      <w:pPr>
        <w:jc w:val="both"/>
        <w:ind w:firstLine="656"/>
        <w:spacing w:after="0" w:line="271" w:lineRule="auto"/>
        <w:tabs>
          <w:tab w:leader="none" w:pos="1516"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Liens on fixed or capital assets acquired, constructed or improved (including any such assets made the subject of a Capital Lease Obligation incurred) by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secure Indebtedness incurred to finance such acquisition, construction or improvement and permitted by </w:t>
      </w:r>
      <w:r>
        <w:rPr>
          <w:rFonts w:ascii="Arial" w:cs="Arial" w:eastAsia="Arial" w:hAnsi="Arial"/>
          <w:sz w:val="20"/>
          <w:szCs w:val="20"/>
          <w:u w:val="single" w:color="auto"/>
          <w:color w:val="auto"/>
        </w:rPr>
        <w:t>clause (f)(i)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or any Refinancing Indebtedness in respect thereof permitted by </w:t>
      </w:r>
      <w:r>
        <w:rPr>
          <w:rFonts w:ascii="Arial" w:cs="Arial" w:eastAsia="Arial" w:hAnsi="Arial"/>
          <w:sz w:val="20"/>
          <w:szCs w:val="20"/>
          <w:u w:val="single" w:color="auto"/>
          <w:color w:val="auto"/>
        </w:rPr>
        <w:t>clause (f)(ii)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and (ii) such Liens shall not apply to any other assets (except for replacements, additions and accessions to such assets) of the Company or any Subsidiary, other than the proceeds and products of such fixed 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individual financings of equipment provided by one lender may be cross collateralized to other financings of equipment provided by such lender;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825" w:right="239" w:bottom="1440" w:gutter="0" w:footer="0" w:header="0"/>
        </w:sectPr>
      </w:pPr>
    </w:p>
    <w:bookmarkStart w:id="92" w:name="page93"/>
    <w:bookmarkEnd w:id="92"/>
    <w:p>
      <w:pPr>
        <w:ind w:firstLine="656"/>
        <w:spacing w:after="0" w:line="316" w:lineRule="auto"/>
        <w:tabs>
          <w:tab w:leader="none" w:pos="1494"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in connection with the sale or transfer of any Equity Interests or other assets in a transaction permitted under </w:t>
      </w:r>
      <w:r>
        <w:rPr>
          <w:rFonts w:ascii="Arial" w:cs="Arial" w:eastAsia="Arial" w:hAnsi="Arial"/>
          <w:sz w:val="19"/>
          <w:szCs w:val="19"/>
          <w:u w:val="single" w:color="auto"/>
          <w:color w:val="auto"/>
        </w:rPr>
        <w:t>Section 6.05</w:t>
      </w:r>
      <w:r>
        <w:rPr>
          <w:rFonts w:ascii="Arial" w:cs="Arial" w:eastAsia="Arial" w:hAnsi="Arial"/>
          <w:sz w:val="19"/>
          <w:szCs w:val="19"/>
          <w:color w:val="auto"/>
        </w:rPr>
        <w:t>, customary rights and restrictions contained in agreements relating to such sale or transfer pending the completion thereof;</w:t>
      </w:r>
    </w:p>
    <w:p>
      <w:pPr>
        <w:spacing w:after="0" w:line="153" w:lineRule="exact"/>
        <w:rPr>
          <w:rFonts w:ascii="Arial" w:cs="Arial" w:eastAsia="Arial" w:hAnsi="Arial"/>
          <w:sz w:val="19"/>
          <w:szCs w:val="19"/>
          <w:color w:val="auto"/>
        </w:rPr>
      </w:pPr>
    </w:p>
    <w:p>
      <w:pPr>
        <w:jc w:val="both"/>
        <w:ind w:firstLine="656"/>
        <w:spacing w:after="0" w:line="274" w:lineRule="auto"/>
        <w:tabs>
          <w:tab w:leader="none" w:pos="1527" w:val="left"/>
        </w:tabs>
        <w:numPr>
          <w:ilvl w:val="0"/>
          <w:numId w:val="89"/>
        </w:numPr>
        <w:rPr>
          <w:rFonts w:ascii="Arial" w:cs="Arial" w:eastAsia="Arial" w:hAnsi="Arial"/>
          <w:sz w:val="20"/>
          <w:szCs w:val="20"/>
          <w:color w:val="auto"/>
        </w:rPr>
      </w:pPr>
      <w:r>
        <w:rPr>
          <w:rFonts w:ascii="Arial" w:cs="Arial" w:eastAsia="Arial" w:hAnsi="Arial"/>
          <w:sz w:val="20"/>
          <w:szCs w:val="20"/>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any Lien on assets of any Foreign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Collateral (including any Equity Interests in any Subsidiary that constitute Collateral) or any other assets of the Company or any other Loan Party and (ii) such Lien shall secure only Indebtedness or other obligations of such Foreign Subsidiary permitted hereunder;</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483" w:val="left"/>
        </w:tabs>
        <w:numPr>
          <w:ilvl w:val="0"/>
          <w:numId w:val="89"/>
        </w:numPr>
        <w:rPr>
          <w:rFonts w:ascii="Arial" w:cs="Arial" w:eastAsia="Arial" w:hAnsi="Arial"/>
          <w:sz w:val="20"/>
          <w:szCs w:val="20"/>
          <w:color w:val="auto"/>
        </w:rPr>
      </w:pPr>
      <w:r>
        <w:rPr>
          <w:rFonts w:ascii="Arial" w:cs="Arial" w:eastAsia="Arial" w:hAnsi="Arial"/>
          <w:sz w:val="20"/>
          <w:szCs w:val="20"/>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86" w:lineRule="exact"/>
        <w:rPr>
          <w:rFonts w:ascii="Arial" w:cs="Arial" w:eastAsia="Arial" w:hAnsi="Arial"/>
          <w:sz w:val="20"/>
          <w:szCs w:val="20"/>
          <w:color w:val="auto"/>
        </w:rPr>
      </w:pPr>
    </w:p>
    <w:p>
      <w:pPr>
        <w:ind w:right="20" w:firstLine="656"/>
        <w:spacing w:after="0" w:line="289" w:lineRule="auto"/>
        <w:tabs>
          <w:tab w:leader="none" w:pos="1483"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granted (i) by a Subsidiary that is not a Loan Party in respect of Indebtedness permitted to be incurred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6.01(c)</w:t>
      </w:r>
      <w:r>
        <w:rPr>
          <w:rFonts w:ascii="Arial" w:cs="Arial" w:eastAsia="Arial" w:hAnsi="Arial"/>
          <w:sz w:val="20"/>
          <w:szCs w:val="20"/>
          <w:color w:val="auto"/>
        </w:rPr>
        <w:t xml:space="preserve"> and (ii) by any Subsidiary in favor of any Loan Party;</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89"/>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56"/>
        <w:spacing w:after="0" w:line="287" w:lineRule="auto"/>
        <w:tabs>
          <w:tab w:leader="none" w:pos="1483"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(i) Permitted First Priority Refinancing Indebtedness permitted under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on a pari passu basis with the Liens on the Collateral securing the Secured Obligations, and, if secured by the Collateral,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on a junior basis to the Liens on the Collateral securing the Secured Obligations and, if secured by the Collateral,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trustee, collateral agent, security agent or other Person acting on behalf of the holders of such Indebtedness has entered into an Intercreditor Agreement;</w:t>
      </w:r>
    </w:p>
    <w:p>
      <w:pPr>
        <w:spacing w:after="0" w:line="183" w:lineRule="exact"/>
        <w:rPr>
          <w:rFonts w:ascii="Arial" w:cs="Arial" w:eastAsia="Arial" w:hAnsi="Arial"/>
          <w:sz w:val="19"/>
          <w:szCs w:val="19"/>
          <w:color w:val="auto"/>
        </w:rPr>
      </w:pPr>
    </w:p>
    <w:p>
      <w:pPr>
        <w:ind w:firstLine="656"/>
        <w:spacing w:after="0" w:line="289" w:lineRule="auto"/>
        <w:tabs>
          <w:tab w:leader="none" w:pos="1582" w:val="left"/>
        </w:tabs>
        <w:numPr>
          <w:ilvl w:val="0"/>
          <w:numId w:val="89"/>
        </w:numPr>
        <w:rPr>
          <w:rFonts w:ascii="Arial" w:cs="Arial" w:eastAsia="Arial" w:hAnsi="Arial"/>
          <w:sz w:val="20"/>
          <w:szCs w:val="20"/>
          <w:color w:val="auto"/>
        </w:rPr>
      </w:pPr>
      <w:r>
        <w:rPr>
          <w:rFonts w:ascii="Arial" w:cs="Arial" w:eastAsia="Arial" w:hAnsi="Arial"/>
          <w:sz w:val="20"/>
          <w:szCs w:val="20"/>
          <w:color w:val="auto"/>
        </w:rPr>
        <w:t>other Liens securing Indebtedness or other obligations in an aggregate principal amount not to exceed the greater of (x) $30,000,000 and (y) 3% of Consolidated Total Assets at any time outstanding;</w:t>
      </w:r>
    </w:p>
    <w:p>
      <w:pPr>
        <w:spacing w:after="0" w:line="175" w:lineRule="exact"/>
        <w:rPr>
          <w:rFonts w:ascii="Arial" w:cs="Arial" w:eastAsia="Arial" w:hAnsi="Arial"/>
          <w:sz w:val="20"/>
          <w:szCs w:val="20"/>
          <w:color w:val="auto"/>
        </w:rPr>
      </w:pPr>
    </w:p>
    <w:p>
      <w:pPr>
        <w:ind w:firstLine="656"/>
        <w:spacing w:after="0" w:line="289" w:lineRule="auto"/>
        <w:tabs>
          <w:tab w:leader="none" w:pos="1527" w:val="left"/>
        </w:tabs>
        <w:numPr>
          <w:ilvl w:val="0"/>
          <w:numId w:val="89"/>
        </w:numPr>
        <w:rPr>
          <w:rFonts w:ascii="Arial" w:cs="Arial" w:eastAsia="Arial" w:hAnsi="Arial"/>
          <w:sz w:val="20"/>
          <w:szCs w:val="20"/>
          <w:color w:val="auto"/>
        </w:rPr>
      </w:pPr>
      <w:r>
        <w:rPr>
          <w:rFonts w:ascii="Arial" w:cs="Arial" w:eastAsia="Arial" w:hAnsi="Arial"/>
          <w:sz w:val="20"/>
          <w:szCs w:val="20"/>
          <w:color w:val="auto"/>
        </w:rPr>
        <w:t>Liens arising out of any conditional sale, title retention, consignment or other similar arrangements for the sale of goods entered into by the Company or any Subsidiary in the ordinary course of business;</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Liens securing Indebtedness permitted hereunder to finance insurance premiums solely to the extent of such premiums;</w:t>
      </w:r>
    </w:p>
    <w:p>
      <w:pPr>
        <w:spacing w:after="0" w:line="265" w:lineRule="exact"/>
        <w:rPr>
          <w:rFonts w:ascii="Arial" w:cs="Arial" w:eastAsia="Arial" w:hAnsi="Arial"/>
          <w:sz w:val="18"/>
          <w:szCs w:val="18"/>
          <w:color w:val="auto"/>
        </w:rPr>
      </w:pPr>
    </w:p>
    <w:p>
      <w:pPr>
        <w:jc w:val="both"/>
        <w:ind w:firstLine="656"/>
        <w:spacing w:after="0" w:line="293" w:lineRule="auto"/>
        <w:tabs>
          <w:tab w:leader="none" w:pos="1527" w:val="left"/>
        </w:tabs>
        <w:numPr>
          <w:ilvl w:val="0"/>
          <w:numId w:val="89"/>
        </w:numPr>
        <w:rPr>
          <w:rFonts w:ascii="Arial" w:cs="Arial" w:eastAsia="Arial" w:hAnsi="Arial"/>
          <w:sz w:val="19"/>
          <w:szCs w:val="19"/>
          <w:color w:val="auto"/>
        </w:rPr>
      </w:pPr>
      <w:r>
        <w:rPr>
          <w:rFonts w:ascii="Arial" w:cs="Arial" w:eastAsia="Arial" w:hAnsi="Arial"/>
          <w:sz w:val="19"/>
          <w:szCs w:val="19"/>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825" w:right="239" w:bottom="1440" w:gutter="0" w:footer="0" w:header="0"/>
        </w:sectPr>
      </w:pPr>
    </w:p>
    <w:bookmarkStart w:id="93" w:name="page94"/>
    <w:bookmarkEnd w:id="93"/>
    <w:p>
      <w:pPr>
        <w:ind w:right="20" w:firstLine="656"/>
        <w:spacing w:after="0" w:line="316" w:lineRule="auto"/>
        <w:tabs>
          <w:tab w:leader="none" w:pos="1527" w:val="left"/>
        </w:tabs>
        <w:numPr>
          <w:ilvl w:val="0"/>
          <w:numId w:val="90"/>
        </w:numPr>
        <w:rPr>
          <w:rFonts w:ascii="Arial" w:cs="Arial" w:eastAsia="Arial" w:hAnsi="Arial"/>
          <w:sz w:val="19"/>
          <w:szCs w:val="19"/>
          <w:color w:val="auto"/>
        </w:rPr>
      </w:pPr>
      <w:r>
        <w:rPr>
          <w:rFonts w:ascii="Arial" w:cs="Arial" w:eastAsia="Arial" w:hAnsi="Arial"/>
          <w:sz w:val="19"/>
          <w:szCs w:val="19"/>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53" w:lineRule="exact"/>
        <w:rPr>
          <w:rFonts w:ascii="Arial" w:cs="Arial" w:eastAsia="Arial" w:hAnsi="Arial"/>
          <w:sz w:val="19"/>
          <w:szCs w:val="19"/>
          <w:color w:val="auto"/>
        </w:rPr>
      </w:pPr>
    </w:p>
    <w:p>
      <w:pPr>
        <w:jc w:val="both"/>
        <w:ind w:firstLine="656"/>
        <w:spacing w:after="0" w:line="314" w:lineRule="auto"/>
        <w:tabs>
          <w:tab w:leader="none" w:pos="1494"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 (ii) relating to pooled deposit or sweep accounts of the Company or any Subsidiary to permit satisfaction of overdraft or similar obligations incurred in the ordinary course of business of the or (3) relating to purchase orders and other agreements entered into with customers of the Company or any of Subsidiary in the ordinary course of business;</w:t>
      </w:r>
    </w:p>
    <w:p>
      <w:pPr>
        <w:spacing w:after="0" w:line="159" w:lineRule="exact"/>
        <w:rPr>
          <w:rFonts w:ascii="Arial" w:cs="Arial" w:eastAsia="Arial" w:hAnsi="Arial"/>
          <w:sz w:val="18"/>
          <w:szCs w:val="18"/>
          <w:color w:val="auto"/>
        </w:rPr>
      </w:pPr>
    </w:p>
    <w:p>
      <w:pPr>
        <w:ind w:left="1520" w:hanging="864"/>
        <w:spacing w:after="0"/>
        <w:tabs>
          <w:tab w:leader="none" w:pos="1520" w:val="left"/>
        </w:tabs>
        <w:numPr>
          <w:ilvl w:val="0"/>
          <w:numId w:val="90"/>
        </w:numPr>
        <w:rPr>
          <w:rFonts w:ascii="Arial" w:cs="Arial" w:eastAsia="Arial" w:hAnsi="Arial"/>
          <w:sz w:val="20"/>
          <w:szCs w:val="20"/>
          <w:color w:val="auto"/>
        </w:rPr>
      </w:pPr>
      <w:r>
        <w:rPr>
          <w:rFonts w:ascii="Arial" w:cs="Arial" w:eastAsia="Arial" w:hAnsi="Arial"/>
          <w:sz w:val="20"/>
          <w:szCs w:val="20"/>
          <w:color w:val="auto"/>
        </w:rPr>
        <w:t>Liens deemed to exist in connection with Investments in repurchase agreements under Section 6.04;</w:t>
      </w:r>
    </w:p>
    <w:p>
      <w:pPr>
        <w:spacing w:after="0" w:line="242" w:lineRule="exact"/>
        <w:rPr>
          <w:rFonts w:ascii="Arial" w:cs="Arial" w:eastAsia="Arial" w:hAnsi="Arial"/>
          <w:sz w:val="20"/>
          <w:szCs w:val="20"/>
          <w:color w:val="auto"/>
        </w:rPr>
      </w:pPr>
    </w:p>
    <w:p>
      <w:pPr>
        <w:jc w:val="both"/>
        <w:ind w:firstLine="656"/>
        <w:spacing w:after="0" w:line="293" w:lineRule="auto"/>
        <w:tabs>
          <w:tab w:leader="none" w:pos="1483"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the modification, replacement, renewal or extension of any Lien permitted by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is permitted by Section 6.01 (to the extent constituting Indebtedness); and</w:t>
      </w:r>
    </w:p>
    <w:p>
      <w:pPr>
        <w:spacing w:after="0" w:line="175" w:lineRule="exact"/>
        <w:rPr>
          <w:rFonts w:ascii="Arial" w:cs="Arial" w:eastAsia="Arial" w:hAnsi="Arial"/>
          <w:sz w:val="19"/>
          <w:szCs w:val="19"/>
          <w:color w:val="auto"/>
        </w:rPr>
      </w:pPr>
    </w:p>
    <w:p>
      <w:pPr>
        <w:jc w:val="both"/>
        <w:ind w:firstLine="656"/>
        <w:spacing w:after="0" w:line="314" w:lineRule="auto"/>
        <w:tabs>
          <w:tab w:leader="none" w:pos="1527"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Liens in favor of customs and revenue authorities arising as a matter of law to secure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46"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For purposes of determining compliance with this Section 6.02, (A) a Lien securing an item of Indebtedness need not be permitted solely by reference to one category of permitted Liens (or any portion thereof) described in clauses (a) through (u) but may be permitted in part under any combination thereof and (B) in the event that a Lien securing an item of Indebtedness (or any portion thereof) meets the criteria of one or more of the categories of permitted Liens (or any portion thereof) described in clauses (a) through (u), the Company may, in its sole discretion, classify or divide such Lien securing such item of Indebtedness (or any portion thereof) in any manner that complies with this Section 6.02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200" w:lineRule="exact"/>
        <w:rPr>
          <w:sz w:val="20"/>
          <w:szCs w:val="20"/>
          <w:color w:val="auto"/>
        </w:rPr>
      </w:pPr>
    </w:p>
    <w:p>
      <w:pPr>
        <w:spacing w:after="0" w:line="212"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u w:val="single" w:color="auto"/>
          <w:color w:val="auto"/>
        </w:rPr>
        <w:t>Fundamental Changes.</w:t>
      </w:r>
    </w:p>
    <w:p>
      <w:pPr>
        <w:spacing w:after="0" w:line="243" w:lineRule="exact"/>
        <w:rPr>
          <w:sz w:val="20"/>
          <w:szCs w:val="20"/>
          <w:color w:val="auto"/>
        </w:rPr>
      </w:pPr>
    </w:p>
    <w:p>
      <w:pPr>
        <w:jc w:val="both"/>
        <w:ind w:firstLine="656"/>
        <w:spacing w:after="0" w:line="278" w:lineRule="auto"/>
        <w:tabs>
          <w:tab w:leader="none" w:pos="1516"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None of the Company 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w:t>
      </w:r>
    </w:p>
    <w:p>
      <w:pPr>
        <w:spacing w:after="0" w:line="186" w:lineRule="exact"/>
        <w:rPr>
          <w:rFonts w:ascii="Arial" w:cs="Arial" w:eastAsia="Arial" w:hAnsi="Arial"/>
          <w:sz w:val="20"/>
          <w:szCs w:val="20"/>
          <w:color w:val="auto"/>
        </w:rPr>
      </w:pPr>
    </w:p>
    <w:p>
      <w:pPr>
        <w:jc w:val="both"/>
        <w:ind w:left="660" w:right="20" w:firstLine="645"/>
        <w:spacing w:after="0" w:line="278" w:lineRule="auto"/>
        <w:tabs>
          <w:tab w:leader="none" w:pos="2143" w:val="left"/>
        </w:tabs>
        <w:numPr>
          <w:ilvl w:val="1"/>
          <w:numId w:val="91"/>
        </w:numPr>
        <w:rPr>
          <w:rFonts w:ascii="Arial" w:cs="Arial" w:eastAsia="Arial" w:hAnsi="Arial"/>
          <w:sz w:val="20"/>
          <w:szCs w:val="20"/>
          <w:color w:val="auto"/>
        </w:rPr>
      </w:pPr>
      <w:r>
        <w:rPr>
          <w:rFonts w:ascii="Arial" w:cs="Arial" w:eastAsia="Arial" w:hAnsi="Arial"/>
          <w:sz w:val="20"/>
          <w:szCs w:val="20"/>
          <w:color w:val="auto"/>
        </w:rPr>
        <w:t xml:space="preserve">any Person (other than the Company or any Subsidiary) may merge or consolidate with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or consolidation involving (A) the Company must result in the Company as the surviving entity, (B) the Borrower must result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825" w:right="239" w:bottom="1440" w:gutter="0" w:footer="0" w:header="0"/>
        </w:sectPr>
      </w:pPr>
    </w:p>
    <w:bookmarkStart w:id="94" w:name="page95"/>
    <w:bookmarkEnd w:id="94"/>
    <w:p>
      <w:pPr>
        <w:jc w:val="both"/>
        <w:ind w:left="660"/>
        <w:spacing w:after="0" w:line="250" w:lineRule="auto"/>
        <w:rPr>
          <w:sz w:val="20"/>
          <w:szCs w:val="20"/>
          <w:color w:val="auto"/>
        </w:rPr>
      </w:pPr>
      <w:r>
        <w:rPr>
          <w:rFonts w:ascii="Arial" w:cs="Arial" w:eastAsia="Arial" w:hAnsi="Arial"/>
          <w:sz w:val="20"/>
          <w:szCs w:val="20"/>
          <w:color w:val="auto"/>
        </w:rPr>
        <w:t>the Borrower as the surviving entity and (C) a Loan Party must result in such Loan Party as the surviving entity or, if such Loan Party is not the surviving entity of such merger or consolidation, the Person surviving such merger or consolidation becomes a Loan Party following the consummation of such merger or consolidation in accordance with Section 5.14(a);</w:t>
      </w:r>
    </w:p>
    <w:p>
      <w:pPr>
        <w:spacing w:after="0" w:line="200" w:lineRule="exact"/>
        <w:rPr>
          <w:sz w:val="20"/>
          <w:szCs w:val="20"/>
          <w:color w:val="auto"/>
        </w:rPr>
      </w:pPr>
    </w:p>
    <w:p>
      <w:pPr>
        <w:jc w:val="both"/>
        <w:ind w:left="660" w:right="20" w:firstLine="645"/>
        <w:spacing w:after="0" w:line="278" w:lineRule="auto"/>
        <w:tabs>
          <w:tab w:leader="none" w:pos="2198" w:val="left"/>
        </w:tabs>
        <w:numPr>
          <w:ilvl w:val="1"/>
          <w:numId w:val="92"/>
        </w:numPr>
        <w:rPr>
          <w:rFonts w:ascii="Arial" w:cs="Arial" w:eastAsia="Arial" w:hAnsi="Arial"/>
          <w:sz w:val="20"/>
          <w:szCs w:val="20"/>
          <w:color w:val="auto"/>
        </w:rPr>
      </w:pPr>
      <w:r>
        <w:rPr>
          <w:rFonts w:ascii="Arial" w:cs="Arial" w:eastAsia="Arial" w:hAnsi="Arial"/>
          <w:sz w:val="20"/>
          <w:szCs w:val="20"/>
          <w:color w:val="auto"/>
        </w:rPr>
        <w:t>any Subsidiary may merge into or consolidate with a Loan Party in a transaction in which the surviving entity is such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involving (A) the Company must result in the Company as the surviving entity and (B) the Borrower must result in the Borrower as the surviving entity);</w:t>
      </w:r>
    </w:p>
    <w:p>
      <w:pPr>
        <w:spacing w:after="0" w:line="186" w:lineRule="exact"/>
        <w:rPr>
          <w:rFonts w:ascii="Arial" w:cs="Arial" w:eastAsia="Arial" w:hAnsi="Arial"/>
          <w:sz w:val="20"/>
          <w:szCs w:val="20"/>
          <w:color w:val="auto"/>
        </w:rPr>
      </w:pPr>
    </w:p>
    <w:p>
      <w:pPr>
        <w:ind w:left="2240" w:hanging="935"/>
        <w:spacing w:after="0"/>
        <w:tabs>
          <w:tab w:leader="none" w:pos="22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Subsidiary that is not a Loan Party may merge into or consolidate with another Subsidiary that is not a Loan</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Party;</w:t>
      </w:r>
    </w:p>
    <w:p>
      <w:pPr>
        <w:spacing w:after="0" w:line="242" w:lineRule="exact"/>
        <w:rPr>
          <w:rFonts w:ascii="Arial" w:cs="Arial" w:eastAsia="Arial" w:hAnsi="Arial"/>
          <w:sz w:val="18"/>
          <w:szCs w:val="18"/>
          <w:color w:val="auto"/>
        </w:rPr>
      </w:pPr>
    </w:p>
    <w:p>
      <w:pPr>
        <w:jc w:val="both"/>
        <w:ind w:left="660" w:firstLine="645"/>
        <w:spacing w:after="0" w:line="278" w:lineRule="auto"/>
        <w:tabs>
          <w:tab w:leader="none" w:pos="2242" w:val="left"/>
        </w:tabs>
        <w:numPr>
          <w:ilvl w:val="1"/>
          <w:numId w:val="92"/>
        </w:numPr>
        <w:rPr>
          <w:rFonts w:ascii="Arial" w:cs="Arial" w:eastAsia="Arial" w:hAnsi="Arial"/>
          <w:sz w:val="20"/>
          <w:szCs w:val="20"/>
          <w:color w:val="auto"/>
        </w:rPr>
      </w:pPr>
      <w:r>
        <w:rPr>
          <w:rFonts w:ascii="Arial" w:cs="Arial" w:eastAsia="Arial" w:hAnsi="Arial"/>
          <w:sz w:val="20"/>
          <w:szCs w:val="20"/>
          <w:color w:val="auto"/>
        </w:rPr>
        <w:t>any Subsidiary that is not a Loan Party may liquidate, wind up or dissolve if the Company determines in good faith that such liquidation, winding up or dissolution is in the best interests of the Company and its Subsidiaries and is not materially disadvantageous to the Lenders; and</w:t>
      </w:r>
    </w:p>
    <w:p>
      <w:pPr>
        <w:spacing w:after="0" w:line="186" w:lineRule="exact"/>
        <w:rPr>
          <w:rFonts w:ascii="Arial" w:cs="Arial" w:eastAsia="Arial" w:hAnsi="Arial"/>
          <w:sz w:val="20"/>
          <w:szCs w:val="20"/>
          <w:color w:val="auto"/>
        </w:rPr>
      </w:pPr>
    </w:p>
    <w:p>
      <w:pPr>
        <w:ind w:left="660" w:firstLine="645"/>
        <w:spacing w:after="0" w:line="289" w:lineRule="auto"/>
        <w:tabs>
          <w:tab w:leader="none" w:pos="2187" w:val="left"/>
        </w:tabs>
        <w:numPr>
          <w:ilvl w:val="1"/>
          <w:numId w:val="92"/>
        </w:numPr>
        <w:rPr>
          <w:rFonts w:ascii="Arial" w:cs="Arial" w:eastAsia="Arial" w:hAnsi="Arial"/>
          <w:sz w:val="20"/>
          <w:szCs w:val="20"/>
          <w:color w:val="auto"/>
        </w:rPr>
      </w:pPr>
      <w:r>
        <w:rPr>
          <w:rFonts w:ascii="Arial" w:cs="Arial" w:eastAsia="Arial" w:hAnsi="Arial"/>
          <w:sz w:val="20"/>
          <w:szCs w:val="20"/>
          <w:color w:val="auto"/>
        </w:rPr>
        <w:t>any Subsidiary may liquidate, wind up or dissolve if its assets are transferred to the Company or any Loan Party or, if such Subsidiary is not a Loan Party, to any other Subsidiary.</w:t>
      </w:r>
    </w:p>
    <w:p>
      <w:pPr>
        <w:spacing w:after="0" w:line="175" w:lineRule="exact"/>
        <w:rPr>
          <w:rFonts w:ascii="Arial" w:cs="Arial" w:eastAsia="Arial" w:hAnsi="Arial"/>
          <w:sz w:val="20"/>
          <w:szCs w:val="20"/>
          <w:color w:val="auto"/>
        </w:rPr>
      </w:pPr>
    </w:p>
    <w:p>
      <w:pPr>
        <w:jc w:val="both"/>
        <w:ind w:firstLine="656"/>
        <w:spacing w:after="0" w:line="322" w:lineRule="auto"/>
        <w:tabs>
          <w:tab w:leader="none" w:pos="1527"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Loan Party will, nor will it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pacing w:after="0" w:line="152" w:lineRule="exact"/>
        <w:rPr>
          <w:rFonts w:ascii="Arial" w:cs="Arial" w:eastAsia="Arial" w:hAnsi="Arial"/>
          <w:sz w:val="18"/>
          <w:szCs w:val="18"/>
          <w:color w:val="auto"/>
        </w:rPr>
      </w:pPr>
    </w:p>
    <w:p>
      <w:pPr>
        <w:jc w:val="both"/>
        <w:ind w:firstLine="656"/>
        <w:spacing w:after="0" w:line="290" w:lineRule="auto"/>
        <w:tabs>
          <w:tab w:leader="none" w:pos="1516"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No Loan Party will, nor will it permit any of its Subsidiaries to, change its fiscal year from the basis in effect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and their Subsidiaries may change their fiscal year from the basis in effect on the Effective Date, subject to such adjustments to this Agreement as the Company and the Administrative Agent shall reasonably agree are necessary or appropriate in connection with such change (and the parties hereto hereby authorize the Company and the Administrative Agent to make any such amendments to this Agreement as they jointly deem necessary to give effect to the foregoing).</w:t>
      </w:r>
    </w:p>
    <w:p>
      <w:pPr>
        <w:spacing w:after="0" w:line="179" w:lineRule="exact"/>
        <w:rPr>
          <w:rFonts w:ascii="Arial" w:cs="Arial" w:eastAsia="Arial" w:hAnsi="Arial"/>
          <w:sz w:val="19"/>
          <w:szCs w:val="19"/>
          <w:color w:val="auto"/>
        </w:rPr>
      </w:pPr>
    </w:p>
    <w:p>
      <w:pPr>
        <w:jc w:val="both"/>
        <w:ind w:firstLine="656"/>
        <w:spacing w:after="0" w:line="278" w:lineRule="auto"/>
        <w:tabs>
          <w:tab w:leader="none" w:pos="1527" w:val="left"/>
        </w:tabs>
        <w:numPr>
          <w:ilvl w:val="0"/>
          <w:numId w:val="93"/>
        </w:numPr>
        <w:rPr>
          <w:rFonts w:ascii="Arial" w:cs="Arial" w:eastAsia="Arial" w:hAnsi="Arial"/>
          <w:sz w:val="20"/>
          <w:szCs w:val="20"/>
          <w:color w:val="auto"/>
        </w:rPr>
      </w:pPr>
      <w:r>
        <w:rPr>
          <w:rFonts w:ascii="Arial" w:cs="Arial" w:eastAsia="Arial" w:hAnsi="Arial"/>
          <w:sz w:val="20"/>
          <w:szCs w:val="20"/>
          <w:color w:val="auto"/>
        </w:rPr>
        <w:t>No Loan Party will, nor will it permit any of its Subsidiaries to, amend, modify or waive any of its rights under its certificate of incorporation, bylaws or other organizational documents, in each case to the extent such amendment, modification or waiver would be materially adverse to the Lenders.</w:t>
      </w:r>
    </w:p>
    <w:p>
      <w:pPr>
        <w:spacing w:after="0" w:line="18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No Loan Party will, nor will it permit any</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Subsidiary to, purchase, hold, acquire (including pursuant to any merger or consolidation with any Person that was not a wholly-owned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Subsidiary prior thereto), make or otherwise permit to exist any Investment in any other Person, except:</w:t>
      </w:r>
    </w:p>
    <w:p>
      <w:pPr>
        <w:spacing w:after="0" w:line="243" w:lineRule="exact"/>
        <w:rPr>
          <w:sz w:val="20"/>
          <w:szCs w:val="20"/>
          <w:color w:val="auto"/>
        </w:rPr>
      </w:pPr>
    </w:p>
    <w:p>
      <w:pPr>
        <w:ind w:left="2180" w:hanging="875"/>
        <w:spacing w:after="0"/>
        <w:tabs>
          <w:tab w:leader="none" w:pos="21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Grand Design Acquisition and, to the extent constituting Investments, the Transactions;</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cash and Permitted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812" w:right="239" w:bottom="1440" w:gutter="0" w:footer="0" w:header="0"/>
        </w:sectPr>
      </w:pPr>
    </w:p>
    <w:bookmarkStart w:id="95" w:name="page96"/>
    <w:bookmarkEnd w:id="95"/>
    <w:p>
      <w:pPr>
        <w:jc w:val="both"/>
        <w:ind w:left="4" w:firstLine="645"/>
        <w:spacing w:after="0" w:line="273" w:lineRule="auto"/>
        <w:tabs>
          <w:tab w:leader="none" w:pos="1520" w:val="left"/>
        </w:tabs>
        <w:numPr>
          <w:ilvl w:val="1"/>
          <w:numId w:val="95"/>
        </w:numPr>
        <w:rPr>
          <w:rFonts w:ascii="Arial" w:cs="Arial" w:eastAsia="Arial" w:hAnsi="Arial"/>
          <w:sz w:val="20"/>
          <w:szCs w:val="20"/>
          <w:color w:val="auto"/>
        </w:rPr>
      </w:pPr>
      <w:r>
        <w:rPr>
          <w:rFonts w:ascii="Arial" w:cs="Arial" w:eastAsia="Arial" w:hAnsi="Arial"/>
          <w:sz w:val="20"/>
          <w:szCs w:val="20"/>
          <w:color w:val="auto"/>
        </w:rPr>
        <w:t xml:space="preserve">(i) Investments existing on the Effective Date in Subsidiaries and (ii) other Investments existing or contemplated on the Effective Date and set forth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xml:space="preserve"> and any modification, replacement, renewal, reinvestment or extension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Investment permitted pursuant to this Section 6.04(c) is not increased from the amount of such Investment on the Effective Date except pursuant to the terms of such Investment as of the Effective Date or as otherwise permitted by this Section 6.04;</w:t>
      </w:r>
    </w:p>
    <w:p>
      <w:pPr>
        <w:spacing w:after="0" w:line="191" w:lineRule="exact"/>
        <w:rPr>
          <w:rFonts w:ascii="Arial" w:cs="Arial" w:eastAsia="Arial" w:hAnsi="Arial"/>
          <w:sz w:val="20"/>
          <w:szCs w:val="20"/>
          <w:color w:val="auto"/>
        </w:rPr>
      </w:pPr>
    </w:p>
    <w:p>
      <w:pPr>
        <w:jc w:val="both"/>
        <w:ind w:left="4" w:firstLine="645"/>
        <w:spacing w:after="0" w:line="334" w:lineRule="auto"/>
        <w:tabs>
          <w:tab w:leader="none" w:pos="1531" w:val="left"/>
        </w:tabs>
        <w:numPr>
          <w:ilvl w:val="1"/>
          <w:numId w:val="95"/>
        </w:numPr>
        <w:rPr>
          <w:rFonts w:ascii="Arial" w:cs="Arial" w:eastAsia="Arial" w:hAnsi="Arial"/>
          <w:sz w:val="16"/>
          <w:szCs w:val="16"/>
          <w:color w:val="auto"/>
        </w:rPr>
      </w:pPr>
      <w:r>
        <w:rPr>
          <w:rFonts w:ascii="Arial" w:cs="Arial" w:eastAsia="Arial" w:hAnsi="Arial"/>
          <w:sz w:val="16"/>
          <w:szCs w:val="16"/>
          <w:color w:val="auto"/>
        </w:rPr>
        <w:t xml:space="preserve">(i) additional Investments by the Company in any Loan Party and by any Loan Party in the Company or in another Loan Party, and (ii) Investments (including by way of capital contributions) by the Company and the Subsidiaries in Equity Interests in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that (x) any such Equity Interests held by the Company or any Loan Party shall be pledged in accordance with the requirements of Section 5.14 and (y) the aggregate amount of Investments made by the Company or any Loan Party in any Subsidiary that is not a Loan Party in reliance on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when combined with the aggregate amount of Guarantees made by the Company or any Loan Party of Indebtedness (excluding, for the avoidance of doubt, Guarantees of obligations not constituting Indebtedness) of any Subsidiary that is not a Loan Party in reliance on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shall not exceed the greater of</w:t>
      </w:r>
    </w:p>
    <w:p>
      <w:pPr>
        <w:spacing w:after="0" w:line="3" w:lineRule="exact"/>
        <w:rPr>
          <w:rFonts w:ascii="Arial" w:cs="Arial" w:eastAsia="Arial" w:hAnsi="Arial"/>
          <w:sz w:val="16"/>
          <w:szCs w:val="16"/>
          <w:color w:val="auto"/>
        </w:rPr>
      </w:pPr>
    </w:p>
    <w:p>
      <w:pPr>
        <w:ind w:left="284" w:hanging="284"/>
        <w:spacing w:after="0"/>
        <w:tabs>
          <w:tab w:leader="none" w:pos="284" w:val="left"/>
        </w:tabs>
        <w:numPr>
          <w:ilvl w:val="0"/>
          <w:numId w:val="96"/>
        </w:numPr>
        <w:rPr>
          <w:rFonts w:ascii="Arial" w:cs="Arial" w:eastAsia="Arial" w:hAnsi="Arial"/>
          <w:sz w:val="20"/>
          <w:szCs w:val="20"/>
          <w:color w:val="auto"/>
        </w:rPr>
      </w:pPr>
      <w:r>
        <w:rPr>
          <w:rFonts w:ascii="Arial" w:cs="Arial" w:eastAsia="Arial" w:hAnsi="Arial"/>
          <w:sz w:val="20"/>
          <w:szCs w:val="20"/>
          <w:color w:val="auto"/>
        </w:rPr>
        <w:t>$30,000,000 and (y) 3% of Consolidated Total Assets (at the time made);</w:t>
      </w:r>
    </w:p>
    <w:p>
      <w:pPr>
        <w:spacing w:after="0" w:line="242" w:lineRule="exact"/>
        <w:rPr>
          <w:rFonts w:ascii="Arial" w:cs="Arial" w:eastAsia="Arial" w:hAnsi="Arial"/>
          <w:sz w:val="20"/>
          <w:szCs w:val="20"/>
          <w:color w:val="auto"/>
        </w:rPr>
      </w:pPr>
    </w:p>
    <w:p>
      <w:pPr>
        <w:jc w:val="both"/>
        <w:ind w:left="4" w:firstLine="645"/>
        <w:spacing w:after="0" w:line="303" w:lineRule="auto"/>
        <w:tabs>
          <w:tab w:leader="none" w:pos="15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Guarantee of Subordinated Indebtedness is subordinated to the Secured Obligations on terms no less favorable to the Lenders than those of the Subordinated Indebtedness, (ii) any such Guarantee constituting Indebtedness is permitted by Section 6.01 (other than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thereof) and (iii) the aggregate amount of Guarantees made by the Company or any Loan Party of Indebtedness (excluding, for the avoidance of doubt, Guarantees of obligations not constituting Indebtedness) of any Subsidiary that is not a Loan Party in reliance on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when combined with the aggregate amount of Investments made by the Company or any Loan Party in any Subsidiary that is not a Loan Party in reliance on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 shall not exceed the greater of (x) $30,000,000 and (y) 3% of Consolidated Total Assets (at the time made);</w:t>
      </w:r>
    </w:p>
    <w:p>
      <w:pPr>
        <w:spacing w:after="0" w:line="173" w:lineRule="exact"/>
        <w:rPr>
          <w:rFonts w:ascii="Arial" w:cs="Arial" w:eastAsia="Arial" w:hAnsi="Arial"/>
          <w:sz w:val="18"/>
          <w:szCs w:val="18"/>
          <w:color w:val="auto"/>
        </w:rPr>
      </w:pPr>
    </w:p>
    <w:p>
      <w:pPr>
        <w:ind w:left="1504" w:hanging="855"/>
        <w:spacing w:after="0"/>
        <w:tabs>
          <w:tab w:leader="none" w:pos="1504" w:val="left"/>
        </w:tabs>
        <w:numPr>
          <w:ilvl w:val="1"/>
          <w:numId w:val="96"/>
        </w:numPr>
        <w:rPr>
          <w:rFonts w:ascii="Arial" w:cs="Arial" w:eastAsia="Arial" w:hAnsi="Arial"/>
          <w:sz w:val="18"/>
          <w:szCs w:val="18"/>
          <w:color w:val="auto"/>
        </w:rPr>
      </w:pPr>
      <w:r>
        <w:rPr>
          <w:rFonts w:ascii="Arial" w:cs="Arial" w:eastAsia="Arial" w:hAnsi="Arial"/>
          <w:sz w:val="18"/>
          <w:szCs w:val="18"/>
          <w:color w:val="auto"/>
        </w:rPr>
        <w:t>loans, advances or other extensions of credit to officers, directors and employees of the Company or any Subsidiary</w:t>
      </w:r>
    </w:p>
    <w:p>
      <w:pPr>
        <w:spacing w:after="0" w:line="49" w:lineRule="exact"/>
        <w:rPr>
          <w:rFonts w:ascii="Arial" w:cs="Arial" w:eastAsia="Arial" w:hAnsi="Arial"/>
          <w:sz w:val="18"/>
          <w:szCs w:val="18"/>
          <w:color w:val="auto"/>
        </w:rPr>
      </w:pPr>
    </w:p>
    <w:p>
      <w:pPr>
        <w:jc w:val="both"/>
        <w:ind w:left="4" w:hanging="4"/>
        <w:spacing w:after="0" w:line="314" w:lineRule="auto"/>
        <w:tabs>
          <w:tab w:leader="none" w:pos="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to finance the purchase of Equity Interests of the Company pursuant to employee plans, (ii) for reasonable and customary business-related travel, entertainment, and moving and relocation, business machines or supplies, automobiles and other similar expenses and advances, in each case incurred in the ordinary course of business, and (iii) for purposes not described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in an aggregate principal amount outstanding at any time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not to exceed $5,000,000;</w:t>
      </w:r>
    </w:p>
    <w:p>
      <w:pPr>
        <w:spacing w:after="0" w:line="159" w:lineRule="exact"/>
        <w:rPr>
          <w:rFonts w:ascii="Arial" w:cs="Arial" w:eastAsia="Arial" w:hAnsi="Arial"/>
          <w:sz w:val="18"/>
          <w:szCs w:val="18"/>
          <w:color w:val="auto"/>
        </w:rPr>
      </w:pPr>
    </w:p>
    <w:p>
      <w:pPr>
        <w:jc w:val="both"/>
        <w:ind w:left="4" w:firstLine="645"/>
        <w:spacing w:after="0" w:line="293" w:lineRule="auto"/>
        <w:tabs>
          <w:tab w:leader="none" w:pos="1531"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 or upon the foreclosure with respect to any secured Investment or other transfer of title with respect to any secured Investment;</w:t>
      </w:r>
    </w:p>
    <w:p>
      <w:pPr>
        <w:spacing w:after="0" w:line="175" w:lineRule="exact"/>
        <w:rPr>
          <w:rFonts w:ascii="Arial" w:cs="Arial" w:eastAsia="Arial" w:hAnsi="Arial"/>
          <w:sz w:val="19"/>
          <w:szCs w:val="19"/>
          <w:color w:val="auto"/>
        </w:rPr>
      </w:pPr>
    </w:p>
    <w:p>
      <w:pPr>
        <w:ind w:left="4" w:firstLine="645"/>
        <w:spacing w:after="0" w:line="289" w:lineRule="auto"/>
        <w:tabs>
          <w:tab w:leader="none" w:pos="1531" w:val="left"/>
        </w:tabs>
        <w:numPr>
          <w:ilvl w:val="1"/>
          <w:numId w:val="97"/>
        </w:numPr>
        <w:rPr>
          <w:rFonts w:ascii="Arial" w:cs="Arial" w:eastAsia="Arial" w:hAnsi="Arial"/>
          <w:sz w:val="20"/>
          <w:szCs w:val="20"/>
          <w:color w:val="auto"/>
        </w:rPr>
      </w:pPr>
      <w:r>
        <w:rPr>
          <w:rFonts w:ascii="Arial" w:cs="Arial" w:eastAsia="Arial" w:hAnsi="Arial"/>
          <w:sz w:val="20"/>
          <w:szCs w:val="20"/>
          <w:color w:val="auto"/>
        </w:rPr>
        <w:t xml:space="preserve">Permitted Acquisitions (including any intercompany investments, loans and advances used to consummate Permitted Acquisitions);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the time of and immediately</w:t>
      </w:r>
    </w:p>
    <w:p>
      <w:pPr>
        <w:spacing w:after="0" w:line="200" w:lineRule="exact"/>
        <w:rPr>
          <w:sz w:val="20"/>
          <w:szCs w:val="20"/>
          <w:color w:val="auto"/>
        </w:rPr>
      </w:pPr>
    </w:p>
    <w:p>
      <w:pPr>
        <w:spacing w:after="0" w:line="205"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0764"/>
          </w:cols>
          <w:pgMar w:left="896" w:top="825" w:right="239" w:bottom="1440" w:gutter="0" w:footer="0" w:header="0"/>
        </w:sectPr>
      </w:pPr>
    </w:p>
    <w:bookmarkStart w:id="96" w:name="page97"/>
    <w:bookmarkEnd w:id="96"/>
    <w:p>
      <w:pPr>
        <w:ind w:right="20"/>
        <w:spacing w:after="0" w:line="289" w:lineRule="auto"/>
        <w:rPr>
          <w:sz w:val="20"/>
          <w:szCs w:val="20"/>
          <w:color w:val="auto"/>
        </w:rPr>
      </w:pPr>
      <w:r>
        <w:rPr>
          <w:rFonts w:ascii="Arial" w:cs="Arial" w:eastAsia="Arial" w:hAnsi="Arial"/>
          <w:sz w:val="20"/>
          <w:szCs w:val="20"/>
          <w:color w:val="auto"/>
        </w:rPr>
        <w:t>after giving effect (including pro forma effect) to such Acquisition and any incurrence of Indebtedness in connection therewith, the Total Net Leverage Ratio shall not exceed 4.25 to 1.00; and</w:t>
      </w:r>
    </w:p>
    <w:p>
      <w:pPr>
        <w:spacing w:after="0" w:line="175" w:lineRule="exact"/>
        <w:rPr>
          <w:sz w:val="20"/>
          <w:szCs w:val="20"/>
          <w:color w:val="auto"/>
        </w:rPr>
      </w:pPr>
    </w:p>
    <w:p>
      <w:pPr>
        <w:jc w:val="both"/>
        <w:ind w:firstLine="645"/>
        <w:spacing w:after="0" w:line="274" w:lineRule="auto"/>
        <w:tabs>
          <w:tab w:leader="none" w:pos="1483"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Investments held by a Subsidiary acquired after the Effective Date or of a Person merged or consolidated with or into the Company or a Subsidiary after the Effective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92" w:lineRule="exact"/>
        <w:rPr>
          <w:rFonts w:ascii="Arial" w:cs="Arial" w:eastAsia="Arial" w:hAnsi="Arial"/>
          <w:sz w:val="20"/>
          <w:szCs w:val="20"/>
          <w:color w:val="auto"/>
        </w:rPr>
      </w:pPr>
    </w:p>
    <w:p>
      <w:pPr>
        <w:ind w:firstLine="645"/>
        <w:spacing w:after="0" w:line="289" w:lineRule="auto"/>
        <w:tabs>
          <w:tab w:leader="none" w:pos="1483"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Investments constituting, or made as a result of the receipt of noncash consideration from a sale, transfer, lease or other disposition of any asset in compliance with Section 6.05;</w:t>
      </w:r>
    </w:p>
    <w:p>
      <w:pPr>
        <w:spacing w:after="0" w:line="175" w:lineRule="exact"/>
        <w:rPr>
          <w:rFonts w:ascii="Arial" w:cs="Arial" w:eastAsia="Arial" w:hAnsi="Arial"/>
          <w:sz w:val="20"/>
          <w:szCs w:val="20"/>
          <w:color w:val="auto"/>
        </w:rPr>
      </w:pPr>
    </w:p>
    <w:p>
      <w:pPr>
        <w:jc w:val="both"/>
        <w:ind w:firstLine="645"/>
        <w:spacing w:after="0" w:line="278" w:lineRule="auto"/>
        <w:tabs>
          <w:tab w:leader="none" w:pos="1527"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86" w:lineRule="exact"/>
        <w:rPr>
          <w:rFonts w:ascii="Arial" w:cs="Arial" w:eastAsia="Arial" w:hAnsi="Arial"/>
          <w:sz w:val="20"/>
          <w:szCs w:val="20"/>
          <w:color w:val="auto"/>
        </w:rPr>
      </w:pPr>
    </w:p>
    <w:p>
      <w:pPr>
        <w:ind w:left="1480" w:hanging="835"/>
        <w:spacing w:after="0"/>
        <w:tabs>
          <w:tab w:leader="none" w:pos="14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Investments in the form of Swap Agreements permitted under </w:t>
      </w:r>
      <w:r>
        <w:rPr>
          <w:rFonts w:ascii="Arial" w:cs="Arial" w:eastAsia="Arial" w:hAnsi="Arial"/>
          <w:sz w:val="20"/>
          <w:szCs w:val="20"/>
          <w:u w:val="single" w:color="auto"/>
          <w:color w:val="auto"/>
        </w:rPr>
        <w:t>Section 6.07</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645"/>
        <w:spacing w:after="0" w:line="289" w:lineRule="auto"/>
        <w:tabs>
          <w:tab w:leader="none" w:pos="1582" w:val="left"/>
        </w:tabs>
        <w:numPr>
          <w:ilvl w:val="0"/>
          <w:numId w:val="98"/>
        </w:numPr>
        <w:rPr>
          <w:rFonts w:ascii="Arial" w:cs="Arial" w:eastAsia="Arial" w:hAnsi="Arial"/>
          <w:sz w:val="20"/>
          <w:szCs w:val="20"/>
          <w:color w:val="auto"/>
        </w:rPr>
      </w:pPr>
      <w:r>
        <w:rPr>
          <w:rFonts w:ascii="Arial" w:cs="Arial" w:eastAsia="Arial" w:hAnsi="Arial"/>
          <w:sz w:val="20"/>
          <w:szCs w:val="20"/>
          <w:color w:val="auto"/>
        </w:rPr>
        <w:t>Investments by Foreign Subsidiaries in other Foreign Subsidiaries or by any Subsidiary that is not a Loan Party in any other Subsidiary that is not a Loan Party;</w:t>
      </w:r>
    </w:p>
    <w:p>
      <w:pPr>
        <w:spacing w:after="0" w:line="175" w:lineRule="exact"/>
        <w:rPr>
          <w:rFonts w:ascii="Arial" w:cs="Arial" w:eastAsia="Arial" w:hAnsi="Arial"/>
          <w:sz w:val="20"/>
          <w:szCs w:val="20"/>
          <w:color w:val="auto"/>
        </w:rPr>
      </w:pPr>
    </w:p>
    <w:p>
      <w:pPr>
        <w:ind w:left="1520" w:hanging="875"/>
        <w:spacing w:after="0"/>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Investments constituting deposits described in clauses (c) and (d) of the definition of “Permitted Encumbrances”;</w:t>
      </w:r>
    </w:p>
    <w:p>
      <w:pPr>
        <w:spacing w:after="0" w:line="265" w:lineRule="exact"/>
        <w:rPr>
          <w:rFonts w:ascii="Arial" w:cs="Arial" w:eastAsia="Arial" w:hAnsi="Arial"/>
          <w:sz w:val="18"/>
          <w:szCs w:val="18"/>
          <w:color w:val="auto"/>
        </w:rPr>
      </w:pPr>
    </w:p>
    <w:p>
      <w:pPr>
        <w:jc w:val="both"/>
        <w:ind w:firstLine="645"/>
        <w:spacing w:after="0" w:line="303" w:lineRule="auto"/>
        <w:tabs>
          <w:tab w:leader="none" w:pos="1527"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(iv) Guarantees made in the ordinary course of business in support of obligations of the Company or any of its Subsidiaries not constituting Indebtedness for borrowed money, including operating leases and obligations owing to suppliers, customers and licensees and (v) loans, advances or other extensions of credit to one or more customers by the Company or any Subsidiary pursuant to arm’s-length terms (or terms otherwise acceptable to the Administrative Agent in its reasonable discretion) in order to finance such customer’s purchase of chassis that are used by the Company or any Subsidiary to manufacture recreational vehicles for such customer;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loans, advances and extensions of credit outstanding at any time in reliance on this </w:t>
      </w:r>
      <w:r>
        <w:rPr>
          <w:rFonts w:ascii="Arial" w:cs="Arial" w:eastAsia="Arial" w:hAnsi="Arial"/>
          <w:sz w:val="18"/>
          <w:szCs w:val="18"/>
          <w:u w:val="single" w:color="auto"/>
          <w:color w:val="auto"/>
        </w:rPr>
        <w:t>clause (o)(v)</w:t>
      </w:r>
      <w:r>
        <w:rPr>
          <w:rFonts w:ascii="Arial" w:cs="Arial" w:eastAsia="Arial" w:hAnsi="Arial"/>
          <w:sz w:val="18"/>
          <w:szCs w:val="18"/>
          <w:color w:val="auto"/>
        </w:rPr>
        <w:t xml:space="preserve"> shall not exceed $15,000,000;</w:t>
      </w:r>
    </w:p>
    <w:p>
      <w:pPr>
        <w:spacing w:after="0" w:line="168" w:lineRule="exact"/>
        <w:rPr>
          <w:rFonts w:ascii="Arial" w:cs="Arial" w:eastAsia="Arial" w:hAnsi="Arial"/>
          <w:sz w:val="18"/>
          <w:szCs w:val="18"/>
          <w:color w:val="auto"/>
        </w:rPr>
      </w:pPr>
    </w:p>
    <w:p>
      <w:pPr>
        <w:ind w:right="20" w:firstLine="645"/>
        <w:spacing w:after="0" w:line="289" w:lineRule="auto"/>
        <w:tabs>
          <w:tab w:leader="none" w:pos="1527" w:val="left"/>
        </w:tabs>
        <w:numPr>
          <w:ilvl w:val="0"/>
          <w:numId w:val="98"/>
        </w:numPr>
        <w:rPr>
          <w:rFonts w:ascii="Arial" w:cs="Arial" w:eastAsia="Arial" w:hAnsi="Arial"/>
          <w:sz w:val="20"/>
          <w:szCs w:val="20"/>
          <w:color w:val="auto"/>
        </w:rPr>
      </w:pPr>
      <w:r>
        <w:rPr>
          <w:rFonts w:ascii="Arial" w:cs="Arial" w:eastAsia="Arial" w:hAnsi="Arial"/>
          <w:sz w:val="20"/>
          <w:szCs w:val="20"/>
          <w:color w:val="auto"/>
        </w:rPr>
        <w:t>mergers and consolidations permitted under Section 6.03 that do not involve any Person other than the Company and Subsidiaries that are wholly-owned Subsidiaries;</w:t>
      </w:r>
    </w:p>
    <w:p>
      <w:pPr>
        <w:spacing w:after="0" w:line="175" w:lineRule="exact"/>
        <w:rPr>
          <w:rFonts w:ascii="Arial" w:cs="Arial" w:eastAsia="Arial" w:hAnsi="Arial"/>
          <w:sz w:val="20"/>
          <w:szCs w:val="20"/>
          <w:color w:val="auto"/>
        </w:rPr>
      </w:pPr>
    </w:p>
    <w:p>
      <w:pPr>
        <w:jc w:val="both"/>
        <w:ind w:firstLine="645"/>
        <w:spacing w:after="0" w:line="322" w:lineRule="auto"/>
        <w:tabs>
          <w:tab w:leader="none" w:pos="1527"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0760"/>
          </w:cols>
          <w:pgMar w:left="900" w:top="825" w:right="239" w:bottom="1440" w:gutter="0" w:footer="0" w:header="0"/>
        </w:sectPr>
      </w:pPr>
    </w:p>
    <w:bookmarkStart w:id="97" w:name="page98"/>
    <w:bookmarkEnd w:id="97"/>
    <w:p>
      <w:pPr>
        <w:ind w:right="20" w:firstLine="645"/>
        <w:spacing w:after="0" w:line="289" w:lineRule="auto"/>
        <w:tabs>
          <w:tab w:leader="none" w:pos="1494"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Investments consisting of Guarantees in the ordinary course of business to support the obligations of any Subsidiary under its worker’s compensation and general insurance agreements;</w:t>
      </w:r>
    </w:p>
    <w:p>
      <w:pPr>
        <w:spacing w:after="0" w:line="175" w:lineRule="exact"/>
        <w:rPr>
          <w:rFonts w:ascii="Arial" w:cs="Arial" w:eastAsia="Arial" w:hAnsi="Arial"/>
          <w:sz w:val="20"/>
          <w:szCs w:val="20"/>
          <w:color w:val="auto"/>
        </w:rPr>
      </w:pPr>
    </w:p>
    <w:p>
      <w:pPr>
        <w:ind w:firstLine="645"/>
        <w:spacing w:after="0" w:line="289" w:lineRule="auto"/>
        <w:tabs>
          <w:tab w:leader="none" w:pos="1505"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Company’s entry into (including payments of premiums in connection therewith), and the performance of obligations under, Permitted Call Spread Swap Agreements in accordance with their terms;</w:t>
      </w:r>
    </w:p>
    <w:p>
      <w:pPr>
        <w:spacing w:after="0" w:line="175" w:lineRule="exact"/>
        <w:rPr>
          <w:rFonts w:ascii="Arial" w:cs="Arial" w:eastAsia="Arial" w:hAnsi="Arial"/>
          <w:sz w:val="20"/>
          <w:szCs w:val="20"/>
          <w:color w:val="auto"/>
        </w:rPr>
      </w:pPr>
    </w:p>
    <w:p>
      <w:pPr>
        <w:jc w:val="both"/>
        <w:ind w:firstLine="645"/>
        <w:spacing w:after="0" w:line="293" w:lineRule="auto"/>
        <w:tabs>
          <w:tab w:leader="none" w:pos="1483"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Investments in joint ventures of the Company or any Subsidiary, taken together with all other Investments made pursuant to this clause (t) that are at that time outstanding, not to exceed the greater of (x) $50,000,000 and (y) 5% of Consolidated Total Assets (in each case, determined on the date such Investment is made, with the fair market value of each Investment being measured at the time made and without giving effect to subsequent changes in value);</w:t>
      </w:r>
    </w:p>
    <w:p>
      <w:pPr>
        <w:spacing w:after="0" w:line="175" w:lineRule="exact"/>
        <w:rPr>
          <w:rFonts w:ascii="Arial" w:cs="Arial" w:eastAsia="Arial" w:hAnsi="Arial"/>
          <w:sz w:val="19"/>
          <w:szCs w:val="19"/>
          <w:color w:val="auto"/>
        </w:rPr>
      </w:pPr>
    </w:p>
    <w:p>
      <w:pPr>
        <w:ind w:left="1520" w:hanging="875"/>
        <w:spacing w:after="0"/>
        <w:tabs>
          <w:tab w:leader="none" w:pos="15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42" w:lineRule="exact"/>
        <w:rPr>
          <w:rFonts w:ascii="Arial" w:cs="Arial" w:eastAsia="Arial" w:hAnsi="Arial"/>
          <w:sz w:val="20"/>
          <w:szCs w:val="20"/>
          <w:color w:val="auto"/>
        </w:rPr>
      </w:pPr>
    </w:p>
    <w:p>
      <w:pPr>
        <w:ind w:firstLine="645"/>
        <w:spacing w:after="0" w:line="289" w:lineRule="auto"/>
        <w:tabs>
          <w:tab w:leader="none" w:pos="1527"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solely with Equity Interests (other than Disqualified Equity Interests) of the Company;</w:t>
      </w:r>
    </w:p>
    <w:p>
      <w:pPr>
        <w:spacing w:after="0" w:line="175" w:lineRule="exact"/>
        <w:rPr>
          <w:rFonts w:ascii="Arial" w:cs="Arial" w:eastAsia="Arial" w:hAnsi="Arial"/>
          <w:sz w:val="20"/>
          <w:szCs w:val="20"/>
          <w:color w:val="auto"/>
        </w:rPr>
      </w:pPr>
    </w:p>
    <w:p>
      <w:pPr>
        <w:ind w:left="1560" w:hanging="915"/>
        <w:spacing w:after="0"/>
        <w:tabs>
          <w:tab w:leader="none" w:pos="1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forgiveness or conversion to equity of any Indebtedness owed by the Company or any Subsidiary and permitted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Section 6.01;</w:t>
      </w:r>
    </w:p>
    <w:p>
      <w:pPr>
        <w:spacing w:after="0" w:line="242" w:lineRule="exact"/>
        <w:rPr>
          <w:rFonts w:ascii="Arial" w:cs="Arial" w:eastAsia="Arial" w:hAnsi="Arial"/>
          <w:sz w:val="18"/>
          <w:szCs w:val="18"/>
          <w:color w:val="auto"/>
        </w:rPr>
      </w:pPr>
    </w:p>
    <w:p>
      <w:pPr>
        <w:jc w:val="both"/>
        <w:ind w:firstLine="645"/>
        <w:spacing w:after="0" w:line="278" w:lineRule="auto"/>
        <w:tabs>
          <w:tab w:leader="none" w:pos="1527" w:val="left"/>
        </w:tabs>
        <w:numPr>
          <w:ilvl w:val="0"/>
          <w:numId w:val="99"/>
        </w:numPr>
        <w:rPr>
          <w:rFonts w:ascii="Arial" w:cs="Arial" w:eastAsia="Arial" w:hAnsi="Arial"/>
          <w:sz w:val="20"/>
          <w:szCs w:val="20"/>
          <w:color w:val="auto"/>
        </w:rPr>
      </w:pPr>
      <w:r>
        <w:rPr>
          <w:rFonts w:ascii="Arial" w:cs="Arial" w:eastAsia="Arial" w:hAnsi="Arial"/>
          <w:sz w:val="20"/>
          <w:szCs w:val="20"/>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 and</w:t>
      </w:r>
    </w:p>
    <w:p>
      <w:pPr>
        <w:spacing w:after="0" w:line="186" w:lineRule="exact"/>
        <w:rPr>
          <w:rFonts w:ascii="Arial" w:cs="Arial" w:eastAsia="Arial" w:hAnsi="Arial"/>
          <w:sz w:val="20"/>
          <w:szCs w:val="20"/>
          <w:color w:val="auto"/>
        </w:rPr>
      </w:pPr>
    </w:p>
    <w:p>
      <w:pPr>
        <w:ind w:left="1520" w:hanging="875"/>
        <w:spacing w:after="0"/>
        <w:tabs>
          <w:tab w:leader="none" w:pos="15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Investments arising as a result of Sale and Leaseback Transactions;</w:t>
      </w:r>
    </w:p>
    <w:p>
      <w:pPr>
        <w:spacing w:after="0" w:line="242" w:lineRule="exact"/>
        <w:rPr>
          <w:rFonts w:ascii="Arial" w:cs="Arial" w:eastAsia="Arial" w:hAnsi="Arial"/>
          <w:sz w:val="20"/>
          <w:szCs w:val="20"/>
          <w:color w:val="auto"/>
        </w:rPr>
      </w:pPr>
    </w:p>
    <w:p>
      <w:pPr>
        <w:ind w:left="1520" w:hanging="875"/>
        <w:spacing w:after="0"/>
        <w:tabs>
          <w:tab w:leader="none" w:pos="15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Investments in any Term Loans in accordance with </w:t>
      </w:r>
      <w:r>
        <w:rPr>
          <w:rFonts w:ascii="Arial" w:cs="Arial" w:eastAsia="Arial" w:hAnsi="Arial"/>
          <w:sz w:val="20"/>
          <w:szCs w:val="20"/>
          <w:u w:val="single" w:color="auto"/>
          <w:color w:val="auto"/>
        </w:rPr>
        <w:t>Section 9.04(f)</w:t>
      </w:r>
      <w:r>
        <w:rPr>
          <w:rFonts w:ascii="Arial" w:cs="Arial" w:eastAsia="Arial" w:hAnsi="Arial"/>
          <w:sz w:val="20"/>
          <w:szCs w:val="20"/>
          <w:color w:val="auto"/>
        </w:rPr>
        <w:t>;</w:t>
      </w:r>
    </w:p>
    <w:p>
      <w:pPr>
        <w:spacing w:after="0" w:line="243" w:lineRule="exact"/>
        <w:rPr>
          <w:sz w:val="20"/>
          <w:szCs w:val="20"/>
          <w:color w:val="auto"/>
        </w:rPr>
      </w:pPr>
    </w:p>
    <w:p>
      <w:pPr>
        <w:jc w:val="both"/>
        <w:ind w:firstLine="645"/>
        <w:spacing w:after="0" w:line="274" w:lineRule="auto"/>
        <w:tabs>
          <w:tab w:leader="none" w:pos="160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to the extent constituting Investments, 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spacing w:after="0" w:line="192" w:lineRule="exact"/>
        <w:rPr>
          <w:rFonts w:ascii="Arial" w:cs="Arial" w:eastAsia="Arial" w:hAnsi="Arial"/>
          <w:sz w:val="20"/>
          <w:szCs w:val="20"/>
          <w:color w:val="auto"/>
        </w:rPr>
      </w:pPr>
    </w:p>
    <w:p>
      <w:pPr>
        <w:jc w:val="both"/>
        <w:ind w:firstLine="645"/>
        <w:spacing w:after="0" w:line="305" w:lineRule="auto"/>
        <w:tabs>
          <w:tab w:leader="none" w:pos="1626"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Investments consisting of the acquisition of real property (and any improvements thereon) located at, and commonly known as, 11333 CR2, Middlebury, Indiana 46540 and Vacant Land, CR2, Middlebury, Indiana 46540, pursuant to the exercise by Grand Design of its right of first offer to purchase such property pursuant to the terms of each Lease Agreement, dated as of the date hereof, by and between Three Oaks, LLC, as landlord, and Grand Design, as tenant (or such other terms as may be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both immediately before and immediately after giving pro forma effect to any such Investment pursuant to this </w:t>
      </w:r>
      <w:r>
        <w:rPr>
          <w:rFonts w:ascii="Arial" w:cs="Arial" w:eastAsia="Arial" w:hAnsi="Arial"/>
          <w:sz w:val="18"/>
          <w:szCs w:val="18"/>
          <w:u w:val="single" w:color="auto"/>
          <w:color w:val="auto"/>
        </w:rPr>
        <w:t>clause (bb)</w:t>
      </w:r>
      <w:r>
        <w:rPr>
          <w:rFonts w:ascii="Arial" w:cs="Arial" w:eastAsia="Arial" w:hAnsi="Arial"/>
          <w:sz w:val="18"/>
          <w:szCs w:val="18"/>
          <w:color w:val="auto"/>
        </w:rPr>
        <w:t xml:space="preserve">, no Event of Default shall have occurred and be continuing and (ii) the aggregate amount of Investments permitted in reliance on this </w:t>
      </w:r>
      <w:r>
        <w:rPr>
          <w:rFonts w:ascii="Arial" w:cs="Arial" w:eastAsia="Arial" w:hAnsi="Arial"/>
          <w:sz w:val="18"/>
          <w:szCs w:val="18"/>
          <w:u w:val="single" w:color="auto"/>
          <w:color w:val="auto"/>
        </w:rPr>
        <w:t>clause (bb)</w:t>
      </w:r>
      <w:r>
        <w:rPr>
          <w:rFonts w:ascii="Arial" w:cs="Arial" w:eastAsia="Arial" w:hAnsi="Arial"/>
          <w:sz w:val="18"/>
          <w:szCs w:val="18"/>
          <w:color w:val="auto"/>
        </w:rPr>
        <w:t xml:space="preserve"> shall not exceed $20,000,000 (at the time made); and</w:t>
      </w:r>
    </w:p>
    <w:p>
      <w:pPr>
        <w:spacing w:after="0" w:line="170" w:lineRule="exact"/>
        <w:rPr>
          <w:rFonts w:ascii="Arial" w:cs="Arial" w:eastAsia="Arial" w:hAnsi="Arial"/>
          <w:sz w:val="18"/>
          <w:szCs w:val="18"/>
          <w:color w:val="auto"/>
        </w:rPr>
      </w:pPr>
    </w:p>
    <w:p>
      <w:pPr>
        <w:jc w:val="both"/>
        <w:ind w:firstLine="645"/>
        <w:spacing w:after="0" w:line="322" w:lineRule="auto"/>
        <w:tabs>
          <w:tab w:leader="none" w:pos="160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any other Investments (including Acquisitions) whether or not of a type described above, in an aggregate amount not in excess of (i) $50,000,000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if the Total Net Leverage Ratio immediately after giving effect (including pro forma effect) to any such Investment, calculated on a pro forma basis for the Test Period, is less than 4.00 to 1.00, in an amount not in excess of the</w:t>
      </w:r>
    </w:p>
    <w:p>
      <w:pPr>
        <w:spacing w:after="0" w:line="38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0760"/>
          </w:cols>
          <w:pgMar w:left="900" w:top="825" w:right="239" w:bottom="1440" w:gutter="0" w:footer="0" w:header="0"/>
        </w:sectPr>
      </w:pPr>
    </w:p>
    <w:bookmarkStart w:id="98" w:name="page99"/>
    <w:bookmarkEnd w:id="98"/>
    <w:p>
      <w:pPr>
        <w:jc w:val="both"/>
        <w:ind w:left="660"/>
        <w:spacing w:after="0" w:line="278" w:lineRule="auto"/>
        <w:rPr>
          <w:sz w:val="20"/>
          <w:szCs w:val="20"/>
          <w:color w:val="auto"/>
        </w:rPr>
      </w:pPr>
      <w:r>
        <w:rPr>
          <w:rFonts w:ascii="Arial" w:cs="Arial" w:eastAsia="Arial" w:hAnsi="Arial"/>
          <w:sz w:val="20"/>
          <w:szCs w:val="20"/>
          <w:color w:val="auto"/>
        </w:rPr>
        <w:t xml:space="preserve">Available Amount at the time such Investment is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at the time any such Investment is made pursuant to this </w:t>
      </w:r>
      <w:r>
        <w:rPr>
          <w:rFonts w:ascii="Arial" w:cs="Arial" w:eastAsia="Arial" w:hAnsi="Arial"/>
          <w:sz w:val="20"/>
          <w:szCs w:val="20"/>
          <w:u w:val="single" w:color="auto"/>
          <w:color w:val="auto"/>
        </w:rPr>
        <w:t>clause (cc)</w:t>
      </w:r>
      <w:r>
        <w:rPr>
          <w:rFonts w:ascii="Arial" w:cs="Arial" w:eastAsia="Arial" w:hAnsi="Arial"/>
          <w:sz w:val="20"/>
          <w:szCs w:val="20"/>
          <w:color w:val="auto"/>
        </w:rPr>
        <w:t>, no Default shall have occurred and be continuing or would result after giving effect (including pro forma effect) thereto.</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Notwithstanding the foregoing, any Acquisition made in reliance on any provision of this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must satisfy the requirements of a Permitted Acquisition.</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Notwithstanding anything contrary set forth above, if any Investment is denominated in a foreign currency, no fluctuation in currency values shall result in a breach of this Section 6.04.</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For purposes of determining compliance with this Section 6.04, in the event that an Investment (or any portion thereof) (other than any Investment made in reliance on </w:t>
      </w:r>
      <w:r>
        <w:rPr>
          <w:rFonts w:ascii="Arial" w:cs="Arial" w:eastAsia="Arial" w:hAnsi="Arial"/>
          <w:sz w:val="19"/>
          <w:szCs w:val="19"/>
          <w:u w:val="single" w:color="auto"/>
          <w:color w:val="auto"/>
        </w:rPr>
        <w:t>clause (cc)</w:t>
      </w:r>
      <w:r>
        <w:rPr>
          <w:rFonts w:ascii="Arial" w:cs="Arial" w:eastAsia="Arial" w:hAnsi="Arial"/>
          <w:sz w:val="19"/>
          <w:szCs w:val="19"/>
          <w:color w:val="auto"/>
        </w:rPr>
        <w:t xml:space="preserve"> above) meets the criteria of more than one of the categories of permitted Investments described in clauses (a) through (bb) above, the Company and the Subsidiaries, in their sole discretion, will be permitted to divide and classify such Investment (or any portion thereof) on the date of incurrence, and at any time and from time to time may later reclassify all or any portion of any Investment as having been incurred under any category of permitted Investments described in clauses (a) through (bb)) above so long as such Investment is permitted to be incurred pursuant to such provision at the time of reclassification.</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For purposes of determining the amount of any Investment outstanding,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Asset Sales</w:t>
      </w:r>
      <w:r>
        <w:rPr>
          <w:rFonts w:ascii="Arial" w:cs="Arial" w:eastAsia="Arial" w:hAnsi="Arial"/>
          <w:sz w:val="20"/>
          <w:szCs w:val="20"/>
          <w:color w:val="auto"/>
        </w:rPr>
        <w:t>. No Loan Party will, nor will it permit any Subsidiary to, sell, transfer, lease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Section 6.04(d)) (each, a “</w:t>
      </w:r>
      <w:r>
        <w:rPr>
          <w:rFonts w:ascii="Arial" w:cs="Arial" w:eastAsia="Arial" w:hAnsi="Arial"/>
          <w:sz w:val="20"/>
          <w:szCs w:val="20"/>
          <w:u w:val="single" w:color="auto"/>
          <w:color w:val="auto"/>
        </w:rPr>
        <w:t>Disposition</w:t>
      </w:r>
      <w:r>
        <w:rPr>
          <w:rFonts w:ascii="Arial" w:cs="Arial" w:eastAsia="Arial" w:hAnsi="Arial"/>
          <w:sz w:val="20"/>
          <w:szCs w:val="20"/>
          <w:color w:val="auto"/>
        </w:rPr>
        <w:t>”), except:</w:t>
      </w:r>
    </w:p>
    <w:p>
      <w:pPr>
        <w:spacing w:after="0" w:line="192" w:lineRule="exact"/>
        <w:rPr>
          <w:sz w:val="20"/>
          <w:szCs w:val="20"/>
          <w:color w:val="auto"/>
        </w:rPr>
      </w:pPr>
    </w:p>
    <w:p>
      <w:pPr>
        <w:jc w:val="both"/>
        <w:ind w:left="660" w:firstLine="645"/>
        <w:spacing w:after="0" w:line="287" w:lineRule="auto"/>
        <w:tabs>
          <w:tab w:leader="none" w:pos="217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Dispositions of (i) inventory or goods held for sale (including, for the avoidance of doubt, such Dispositions made by the Company or any other Loan Party to Subsidiaries that are not Loan Parties, so long as such Dispositions are at prices and on terms and conditions at least substantially as favorable to the Company or such Loan Party as those that could be obtained at the time in a comparable arm’s-length transaction with a Person that is not a Subsidiary), (ii) immaterial assets (including allowing any registrations or any applications for registration of any immaterial intellectual property to lapse or go abandoned in the ordinary course of business), (iii) used, obsolete, damaged or surplus property or equipment, whether now owned or hereafter acquired, and (iv) cash and Permitted Investments, in each case in the ordinary course of business;</w:t>
      </w:r>
    </w:p>
    <w:p>
      <w:pPr>
        <w:spacing w:after="0" w:line="183" w:lineRule="exact"/>
        <w:rPr>
          <w:rFonts w:ascii="Arial" w:cs="Arial" w:eastAsia="Arial" w:hAnsi="Arial"/>
          <w:sz w:val="19"/>
          <w:szCs w:val="19"/>
          <w:color w:val="auto"/>
        </w:rPr>
      </w:pPr>
    </w:p>
    <w:p>
      <w:pPr>
        <w:jc w:val="both"/>
        <w:ind w:left="660" w:firstLine="645"/>
        <w:spacing w:after="0" w:line="273" w:lineRule="auto"/>
        <w:tabs>
          <w:tab w:leader="none" w:pos="218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 xml:space="preserve">Dispositions to the Company or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Disposition to a Subsidiary that is not a Loan Party (i) shall be made in compliance with </w:t>
      </w:r>
      <w:r>
        <w:rPr>
          <w:rFonts w:ascii="Arial" w:cs="Arial" w:eastAsia="Arial" w:hAnsi="Arial"/>
          <w:sz w:val="20"/>
          <w:szCs w:val="20"/>
          <w:u w:val="single" w:color="auto"/>
          <w:color w:val="auto"/>
        </w:rPr>
        <w:t>Sections 6.04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6.08</w:t>
      </w:r>
      <w:r>
        <w:rPr>
          <w:rFonts w:ascii="Arial" w:cs="Arial" w:eastAsia="Arial" w:hAnsi="Arial"/>
          <w:sz w:val="20"/>
          <w:szCs w:val="20"/>
          <w:color w:val="auto"/>
        </w:rPr>
        <w:t xml:space="preserve"> if and to the extent applicable and (ii) shall not, in the case of any Disposition by the Company or any other Loan Party to Subsidiaries that are not Loan Parties in any fiscal year that are not made as Investments permitted by </w:t>
      </w:r>
      <w:r>
        <w:rPr>
          <w:rFonts w:ascii="Arial" w:cs="Arial" w:eastAsia="Arial" w:hAnsi="Arial"/>
          <w:sz w:val="20"/>
          <w:szCs w:val="20"/>
          <w:u w:val="single" w:color="auto"/>
          <w:color w:val="auto"/>
        </w:rPr>
        <w:t>Section 6.04</w:t>
      </w:r>
      <w:r>
        <w:rPr>
          <w:rFonts w:ascii="Arial" w:cs="Arial" w:eastAsia="Arial" w:hAnsi="Arial"/>
          <w:sz w:val="20"/>
          <w:szCs w:val="20"/>
          <w:color w:val="auto"/>
        </w:rPr>
        <w:t>, involve assets having an aggregate fair market value for all such assets so Disposed in such fiscal year in excess of $7,500,000;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825" w:right="239" w:bottom="1440" w:gutter="0" w:footer="0" w:header="0"/>
        </w:sectPr>
      </w:pPr>
    </w:p>
    <w:bookmarkStart w:id="99" w:name="page100"/>
    <w:bookmarkEnd w:id="99"/>
    <w:p>
      <w:pPr>
        <w:ind w:left="-540" w:firstLine="645"/>
        <w:spacing w:after="0" w:line="316" w:lineRule="auto"/>
        <w:tabs>
          <w:tab w:leader="none" w:pos="97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200" w:lineRule="exact"/>
        <w:rPr>
          <w:rFonts w:ascii="Arial" w:cs="Arial" w:eastAsia="Arial" w:hAnsi="Arial"/>
          <w:sz w:val="19"/>
          <w:szCs w:val="19"/>
          <w:color w:val="auto"/>
        </w:rPr>
      </w:pPr>
    </w:p>
    <w:p>
      <w:pPr>
        <w:spacing w:after="0" w:line="399" w:lineRule="exact"/>
        <w:rPr>
          <w:rFonts w:ascii="Arial" w:cs="Arial" w:eastAsia="Arial" w:hAnsi="Arial"/>
          <w:sz w:val="19"/>
          <w:szCs w:val="19"/>
          <w:color w:val="auto"/>
        </w:rPr>
      </w:pPr>
    </w:p>
    <w:p>
      <w:pPr>
        <w:jc w:val="both"/>
        <w:ind w:left="-540" w:firstLine="645"/>
        <w:spacing w:after="0" w:line="322" w:lineRule="auto"/>
        <w:tabs>
          <w:tab w:leader="none" w:pos="9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 to the extent constituting Dispositions, transactions permitted by </w:t>
      </w:r>
      <w:r>
        <w:rPr>
          <w:rFonts w:ascii="Arial" w:cs="Arial" w:eastAsia="Arial" w:hAnsi="Arial"/>
          <w:sz w:val="18"/>
          <w:szCs w:val="18"/>
          <w:u w:val="single" w:color="auto"/>
          <w:color w:val="auto"/>
        </w:rPr>
        <w:t>Sections 6.01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(ii) Dispositions of assets to the extent that such Disposition constitutes an Investment referred to in and permitted by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and (iii) Dispositions of assets to the extent that such Disposition constitute a Restricted Payment referred to in and permitted by </w:t>
      </w:r>
      <w:r>
        <w:rPr>
          <w:rFonts w:ascii="Arial" w:cs="Arial" w:eastAsia="Arial" w:hAnsi="Arial"/>
          <w:sz w:val="18"/>
          <w:szCs w:val="18"/>
          <w:u w:val="single" w:color="auto"/>
          <w:color w:val="auto"/>
        </w:rPr>
        <w:t>Section 6.09</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980" w:hanging="875"/>
        <w:spacing w:after="0"/>
        <w:tabs>
          <w:tab w:leader="none" w:pos="9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Sale and Leaseback Transactions permitted by </w:t>
      </w:r>
      <w:r>
        <w:rPr>
          <w:rFonts w:ascii="Arial" w:cs="Arial" w:eastAsia="Arial" w:hAnsi="Arial"/>
          <w:sz w:val="20"/>
          <w:szCs w:val="20"/>
          <w:u w:val="single" w:color="auto"/>
          <w:color w:val="auto"/>
        </w:rPr>
        <w:t>Section 6.06</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540" w:firstLine="645"/>
        <w:spacing w:after="0" w:line="278" w:lineRule="auto"/>
        <w:tabs>
          <w:tab w:leader="none" w:pos="95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Licenses, leases or subleases entered into in the ordinary course of business, including in connection with effectuating any tax subsidy arrangement, including a payment-in-lieu of taxes arrangement, to the extent that they do not materially interfere with the business of the Company or any Subsidiary;</w:t>
      </w:r>
    </w:p>
    <w:p>
      <w:pPr>
        <w:spacing w:after="0" w:line="186" w:lineRule="exact"/>
        <w:rPr>
          <w:rFonts w:ascii="Arial" w:cs="Arial" w:eastAsia="Arial" w:hAnsi="Arial"/>
          <w:sz w:val="20"/>
          <w:szCs w:val="20"/>
          <w:color w:val="auto"/>
        </w:rPr>
      </w:pPr>
    </w:p>
    <w:p>
      <w:pPr>
        <w:ind w:left="-540" w:firstLine="645"/>
        <w:spacing w:after="0" w:line="289" w:lineRule="auto"/>
        <w:tabs>
          <w:tab w:leader="none" w:pos="105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Licenses or sublicenses of intellectual property in the ordinary course of business, to the extent that they do not materially interfere with the business of the Company or any Subsidiary;</w:t>
      </w:r>
    </w:p>
    <w:p>
      <w:pPr>
        <w:spacing w:after="0" w:line="175" w:lineRule="exact"/>
        <w:rPr>
          <w:rFonts w:ascii="Arial" w:cs="Arial" w:eastAsia="Arial" w:hAnsi="Arial"/>
          <w:sz w:val="20"/>
          <w:szCs w:val="20"/>
          <w:color w:val="auto"/>
        </w:rPr>
      </w:pPr>
    </w:p>
    <w:p>
      <w:pPr>
        <w:ind w:left="-540" w:right="20" w:firstLine="645"/>
        <w:spacing w:after="0" w:line="289" w:lineRule="auto"/>
        <w:tabs>
          <w:tab w:leader="none" w:pos="987"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resulting from any casualty or other insured damage to, or any taking under power of eminent domain or by condemnation or similar proceeding of, any asset of any of the Company or any Subsidiary;</w:t>
      </w:r>
    </w:p>
    <w:p>
      <w:pPr>
        <w:spacing w:after="0" w:line="175" w:lineRule="exact"/>
        <w:rPr>
          <w:rFonts w:ascii="Arial" w:cs="Arial" w:eastAsia="Arial" w:hAnsi="Arial"/>
          <w:sz w:val="20"/>
          <w:szCs w:val="20"/>
          <w:color w:val="auto"/>
        </w:rPr>
      </w:pPr>
    </w:p>
    <w:p>
      <w:pPr>
        <w:jc w:val="both"/>
        <w:ind w:left="-540" w:firstLine="645"/>
        <w:spacing w:after="0" w:line="322" w:lineRule="auto"/>
        <w:tabs>
          <w:tab w:leader="none" w:pos="9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52" w:lineRule="exact"/>
        <w:rPr>
          <w:rFonts w:ascii="Arial" w:cs="Arial" w:eastAsia="Arial" w:hAnsi="Arial"/>
          <w:sz w:val="18"/>
          <w:szCs w:val="18"/>
          <w:color w:val="auto"/>
        </w:rPr>
      </w:pPr>
    </w:p>
    <w:p>
      <w:pPr>
        <w:ind w:left="-540" w:firstLine="645"/>
        <w:spacing w:after="0" w:line="289" w:lineRule="auto"/>
        <w:tabs>
          <w:tab w:leader="none" w:pos="94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Investments in joint ventures to the extent required by, or made pursuant to customary buy/sell arrangements between, the joint venture parties set forth in joint venture arrangements;</w:t>
      </w:r>
    </w:p>
    <w:p>
      <w:pPr>
        <w:spacing w:after="0" w:line="175" w:lineRule="exact"/>
        <w:rPr>
          <w:rFonts w:ascii="Arial" w:cs="Arial" w:eastAsia="Arial" w:hAnsi="Arial"/>
          <w:sz w:val="20"/>
          <w:szCs w:val="20"/>
          <w:color w:val="auto"/>
        </w:rPr>
      </w:pPr>
    </w:p>
    <w:p>
      <w:pPr>
        <w:jc w:val="both"/>
        <w:ind w:left="-540" w:firstLine="645"/>
        <w:spacing w:after="0" w:line="322" w:lineRule="auto"/>
        <w:tabs>
          <w:tab w:leader="none" w:pos="9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abandonment, cancellation, non-renewal or discontinuance of use or maintenance of non-material intellectual property or rights relating thereto (including registrations and applications for registration) that the Company determines in its reasonable judgment to be desirable to the conduct of its business and not materially disadvantageous to the interests of the Lenders;</w:t>
      </w:r>
    </w:p>
    <w:p>
      <w:pPr>
        <w:spacing w:after="0" w:line="152" w:lineRule="exact"/>
        <w:rPr>
          <w:rFonts w:ascii="Arial" w:cs="Arial" w:eastAsia="Arial" w:hAnsi="Arial"/>
          <w:sz w:val="18"/>
          <w:szCs w:val="18"/>
          <w:color w:val="auto"/>
        </w:rPr>
      </w:pPr>
    </w:p>
    <w:p>
      <w:pPr>
        <w:jc w:val="both"/>
        <w:ind w:left="-540" w:firstLine="645"/>
        <w:spacing w:after="0" w:line="278" w:lineRule="auto"/>
        <w:tabs>
          <w:tab w:leader="none" w:pos="943" w:val="left"/>
        </w:tabs>
        <w:numPr>
          <w:ilvl w:val="0"/>
          <w:numId w:val="102"/>
        </w:numPr>
        <w:rPr>
          <w:rFonts w:ascii="Arial" w:cs="Arial" w:eastAsia="Arial" w:hAnsi="Arial"/>
          <w:sz w:val="20"/>
          <w:szCs w:val="20"/>
          <w:color w:val="auto"/>
        </w:rPr>
      </w:pPr>
      <w:r>
        <w:rPr>
          <w:rFonts w:ascii="Arial" w:cs="Arial" w:eastAsia="Arial" w:hAnsi="Arial"/>
          <w:sz w:val="20"/>
          <w:szCs w:val="20"/>
          <w:color w:val="auto"/>
        </w:rPr>
        <w:t>Dispositions of assets acquired pursuant to or in order to effectuate a Permitted Acquisition which assets are not used or useful to the core or principal business of the Company and its Subsidiaries in an aggregate amount not to exceed 30% of the aggregate consideration in respect of such Permitted Acquisition;</w:t>
      </w:r>
    </w:p>
    <w:p>
      <w:pPr>
        <w:spacing w:after="0" w:line="186" w:lineRule="exact"/>
        <w:rPr>
          <w:rFonts w:ascii="Arial" w:cs="Arial" w:eastAsia="Arial" w:hAnsi="Arial"/>
          <w:sz w:val="20"/>
          <w:szCs w:val="20"/>
          <w:color w:val="auto"/>
        </w:rPr>
      </w:pPr>
    </w:p>
    <w:p>
      <w:pPr>
        <w:jc w:val="both"/>
        <w:ind w:left="-540" w:firstLine="645"/>
        <w:spacing w:after="0" w:line="378" w:lineRule="auto"/>
        <w:tabs>
          <w:tab w:leader="none" w:pos="104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Dispositions of assets that the Company determines in its reasonable judgment to be no longer used or useful in the conduct of the business of the Company or any Subsidiary outside the ordinary course of business (and for consideration complying with the requirements applicable to Dispositions pursuant to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below) in an aggregate amount not to exceed $15,000,000;</w:t>
      </w:r>
    </w:p>
    <w:p>
      <w:pPr>
        <w:spacing w:after="0" w:line="346"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0220"/>
          </w:cols>
          <w:pgMar w:left="1440" w:top="825" w:right="239" w:bottom="1440" w:gutter="0" w:footer="0" w:header="0"/>
        </w:sectPr>
      </w:pPr>
    </w:p>
    <w:bookmarkStart w:id="100" w:name="page101"/>
    <w:bookmarkEnd w:id="100"/>
    <w:p>
      <w:pPr>
        <w:ind w:left="660" w:firstLine="645"/>
        <w:spacing w:after="0" w:line="316" w:lineRule="auto"/>
        <w:tabs>
          <w:tab w:leader="none" w:pos="218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swap of assets in exchange for services or other assets of comparable or greater value or usefulness to the business of the Company and the Subsidiaries as a whole, as determined in good faith by the Company;</w:t>
      </w:r>
    </w:p>
    <w:p>
      <w:pPr>
        <w:spacing w:after="0" w:line="153" w:lineRule="exact"/>
        <w:rPr>
          <w:rFonts w:ascii="Arial" w:cs="Arial" w:eastAsia="Arial" w:hAnsi="Arial"/>
          <w:sz w:val="19"/>
          <w:szCs w:val="19"/>
          <w:color w:val="auto"/>
        </w:rPr>
      </w:pPr>
    </w:p>
    <w:p>
      <w:pPr>
        <w:ind w:left="660" w:firstLine="645"/>
        <w:spacing w:after="0" w:line="316" w:lineRule="auto"/>
        <w:tabs>
          <w:tab w:leader="none" w:pos="2187"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3" w:lineRule="exact"/>
        <w:rPr>
          <w:rFonts w:ascii="Arial" w:cs="Arial" w:eastAsia="Arial" w:hAnsi="Arial"/>
          <w:sz w:val="19"/>
          <w:szCs w:val="19"/>
          <w:color w:val="auto"/>
        </w:rPr>
      </w:pPr>
    </w:p>
    <w:p>
      <w:pPr>
        <w:ind w:left="2180" w:hanging="875"/>
        <w:spacing w:after="0"/>
        <w:tabs>
          <w:tab w:leader="none" w:pos="21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unwinding of any Swap Contract pursuant to its terms;</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sales or other issuances of Equity Interests in the Company;</w:t>
      </w:r>
    </w:p>
    <w:p>
      <w:pPr>
        <w:spacing w:after="0" w:line="242" w:lineRule="exact"/>
        <w:rPr>
          <w:rFonts w:ascii="Arial" w:cs="Arial" w:eastAsia="Arial" w:hAnsi="Arial"/>
          <w:sz w:val="20"/>
          <w:szCs w:val="20"/>
          <w:color w:val="auto"/>
        </w:rPr>
      </w:pPr>
    </w:p>
    <w:p>
      <w:pPr>
        <w:ind w:left="2160" w:hanging="855"/>
        <w:spacing w:after="0"/>
        <w:tabs>
          <w:tab w:leader="none" w:pos="216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 xml:space="preserve">Dispositions contemplated as of the Effective Date and listed on </w:t>
      </w:r>
      <w:r>
        <w:rPr>
          <w:rFonts w:ascii="Arial" w:cs="Arial" w:eastAsia="Arial" w:hAnsi="Arial"/>
          <w:sz w:val="20"/>
          <w:szCs w:val="20"/>
          <w:u w:val="single" w:color="auto"/>
          <w:color w:val="auto"/>
        </w:rPr>
        <w:t>Schedule 6.05</w:t>
      </w:r>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jc w:val="both"/>
        <w:ind w:left="660" w:firstLine="645"/>
        <w:spacing w:after="0" w:line="300" w:lineRule="auto"/>
        <w:tabs>
          <w:tab w:leader="none" w:pos="21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other Disposition of assets (including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total fair market value of the assets subject to any such Disposition or series of related Dispositions is in excess of $7,500,000, it shall be for fair market value (or if not for fair market value, the shortfall is permitted as and treated as an Investment under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(ii) at least 75% of the total consideration for any such Disposition in excess of $10,000,000 received by the Company and its Subsidiaries is in the form of cash or Permitted Investments, (iii) no Default or Event of Default then exists or would result after giving effect (including pro forma effect) thereto (except if such Disposition is made pursuant to an agreement entered into at a time when no Default or Event of Default exists) and (iv) the requirements of </w:t>
      </w:r>
      <w:r>
        <w:rPr>
          <w:rFonts w:ascii="Arial" w:cs="Arial" w:eastAsia="Arial" w:hAnsi="Arial"/>
          <w:sz w:val="18"/>
          <w:szCs w:val="18"/>
          <w:u w:val="single" w:color="auto"/>
          <w:color w:val="auto"/>
        </w:rPr>
        <w:t>Section 2.11(c)</w:t>
      </w:r>
      <w:r>
        <w:rPr>
          <w:rFonts w:ascii="Arial" w:cs="Arial" w:eastAsia="Arial" w:hAnsi="Arial"/>
          <w:sz w:val="18"/>
          <w:szCs w:val="18"/>
          <w:color w:val="auto"/>
        </w:rPr>
        <w:t xml:space="preserve">, to the extent applicable, are complied with in connection therewith;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Secured Obligations) that are assumed by the transferee with respect to the applicable Disposition and for which the Company and its Subsidiaries shall have been validly released by all applicable creditors in writing, (B) any securities received by the Company or such Subsidiary from such transferee that are converted by the Company or such Subsidiary into cash or Permitted Investments (to the extent of the cash or Permitted Investments received in the conversion) within one hundred eighty (180) days following the closing of the applicable Disposition and (C) aggregate non-cash consideration received by the Company or such Subsidiary having an aggregate fair market value (determined in good faith by the Company as of the closing of the applicable Disposition for which such non-cash consideration is received and without giving effect to subsequent changes in value) not to exceed the greater of (x) $30,000,000 and (y) 3% of Consolidated Total Assets at any time since the Effective Date (net of any non-cash consideration converted into cash and Permitted Investments).</w:t>
      </w:r>
    </w:p>
    <w:p>
      <w:pPr>
        <w:spacing w:after="0" w:line="17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u w:val="single" w:color="auto"/>
          <w:color w:val="auto"/>
        </w:rPr>
        <w:t>Sale and Leaseback Transactions</w:t>
      </w:r>
      <w:r>
        <w:rPr>
          <w:rFonts w:ascii="Arial" w:cs="Arial" w:eastAsia="Arial" w:hAnsi="Arial"/>
          <w:sz w:val="20"/>
          <w:szCs w:val="20"/>
          <w:color w:val="auto"/>
        </w:rPr>
        <w:t xml:space="preserve">. No Loan Party will, nor will it permit any Subsidiary to, enter into any Sale and Leaseback Transaction unless (a) any Capital Lease Obligations arising in connection therewith are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and (b) any Liens arising in connection therewith (including Liens deemed to arise in connection with any such Capital Lease Obligations) are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02</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Swap Agreements.</w:t>
      </w:r>
      <w:r>
        <w:rPr>
          <w:rFonts w:ascii="Arial" w:cs="Arial" w:eastAsia="Arial" w:hAnsi="Arial"/>
          <w:sz w:val="19"/>
          <w:szCs w:val="19"/>
          <w:color w:val="auto"/>
        </w:rPr>
        <w:t xml:space="preserve"> No Loan Party will, nor will it permit any Subsidiary to, enter into any Swap Agreement, except (a) Swap Agreements entered into to hedge or mitigate risks to which the Company or any Subsidiary has actual exposure (other than those in respect of the Equity Interests or Indebtedness of the Company or any Subsidiary), (b) Swap Agreements entered into in order to effectively cap, collar or exchange interest rates (from fixed to floating rates, from one floating rate to another floating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825" w:right="239" w:bottom="1440" w:gutter="0" w:footer="0" w:header="0"/>
        </w:sectPr>
      </w:pPr>
    </w:p>
    <w:bookmarkStart w:id="101" w:name="page102"/>
    <w:bookmarkEnd w:id="101"/>
    <w:p>
      <w:pPr>
        <w:jc w:val="both"/>
        <w:spacing w:after="0" w:line="289" w:lineRule="auto"/>
        <w:rPr>
          <w:sz w:val="20"/>
          <w:szCs w:val="20"/>
          <w:color w:val="auto"/>
        </w:rPr>
      </w:pPr>
      <w:r>
        <w:rPr>
          <w:rFonts w:ascii="Arial" w:cs="Arial" w:eastAsia="Arial" w:hAnsi="Arial"/>
          <w:sz w:val="20"/>
          <w:szCs w:val="20"/>
          <w:color w:val="auto"/>
        </w:rPr>
        <w:t>rate or otherwise) with respect to any interest-bearing liability or investment of the Company or any Subsidiary and (c) Permitted Call Spread Swap Agreements.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No Loan Party will, nor will it permit any Subsidiary to, sell, lease or otherwise transfer any assets to, or purchase, lease or otherwise acquire any assets from, or otherwise engage in any other transactions with, any of its Affiliates, except:</w:t>
      </w:r>
    </w:p>
    <w:p>
      <w:pPr>
        <w:spacing w:after="0" w:line="187" w:lineRule="exact"/>
        <w:rPr>
          <w:sz w:val="20"/>
          <w:szCs w:val="20"/>
          <w:color w:val="auto"/>
        </w:rPr>
      </w:pPr>
    </w:p>
    <w:p>
      <w:pPr>
        <w:jc w:val="both"/>
        <w:ind w:left="660" w:firstLine="645"/>
        <w:spacing w:after="0" w:line="322" w:lineRule="auto"/>
        <w:tabs>
          <w:tab w:leader="none" w:pos="217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transactions that are at prices and on terms and conditions at least substantially as favorable to the Company or such Subsidiary (or, in the case of a transaction between a Loan Party and a non-Loan Party, at least substantially as favorable to such Loan Party) as those that could be obtained at the time in a comparable arm’s-length transaction with a Person that is not an Affiliate;</w:t>
      </w:r>
    </w:p>
    <w:p>
      <w:pPr>
        <w:spacing w:after="0" w:line="152" w:lineRule="exact"/>
        <w:rPr>
          <w:rFonts w:ascii="Arial" w:cs="Arial" w:eastAsia="Arial" w:hAnsi="Arial"/>
          <w:sz w:val="18"/>
          <w:szCs w:val="18"/>
          <w:color w:val="auto"/>
        </w:rPr>
      </w:pPr>
    </w:p>
    <w:p>
      <w:pPr>
        <w:ind w:left="660" w:firstLine="645"/>
        <w:spacing w:after="0" w:line="347" w:lineRule="auto"/>
        <w:tabs>
          <w:tab w:leader="none" w:pos="218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transactions between or among the Company and the other Loan Parties or any Person that becomes a Loan Party as a result of or in connection with such loan or other transaction to the extent permitted hereunder and not involving any other Affiliate;</w:t>
      </w:r>
    </w:p>
    <w:p>
      <w:pPr>
        <w:spacing w:after="0" w:line="130" w:lineRule="exact"/>
        <w:rPr>
          <w:rFonts w:ascii="Arial" w:cs="Arial" w:eastAsia="Arial" w:hAnsi="Arial"/>
          <w:sz w:val="18"/>
          <w:szCs w:val="18"/>
          <w:color w:val="auto"/>
        </w:rPr>
      </w:pPr>
    </w:p>
    <w:p>
      <w:pPr>
        <w:ind w:left="2180" w:hanging="875"/>
        <w:spacing w:after="0"/>
        <w:tabs>
          <w:tab w:leader="none" w:pos="21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 transactions between or among Subsidiaries that are not Loan Parties and not involving any other Affiliate and</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transactions between any Loan Party and any Subsidiary that is not a Loan Party to the extent permitted hereunder;</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any Investment (including loans or advances to employees)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645"/>
        <w:spacing w:after="0" w:line="289" w:lineRule="auto"/>
        <w:tabs>
          <w:tab w:leader="none" w:pos="217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payment of reasonable fees to directors of the Company or any Subsidiary who are not employees of the Company or any Subsidiary;</w:t>
      </w:r>
    </w:p>
    <w:p>
      <w:pPr>
        <w:spacing w:after="0" w:line="175" w:lineRule="exact"/>
        <w:rPr>
          <w:rFonts w:ascii="Arial" w:cs="Arial" w:eastAsia="Arial" w:hAnsi="Arial"/>
          <w:sz w:val="20"/>
          <w:szCs w:val="20"/>
          <w:color w:val="auto"/>
        </w:rPr>
      </w:pPr>
    </w:p>
    <w:p>
      <w:pPr>
        <w:jc w:val="both"/>
        <w:ind w:left="660" w:firstLine="645"/>
        <w:spacing w:after="0" w:line="293" w:lineRule="auto"/>
        <w:tabs>
          <w:tab w:leader="none" w:pos="2154" w:val="left"/>
        </w:tabs>
        <w:numPr>
          <w:ilvl w:val="1"/>
          <w:numId w:val="105"/>
        </w:numPr>
        <w:rPr>
          <w:rFonts w:ascii="Arial" w:cs="Arial" w:eastAsia="Arial" w:hAnsi="Arial"/>
          <w:sz w:val="19"/>
          <w:szCs w:val="19"/>
          <w:color w:val="auto"/>
        </w:rPr>
      </w:pPr>
      <w:r>
        <w:rPr>
          <w:rFonts w:ascii="Arial" w:cs="Arial" w:eastAsia="Arial" w:hAnsi="Arial"/>
          <w:sz w:val="19"/>
          <w:szCs w:val="19"/>
          <w:color w:val="auto"/>
        </w:rPr>
        <w:t>compensation, expense reimbursement and indemnification of, and other employment arrangements (including severance arrangements and health, disability and similar insurance or benefit plans) with, directors, officers, managers, employees and consultants of the Company or any Subsidiary entered into in the ordinary course of business and transactions pursuant to equity-based plans and employee benefit plans and arrangements in the ordinary course of business;</w:t>
      </w:r>
    </w:p>
    <w:p>
      <w:pPr>
        <w:spacing w:after="0" w:line="175" w:lineRule="exact"/>
        <w:rPr>
          <w:rFonts w:ascii="Arial" w:cs="Arial" w:eastAsia="Arial" w:hAnsi="Arial"/>
          <w:sz w:val="19"/>
          <w:szCs w:val="19"/>
          <w:color w:val="auto"/>
        </w:rPr>
      </w:pPr>
    </w:p>
    <w:p>
      <w:pPr>
        <w:ind w:left="2180" w:hanging="875"/>
        <w:spacing w:after="0"/>
        <w:tabs>
          <w:tab w:leader="none" w:pos="218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 xml:space="preserve">any Restricted Payment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645"/>
        <w:spacing w:after="0" w:line="289" w:lineRule="auto"/>
        <w:tabs>
          <w:tab w:leader="none" w:pos="2187" w:val="left"/>
        </w:tabs>
        <w:numPr>
          <w:ilvl w:val="1"/>
          <w:numId w:val="105"/>
        </w:numPr>
        <w:rPr>
          <w:rFonts w:ascii="Arial" w:cs="Arial" w:eastAsia="Arial" w:hAnsi="Arial"/>
          <w:sz w:val="20"/>
          <w:szCs w:val="20"/>
          <w:color w:val="auto"/>
        </w:rPr>
      </w:pPr>
      <w:r>
        <w:rPr>
          <w:rFonts w:ascii="Arial" w:cs="Arial" w:eastAsia="Arial" w:hAnsi="Arial"/>
          <w:sz w:val="20"/>
          <w:szCs w:val="20"/>
          <w:color w:val="auto"/>
        </w:rPr>
        <w:t>any issuance or sale of Equity Interests to, and any repurchase, retirement, redemption or other acquisition or retirement of Equity Interests owned by, Affiliates to the extent not prohibited under this Agreement;</w:t>
      </w:r>
    </w:p>
    <w:p>
      <w:pPr>
        <w:spacing w:after="0" w:line="175" w:lineRule="exact"/>
        <w:rPr>
          <w:rFonts w:ascii="Arial" w:cs="Arial" w:eastAsia="Arial" w:hAnsi="Arial"/>
          <w:sz w:val="20"/>
          <w:szCs w:val="20"/>
          <w:color w:val="auto"/>
        </w:rPr>
      </w:pPr>
    </w:p>
    <w:p>
      <w:pPr>
        <w:ind w:left="660" w:right="20" w:firstLine="645"/>
        <w:spacing w:after="0" w:line="347" w:lineRule="auto"/>
        <w:tabs>
          <w:tab w:leader="none" w:pos="214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any payments or other transactions pursuant to any tax sharing agreement among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tax sharing agreement is on arm’s-length terms usual and customary for agreements of that type;</w:t>
      </w:r>
    </w:p>
    <w:p>
      <w:pPr>
        <w:spacing w:after="0" w:line="130" w:lineRule="exact"/>
        <w:rPr>
          <w:rFonts w:ascii="Arial" w:cs="Arial" w:eastAsia="Arial" w:hAnsi="Arial"/>
          <w:sz w:val="18"/>
          <w:szCs w:val="18"/>
          <w:color w:val="auto"/>
        </w:rPr>
      </w:pPr>
    </w:p>
    <w:p>
      <w:pPr>
        <w:ind w:left="2140" w:hanging="835"/>
        <w:spacing w:after="0"/>
        <w:tabs>
          <w:tab w:leader="none" w:pos="2140"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consummation of the Transactions and the payment of the Transaction Costs;</w:t>
      </w:r>
    </w:p>
    <w:p>
      <w:pPr>
        <w:spacing w:after="0" w:line="242" w:lineRule="exact"/>
        <w:rPr>
          <w:rFonts w:ascii="Arial" w:cs="Arial" w:eastAsia="Arial" w:hAnsi="Arial"/>
          <w:sz w:val="20"/>
          <w:szCs w:val="20"/>
          <w:color w:val="auto"/>
        </w:rPr>
      </w:pPr>
    </w:p>
    <w:p>
      <w:pPr>
        <w:ind w:left="660" w:firstLine="645"/>
        <w:spacing w:after="0" w:line="289" w:lineRule="auto"/>
        <w:tabs>
          <w:tab w:leader="none" w:pos="2187" w:val="left"/>
        </w:tabs>
        <w:numPr>
          <w:ilvl w:val="1"/>
          <w:numId w:val="105"/>
        </w:numPr>
        <w:rPr>
          <w:rFonts w:ascii="Arial" w:cs="Arial" w:eastAsia="Arial" w:hAnsi="Arial"/>
          <w:sz w:val="20"/>
          <w:szCs w:val="20"/>
          <w:color w:val="auto"/>
        </w:rPr>
      </w:pPr>
      <w:r>
        <w:rPr>
          <w:rFonts w:ascii="Arial" w:cs="Arial" w:eastAsia="Arial" w:hAnsi="Arial"/>
          <w:sz w:val="20"/>
          <w:szCs w:val="20"/>
          <w:color w:val="auto"/>
        </w:rPr>
        <w:t>the payment of customary fees and reasonable out of pocket costs to, and indemnities provided on behalf of, directors, officers, managers, employees and consultants of the Company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ectPr>
          <w:pgSz w:w="11900" w:h="16838" w:orient="portrait"/>
          <w:cols w:equalWidth="0" w:num="1">
            <w:col w:w="11420"/>
          </w:cols>
          <w:pgMar w:left="240" w:top="825" w:right="239" w:bottom="1440" w:gutter="0" w:footer="0" w:header="0"/>
        </w:sectPr>
      </w:pPr>
    </w:p>
    <w:bookmarkStart w:id="102" w:name="page103"/>
    <w:bookmarkEnd w:id="102"/>
    <w:p>
      <w:pPr>
        <w:ind w:left="660"/>
        <w:spacing w:after="0" w:line="289" w:lineRule="auto"/>
        <w:rPr>
          <w:sz w:val="20"/>
          <w:szCs w:val="20"/>
          <w:color w:val="auto"/>
        </w:rPr>
      </w:pPr>
      <w:r>
        <w:rPr>
          <w:rFonts w:ascii="Arial" w:cs="Arial" w:eastAsia="Arial" w:hAnsi="Arial"/>
          <w:sz w:val="20"/>
          <w:szCs w:val="20"/>
          <w:color w:val="auto"/>
        </w:rPr>
        <w:t>any Subsidiary in the ordinary course of business to the extent attributable to the ownership or operation of the Company and its Subsidiaries;</w:t>
      </w:r>
    </w:p>
    <w:p>
      <w:pPr>
        <w:spacing w:after="0" w:line="175" w:lineRule="exact"/>
        <w:rPr>
          <w:sz w:val="20"/>
          <w:szCs w:val="20"/>
          <w:color w:val="auto"/>
        </w:rPr>
      </w:pPr>
    </w:p>
    <w:p>
      <w:pPr>
        <w:ind w:left="660" w:firstLine="645"/>
        <w:spacing w:after="0" w:line="289" w:lineRule="auto"/>
        <w:tabs>
          <w:tab w:leader="none" w:pos="2143" w:val="left"/>
        </w:tabs>
        <w:numPr>
          <w:ilvl w:val="0"/>
          <w:numId w:val="106"/>
        </w:numPr>
        <w:rPr>
          <w:rFonts w:ascii="Arial" w:cs="Arial" w:eastAsia="Arial" w:hAnsi="Arial"/>
          <w:sz w:val="20"/>
          <w:szCs w:val="20"/>
          <w:color w:val="auto"/>
        </w:rPr>
      </w:pPr>
      <w:r>
        <w:rPr>
          <w:rFonts w:ascii="Arial" w:cs="Arial" w:eastAsia="Arial" w:hAnsi="Arial"/>
          <w:sz w:val="20"/>
          <w:szCs w:val="20"/>
          <w:color w:val="auto"/>
        </w:rPr>
        <w:t xml:space="preserve">transactions pursuant to agreements in existence on the Effective Date and set forth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08</w:t>
      </w:r>
      <w:r>
        <w:rPr>
          <w:rFonts w:ascii="Arial" w:cs="Arial" w:eastAsia="Arial" w:hAnsi="Arial"/>
          <w:sz w:val="20"/>
          <w:szCs w:val="20"/>
          <w:color w:val="auto"/>
        </w:rPr>
        <w:t xml:space="preserve"> or any amendment thereto to the extent such an amendment is not adverse to the Lenders in any material respect;</w:t>
      </w:r>
    </w:p>
    <w:p>
      <w:pPr>
        <w:spacing w:after="0" w:line="175" w:lineRule="exact"/>
        <w:rPr>
          <w:rFonts w:ascii="Arial" w:cs="Arial" w:eastAsia="Arial" w:hAnsi="Arial"/>
          <w:sz w:val="20"/>
          <w:szCs w:val="20"/>
          <w:color w:val="auto"/>
        </w:rPr>
      </w:pPr>
    </w:p>
    <w:p>
      <w:pPr>
        <w:ind w:left="660" w:firstLine="645"/>
        <w:spacing w:after="0" w:line="289" w:lineRule="auto"/>
        <w:tabs>
          <w:tab w:leader="none" w:pos="2242"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 joint venture which would constitute a transaction with an Affiliate solely as a result of the Company or any Subsidiary owning an equity interest or otherwise controlling such joint venture or similar entity;</w:t>
      </w:r>
    </w:p>
    <w:p>
      <w:pPr>
        <w:spacing w:after="0" w:line="175" w:lineRule="exact"/>
        <w:rPr>
          <w:rFonts w:ascii="Arial" w:cs="Arial" w:eastAsia="Arial" w:hAnsi="Arial"/>
          <w:sz w:val="20"/>
          <w:szCs w:val="20"/>
          <w:color w:val="auto"/>
        </w:rPr>
      </w:pPr>
    </w:p>
    <w:p>
      <w:pPr>
        <w:jc w:val="both"/>
        <w:ind w:left="660" w:firstLine="645"/>
        <w:spacing w:after="0" w:line="272" w:lineRule="auto"/>
        <w:tabs>
          <w:tab w:leader="none" w:pos="218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transactions with joint ventures, customers, suppliers, contractors, joint venture partners (including physicians) or purchasers or sellers of goods or services, in each case which are in the ordinary course of business (including pursuant to joint venture agreements) and otherwise in compliance with the terms of the Loan Documents, and which are fair to the Company or its applicable Subsidiaries in the reasonable determination of the board of directors, chief executive officer or chief financial officer of the Company or its Subsidiaries, as applicable, or are on terms at least as favorable as might reasonably have been obtained at such time from an unaffiliated party;</w:t>
      </w:r>
    </w:p>
    <w:p>
      <w:pPr>
        <w:spacing w:after="0" w:line="191" w:lineRule="exact"/>
        <w:rPr>
          <w:rFonts w:ascii="Arial" w:cs="Arial" w:eastAsia="Arial" w:hAnsi="Arial"/>
          <w:sz w:val="20"/>
          <w:szCs w:val="20"/>
          <w:color w:val="auto"/>
        </w:rPr>
      </w:pPr>
    </w:p>
    <w:p>
      <w:pPr>
        <w:ind w:left="660" w:firstLine="645"/>
        <w:spacing w:after="0" w:line="347" w:lineRule="auto"/>
        <w:tabs>
          <w:tab w:leader="none" w:pos="218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existing Indebtedness and any other obligations otherwise permitted hereunder pursuant to an agreement existing on the Effective Date as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xml:space="preserve">, as such agreement may be amended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jc w:val="both"/>
        <w:ind w:left="660" w:firstLine="645"/>
        <w:spacing w:after="0" w:line="278" w:lineRule="auto"/>
        <w:tabs>
          <w:tab w:leader="none" w:pos="2187"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lease or sublease entered into between the Company or any Subsidiary, as lessee, and any Affiliate of the Company, as lessor or sublessor, which is approved by a majority of the disinterested members of the board of directors of the Company in good faith.</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6.09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No Loan Party will, nor will it permit any Subsidiary to, will declare or make, directly or indirectly, any Restricted Payment, or incur any obligation (contingent or otherwise) to do so, except that:</w:t>
      </w:r>
    </w:p>
    <w:p>
      <w:pPr>
        <w:spacing w:after="0" w:line="175" w:lineRule="exact"/>
        <w:rPr>
          <w:sz w:val="20"/>
          <w:szCs w:val="20"/>
          <w:color w:val="auto"/>
        </w:rPr>
      </w:pPr>
    </w:p>
    <w:p>
      <w:pPr>
        <w:jc w:val="both"/>
        <w:ind w:left="660" w:firstLine="645"/>
        <w:spacing w:after="0" w:line="278" w:lineRule="auto"/>
        <w:tabs>
          <w:tab w:leader="none" w:pos="2176"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86" w:lineRule="exact"/>
        <w:rPr>
          <w:rFonts w:ascii="Arial" w:cs="Arial" w:eastAsia="Arial" w:hAnsi="Arial"/>
          <w:sz w:val="20"/>
          <w:szCs w:val="20"/>
          <w:color w:val="auto"/>
        </w:rPr>
      </w:pPr>
    </w:p>
    <w:p>
      <w:pPr>
        <w:ind w:right="20" w:firstLine="656"/>
        <w:spacing w:after="0" w:line="289" w:lineRule="auto"/>
        <w:tabs>
          <w:tab w:leader="none" w:pos="1527" w:val="left"/>
        </w:tabs>
        <w:numPr>
          <w:ilvl w:val="0"/>
          <w:numId w:val="108"/>
        </w:numPr>
        <w:rPr>
          <w:rFonts w:ascii="Arial" w:cs="Arial" w:eastAsia="Arial" w:hAnsi="Arial"/>
          <w:sz w:val="20"/>
          <w:szCs w:val="20"/>
          <w:color w:val="auto"/>
        </w:rPr>
      </w:pPr>
      <w:r>
        <w:rPr>
          <w:rFonts w:ascii="Arial" w:cs="Arial" w:eastAsia="Arial" w:hAnsi="Arial"/>
          <w:sz w:val="20"/>
          <w:szCs w:val="20"/>
          <w:color w:val="auto"/>
        </w:rPr>
        <w:t>the Company may declare and pay dividends with respect to its Equity Interests payable solely in shares of Qualified Equity Interests of the Company;</w:t>
      </w:r>
    </w:p>
    <w:p>
      <w:pPr>
        <w:spacing w:after="0" w:line="175" w:lineRule="exact"/>
        <w:rPr>
          <w:rFonts w:ascii="Arial" w:cs="Arial" w:eastAsia="Arial" w:hAnsi="Arial"/>
          <w:sz w:val="20"/>
          <w:szCs w:val="20"/>
          <w:color w:val="auto"/>
        </w:rPr>
      </w:pPr>
    </w:p>
    <w:p>
      <w:pPr>
        <w:jc w:val="both"/>
        <w:ind w:firstLine="656"/>
        <w:spacing w:after="0" w:line="305" w:lineRule="auto"/>
        <w:tabs>
          <w:tab w:leader="none" w:pos="151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provided that the aggregate amount of Restricted Payments made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09(c)</w:t>
      </w:r>
      <w:r>
        <w:rPr>
          <w:rFonts w:ascii="Arial" w:cs="Arial" w:eastAsia="Arial" w:hAnsi="Arial"/>
          <w:sz w:val="18"/>
          <w:szCs w:val="18"/>
          <w:color w:val="auto"/>
        </w:rPr>
        <w:t xml:space="preserve"> shall not exceed $5,000,000 in any fiscal year (with unused amounts in any calendar year being carried over to succeeding calendar years subject to a maximum of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amount in any calendar year may be increased by an amount not to exceed:</w:t>
      </w:r>
    </w:p>
    <w:p>
      <w:pPr>
        <w:spacing w:after="0" w:line="170" w:lineRule="exact"/>
        <w:rPr>
          <w:rFonts w:ascii="Arial" w:cs="Arial" w:eastAsia="Arial" w:hAnsi="Arial"/>
          <w:sz w:val="18"/>
          <w:szCs w:val="18"/>
          <w:color w:val="auto"/>
        </w:rPr>
      </w:pPr>
    </w:p>
    <w:p>
      <w:pPr>
        <w:ind w:left="660" w:right="20" w:firstLine="645"/>
        <w:spacing w:after="0" w:line="289" w:lineRule="auto"/>
        <w:tabs>
          <w:tab w:leader="none" w:pos="2248" w:val="left"/>
        </w:tabs>
        <w:numPr>
          <w:ilvl w:val="1"/>
          <w:numId w:val="108"/>
        </w:numPr>
        <w:rPr>
          <w:rFonts w:ascii="Arial" w:cs="Arial" w:eastAsia="Arial" w:hAnsi="Arial"/>
          <w:sz w:val="20"/>
          <w:szCs w:val="20"/>
          <w:color w:val="auto"/>
        </w:rPr>
      </w:pPr>
      <w:r>
        <w:rPr>
          <w:rFonts w:ascii="Arial" w:cs="Arial" w:eastAsia="Arial" w:hAnsi="Arial"/>
          <w:sz w:val="20"/>
          <w:szCs w:val="20"/>
          <w:color w:val="auto"/>
        </w:rPr>
        <w:t>the net cash proceeds from the sale of Equity Interests (other than Disqualified Equity Interests) of the Company or any Subsidiary to members of management, managers,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825" w:right="239" w:bottom="1440" w:gutter="0" w:footer="0" w:header="0"/>
        </w:sectPr>
      </w:pPr>
    </w:p>
    <w:bookmarkStart w:id="103" w:name="page104"/>
    <w:bookmarkEnd w:id="103"/>
    <w:p>
      <w:pPr>
        <w:ind w:left="660"/>
        <w:spacing w:after="0" w:line="334" w:lineRule="auto"/>
        <w:rPr>
          <w:sz w:val="20"/>
          <w:szCs w:val="20"/>
          <w:color w:val="auto"/>
        </w:rPr>
      </w:pPr>
      <w:r>
        <w:rPr>
          <w:rFonts w:ascii="Arial" w:cs="Arial" w:eastAsia="Arial" w:hAnsi="Arial"/>
          <w:sz w:val="16"/>
          <w:szCs w:val="16"/>
          <w:color w:val="auto"/>
        </w:rPr>
        <w:t xml:space="preserve">or consultants of the Company or any Subsidiary that occurs after the Effective Date, to the extent net cash proceeds from the sale of such Equity Interests have not otherwise been applied to the payment of Restricted Payments by virtue of clause </w:t>
      </w:r>
      <w:r>
        <w:rPr>
          <w:rFonts w:ascii="Arial" w:cs="Arial" w:eastAsia="Arial" w:hAnsi="Arial"/>
          <w:sz w:val="16"/>
          <w:szCs w:val="16"/>
          <w:u w:val="single" w:color="auto"/>
          <w:color w:val="auto"/>
        </w:rPr>
        <w:t>Section 6</w:t>
      </w:r>
      <w:r>
        <w:rPr>
          <w:rFonts w:ascii="Arial" w:cs="Arial" w:eastAsia="Arial" w:hAnsi="Arial"/>
          <w:sz w:val="16"/>
          <w:szCs w:val="16"/>
          <w:color w:val="auto"/>
        </w:rPr>
        <w:t>.</w:t>
      </w:r>
      <w:r>
        <w:rPr>
          <w:rFonts w:ascii="Arial" w:cs="Arial" w:eastAsia="Arial" w:hAnsi="Arial"/>
          <w:sz w:val="16"/>
          <w:szCs w:val="16"/>
          <w:u w:val="single" w:color="auto"/>
          <w:color w:val="auto"/>
        </w:rPr>
        <w:t>09(b)</w:t>
      </w:r>
      <w:r>
        <w:rPr>
          <w:rFonts w:ascii="Arial" w:cs="Arial" w:eastAsia="Arial" w:hAnsi="Arial"/>
          <w:sz w:val="16"/>
          <w:szCs w:val="16"/>
          <w:color w:val="auto"/>
        </w:rPr>
        <w:t xml:space="preserve"> or this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09(c)</w:t>
      </w:r>
      <w:r>
        <w:rPr>
          <w:rFonts w:ascii="Arial" w:cs="Arial" w:eastAsia="Arial" w:hAnsi="Arial"/>
          <w:sz w:val="20"/>
          <w:szCs w:val="20"/>
          <w:color w:val="auto"/>
        </w:rPr>
        <w:t xml:space="preserve">; </w:t>
      </w:r>
      <w:r>
        <w:rPr>
          <w:rFonts w:ascii="Arial" w:cs="Arial" w:eastAsia="Arial" w:hAnsi="Arial"/>
          <w:sz w:val="20"/>
          <w:szCs w:val="20"/>
          <w:u w:val="single" w:color="auto"/>
          <w:color w:val="auto"/>
        </w:rPr>
        <w:t>plus</w:t>
      </w:r>
    </w:p>
    <w:p>
      <w:pPr>
        <w:spacing w:after="0" w:line="243" w:lineRule="exact"/>
        <w:rPr>
          <w:sz w:val="20"/>
          <w:szCs w:val="20"/>
          <w:color w:val="auto"/>
        </w:rPr>
      </w:pPr>
    </w:p>
    <w:p>
      <w:pPr>
        <w:ind w:left="2300" w:hanging="995"/>
        <w:spacing w:after="0"/>
        <w:tabs>
          <w:tab w:leader="none" w:pos="2300"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the net cash proceeds of key man life insurance policies received by the Company or any Subsidiary; </w:t>
      </w:r>
      <w:r>
        <w:rPr>
          <w:rFonts w:ascii="Arial" w:cs="Arial" w:eastAsia="Arial" w:hAnsi="Arial"/>
          <w:sz w:val="19"/>
          <w:szCs w:val="19"/>
          <w:u w:val="single" w:color="auto"/>
          <w:color w:val="auto"/>
        </w:rPr>
        <w:t>less</w:t>
      </w:r>
    </w:p>
    <w:p>
      <w:pPr>
        <w:spacing w:after="0" w:line="254" w:lineRule="exact"/>
        <w:rPr>
          <w:rFonts w:ascii="Arial" w:cs="Arial" w:eastAsia="Arial" w:hAnsi="Arial"/>
          <w:sz w:val="19"/>
          <w:szCs w:val="19"/>
          <w:color w:val="auto"/>
        </w:rPr>
      </w:pPr>
    </w:p>
    <w:p>
      <w:pPr>
        <w:ind w:left="2280" w:hanging="975"/>
        <w:spacing w:after="0"/>
        <w:tabs>
          <w:tab w:leader="none" w:pos="22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the amount of any Restricted Payments previously made with the cash proceeds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 xml:space="preserve">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09(c)</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firstLine="656"/>
        <w:spacing w:after="0" w:line="278" w:lineRule="auto"/>
        <w:tabs>
          <w:tab w:leader="none" w:pos="152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Company may make cash payments in lieu of the issuance of fractional shares representing insignificant interests in the Company in connection with (i) the exercise of warrants, options or other securities convertible into or exchangeable for Equity Interests in the Company and (ii) any dividend, split or combination thereof or any Permitted Acquisition;</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92" w:lineRule="exact"/>
        <w:rPr>
          <w:rFonts w:ascii="Arial" w:cs="Arial" w:eastAsia="Arial" w:hAnsi="Arial"/>
          <w:sz w:val="20"/>
          <w:szCs w:val="20"/>
          <w:color w:val="auto"/>
        </w:rPr>
      </w:pPr>
    </w:p>
    <w:p>
      <w:pPr>
        <w:ind w:left="1500" w:hanging="844"/>
        <w:spacing w:after="0"/>
        <w:tabs>
          <w:tab w:leader="none" w:pos="15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may convert or exchange any Equity Interests of the Company for or into Qualified Equity Interests of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242" w:lineRule="exact"/>
        <w:rPr>
          <w:rFonts w:ascii="Arial" w:cs="Arial" w:eastAsia="Arial" w:hAnsi="Arial"/>
          <w:sz w:val="18"/>
          <w:szCs w:val="18"/>
          <w:color w:val="auto"/>
        </w:rPr>
      </w:pPr>
    </w:p>
    <w:p>
      <w:pPr>
        <w:jc w:val="both"/>
        <w:ind w:firstLine="656"/>
        <w:spacing w:after="0" w:line="274" w:lineRule="auto"/>
        <w:tabs>
          <w:tab w:leader="none" w:pos="1527" w:val="left"/>
        </w:tabs>
        <w:numPr>
          <w:ilvl w:val="0"/>
          <w:numId w:val="110"/>
        </w:numPr>
        <w:rPr>
          <w:rFonts w:ascii="Arial" w:cs="Arial" w:eastAsia="Arial" w:hAnsi="Arial"/>
          <w:sz w:val="20"/>
          <w:szCs w:val="20"/>
          <w:color w:val="auto"/>
        </w:rPr>
      </w:pPr>
      <w:r>
        <w:rPr>
          <w:rFonts w:ascii="Arial" w:cs="Arial" w:eastAsia="Arial" w:hAnsi="Arial"/>
          <w:sz w:val="20"/>
          <w:szCs w:val="20"/>
          <w:color w:val="auto"/>
        </w:rPr>
        <w:t>the Company and its Subsidiaries may declare or make, or agree to pay or make, directly or indirectly, any other Restricted Payments (whether or not of a type described in the other paragraphs of this Section 6.09) so long, as both immediately before and after giving effect (including pro forma effect) to such Restricted Payment (i) no Default or Event of Default has occurred and is continuing and (ii) any of the following conditions:</w:t>
      </w:r>
    </w:p>
    <w:p>
      <w:pPr>
        <w:spacing w:after="0" w:line="179" w:lineRule="exact"/>
        <w:rPr>
          <w:sz w:val="20"/>
          <w:szCs w:val="20"/>
          <w:color w:val="auto"/>
        </w:rPr>
      </w:pPr>
    </w:p>
    <w:p>
      <w:pPr>
        <w:ind w:left="660" w:hanging="4"/>
        <w:spacing w:after="0" w:line="260" w:lineRule="auto"/>
        <w:tabs>
          <w:tab w:leader="none" w:pos="989"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the aggregate amount of such Restricted Payments made in reliance on this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during any fiscal year of the Company shall not exceed $20,000,000;</w:t>
      </w:r>
    </w:p>
    <w:p>
      <w:pPr>
        <w:spacing w:after="0" w:line="176" w:lineRule="exact"/>
        <w:rPr>
          <w:rFonts w:ascii="Arial" w:cs="Arial" w:eastAsia="Arial" w:hAnsi="Arial"/>
          <w:sz w:val="20"/>
          <w:szCs w:val="20"/>
          <w:color w:val="auto"/>
        </w:rPr>
      </w:pPr>
    </w:p>
    <w:p>
      <w:pPr>
        <w:ind w:left="960" w:hanging="304"/>
        <w:spacing w:after="0"/>
        <w:tabs>
          <w:tab w:leader="none" w:pos="96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the Total Net Leverage Ratio, calculated on a pro forma basis for the Test Period, shall not exceed 3.00 to 1.00; or</w:t>
      </w:r>
    </w:p>
    <w:p>
      <w:pPr>
        <w:spacing w:after="0" w:line="215" w:lineRule="exact"/>
        <w:rPr>
          <w:rFonts w:ascii="Arial" w:cs="Arial" w:eastAsia="Arial" w:hAnsi="Arial"/>
          <w:sz w:val="20"/>
          <w:szCs w:val="20"/>
          <w:color w:val="auto"/>
        </w:rPr>
      </w:pPr>
    </w:p>
    <w:p>
      <w:pPr>
        <w:jc w:val="both"/>
        <w:ind w:left="660" w:hanging="4"/>
        <w:spacing w:after="0" w:line="250" w:lineRule="auto"/>
        <w:tabs>
          <w:tab w:leader="none" w:pos="978" w:val="left"/>
        </w:tabs>
        <w:numPr>
          <w:ilvl w:val="0"/>
          <w:numId w:val="111"/>
        </w:numPr>
        <w:rPr>
          <w:rFonts w:ascii="Arial" w:cs="Arial" w:eastAsia="Arial" w:hAnsi="Arial"/>
          <w:sz w:val="20"/>
          <w:szCs w:val="20"/>
          <w:color w:val="auto"/>
        </w:rPr>
      </w:pPr>
      <w:r>
        <w:rPr>
          <w:rFonts w:ascii="Arial" w:cs="Arial" w:eastAsia="Arial" w:hAnsi="Arial"/>
          <w:sz w:val="20"/>
          <w:szCs w:val="20"/>
          <w:color w:val="auto"/>
        </w:rPr>
        <w:t xml:space="preserve">both (1) the Total Net Leverage Ratio, calculated on a pro forma basis for the Test Period, shall not exceed 4.00 to 1.00 and (2) the aggregate amount of such Restricted Payments made in reliance on this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during the term of this Agreement shall not exceed the Available Amount;</w:t>
      </w:r>
    </w:p>
    <w:p>
      <w:pPr>
        <w:spacing w:after="0" w:line="200" w:lineRule="exact"/>
        <w:rPr>
          <w:sz w:val="20"/>
          <w:szCs w:val="20"/>
          <w:color w:val="auto"/>
        </w:rPr>
      </w:pPr>
    </w:p>
    <w:p>
      <w:pPr>
        <w:jc w:val="both"/>
        <w:ind w:firstLine="656"/>
        <w:spacing w:after="0" w:line="278" w:lineRule="auto"/>
        <w:tabs>
          <w:tab w:leader="none" w:pos="152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 xml:space="preserve">the Company may make Restricted Payments within sixty (60) days after the date of declaration thereof, if at the date of declaration of such Restricted Payments, such Restricted Payments would have been permitted pursuant to another clause of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w:t>
      </w:r>
      <w:r>
        <w:rPr>
          <w:rFonts w:ascii="Arial" w:cs="Arial" w:eastAsia="Arial" w:hAnsi="Arial"/>
          <w:sz w:val="20"/>
          <w:szCs w:val="20"/>
          <w:color w:val="auto"/>
        </w:rPr>
        <w:t>; and</w:t>
      </w:r>
    </w:p>
    <w:p>
      <w:pPr>
        <w:spacing w:after="0" w:line="186" w:lineRule="exact"/>
        <w:rPr>
          <w:rFonts w:ascii="Arial" w:cs="Arial" w:eastAsia="Arial" w:hAnsi="Arial"/>
          <w:sz w:val="20"/>
          <w:szCs w:val="20"/>
          <w:color w:val="auto"/>
        </w:rPr>
      </w:pPr>
    </w:p>
    <w:p>
      <w:pPr>
        <w:ind w:left="1500" w:hanging="844"/>
        <w:spacing w:after="0"/>
        <w:tabs>
          <w:tab w:leader="none" w:pos="150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Company and its Subsidiaries may make Restricted Payments to effect the Transactions.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Notwithstanding the foregoing, the Company may also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825" w:right="239" w:bottom="1440" w:gutter="0" w:footer="0" w:header="0"/>
        </w:sectPr>
      </w:pPr>
    </w:p>
    <w:bookmarkStart w:id="104" w:name="page105"/>
    <w:bookmarkEnd w:id="104"/>
    <w:p>
      <w:pPr>
        <w:jc w:val="both"/>
        <w:spacing w:after="0" w:line="271" w:lineRule="auto"/>
        <w:rPr>
          <w:sz w:val="20"/>
          <w:szCs w:val="20"/>
          <w:color w:val="auto"/>
        </w:rPr>
      </w:pPr>
      <w:r>
        <w:rPr>
          <w:rFonts w:ascii="Arial" w:cs="Arial" w:eastAsia="Arial" w:hAnsi="Arial"/>
          <w:sz w:val="18"/>
          <w:szCs w:val="18"/>
          <w:color w:val="auto"/>
        </w:rPr>
        <w:t>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w:t>
      </w: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Convertible Notes</w:t>
      </w:r>
      <w:r>
        <w:rPr>
          <w:rFonts w:ascii="Arial" w:cs="Arial" w:eastAsia="Arial" w:hAnsi="Arial"/>
          <w:sz w:val="18"/>
          <w:szCs w:val="18"/>
          <w:color w:val="auto"/>
        </w:rPr>
        <w:t xml:space="preserve">”) and/or by payment of cash (in an amount that does not exceed the proceeds received by the Company from the substantially concurrent issuance of shares of the Company’s common stock and/or a Refinancing Convertible Notes plus the net cash proceeds, if any, received by the Company pursuant to the related exercise or early unwind or termination of the related Permitted Call Spread Swap Agreements pursuant to the immediately following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substantially concurrently with, or a commercially reasonable period of time before or after, the related settlement date for the Permitted Convertible Notes that are so repurchased, exchanged or converted, the Company shall (and, for the avoidance of doubt, shall be permitted under this Section 6.09 to) exercise or unwind or terminate early (whether in cash, shares or any combination thereof) the portion of the Permitted Call Spread Swap Agreements, if any, corresponding to such Permitted Convertible Notes that are so repurchased, exchanged or converted.</w:t>
      </w:r>
    </w:p>
    <w:p>
      <w:pPr>
        <w:spacing w:after="0" w:line="18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6"/>
          <w:szCs w:val="16"/>
          <w:u w:val="single" w:color="auto"/>
          <w:color w:val="auto"/>
        </w:rPr>
        <w:t>Subordinated Indebtedness and Amendments to Subordinated Indebtedness Documents.</w:t>
      </w:r>
    </w:p>
    <w:p>
      <w:pPr>
        <w:spacing w:after="0" w:line="243" w:lineRule="exact"/>
        <w:rPr>
          <w:sz w:val="20"/>
          <w:szCs w:val="20"/>
          <w:color w:val="auto"/>
        </w:rPr>
      </w:pPr>
    </w:p>
    <w:p>
      <w:pPr>
        <w:jc w:val="both"/>
        <w:ind w:firstLine="656"/>
        <w:spacing w:after="0" w:line="278" w:lineRule="auto"/>
        <w:tabs>
          <w:tab w:leader="none" w:pos="151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No Loan Party will, nor will it permit any Subsidiary to, directly or indirectly voluntarily prepay, defease or in substance defease, purchase, redeem, retire or otherwise acquire, any Subordinated Indebtedness or any Indebtedness from time to time outstanding under the Subordinated Indebtedness Documents, except:</w:t>
      </w:r>
    </w:p>
    <w:p>
      <w:pPr>
        <w:spacing w:after="0" w:line="186" w:lineRule="exact"/>
        <w:rPr>
          <w:rFonts w:ascii="Arial" w:cs="Arial" w:eastAsia="Arial" w:hAnsi="Arial"/>
          <w:sz w:val="20"/>
          <w:szCs w:val="20"/>
          <w:color w:val="auto"/>
        </w:rPr>
      </w:pPr>
    </w:p>
    <w:p>
      <w:pPr>
        <w:ind w:left="660" w:firstLine="645"/>
        <w:spacing w:after="0" w:line="289" w:lineRule="auto"/>
        <w:tabs>
          <w:tab w:leader="none" w:pos="214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regularly scheduled interest and principal payments as and when due in respect of any Subordinated Indebtedness, other than payments prohibited by the subordination provisions thereof;</w:t>
      </w:r>
    </w:p>
    <w:p>
      <w:pPr>
        <w:spacing w:after="0" w:line="175" w:lineRule="exact"/>
        <w:rPr>
          <w:rFonts w:ascii="Arial" w:cs="Arial" w:eastAsia="Arial" w:hAnsi="Arial"/>
          <w:sz w:val="20"/>
          <w:szCs w:val="20"/>
          <w:color w:val="auto"/>
        </w:rPr>
      </w:pPr>
    </w:p>
    <w:p>
      <w:pPr>
        <w:ind w:left="660" w:firstLine="645"/>
        <w:spacing w:after="0" w:line="289" w:lineRule="auto"/>
        <w:tabs>
          <w:tab w:leader="none" w:pos="2198" w:val="left"/>
        </w:tabs>
        <w:numPr>
          <w:ilvl w:val="1"/>
          <w:numId w:val="113"/>
        </w:numPr>
        <w:rPr>
          <w:rFonts w:ascii="Arial" w:cs="Arial" w:eastAsia="Arial" w:hAnsi="Arial"/>
          <w:sz w:val="20"/>
          <w:szCs w:val="20"/>
          <w:color w:val="auto"/>
        </w:rPr>
      </w:pPr>
      <w:r>
        <w:rPr>
          <w:rFonts w:ascii="Arial" w:cs="Arial" w:eastAsia="Arial" w:hAnsi="Arial"/>
          <w:sz w:val="20"/>
          <w:szCs w:val="20"/>
          <w:color w:val="auto"/>
        </w:rPr>
        <w:t>refinancings of Subordinated Indebtedness with the proceeds of Refinancing Indebtedness permitted in respect thereof under Section 6.01;</w:t>
      </w:r>
    </w:p>
    <w:p>
      <w:pPr>
        <w:spacing w:after="0" w:line="175" w:lineRule="exact"/>
        <w:rPr>
          <w:rFonts w:ascii="Arial" w:cs="Arial" w:eastAsia="Arial" w:hAnsi="Arial"/>
          <w:sz w:val="20"/>
          <w:szCs w:val="20"/>
          <w:color w:val="auto"/>
        </w:rPr>
      </w:pPr>
    </w:p>
    <w:p>
      <w:pPr>
        <w:ind w:left="660" w:firstLine="645"/>
        <w:spacing w:after="0" w:line="289" w:lineRule="auto"/>
        <w:tabs>
          <w:tab w:leader="none" w:pos="2253" w:val="left"/>
        </w:tabs>
        <w:numPr>
          <w:ilvl w:val="1"/>
          <w:numId w:val="113"/>
        </w:numPr>
        <w:rPr>
          <w:rFonts w:ascii="Arial" w:cs="Arial" w:eastAsia="Arial" w:hAnsi="Arial"/>
          <w:sz w:val="20"/>
          <w:szCs w:val="20"/>
          <w:color w:val="auto"/>
        </w:rPr>
      </w:pPr>
      <w:r>
        <w:rPr>
          <w:rFonts w:ascii="Arial" w:cs="Arial" w:eastAsia="Arial" w:hAnsi="Arial"/>
          <w:sz w:val="20"/>
          <w:szCs w:val="20"/>
          <w:color w:val="auto"/>
        </w:rPr>
        <w:t>payments of or in respect of Subordinated Indebtedness made solely with Qualified Equity Interests in the Company or the conversion of any Subordinated Indebtedness into Qualified Equity Interests of the Company;</w:t>
      </w:r>
    </w:p>
    <w:p>
      <w:pPr>
        <w:spacing w:after="0" w:line="175" w:lineRule="exact"/>
        <w:rPr>
          <w:rFonts w:ascii="Arial" w:cs="Arial" w:eastAsia="Arial" w:hAnsi="Arial"/>
          <w:sz w:val="20"/>
          <w:szCs w:val="20"/>
          <w:color w:val="auto"/>
        </w:rPr>
      </w:pPr>
    </w:p>
    <w:p>
      <w:pPr>
        <w:jc w:val="both"/>
        <w:ind w:left="660" w:firstLine="645"/>
        <w:spacing w:after="0" w:line="290" w:lineRule="auto"/>
        <w:tabs>
          <w:tab w:leader="none" w:pos="2242"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prepayments of intercompany Subordinated Indebtedness permitted hereby owed by the Company or any Subsidiary to the Company or any Subsidiary, other than prepayments prohibited by the subordination provisions governing such Subordinated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w:t>
      </w:r>
    </w:p>
    <w:p>
      <w:pPr>
        <w:spacing w:after="0" w:line="179" w:lineRule="exact"/>
        <w:rPr>
          <w:rFonts w:ascii="Arial" w:cs="Arial" w:eastAsia="Arial" w:hAnsi="Arial"/>
          <w:sz w:val="19"/>
          <w:szCs w:val="19"/>
          <w:color w:val="auto"/>
        </w:rPr>
      </w:pPr>
    </w:p>
    <w:p>
      <w:pPr>
        <w:jc w:val="both"/>
        <w:ind w:left="660" w:firstLine="645"/>
        <w:spacing w:after="0" w:line="290" w:lineRule="auto"/>
        <w:tabs>
          <w:tab w:leader="none" w:pos="2187" w:val="left"/>
        </w:tabs>
        <w:numPr>
          <w:ilvl w:val="1"/>
          <w:numId w:val="113"/>
        </w:numPr>
        <w:rPr>
          <w:rFonts w:ascii="Arial" w:cs="Arial" w:eastAsia="Arial" w:hAnsi="Arial"/>
          <w:sz w:val="19"/>
          <w:szCs w:val="19"/>
          <w:color w:val="auto"/>
        </w:rPr>
      </w:pPr>
      <w:r>
        <w:rPr>
          <w:rFonts w:ascii="Arial" w:cs="Arial" w:eastAsia="Arial" w:hAnsi="Arial"/>
          <w:sz w:val="19"/>
          <w:szCs w:val="19"/>
          <w:color w:val="auto"/>
        </w:rPr>
        <w:t xml:space="preserve">so long as no Default shall have occurred and be continuing or would result therefrom, the Company may on any date make payments of or in respect of Subordinated Indebtedness in an amount equal to (A) $30,000,000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Available Amount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the making of such payments and immediately after giving effect (including pro forma effect) to such payments made in reliance on </w:t>
      </w:r>
      <w:r>
        <w:rPr>
          <w:rFonts w:ascii="Arial" w:cs="Arial" w:eastAsia="Arial" w:hAnsi="Arial"/>
          <w:sz w:val="19"/>
          <w:szCs w:val="19"/>
          <w:u w:val="single" w:color="auto"/>
          <w:color w:val="auto"/>
        </w:rPr>
        <w:t>subclause (v)(B)</w:t>
      </w:r>
      <w:r>
        <w:rPr>
          <w:rFonts w:ascii="Arial" w:cs="Arial" w:eastAsia="Arial" w:hAnsi="Arial"/>
          <w:sz w:val="19"/>
          <w:szCs w:val="19"/>
          <w:color w:val="auto"/>
        </w:rPr>
        <w:t>, the Total Net Leverage Ratio on such date, calculated on a pro forma basis for the Test Period, is not in excess of 4.00 to 1.00; and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811" w:right="239" w:bottom="1440" w:gutter="0" w:footer="0" w:header="0"/>
        </w:sectPr>
      </w:pPr>
    </w:p>
    <w:bookmarkStart w:id="105" w:name="page106"/>
    <w:bookmarkEnd w:id="105"/>
    <w:p>
      <w:pPr>
        <w:jc w:val="both"/>
        <w:ind w:left="660" w:firstLine="645"/>
        <w:spacing w:after="0" w:line="322" w:lineRule="auto"/>
        <w:tabs>
          <w:tab w:leader="none" w:pos="2242" w:val="left"/>
        </w:tabs>
        <w:numPr>
          <w:ilvl w:val="2"/>
          <w:numId w:val="114"/>
        </w:numPr>
        <w:rPr>
          <w:rFonts w:ascii="Arial" w:cs="Arial" w:eastAsia="Arial" w:hAnsi="Arial"/>
          <w:sz w:val="18"/>
          <w:szCs w:val="18"/>
          <w:color w:val="auto"/>
        </w:rPr>
      </w:pPr>
      <w:r>
        <w:rPr>
          <w:rFonts w:ascii="Arial" w:cs="Arial" w:eastAsia="Arial" w:hAnsi="Arial"/>
          <w:sz w:val="18"/>
          <w:szCs w:val="18"/>
          <w:color w:val="auto"/>
        </w:rPr>
        <w:t xml:space="preserve">so long as no Default shall have occurred and be continuing or would result therefrom, the Company may on any date make additional payments of or in respect of Subordinated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Total Net Leverage Ratio immediately after giving effect to any such payment, calculated on a pro forma basis for the Test Period, is less than 3.00 to 1.00.</w:t>
      </w:r>
    </w:p>
    <w:p>
      <w:pPr>
        <w:spacing w:after="0" w:line="152" w:lineRule="exact"/>
        <w:rPr>
          <w:rFonts w:ascii="Arial" w:cs="Arial" w:eastAsia="Arial" w:hAnsi="Arial"/>
          <w:sz w:val="18"/>
          <w:szCs w:val="18"/>
          <w:color w:val="auto"/>
        </w:rPr>
      </w:pPr>
    </w:p>
    <w:p>
      <w:pPr>
        <w:jc w:val="both"/>
        <w:ind w:firstLine="656"/>
        <w:spacing w:after="0" w:line="297" w:lineRule="auto"/>
        <w:tabs>
          <w:tab w:leader="none" w:pos="1527" w:val="left"/>
        </w:tabs>
        <w:numPr>
          <w:ilvl w:val="1"/>
          <w:numId w:val="115"/>
        </w:numPr>
        <w:rPr>
          <w:rFonts w:ascii="Arial" w:cs="Arial" w:eastAsia="Arial" w:hAnsi="Arial"/>
          <w:sz w:val="18"/>
          <w:szCs w:val="18"/>
          <w:color w:val="auto"/>
        </w:rPr>
      </w:pPr>
      <w:r>
        <w:rPr>
          <w:rFonts w:ascii="Arial" w:cs="Arial" w:eastAsia="Arial" w:hAnsi="Arial"/>
          <w:sz w:val="18"/>
          <w:szCs w:val="18"/>
          <w:color w:val="auto"/>
        </w:rPr>
        <w:t>Furthermore, no Loan Party will, nor will it permit any Subsidiary to, amend the Subordinated Indebtedness Documents relating to any Subordinated Indebtedness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amends, modifies or adds any provision thereof in a manner which</w:t>
      </w:r>
    </w:p>
    <w:p>
      <w:pPr>
        <w:spacing w:after="0" w:line="1" w:lineRule="exact"/>
        <w:rPr>
          <w:rFonts w:ascii="Arial" w:cs="Arial" w:eastAsia="Arial" w:hAnsi="Arial"/>
          <w:sz w:val="18"/>
          <w:szCs w:val="18"/>
          <w:color w:val="auto"/>
        </w:rPr>
      </w:pPr>
    </w:p>
    <w:p>
      <w:pPr>
        <w:ind w:firstLine="8"/>
        <w:spacing w:after="0" w:line="347" w:lineRule="auto"/>
        <w:tabs>
          <w:tab w:leader="none" w:pos="24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when taken as a whole, is materially adverse the Lenders or (ii) is more onerous than the applicable provision in this Agreement (except in each case to the extent permitted under the applicable subordination agreement governing such Subordinated Indebtedness).</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Restrictive Agreements.</w:t>
      </w:r>
      <w:r>
        <w:rPr>
          <w:rFonts w:ascii="Arial" w:cs="Arial" w:eastAsia="Arial" w:hAnsi="Arial"/>
          <w:sz w:val="20"/>
          <w:szCs w:val="20"/>
          <w:color w:val="auto"/>
        </w:rPr>
        <w:t xml:space="preserve"> No Loan Party will, nor will it permit any Subsidiary to, directly or indirectly, enter into, incur or permit to exist any agreement or other arrangement that restricts or imposes any condition upon (a) the ability of the Company or any Subsidiary to create, incur or permit to exist any Lien upon any of its assets to secure the Secured Obligations or (b) the ability of any Subsidiary to pay dividends or other distributions with respect to any of its Equity Interests or to make or repay loans or advances to the Company or any Subsidiary; provided that (i) the foregoing shall not apply to:</w:t>
      </w:r>
    </w:p>
    <w:p>
      <w:pPr>
        <w:spacing w:after="0" w:line="191" w:lineRule="exact"/>
        <w:rPr>
          <w:sz w:val="20"/>
          <w:szCs w:val="20"/>
          <w:color w:val="auto"/>
        </w:rPr>
      </w:pPr>
    </w:p>
    <w:p>
      <w:pPr>
        <w:ind w:left="2880" w:hanging="927"/>
        <w:spacing w:after="0"/>
        <w:tabs>
          <w:tab w:leader="none" w:pos="288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restrictions and conditions imposed by law or by this Agreement or any other Loan Document;</w:t>
      </w:r>
    </w:p>
    <w:p>
      <w:pPr>
        <w:spacing w:after="0" w:line="242" w:lineRule="exact"/>
        <w:rPr>
          <w:rFonts w:ascii="Arial" w:cs="Arial" w:eastAsia="Arial" w:hAnsi="Arial"/>
          <w:sz w:val="20"/>
          <w:szCs w:val="20"/>
          <w:color w:val="auto"/>
        </w:rPr>
      </w:pPr>
    </w:p>
    <w:p>
      <w:pPr>
        <w:jc w:val="both"/>
        <w:ind w:left="1300" w:firstLine="653"/>
        <w:spacing w:after="0" w:line="314" w:lineRule="auto"/>
        <w:tabs>
          <w:tab w:leader="none" w:pos="28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any agreement or document governing or evidencing Refinancing Indebtedness in respect of Indebtedness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and conditions contained in any such agreement or document referred to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are not less favorable in any material respect to the Lenders than the restrictions and conditions imposed by this Agreement;</w:t>
      </w:r>
    </w:p>
    <w:p>
      <w:pPr>
        <w:spacing w:after="0" w:line="159" w:lineRule="exact"/>
        <w:rPr>
          <w:rFonts w:ascii="Arial" w:cs="Arial" w:eastAsia="Arial" w:hAnsi="Arial"/>
          <w:sz w:val="18"/>
          <w:szCs w:val="18"/>
          <w:color w:val="auto"/>
        </w:rPr>
      </w:pPr>
    </w:p>
    <w:p>
      <w:pPr>
        <w:jc w:val="both"/>
        <w:ind w:left="1300" w:firstLine="653"/>
        <w:spacing w:after="0" w:line="274" w:lineRule="auto"/>
        <w:tabs>
          <w:tab w:leader="none" w:pos="286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restrictions and conditions existing on the date hereof identified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and restrictions and conditions contained in any agreement evidencing any renewal, extension or refinancing permitted hereunder of any agreement identified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so long as such renewal, extension or refinancing does not expand the scope of such restrictions or conditions;</w:t>
      </w:r>
    </w:p>
    <w:p>
      <w:pPr>
        <w:spacing w:after="0" w:line="192" w:lineRule="exact"/>
        <w:rPr>
          <w:rFonts w:ascii="Arial" w:cs="Arial" w:eastAsia="Arial" w:hAnsi="Arial"/>
          <w:sz w:val="20"/>
          <w:szCs w:val="20"/>
          <w:color w:val="auto"/>
        </w:rPr>
      </w:pPr>
    </w:p>
    <w:p>
      <w:pPr>
        <w:jc w:val="both"/>
        <w:ind w:left="1300" w:firstLine="653"/>
        <w:spacing w:after="0" w:line="278" w:lineRule="auto"/>
        <w:tabs>
          <w:tab w:leader="none" w:pos="287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in the case of any Subsidiary that is not a wholly-owned Subsidiary, restrictions and conditions imposed by its organizational documents or any related joint venture or similar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such Subsidiary and to the Equity Interests of such Subsidiary;</w:t>
      </w:r>
    </w:p>
    <w:p>
      <w:pPr>
        <w:spacing w:after="0" w:line="186" w:lineRule="exact"/>
        <w:rPr>
          <w:rFonts w:ascii="Arial" w:cs="Arial" w:eastAsia="Arial" w:hAnsi="Arial"/>
          <w:sz w:val="20"/>
          <w:szCs w:val="20"/>
          <w:color w:val="auto"/>
        </w:rPr>
      </w:pPr>
    </w:p>
    <w:p>
      <w:pPr>
        <w:jc w:val="both"/>
        <w:ind w:left="1300" w:firstLine="653"/>
        <w:spacing w:after="0" w:line="299" w:lineRule="auto"/>
        <w:tabs>
          <w:tab w:leader="none" w:pos="2849"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restrictions imposed by any agreement governing Indebtedness incurred by any Loan Party after the Effective Date and permitted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01</w:t>
      </w:r>
      <w:r>
        <w:rPr>
          <w:rFonts w:ascii="Arial" w:cs="Arial" w:eastAsia="Arial" w:hAnsi="Arial"/>
          <w:sz w:val="19"/>
          <w:szCs w:val="19"/>
          <w:color w:val="auto"/>
        </w:rPr>
        <w:t xml:space="preserve"> that are, taken as a whole, in the good faith judgment of the Company, no more restrictive with respect to the Company or any Subsidiary than those contained in this Agreement;</w:t>
      </w:r>
    </w:p>
    <w:p>
      <w:pPr>
        <w:spacing w:after="0" w:line="169" w:lineRule="exact"/>
        <w:rPr>
          <w:rFonts w:ascii="Arial" w:cs="Arial" w:eastAsia="Arial" w:hAnsi="Arial"/>
          <w:sz w:val="19"/>
          <w:szCs w:val="19"/>
          <w:color w:val="auto"/>
        </w:rPr>
      </w:pPr>
    </w:p>
    <w:p>
      <w:pPr>
        <w:jc w:val="both"/>
        <w:ind w:left="1300" w:firstLine="653"/>
        <w:spacing w:after="0" w:line="278" w:lineRule="auto"/>
        <w:tabs>
          <w:tab w:leader="none" w:pos="2838"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agreements relating to the sale, transfer, lease or other Disposition of a Subsidiary or any assets of the Company or any Subsidiary, in each case pending such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825" w:right="239" w:bottom="1440" w:gutter="0" w:footer="0" w:header="0"/>
        </w:sectPr>
      </w:pPr>
    </w:p>
    <w:bookmarkStart w:id="106" w:name="page107"/>
    <w:bookmarkEnd w:id="106"/>
    <w:p>
      <w:pPr>
        <w:ind w:left="1300" w:right="20"/>
        <w:spacing w:after="0" w:line="289" w:lineRule="auto"/>
        <w:rPr>
          <w:sz w:val="20"/>
          <w:szCs w:val="20"/>
          <w:color w:val="auto"/>
        </w:rPr>
      </w:pPr>
      <w:r>
        <w:rPr>
          <w:rFonts w:ascii="Arial" w:cs="Arial" w:eastAsia="Arial" w:hAnsi="Arial"/>
          <w:sz w:val="20"/>
          <w:szCs w:val="20"/>
          <w:color w:val="auto"/>
        </w:rPr>
        <w:t>and conditions apply only to such Subsidiary or the assets that are to be sold, leased or otherwise transferred and, in each case, such transaction is permitted hereunder;</w:t>
      </w:r>
    </w:p>
    <w:p>
      <w:pPr>
        <w:spacing w:after="0" w:line="175" w:lineRule="exact"/>
        <w:rPr>
          <w:sz w:val="20"/>
          <w:szCs w:val="20"/>
          <w:color w:val="auto"/>
        </w:rPr>
      </w:pPr>
    </w:p>
    <w:p>
      <w:pPr>
        <w:ind w:left="2880" w:hanging="927"/>
        <w:spacing w:after="0"/>
        <w:tabs>
          <w:tab w:leader="none" w:pos="28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restrictions relating to assets encumbered by a Lien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02</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firstLine="653"/>
        <w:spacing w:after="0" w:line="299" w:lineRule="auto"/>
        <w:tabs>
          <w:tab w:leader="none" w:pos="287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restrictions or conditions set forth in any agreement governing Indebtedness permitted by Section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restrictions and conditions are no more restrictive, taken as a whole, than the comparable restrictions and conditions set forth in this Agreement as determined in the good faith judgment of the Company;</w:t>
      </w:r>
    </w:p>
    <w:p>
      <w:pPr>
        <w:spacing w:after="0" w:line="169" w:lineRule="exact"/>
        <w:rPr>
          <w:rFonts w:ascii="Arial" w:cs="Arial" w:eastAsia="Arial" w:hAnsi="Arial"/>
          <w:sz w:val="19"/>
          <w:szCs w:val="19"/>
          <w:color w:val="auto"/>
        </w:rPr>
      </w:pPr>
    </w:p>
    <w:p>
      <w:pPr>
        <w:ind w:left="1300" w:firstLine="653"/>
        <w:spacing w:after="0" w:line="289" w:lineRule="auto"/>
        <w:tabs>
          <w:tab w:leader="none" w:pos="279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restrictions imposed by any agreement governing Indebtedness of a Subsidiary which is not a Loan Party to the extent such Indebtedness is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ind w:left="1300" w:firstLine="653"/>
        <w:spacing w:after="0" w:line="289" w:lineRule="auto"/>
        <w:tabs>
          <w:tab w:leader="none" w:pos="2805" w:val="left"/>
        </w:tabs>
        <w:numPr>
          <w:ilvl w:val="0"/>
          <w:numId w:val="118"/>
        </w:numPr>
        <w:rPr>
          <w:rFonts w:ascii="Arial" w:cs="Arial" w:eastAsia="Arial" w:hAnsi="Arial"/>
          <w:sz w:val="20"/>
          <w:szCs w:val="20"/>
          <w:color w:val="auto"/>
        </w:rPr>
      </w:pPr>
      <w:r>
        <w:rPr>
          <w:rFonts w:ascii="Arial" w:cs="Arial" w:eastAsia="Arial" w:hAnsi="Arial"/>
          <w:sz w:val="20"/>
          <w:szCs w:val="20"/>
          <w:color w:val="auto"/>
        </w:rPr>
        <w:t>restrictions or conditions on cash or other deposits imposed by customers under contracts entered into in the ordinary course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(ii)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Section 6.11 shall not apply to:</w:t>
      </w:r>
    </w:p>
    <w:p>
      <w:pPr>
        <w:spacing w:after="0" w:line="229" w:lineRule="exact"/>
        <w:rPr>
          <w:sz w:val="20"/>
          <w:szCs w:val="20"/>
          <w:color w:val="auto"/>
        </w:rPr>
      </w:pPr>
    </w:p>
    <w:p>
      <w:pPr>
        <w:ind w:left="2880" w:hanging="927"/>
        <w:spacing w:after="0"/>
        <w:tabs>
          <w:tab w:leader="none" w:pos="28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restrictions and conditions imposed by any agreement relating to secured Indebtedness permitted by </w:t>
      </w:r>
      <w:r>
        <w:rPr>
          <w:rFonts w:ascii="Arial" w:cs="Arial" w:eastAsia="Arial" w:hAnsi="Arial"/>
          <w:sz w:val="16"/>
          <w:szCs w:val="16"/>
          <w:u w:val="single" w:color="auto"/>
          <w:color w:val="auto"/>
        </w:rPr>
        <w:t>clause</w:t>
      </w:r>
    </w:p>
    <w:p>
      <w:pPr>
        <w:spacing w:after="0" w:line="72" w:lineRule="exact"/>
        <w:rPr>
          <w:rFonts w:ascii="Arial" w:cs="Arial" w:eastAsia="Arial" w:hAnsi="Arial"/>
          <w:sz w:val="16"/>
          <w:szCs w:val="16"/>
          <w:color w:val="auto"/>
        </w:rPr>
      </w:pPr>
    </w:p>
    <w:p>
      <w:pPr>
        <w:ind w:left="1300"/>
        <w:spacing w:after="0" w:line="289" w:lineRule="auto"/>
        <w:rPr>
          <w:rFonts w:ascii="Arial" w:cs="Arial" w:eastAsia="Arial" w:hAnsi="Arial"/>
          <w:sz w:val="16"/>
          <w:szCs w:val="16"/>
          <w:color w:val="auto"/>
        </w:rPr>
      </w:pPr>
      <w:r>
        <w:rPr>
          <w:rFonts w:ascii="Arial" w:cs="Arial" w:eastAsia="Arial" w:hAnsi="Arial"/>
          <w:sz w:val="20"/>
          <w:szCs w:val="20"/>
          <w:u w:val="single" w:color="auto"/>
          <w:color w:val="auto"/>
        </w:rPr>
        <w:t>(f)</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(n)</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if such restrictions and conditions apply only to the assets securing such Indebtedness;</w:t>
      </w:r>
    </w:p>
    <w:p>
      <w:pPr>
        <w:spacing w:after="0" w:line="175" w:lineRule="exact"/>
        <w:rPr>
          <w:rFonts w:ascii="Arial" w:cs="Arial" w:eastAsia="Arial" w:hAnsi="Arial"/>
          <w:sz w:val="16"/>
          <w:szCs w:val="16"/>
          <w:color w:val="auto"/>
        </w:rPr>
      </w:pPr>
    </w:p>
    <w:p>
      <w:pPr>
        <w:ind w:left="2860" w:hanging="907"/>
        <w:spacing w:after="0"/>
        <w:tabs>
          <w:tab w:leader="none" w:pos="28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customary provisions in leases, subleases, licenses and other agreements restricting the assignment thereof;</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and</w:t>
      </w:r>
    </w:p>
    <w:p>
      <w:pPr>
        <w:spacing w:after="0" w:line="242" w:lineRule="exact"/>
        <w:rPr>
          <w:rFonts w:ascii="Arial" w:cs="Arial" w:eastAsia="Arial" w:hAnsi="Arial"/>
          <w:sz w:val="16"/>
          <w:szCs w:val="16"/>
          <w:color w:val="auto"/>
        </w:rPr>
      </w:pPr>
    </w:p>
    <w:p>
      <w:pPr>
        <w:jc w:val="both"/>
        <w:ind w:left="1300" w:firstLine="653"/>
        <w:spacing w:after="0" w:line="274" w:lineRule="auto"/>
        <w:tabs>
          <w:tab w:leader="none" w:pos="2904" w:val="left"/>
        </w:tabs>
        <w:numPr>
          <w:ilvl w:val="0"/>
          <w:numId w:val="119"/>
        </w:numPr>
        <w:rPr>
          <w:rFonts w:ascii="Arial" w:cs="Arial" w:eastAsia="Arial" w:hAnsi="Arial"/>
          <w:sz w:val="20"/>
          <w:szCs w:val="20"/>
          <w:color w:val="auto"/>
        </w:rPr>
      </w:pPr>
      <w:r>
        <w:rPr>
          <w:rFonts w:ascii="Arial" w:cs="Arial" w:eastAsia="Arial" w:hAnsi="Arial"/>
          <w:sz w:val="20"/>
          <w:szCs w:val="20"/>
          <w:color w:val="auto"/>
        </w:rPr>
        <w:t xml:space="preserve">restrictions imposed by agreements relating to Indebtedness of any Subsidiary in existence at the time such Subsidiary became a Subsidiary and otherwise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apply only to such Subsidiary and its assets (or any special purpose acquisition Subsidiary without material assets acquiring such Subsidiary pursuant to a merger).</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shall be deemed to modify the obligations of the Loan Parties under Section 5.14 or under the Collateral Documents.</w:t>
      </w:r>
    </w:p>
    <w:p>
      <w:pPr>
        <w:spacing w:after="0" w:line="190"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6.12 </w:t>
      </w:r>
      <w:r>
        <w:rPr>
          <w:rFonts w:ascii="Arial" w:cs="Arial" w:eastAsia="Arial" w:hAnsi="Arial"/>
          <w:sz w:val="19"/>
          <w:szCs w:val="19"/>
          <w:u w:val="single" w:color="auto"/>
          <w:color w:val="auto"/>
        </w:rPr>
        <w:t>Maximum Senior Secured Net Leverage Ratio</w:t>
      </w:r>
      <w:r>
        <w:rPr>
          <w:rFonts w:ascii="Arial" w:cs="Arial" w:eastAsia="Arial" w:hAnsi="Arial"/>
          <w:sz w:val="19"/>
          <w:szCs w:val="19"/>
          <w:color w:val="auto"/>
        </w:rPr>
        <w:t>. The Borrower will not permit the Senior Secured Net Leverage Ratio, determined as of the end of each of its fiscal quarters ending after the Effective Date, to be greater than (a) prior to the fiscal quarter ending November 24, 2018, 3.50 to 1.00 and (b) on and after the fiscal quarter ending November 24, 2018, 3.25 to 1.00.</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w:t>
      </w:r>
    </w:p>
    <w:p>
      <w:pPr>
        <w:spacing w:after="0" w:line="270" w:lineRule="exact"/>
        <w:rPr>
          <w:sz w:val="20"/>
          <w:szCs w:val="20"/>
          <w:color w:val="auto"/>
        </w:rPr>
      </w:pPr>
    </w:p>
    <w:p>
      <w:pPr>
        <w:ind w:left="5020"/>
        <w:spacing w:after="0"/>
        <w:rPr>
          <w:sz w:val="20"/>
          <w:szCs w:val="20"/>
          <w:color w:val="auto"/>
        </w:rPr>
      </w:pPr>
      <w:r>
        <w:rPr>
          <w:rFonts w:ascii="Arial" w:cs="Arial" w:eastAsia="Arial" w:hAnsi="Arial"/>
          <w:sz w:val="20"/>
          <w:szCs w:val="20"/>
          <w:u w:val="single" w:color="auto"/>
          <w:color w:val="auto"/>
        </w:rPr>
        <w:t>Events of Default</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229" w:lineRule="exact"/>
        <w:rPr>
          <w:sz w:val="20"/>
          <w:szCs w:val="20"/>
          <w:color w:val="auto"/>
        </w:rPr>
      </w:pPr>
    </w:p>
    <w:p>
      <w:pPr>
        <w:ind w:firstLine="656"/>
        <w:spacing w:after="0" w:line="289" w:lineRule="auto"/>
        <w:tabs>
          <w:tab w:leader="none" w:pos="151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the Borrower shall fail to pay any principal of any Loan when and as the same shall become due and payable, whether at the due date thereof or at a date fixed for prepayment thereof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825" w:right="239" w:bottom="1440" w:gutter="0" w:footer="0" w:header="0"/>
        </w:sectPr>
      </w:pPr>
    </w:p>
    <w:bookmarkStart w:id="107" w:name="page108"/>
    <w:bookmarkEnd w:id="107"/>
    <w:p>
      <w:pPr>
        <w:jc w:val="both"/>
        <w:ind w:firstLine="656"/>
        <w:spacing w:after="0" w:line="278" w:lineRule="auto"/>
        <w:tabs>
          <w:tab w:leader="none" w:pos="152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the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86" w:lineRule="exact"/>
        <w:rPr>
          <w:rFonts w:ascii="Arial" w:cs="Arial" w:eastAsia="Arial" w:hAnsi="Arial"/>
          <w:sz w:val="20"/>
          <w:szCs w:val="20"/>
          <w:color w:val="auto"/>
        </w:rPr>
      </w:pPr>
    </w:p>
    <w:p>
      <w:pPr>
        <w:jc w:val="both"/>
        <w:ind w:firstLine="656"/>
        <w:spacing w:after="0" w:line="273" w:lineRule="auto"/>
        <w:tabs>
          <w:tab w:leader="none" w:pos="1516"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the Company or any other Loan Party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91" w:lineRule="exact"/>
        <w:rPr>
          <w:rFonts w:ascii="Arial" w:cs="Arial" w:eastAsia="Arial" w:hAnsi="Arial"/>
          <w:sz w:val="20"/>
          <w:szCs w:val="20"/>
          <w:color w:val="auto"/>
        </w:rPr>
      </w:pPr>
    </w:p>
    <w:p>
      <w:pPr>
        <w:ind w:firstLine="656"/>
        <w:spacing w:after="0" w:line="289" w:lineRule="auto"/>
        <w:tabs>
          <w:tab w:leader="none" w:pos="1527" w:val="left"/>
        </w:tabs>
        <w:numPr>
          <w:ilvl w:val="1"/>
          <w:numId w:val="121"/>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 contained in Section 5.02(a), 5.03 (with respect to the Borrower’s existence), 5.08, 5.13, 5.14 or in Article VI;</w:t>
      </w:r>
    </w:p>
    <w:p>
      <w:pPr>
        <w:spacing w:after="0" w:line="175" w:lineRule="exact"/>
        <w:rPr>
          <w:rFonts w:ascii="Arial" w:cs="Arial" w:eastAsia="Arial" w:hAnsi="Arial"/>
          <w:sz w:val="20"/>
          <w:szCs w:val="20"/>
          <w:color w:val="auto"/>
        </w:rPr>
      </w:pPr>
    </w:p>
    <w:p>
      <w:pPr>
        <w:jc w:val="both"/>
        <w:ind w:firstLine="656"/>
        <w:spacing w:after="0" w:line="297" w:lineRule="auto"/>
        <w:tabs>
          <w:tab w:leader="none" w:pos="151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this Agreement (other than those which constitute a default under another Section of this Article), and such failure shall continue unremedied for a period of thirty</w:t>
      </w:r>
    </w:p>
    <w:p>
      <w:pPr>
        <w:ind w:right="20" w:firstLine="8"/>
        <w:spacing w:after="0" w:line="316" w:lineRule="auto"/>
        <w:tabs>
          <w:tab w:leader="none" w:pos="38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53" w:lineRule="exact"/>
        <w:rPr>
          <w:rFonts w:ascii="Arial" w:cs="Arial" w:eastAsia="Arial" w:hAnsi="Arial"/>
          <w:sz w:val="19"/>
          <w:szCs w:val="19"/>
          <w:color w:val="auto"/>
        </w:rPr>
      </w:pPr>
    </w:p>
    <w:p>
      <w:pPr>
        <w:jc w:val="both"/>
        <w:ind w:firstLine="656"/>
        <w:spacing w:after="0" w:line="278" w:lineRule="auto"/>
        <w:tabs>
          <w:tab w:leader="none" w:pos="1494"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any Loan Party or any Material Subsidiary shall fail to make any payment (whether of principal or interest and regardless of amount) in respect of any Material Indebtedness of such Loan Party or Material Subsidiary, as applicable, when and as the same shall become due and payable, which is not cured within any applicable grace period therefor;</w:t>
      </w:r>
    </w:p>
    <w:p>
      <w:pPr>
        <w:spacing w:after="0" w:line="186" w:lineRule="exact"/>
        <w:rPr>
          <w:rFonts w:ascii="Arial" w:cs="Arial" w:eastAsia="Arial" w:hAnsi="Arial"/>
          <w:sz w:val="20"/>
          <w:szCs w:val="20"/>
          <w:color w:val="auto"/>
        </w:rPr>
      </w:pPr>
    </w:p>
    <w:p>
      <w:pPr>
        <w:jc w:val="both"/>
        <w:ind w:firstLine="656"/>
        <w:spacing w:after="0" w:line="300" w:lineRule="auto"/>
        <w:tabs>
          <w:tab w:leader="none" w:pos="1527"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after giving effect to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event under the ABL Facility shall constitute an Event of Default under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until the earliest to occur of (x) the date that is thirty (30) days after such event or circumstance (but only if such event or circumstance has not been waived or cured), (y) the acceleration of Indebtedness under the ABL Facility or the termination of any commitment thereunder and (z) the exercise of any remedies by the ABL Agent in respect of any Collateral (provided that the following shall not constitute an exercise of remedies: (A) cash sweeps that are permitted pursuant to the terms of the ABL Documents relating to dominion over bank accounts, (B) the establishment of borrowing base reserves, collateral ineligibles, or other conditions for advances, (C) the changing of advance rates or advance sublimits, (D) the imposition of a default rate or late fee and (E) the cessation of lending pursuant to the provisions of the ABL Documents, including upon the occurrence of a default on the existence of an overadvance, in each case, so long as the commitments under the ABL Documents have not been terminated or suspended);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Section 6.01, (iii) any reimbursement obligation in respect of a letter of credit, bankers acceptance or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20"/>
          </w:cols>
          <w:pgMar w:left="240" w:top="825" w:right="239" w:bottom="1440" w:gutter="0" w:footer="0" w:header="0"/>
        </w:sectPr>
      </w:pPr>
    </w:p>
    <w:bookmarkStart w:id="108" w:name="page109"/>
    <w:bookmarkEnd w:id="108"/>
    <w:p>
      <w:pPr>
        <w:jc w:val="both"/>
        <w:spacing w:after="0" w:line="285" w:lineRule="auto"/>
        <w:rPr>
          <w:sz w:val="20"/>
          <w:szCs w:val="20"/>
          <w:color w:val="auto"/>
        </w:rPr>
      </w:pPr>
      <w:r>
        <w:rPr>
          <w:rFonts w:ascii="Arial" w:cs="Arial" w:eastAsia="Arial" w:hAnsi="Arial"/>
          <w:sz w:val="19"/>
          <w:szCs w:val="19"/>
          <w:color w:val="auto"/>
        </w:rPr>
        <w:t>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w:t>
      </w:r>
    </w:p>
    <w:p>
      <w:pPr>
        <w:spacing w:after="0" w:line="185" w:lineRule="exact"/>
        <w:rPr>
          <w:sz w:val="20"/>
          <w:szCs w:val="20"/>
          <w:color w:val="auto"/>
        </w:rPr>
      </w:pPr>
    </w:p>
    <w:p>
      <w:pPr>
        <w:jc w:val="both"/>
        <w:ind w:firstLine="656"/>
        <w:spacing w:after="0" w:line="272" w:lineRule="auto"/>
        <w:tabs>
          <w:tab w:leader="none" w:pos="152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the Company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Company or any Material Subsidiary or for a substantial part of its assets, and, in any such case, such proceeding or petition shall continue undismissed for sixty (60) days or an order or decree approving or ordering any of the foregoing shall be entered;</w:t>
      </w:r>
    </w:p>
    <w:p>
      <w:pPr>
        <w:spacing w:after="0" w:line="191" w:lineRule="exact"/>
        <w:rPr>
          <w:rFonts w:ascii="Arial" w:cs="Arial" w:eastAsia="Arial" w:hAnsi="Arial"/>
          <w:sz w:val="20"/>
          <w:szCs w:val="20"/>
          <w:color w:val="auto"/>
        </w:rPr>
      </w:pPr>
    </w:p>
    <w:p>
      <w:pPr>
        <w:jc w:val="both"/>
        <w:ind w:firstLine="656"/>
        <w:spacing w:after="0" w:line="271" w:lineRule="auto"/>
        <w:tabs>
          <w:tab w:leader="none" w:pos="148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Company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4" w:lineRule="exact"/>
        <w:rPr>
          <w:rFonts w:ascii="Arial" w:cs="Arial" w:eastAsia="Arial" w:hAnsi="Arial"/>
          <w:sz w:val="20"/>
          <w:szCs w:val="20"/>
          <w:color w:val="auto"/>
        </w:rPr>
      </w:pPr>
    </w:p>
    <w:p>
      <w:pPr>
        <w:ind w:right="20" w:firstLine="656"/>
        <w:spacing w:after="0" w:line="289" w:lineRule="auto"/>
        <w:tabs>
          <w:tab w:leader="none" w:pos="148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the Company or any Material Subsidiary shall become unable, admit in writing its inability or fail generally to pay its debts as they become due;</w:t>
      </w:r>
    </w:p>
    <w:p>
      <w:pPr>
        <w:spacing w:after="0" w:line="175" w:lineRule="exact"/>
        <w:rPr>
          <w:rFonts w:ascii="Arial" w:cs="Arial" w:eastAsia="Arial" w:hAnsi="Arial"/>
          <w:sz w:val="20"/>
          <w:szCs w:val="20"/>
          <w:color w:val="auto"/>
        </w:rPr>
      </w:pPr>
    </w:p>
    <w:p>
      <w:pPr>
        <w:jc w:val="both"/>
        <w:ind w:firstLine="656"/>
        <w:spacing w:after="0" w:line="272" w:lineRule="auto"/>
        <w:tabs>
          <w:tab w:leader="none" w:pos="1527" w:val="left"/>
        </w:tabs>
        <w:numPr>
          <w:ilvl w:val="0"/>
          <w:numId w:val="123"/>
        </w:numPr>
        <w:rPr>
          <w:rFonts w:ascii="Arial" w:cs="Arial" w:eastAsia="Arial" w:hAnsi="Arial"/>
          <w:sz w:val="20"/>
          <w:szCs w:val="20"/>
          <w:color w:val="auto"/>
        </w:rPr>
      </w:pPr>
      <w:r>
        <w:rPr>
          <w:rFonts w:ascii="Arial" w:cs="Arial" w:eastAsia="Arial" w:hAnsi="Arial"/>
          <w:sz w:val="20"/>
          <w:szCs w:val="20"/>
          <w:color w:val="auto"/>
        </w:rPr>
        <w:t>one or more judgments for the payment of money in an aggregate amount in excess of $15,000,000 (to the extent not paid, fully bonded or covered by a solvent and unaffiliated insurer that has not denied coverage) shall be rendered against any Loan Party or any Material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spacing w:after="0" w:line="191" w:lineRule="exact"/>
        <w:rPr>
          <w:rFonts w:ascii="Arial" w:cs="Arial" w:eastAsia="Arial" w:hAnsi="Arial"/>
          <w:sz w:val="20"/>
          <w:szCs w:val="20"/>
          <w:color w:val="auto"/>
        </w:rPr>
      </w:pPr>
    </w:p>
    <w:p>
      <w:pPr>
        <w:ind w:right="20" w:firstLine="656"/>
        <w:spacing w:after="0" w:line="289" w:lineRule="auto"/>
        <w:tabs>
          <w:tab w:leader="none" w:pos="1483"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w:t>
      </w:r>
    </w:p>
    <w:p>
      <w:pPr>
        <w:spacing w:after="0" w:line="175" w:lineRule="exact"/>
        <w:rPr>
          <w:rFonts w:ascii="Arial" w:cs="Arial" w:eastAsia="Arial" w:hAnsi="Arial"/>
          <w:sz w:val="20"/>
          <w:szCs w:val="20"/>
          <w:color w:val="auto"/>
        </w:rPr>
      </w:pPr>
    </w:p>
    <w:p>
      <w:pPr>
        <w:ind w:left="1600" w:hanging="944"/>
        <w:spacing w:after="0"/>
        <w:tabs>
          <w:tab w:leader="none" w:pos="160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20"/>
          </w:cols>
          <w:pgMar w:left="240" w:top="825" w:right="239" w:bottom="1440" w:gutter="0" w:footer="0" w:header="0"/>
        </w:sectPr>
      </w:pPr>
    </w:p>
    <w:bookmarkStart w:id="109" w:name="page110"/>
    <w:bookmarkEnd w:id="109"/>
    <w:p>
      <w:pPr>
        <w:jc w:val="both"/>
        <w:ind w:firstLine="656"/>
        <w:spacing w:after="0" w:line="278" w:lineRule="auto"/>
        <w:tabs>
          <w:tab w:leader="none" w:pos="152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Company or any of its Affiliates shall fail to comply with the “market flex” provisions of the Arranger Fee Letter or the marketing or information provisions of the Commitment Letter (including, without limitation, implementing amendments to the Loan Documents to reflect the terms of the “market flex” provisions of the Arranger Fee Letter);</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527" w:val="left"/>
        </w:tabs>
        <w:numPr>
          <w:ilvl w:val="1"/>
          <w:numId w:val="124"/>
        </w:numPr>
        <w:rPr>
          <w:rFonts w:ascii="Arial" w:cs="Arial" w:eastAsia="Arial" w:hAnsi="Arial"/>
          <w:sz w:val="20"/>
          <w:szCs w:val="20"/>
          <w:color w:val="auto"/>
        </w:rPr>
      </w:pPr>
      <w:r>
        <w:rPr>
          <w:rFonts w:ascii="Arial" w:cs="Arial" w:eastAsia="Arial" w:hAnsi="Arial"/>
          <w:sz w:val="20"/>
          <w:szCs w:val="20"/>
          <w:color w:val="auto"/>
        </w:rPr>
        <w:t>the occurrence of any “default” or “Event of Default”, as defined in any Loan Document (other than this Agreement), or the breach of any of the terms or provisions of any Loan Document (other than this Agreement), which default or breach continues beyond any period of grace therein provided (but if no specific grace period is provided therein, which default or breach continues beyond thirty (30) days after the earlier of knowledge of such default or breach or notice thereof);</w:t>
      </w:r>
    </w:p>
    <w:p>
      <w:pPr>
        <w:spacing w:after="0" w:line="192" w:lineRule="exact"/>
        <w:rPr>
          <w:rFonts w:ascii="Arial" w:cs="Arial" w:eastAsia="Arial" w:hAnsi="Arial"/>
          <w:sz w:val="20"/>
          <w:szCs w:val="20"/>
          <w:color w:val="auto"/>
        </w:rPr>
      </w:pPr>
    </w:p>
    <w:p>
      <w:pPr>
        <w:jc w:val="both"/>
        <w:ind w:firstLine="656"/>
        <w:spacing w:after="0" w:line="307" w:lineRule="auto"/>
        <w:tabs>
          <w:tab w:leader="none" w:pos="152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any Loan Document, after execution thereof and for any reason other than as expressly permitted hereunder or thereunder or in satisfaction in full of the Secured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the satisfaction in full in cash of the Secured Obligations then due and payable); or</w:t>
      </w:r>
    </w:p>
    <w:p>
      <w:pPr>
        <w:spacing w:after="0" w:line="167" w:lineRule="exact"/>
        <w:rPr>
          <w:rFonts w:ascii="Arial" w:cs="Arial" w:eastAsia="Arial" w:hAnsi="Arial"/>
          <w:sz w:val="18"/>
          <w:szCs w:val="18"/>
          <w:color w:val="auto"/>
        </w:rPr>
      </w:pPr>
    </w:p>
    <w:p>
      <w:pPr>
        <w:jc w:val="both"/>
        <w:ind w:firstLine="656"/>
        <w:spacing w:after="0" w:line="297" w:lineRule="auto"/>
        <w:tabs>
          <w:tab w:leader="none" w:pos="152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except as permitted by the terms of any Collateral Document or this Agreement, (i) any Collateral Document shall for any reason fail to create or keep created a valid security interest in any material portion of the Collateral purported to be covered thereby, or</w:t>
      </w:r>
    </w:p>
    <w:p>
      <w:pPr>
        <w:jc w:val="both"/>
        <w:ind w:firstLine="8"/>
        <w:spacing w:after="0" w:line="273" w:lineRule="auto"/>
        <w:tabs>
          <w:tab w:leader="none" w:pos="311" w:val="left"/>
        </w:tabs>
        <w:numPr>
          <w:ilvl w:val="0"/>
          <w:numId w:val="125"/>
        </w:numPr>
        <w:rPr>
          <w:rFonts w:ascii="Arial" w:cs="Arial" w:eastAsia="Arial" w:hAnsi="Arial"/>
          <w:sz w:val="20"/>
          <w:szCs w:val="20"/>
          <w:color w:val="auto"/>
        </w:rPr>
      </w:pPr>
      <w:r>
        <w:rPr>
          <w:rFonts w:ascii="Arial" w:cs="Arial" w:eastAsia="Arial" w:hAnsi="Arial"/>
          <w:sz w:val="20"/>
          <w:szCs w:val="20"/>
          <w:color w:val="auto"/>
        </w:rPr>
        <w:t>other than as a result of the failure of the Administrative Agent to take any action within its control to maintain perfection of the Liens created in favor of the Administrative Agent for the benefit of the Secured Parties pursuant to the Loan Documents (excluding any action based on facts or circumstances for which the Administrative Agent has not been notified in accordance with the provisions of the Loan Documents), any Lien securing any material portion of the Secured Obligations shall cease to be a perfected Lien having the priority required by the Loan Documents;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then, and in every such event (other than an event with respect to the Borrower described in clause (h) or (i) of this Article), and at any time thereafter during the continuance of such event, the Administrative Agent may, and at the request of the Required Lenders shall, by written notice to the Borrower,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 accrued hereunder and under the other Loan Documents, shall become due and payable immediately, without presentment, demand, protest or other notice of any kind, all of which are hereby waived by the Borrower; and in case of any event with respect to the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Article, the Commitments shall automatically terminate and the principal of the Loans then outstanding,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1420"/>
          </w:cols>
          <w:pgMar w:left="240" w:top="82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u w:val="single" w:color="auto"/>
          <w:color w:val="auto"/>
        </w:rPr>
        <w:t>ARTICLE VIII.</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270"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Each of the Lenders, on behalf of itself and any of its Affiliates that are Secured Parties,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behalf. The provisions of this Article are solely for the benefit of the Administrative Agent and the Lenders, and neither the Company nor any other Loan Party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1420"/>
          </w:cols>
          <w:pgMar w:left="240" w:top="811" w:right="239" w:bottom="1440" w:gutter="0" w:footer="0" w:header="0"/>
        </w:sectPr>
      </w:pPr>
    </w:p>
    <w:bookmarkStart w:id="111" w:name="page112"/>
    <w:bookmarkEnd w:id="111"/>
    <w:p>
      <w:pPr>
        <w:jc w:val="both"/>
        <w:ind w:right="20"/>
        <w:spacing w:after="0" w:line="260" w:lineRule="auto"/>
        <w:rPr>
          <w:sz w:val="20"/>
          <w:szCs w:val="20"/>
          <w:color w:val="auto"/>
        </w:rPr>
      </w:pPr>
      <w:r>
        <w:rPr>
          <w:rFonts w:ascii="Arial" w:cs="Arial" w:eastAsia="Arial" w:hAnsi="Arial"/>
          <w:sz w:val="20"/>
          <w:szCs w:val="20"/>
          <w:color w:val="auto"/>
        </w:rPr>
        <w:t>or (vi) the satisfaction of any condition set forth in Article IV or elsewhere in any Loan Document, other than to confirm receipt of items expressly required to be delivered to the Administrative Agent.</w:t>
      </w:r>
    </w:p>
    <w:p>
      <w:pPr>
        <w:spacing w:after="0" w:line="17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Subject to the appointment and acceptance of a successor Administrative Agent as provided in this paragraph, the Administrative Agent may resign at any time by notifying the Lenders. Upon any such resignation, the Required Lenders shall have the right, in consultation with the Borrower,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 of the Lenders, appoint a successor Administrative Agent which shall be a bank with an office in New York, New York, or an Affiliate of any such bank. Upon the acceptance of its appointment as Administrative Agent hereunder by its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 to a successor Administrative Agent shall be the same as those payable to its predecessor, unless otherwise agreed by the Borrower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and the Borrower,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811" w:right="239" w:bottom="1440" w:gutter="0" w:footer="0" w:header="0"/>
        </w:sectPr>
      </w:pPr>
    </w:p>
    <w:bookmarkStart w:id="112" w:name="page113"/>
    <w:bookmarkEnd w:id="112"/>
    <w:p>
      <w:pPr>
        <w:jc w:val="both"/>
        <w:spacing w:after="0" w:line="233" w:lineRule="exact"/>
        <w:rPr>
          <w:sz w:val="20"/>
          <w:szCs w:val="20"/>
          <w:color w:val="auto"/>
        </w:rPr>
      </w:pPr>
      <w:r>
        <w:rPr>
          <w:rFonts w:ascii="Arial" w:cs="Arial" w:eastAsia="Arial" w:hAnsi="Arial"/>
          <w:sz w:val="20"/>
          <w:szCs w:val="20"/>
          <w:color w:val="auto"/>
        </w:rPr>
        <w:t>and other communications required or contemplated to be given or made to the Administrative Agent shall also directly be given or made to each Lender.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20"/>
          <w:szCs w:val="20"/>
          <w:color w:val="auto"/>
        </w:rPr>
        <w:t>‑</w:t>
      </w:r>
      <w:r>
        <w:rPr>
          <w:rFonts w:ascii="Arial" w:cs="Arial" w:eastAsia="Arial" w:hAnsi="Arial"/>
          <w:sz w:val="20"/>
          <w:szCs w:val="20"/>
          <w:color w:val="auto"/>
        </w:rPr>
        <w:t>agents and their respective Related Parties in respect of any actions taken or omitted to be taken by any of them while it was acting as Administrative Agent and in respect of the matters referred to in the proviso under clause (a) above.</w:t>
      </w:r>
    </w:p>
    <w:p>
      <w:pPr>
        <w:spacing w:after="0" w:line="196"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MNPI)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7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In its capacity, the Administrative Agent is a “representative” of the Secured Parties within the meaning of the term “secured party” as defined in the UCC.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transfer or other Disposition of assets constituting Collateral which is permitted pursuant to the terms of any Loan Document, or consented to in writing by the Required Lenders or all of the Lenders, as applicable, and upon three (3) Business Days’ (or such shorter period as is acceptable to the Administrative Agent) prior written request by the Company to the Administrative Agent, the Administrative Agent shall (and is hereby irrevocably authorized by the Lenders to) execute such documents as may be necessary to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1420"/>
          </w:cols>
          <w:pgMar w:left="240" w:top="811" w:right="239" w:bottom="1440" w:gutter="0" w:footer="0" w:header="0"/>
        </w:sectPr>
      </w:pPr>
    </w:p>
    <w:bookmarkStart w:id="113" w:name="page114"/>
    <w:bookmarkEnd w:id="113"/>
    <w:p>
      <w:pPr>
        <w:jc w:val="both"/>
        <w:spacing w:after="0" w:line="257" w:lineRule="auto"/>
        <w:rPr>
          <w:sz w:val="20"/>
          <w:szCs w:val="20"/>
          <w:color w:val="auto"/>
        </w:rPr>
      </w:pPr>
      <w:r>
        <w:rPr>
          <w:rFonts w:ascii="Arial" w:cs="Arial" w:eastAsia="Arial" w:hAnsi="Arial"/>
          <w:sz w:val="19"/>
          <w:szCs w:val="19"/>
          <w:color w:val="auto"/>
        </w:rPr>
        <w:t>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 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81"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95" w:lineRule="exact"/>
        <w:rPr>
          <w:sz w:val="20"/>
          <w:szCs w:val="20"/>
          <w:color w:val="auto"/>
        </w:rPr>
      </w:pPr>
    </w:p>
    <w:p>
      <w:pPr>
        <w:jc w:val="both"/>
        <w:ind w:left="660" w:firstLine="1293"/>
        <w:spacing w:after="0" w:line="246" w:lineRule="auto"/>
        <w:tabs>
          <w:tab w:leader="none" w:pos="2248" w:val="left"/>
        </w:tabs>
        <w:numPr>
          <w:ilvl w:val="0"/>
          <w:numId w:val="126"/>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and the Administrative Agent (including any claim under Sections 2.12, 2.13, 2.15, 2.16, 2.17 and 9.03) allowed in such judicial proceeding; and</w:t>
      </w:r>
    </w:p>
    <w:p>
      <w:pPr>
        <w:spacing w:after="0" w:line="191" w:lineRule="exact"/>
        <w:rPr>
          <w:rFonts w:ascii="Arial" w:cs="Arial" w:eastAsia="Arial" w:hAnsi="Arial"/>
          <w:sz w:val="20"/>
          <w:szCs w:val="20"/>
          <w:color w:val="auto"/>
        </w:rPr>
      </w:pPr>
    </w:p>
    <w:p>
      <w:pPr>
        <w:ind w:left="2260" w:hanging="307"/>
        <w:spacing w:after="0"/>
        <w:tabs>
          <w:tab w:leader="none" w:pos="22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 9.03).</w:t>
      </w:r>
    </w:p>
    <w:p>
      <w:pPr>
        <w:spacing w:after="0" w:line="19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1420"/>
          </w:cols>
          <w:pgMar w:left="240" w:top="811" w:right="239" w:bottom="1440" w:gutter="0" w:footer="0" w:header="0"/>
        </w:sectPr>
      </w:pPr>
    </w:p>
    <w:bookmarkStart w:id="114" w:name="page115"/>
    <w:bookmarkEnd w:id="114"/>
    <w:p>
      <w:pPr>
        <w:jc w:val="both"/>
        <w:spacing w:after="0" w:line="268" w:lineRule="auto"/>
        <w:rPr>
          <w:sz w:val="20"/>
          <w:szCs w:val="20"/>
          <w:color w:val="auto"/>
        </w:rPr>
      </w:pPr>
      <w:r>
        <w:rPr>
          <w:rFonts w:ascii="Arial" w:cs="Arial" w:eastAsia="Arial" w:hAnsi="Arial"/>
          <w:sz w:val="18"/>
          <w:szCs w:val="18"/>
          <w:color w:val="auto"/>
        </w:rPr>
        <w:t>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1"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Company, on its behalf and on behalf of its Subsidiaries, and each Lender, on its behalf and on the behalf of its affiliated Secured Parties, hereby irrevocably constitute the Administrative Agent as the holder of an irrevocable power of attorney (</w:t>
      </w:r>
      <w:r>
        <w:rPr>
          <w:rFonts w:ascii="Arial" w:cs="Arial" w:eastAsia="Arial" w:hAnsi="Arial"/>
          <w:sz w:val="18"/>
          <w:szCs w:val="18"/>
          <w:i w:val="1"/>
          <w:iCs w:val="1"/>
          <w:color w:val="auto"/>
        </w:rPr>
        <w:t>fondé de pouvoir</w:t>
      </w:r>
      <w:r>
        <w:rPr>
          <w:rFonts w:ascii="Arial" w:cs="Arial" w:eastAsia="Arial" w:hAnsi="Arial"/>
          <w:sz w:val="18"/>
          <w:szCs w:val="18"/>
          <w:color w:val="auto"/>
        </w:rPr>
        <w:t xml:space="preserve"> within the meaning of Article 2692 of the Civil Code of Québec) in order to hold hypothecs and security granted by the Company or any Subsidiary on property pursuant to the laws of the Province of Québec to secure obligations of the Company or any Subsidiary under any bond, debenture or similar title of indebtedness issued by the Company or any Subsidiary in connection with this Agreement, and agree that the Administrative Agent may act as the bondholder and mandatary with respect to any bond, debenture or similar title of indebtedness that may be issued by the Company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the Company or any Subsidiary in connection with this Agreement (i.e., the </w:t>
      </w:r>
      <w:r>
        <w:rPr>
          <w:rFonts w:ascii="Arial" w:cs="Arial" w:eastAsia="Arial" w:hAnsi="Arial"/>
          <w:sz w:val="18"/>
          <w:szCs w:val="18"/>
          <w:i w:val="1"/>
          <w:iCs w:val="1"/>
          <w:color w:val="auto"/>
        </w:rPr>
        <w:t>fondé</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 pouvoir </w:t>
      </w:r>
      <w:r>
        <w:rPr>
          <w:rFonts w:ascii="Arial" w:cs="Arial" w:eastAsia="Arial" w:hAnsi="Arial"/>
          <w:sz w:val="18"/>
          <w:szCs w:val="18"/>
          <w:color w:val="auto"/>
        </w:rPr>
        <w:t>may acquire and hold the first bond issued under any deed of hypothec by the Company or any Subsidiary).</w:t>
      </w:r>
    </w:p>
    <w:p>
      <w:pPr>
        <w:spacing w:after="0" w:line="17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The Administrative Agent is hereby authorized to execute and deliver any documents necessary or appropriate to create and perfect the rights of pledge for the benefit of the Secured Parties including a right of pledge with respect to the entitlements to profits, the balance left after winding up and the voting rights of the Company as ultimate parent of any subsidiary of the Company which is organized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811" w:right="239" w:bottom="1440" w:gutter="0" w:footer="0" w:header="0"/>
        </w:sectPr>
      </w:pPr>
    </w:p>
    <w:bookmarkStart w:id="115" w:name="page116"/>
    <w:bookmarkEnd w:id="115"/>
    <w:p>
      <w:pPr>
        <w:jc w:val="both"/>
        <w:spacing w:after="0" w:line="255" w:lineRule="auto"/>
        <w:rPr>
          <w:sz w:val="20"/>
          <w:szCs w:val="20"/>
          <w:color w:val="auto"/>
        </w:rPr>
      </w:pPr>
      <w:r>
        <w:rPr>
          <w:rFonts w:ascii="Arial" w:cs="Arial" w:eastAsia="Arial" w:hAnsi="Arial"/>
          <w:sz w:val="19"/>
          <w:szCs w:val="19"/>
          <w:color w:val="auto"/>
        </w:rPr>
        <w:t>under the laws of the Netherlands and the Equity Interests of which are pledged in connection herewith (a “</w:t>
      </w:r>
      <w:r>
        <w:rPr>
          <w:rFonts w:ascii="Arial" w:cs="Arial" w:eastAsia="Arial" w:hAnsi="Arial"/>
          <w:sz w:val="19"/>
          <w:szCs w:val="19"/>
          <w:u w:val="single" w:color="auto"/>
          <w:color w:val="auto"/>
        </w:rPr>
        <w:t>Dutch Pledge</w:t>
      </w:r>
      <w:r>
        <w:rPr>
          <w:rFonts w:ascii="Arial" w:cs="Arial" w:eastAsia="Arial" w:hAnsi="Arial"/>
          <w:sz w:val="19"/>
          <w:szCs w:val="19"/>
          <w:color w:val="auto"/>
        </w:rPr>
        <w:t>”). Without prejudice to the provisions of this Agreement and the other Loan Documents, the parties hereto acknowledge and agree with the creation of parallel debt obligations of the Company or any relevant Subsidiary as will be described in any Dutch Pledge (the “</w:t>
      </w:r>
      <w:r>
        <w:rPr>
          <w:rFonts w:ascii="Arial" w:cs="Arial" w:eastAsia="Arial" w:hAnsi="Arial"/>
          <w:sz w:val="19"/>
          <w:szCs w:val="19"/>
          <w:u w:val="single" w:color="auto"/>
          <w:color w:val="auto"/>
        </w:rPr>
        <w:t>Parallel Debt</w:t>
      </w:r>
      <w:r>
        <w:rPr>
          <w:rFonts w:ascii="Arial" w:cs="Arial" w:eastAsia="Arial" w:hAnsi="Arial"/>
          <w:sz w:val="19"/>
          <w:szCs w:val="19"/>
          <w:color w:val="auto"/>
        </w:rPr>
        <w:t>”), including that any payment received 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Secured Obligations, and any payment to the Secured Parties in satisfaction of the Secured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spacing w:after="0" w:line="18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parties hereto acknowledge and agree for the purposes of taking and ensuring the continuing validity of German law governed pledges (</w:t>
      </w:r>
      <w:r>
        <w:rPr>
          <w:rFonts w:ascii="Arial" w:cs="Arial" w:eastAsia="Arial" w:hAnsi="Arial"/>
          <w:sz w:val="18"/>
          <w:szCs w:val="18"/>
          <w:i w:val="1"/>
          <w:iCs w:val="1"/>
          <w:color w:val="auto"/>
        </w:rPr>
        <w:t>Pfandrechte</w:t>
      </w:r>
      <w:r>
        <w:rPr>
          <w:rFonts w:ascii="Arial" w:cs="Arial" w:eastAsia="Arial" w:hAnsi="Arial"/>
          <w:sz w:val="18"/>
          <w:szCs w:val="18"/>
          <w:color w:val="auto"/>
        </w:rPr>
        <w:t>) with the creation of parallel debt obligations of the Company and its Subsidiaries as will be further described in a separate German law governed parallel debt undertaking. The Administrative Agent shall (i) hold such parallel debt undertaking as fiduciary agent (</w:t>
      </w:r>
      <w:r>
        <w:rPr>
          <w:rFonts w:ascii="Arial" w:cs="Arial" w:eastAsia="Arial" w:hAnsi="Arial"/>
          <w:sz w:val="18"/>
          <w:szCs w:val="18"/>
          <w:i w:val="1"/>
          <w:iCs w:val="1"/>
          <w:color w:val="auto"/>
        </w:rPr>
        <w:t>Treuhaender</w:t>
      </w:r>
      <w:r>
        <w:rPr>
          <w:rFonts w:ascii="Arial" w:cs="Arial" w:eastAsia="Arial" w:hAnsi="Arial"/>
          <w:sz w:val="18"/>
          <w:szCs w:val="18"/>
          <w:color w:val="auto"/>
        </w:rPr>
        <w:t>) and (ii) administer and hold as fiduciary agent (</w:t>
      </w:r>
      <w:r>
        <w:rPr>
          <w:rFonts w:ascii="Arial" w:cs="Arial" w:eastAsia="Arial" w:hAnsi="Arial"/>
          <w:sz w:val="18"/>
          <w:szCs w:val="18"/>
          <w:i w:val="1"/>
          <w:iCs w:val="1"/>
          <w:color w:val="auto"/>
        </w:rPr>
        <w:t>Treuhaender</w:t>
      </w:r>
      <w:r>
        <w:rPr>
          <w:rFonts w:ascii="Arial" w:cs="Arial" w:eastAsia="Arial" w:hAnsi="Arial"/>
          <w:sz w:val="18"/>
          <w:szCs w:val="18"/>
          <w:color w:val="auto"/>
        </w:rPr>
        <w:t>) any pledge created under a German law governed Collateral Document which is created in favor of any Secured Party or transferred to any Secured Party due to its accessory nature (</w:t>
      </w:r>
      <w:r>
        <w:rPr>
          <w:rFonts w:ascii="Arial" w:cs="Arial" w:eastAsia="Arial" w:hAnsi="Arial"/>
          <w:sz w:val="18"/>
          <w:szCs w:val="18"/>
          <w:i w:val="1"/>
          <w:iCs w:val="1"/>
          <w:color w:val="auto"/>
        </w:rPr>
        <w:t>Akzessorietaet</w:t>
      </w:r>
      <w:r>
        <w:rPr>
          <w:rFonts w:ascii="Arial" w:cs="Arial" w:eastAsia="Arial" w:hAnsi="Arial"/>
          <w:sz w:val="18"/>
          <w:szCs w:val="18"/>
          <w:color w:val="auto"/>
        </w:rPr>
        <w:t>), in each case of (i) and (ii) in its own name and for the account of the Secured Parties. Each Lender, on its own behalf and on behalf of its affiliated Secured Parties, hereby authorizes the Administrative Agent to enter as its agent (</w:t>
      </w:r>
      <w:r>
        <w:rPr>
          <w:rFonts w:ascii="Arial" w:cs="Arial" w:eastAsia="Arial" w:hAnsi="Arial"/>
          <w:sz w:val="18"/>
          <w:szCs w:val="18"/>
          <w:i w:val="1"/>
          <w:iCs w:val="1"/>
          <w:color w:val="auto"/>
        </w:rPr>
        <w:t>Vertreter</w:t>
      </w:r>
      <w:r>
        <w:rPr>
          <w:rFonts w:ascii="Arial" w:cs="Arial" w:eastAsia="Arial" w:hAnsi="Arial"/>
          <w:sz w:val="18"/>
          <w:szCs w:val="18"/>
          <w:color w:val="auto"/>
        </w:rPr>
        <w:t>)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JPMCB has adopted internal policies and procedures that address requirements placed on federally regulated lenders under the National Flood Insurance Reform Act of 1994 and related legislation (the “</w:t>
      </w:r>
      <w:r>
        <w:rPr>
          <w:rFonts w:ascii="Arial" w:cs="Arial" w:eastAsia="Arial" w:hAnsi="Arial"/>
          <w:sz w:val="19"/>
          <w:szCs w:val="19"/>
          <w:u w:val="single" w:color="auto"/>
          <w:color w:val="auto"/>
        </w:rPr>
        <w:t>Flood Laws</w:t>
      </w:r>
      <w:r>
        <w:rPr>
          <w:rFonts w:ascii="Arial" w:cs="Arial" w:eastAsia="Arial" w:hAnsi="Arial"/>
          <w:sz w:val="19"/>
          <w:szCs w:val="19"/>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IX.</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Miscellaneous</w:t>
      </w:r>
    </w:p>
    <w:p>
      <w:pPr>
        <w:spacing w:after="0" w:line="283"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99" w:lineRule="auto"/>
        <w:tabs>
          <w:tab w:leader="none" w:pos="1516" w:val="left"/>
        </w:tabs>
        <w:numPr>
          <w:ilvl w:val="0"/>
          <w:numId w:val="127"/>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20"/>
          </w:cols>
          <w:pgMar w:left="240" w:top="811" w:right="239" w:bottom="1440" w:gutter="0" w:footer="0" w:header="0"/>
        </w:sectPr>
      </w:pPr>
    </w:p>
    <w:bookmarkStart w:id="116" w:name="page117"/>
    <w:bookmarkEnd w:id="116"/>
    <w:p>
      <w:pPr>
        <w:ind w:left="1300"/>
        <w:spacing w:after="0"/>
        <w:rPr>
          <w:sz w:val="20"/>
          <w:szCs w:val="20"/>
          <w:color w:val="auto"/>
        </w:rPr>
      </w:pPr>
      <w:r>
        <w:rPr>
          <w:rFonts w:ascii="Arial" w:cs="Arial" w:eastAsia="Arial" w:hAnsi="Arial"/>
          <w:sz w:val="20"/>
          <w:szCs w:val="20"/>
          <w:color w:val="auto"/>
        </w:rPr>
        <w:t>(i)  if to any Loan Party, to the Company at: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Winnebago Industries, Inc.</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605 W. Crystal Lake Road</w:t>
      </w:r>
    </w:p>
    <w:p>
      <w:pPr>
        <w:ind w:left="1960"/>
        <w:spacing w:after="0"/>
        <w:rPr>
          <w:sz w:val="20"/>
          <w:szCs w:val="20"/>
          <w:color w:val="auto"/>
        </w:rPr>
      </w:pPr>
      <w:r>
        <w:rPr>
          <w:rFonts w:ascii="Arial" w:cs="Arial" w:eastAsia="Arial" w:hAnsi="Arial"/>
          <w:sz w:val="20"/>
          <w:szCs w:val="20"/>
          <w:color w:val="auto"/>
        </w:rPr>
        <w:t>Forest City, Iowa 50436</w:t>
      </w:r>
    </w:p>
    <w:p>
      <w:pPr>
        <w:ind w:left="1960"/>
        <w:spacing w:after="0"/>
        <w:rPr>
          <w:sz w:val="20"/>
          <w:szCs w:val="20"/>
          <w:color w:val="auto"/>
        </w:rPr>
      </w:pPr>
      <w:r>
        <w:rPr>
          <w:rFonts w:ascii="Arial" w:cs="Arial" w:eastAsia="Arial" w:hAnsi="Arial"/>
          <w:sz w:val="20"/>
          <w:szCs w:val="20"/>
          <w:color w:val="auto"/>
        </w:rPr>
        <w:t>Attention: Don Heidemann, Treasurer</w:t>
      </w:r>
    </w:p>
    <w:p>
      <w:pPr>
        <w:ind w:left="1960"/>
        <w:spacing w:after="0"/>
        <w:rPr>
          <w:sz w:val="20"/>
          <w:szCs w:val="20"/>
          <w:color w:val="auto"/>
        </w:rPr>
      </w:pPr>
      <w:r>
        <w:rPr>
          <w:rFonts w:ascii="Arial" w:cs="Arial" w:eastAsia="Arial" w:hAnsi="Arial"/>
          <w:sz w:val="20"/>
          <w:szCs w:val="20"/>
          <w:color w:val="auto"/>
        </w:rPr>
        <w:t>Facsimile No: (646) 585-6966</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(ii) if to the Administrative Agent (other than for purposes of a notification of the DQ List), to JPMCB at: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Loan and Agency Services Group</w:t>
      </w:r>
    </w:p>
    <w:p>
      <w:pPr>
        <w:ind w:left="1960"/>
        <w:spacing w:after="0"/>
        <w:rPr>
          <w:sz w:val="20"/>
          <w:szCs w:val="20"/>
          <w:color w:val="auto"/>
        </w:rPr>
      </w:pPr>
      <w:r>
        <w:rPr>
          <w:rFonts w:ascii="Arial" w:cs="Arial" w:eastAsia="Arial" w:hAnsi="Arial"/>
          <w:sz w:val="20"/>
          <w:szCs w:val="20"/>
          <w:color w:val="auto"/>
        </w:rPr>
        <w:t>10 S. Dearborn, Floor L2S</w:t>
      </w:r>
    </w:p>
    <w:p>
      <w:pPr>
        <w:ind w:left="1960"/>
        <w:spacing w:after="0"/>
        <w:rPr>
          <w:sz w:val="20"/>
          <w:szCs w:val="20"/>
          <w:color w:val="auto"/>
        </w:rPr>
      </w:pPr>
      <w:r>
        <w:rPr>
          <w:rFonts w:ascii="Arial" w:cs="Arial" w:eastAsia="Arial" w:hAnsi="Arial"/>
          <w:sz w:val="20"/>
          <w:szCs w:val="20"/>
          <w:color w:val="auto"/>
        </w:rPr>
        <w:t>Chicago, IL 60603</w:t>
      </w:r>
    </w:p>
    <w:p>
      <w:pPr>
        <w:ind w:left="1960"/>
        <w:spacing w:after="0"/>
        <w:rPr>
          <w:sz w:val="20"/>
          <w:szCs w:val="20"/>
          <w:color w:val="auto"/>
        </w:rPr>
      </w:pPr>
      <w:r>
        <w:rPr>
          <w:rFonts w:ascii="Arial" w:cs="Arial" w:eastAsia="Arial" w:hAnsi="Arial"/>
          <w:sz w:val="20"/>
          <w:szCs w:val="20"/>
          <w:color w:val="auto"/>
        </w:rPr>
        <w:t>Attention: April Yebd</w:t>
      </w:r>
    </w:p>
    <w:p>
      <w:pPr>
        <w:ind w:left="1960"/>
        <w:spacing w:after="0"/>
        <w:rPr>
          <w:sz w:val="20"/>
          <w:szCs w:val="20"/>
          <w:color w:val="auto"/>
        </w:rPr>
      </w:pPr>
      <w:r>
        <w:rPr>
          <w:rFonts w:ascii="Arial" w:cs="Arial" w:eastAsia="Arial" w:hAnsi="Arial"/>
          <w:sz w:val="20"/>
          <w:szCs w:val="20"/>
          <w:color w:val="auto"/>
        </w:rPr>
        <w:t>Telecopy No: 844-490-5665</w:t>
      </w:r>
    </w:p>
    <w:p>
      <w:pPr>
        <w:ind w:left="1960"/>
        <w:spacing w:after="0"/>
        <w:rPr>
          <w:sz w:val="20"/>
          <w:szCs w:val="20"/>
          <w:color w:val="auto"/>
        </w:rPr>
      </w:pPr>
      <w:r>
        <w:rPr>
          <w:rFonts w:ascii="Arial" w:cs="Arial" w:eastAsia="Arial" w:hAnsi="Arial"/>
          <w:sz w:val="20"/>
          <w:szCs w:val="20"/>
          <w:color w:val="auto"/>
        </w:rPr>
        <w:t>Email Address: april.yebd@jpmorgan.com; Jpm.agency.servicing.1@jpmorgan.com</w:t>
      </w:r>
    </w:p>
    <w:p>
      <w:pPr>
        <w:spacing w:after="0" w:line="213" w:lineRule="exact"/>
        <w:rPr>
          <w:sz w:val="20"/>
          <w:szCs w:val="20"/>
          <w:color w:val="auto"/>
        </w:rPr>
      </w:pPr>
    </w:p>
    <w:p>
      <w:pPr>
        <w:ind w:left="1660" w:hanging="355"/>
        <w:spacing w:after="0"/>
        <w:tabs>
          <w:tab w:leader="none" w:pos="166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if to the Administrative Agent for purposes of a notification of the DQ List, to JPMDQ_Contact@jpmorgan.com; and</w:t>
      </w:r>
    </w:p>
    <w:p>
      <w:pPr>
        <w:spacing w:after="0" w:line="240" w:lineRule="exact"/>
        <w:rPr>
          <w:rFonts w:ascii="Arial" w:cs="Arial" w:eastAsia="Arial" w:hAnsi="Arial"/>
          <w:sz w:val="19"/>
          <w:szCs w:val="19"/>
          <w:color w:val="auto"/>
        </w:rPr>
      </w:pPr>
    </w:p>
    <w:p>
      <w:pPr>
        <w:ind w:left="1620" w:hanging="315"/>
        <w:spacing w:after="0"/>
        <w:tabs>
          <w:tab w:leader="none" w:pos="162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if to any other Lender, to it at its address or facsimile number set forth in its Administrative Questionnaire.</w:t>
      </w:r>
    </w:p>
    <w:p>
      <w:pPr>
        <w:spacing w:after="0" w:line="22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All such notices and other communications (i) sent by hand or overnight courier service, or mailed by certified or registered mail, shall be deemed to have been given when received, (ii) sent by facsimile shall be deemed to have been given when sent, provided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208" w:lineRule="exact"/>
        <w:rPr>
          <w:sz w:val="20"/>
          <w:szCs w:val="20"/>
          <w:color w:val="auto"/>
        </w:rPr>
      </w:pPr>
    </w:p>
    <w:p>
      <w:pPr>
        <w:jc w:val="both"/>
        <w:ind w:firstLine="656"/>
        <w:spacing w:after="0" w:line="290" w:lineRule="auto"/>
        <w:tabs>
          <w:tab w:leader="none" w:pos="152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Notices and other communications to the Lenders hereunder may be delivered or furnished by using Electronic Systems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Systems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420"/>
          </w:cols>
          <w:pgMar w:left="240" w:top="811" w:right="239" w:bottom="1440" w:gutter="0" w:footer="0" w:header="0"/>
        </w:sectPr>
      </w:pPr>
    </w:p>
    <w:bookmarkStart w:id="117" w:name="page118"/>
    <w:bookmarkEnd w:id="117"/>
    <w:p>
      <w:pPr>
        <w:spacing w:after="0" w:line="260" w:lineRule="auto"/>
        <w:rPr>
          <w:sz w:val="20"/>
          <w:szCs w:val="20"/>
          <w:color w:val="auto"/>
        </w:rPr>
      </w:pPr>
      <w:r>
        <w:rPr>
          <w:rFonts w:ascii="Arial" w:cs="Arial" w:eastAsia="Arial" w:hAnsi="Arial"/>
          <w:sz w:val="20"/>
          <w:szCs w:val="20"/>
          <w:color w:val="auto"/>
        </w:rPr>
        <w:t>communication is not sent during the normal business hours of the recipient, such notice or communication shall be deemed to have been sent at the opening of business on the next business day for the recipient.</w:t>
      </w:r>
    </w:p>
    <w:p>
      <w:pPr>
        <w:spacing w:after="0" w:line="190" w:lineRule="exact"/>
        <w:rPr>
          <w:sz w:val="20"/>
          <w:szCs w:val="20"/>
          <w:color w:val="auto"/>
        </w:rPr>
      </w:pPr>
    </w:p>
    <w:p>
      <w:pPr>
        <w:jc w:val="both"/>
        <w:ind w:firstLine="656"/>
        <w:spacing w:after="0" w:line="278" w:lineRule="auto"/>
        <w:tabs>
          <w:tab w:leader="none" w:pos="1516" w:val="left"/>
        </w:tabs>
        <w:numPr>
          <w:ilvl w:val="0"/>
          <w:numId w:val="130"/>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6" w:lineRule="exact"/>
        <w:rPr>
          <w:rFonts w:ascii="Arial" w:cs="Arial" w:eastAsia="Arial" w:hAnsi="Arial"/>
          <w:sz w:val="20"/>
          <w:szCs w:val="20"/>
          <w:color w:val="auto"/>
        </w:rPr>
      </w:pPr>
    </w:p>
    <w:p>
      <w:pPr>
        <w:ind w:left="1540" w:hanging="884"/>
        <w:spacing w:after="0"/>
        <w:tabs>
          <w:tab w:leader="none" w:pos="1540"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5"/>
        <w:spacing w:after="0" w:line="278" w:lineRule="auto"/>
        <w:tabs>
          <w:tab w:leader="none" w:pos="2143"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Company agrees that the Administrative Agent may, but shall not be obligated to, make Communications (as defined below) available to the Lenders by posting the Communications on Debt Domain, Intralinks, Syndtrak, ClearPar or a substantially similar Electronic System.</w:t>
      </w:r>
    </w:p>
    <w:p>
      <w:pPr>
        <w:spacing w:after="0" w:line="186" w:lineRule="exact"/>
        <w:rPr>
          <w:rFonts w:ascii="Arial" w:cs="Arial" w:eastAsia="Arial" w:hAnsi="Arial"/>
          <w:sz w:val="20"/>
          <w:szCs w:val="20"/>
          <w:color w:val="auto"/>
        </w:rPr>
      </w:pPr>
    </w:p>
    <w:p>
      <w:pPr>
        <w:jc w:val="both"/>
        <w:ind w:left="660" w:firstLine="645"/>
        <w:spacing w:after="0" w:line="300" w:lineRule="auto"/>
        <w:tabs>
          <w:tab w:leader="none" w:pos="2198"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Loan Party, any Lender or any other Person or entity for damages of any kind, including, without limitation, direct or indirect, special, incidental or consequential damages, losses or expenses (whether in tort, contract or otherwise) arising out of any Loan Party’s or the Administrative Agent’s transmission of Communications through an Electronic System, except with respect to actual or direct damages to the extent determined by a court of competent jurisdiction by final and nonappealable judgment to have resulted from the willful misconduct or gross negligence of any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Communication to any Lenders, prospective Lenders, Participants or prospective Participants or, to the extent such disclosure is otherwise permitted, to any other Person through an Electronic System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 “</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or any Lender by means of electronic communications pursuant to this Section, including through an Electronic System.</w:t>
      </w:r>
    </w:p>
    <w:p>
      <w:pPr>
        <w:spacing w:after="0" w:line="17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 xml:space="preserve"> (a) No failure or delay by the Administrative Agent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420"/>
          </w:cols>
          <w:pgMar w:left="240" w:top="811" w:right="239" w:bottom="1440" w:gutter="0" w:footer="0" w:header="0"/>
        </w:sectPr>
      </w:pPr>
    </w:p>
    <w:bookmarkStart w:id="118" w:name="page119"/>
    <w:bookmarkEnd w:id="118"/>
    <w:p>
      <w:pPr>
        <w:spacing w:after="0" w:line="347" w:lineRule="auto"/>
        <w:rPr>
          <w:sz w:val="20"/>
          <w:szCs w:val="20"/>
          <w:color w:val="auto"/>
        </w:rPr>
      </w:pPr>
      <w:r>
        <w:rPr>
          <w:rFonts w:ascii="Arial" w:cs="Arial" w:eastAsia="Arial" w:hAnsi="Arial"/>
          <w:sz w:val="18"/>
          <w:szCs w:val="18"/>
          <w:color w:val="auto"/>
        </w:rPr>
        <w:t>and for the purpose for which given. Without limiting the generality of the foregoing, the making of a Loan shall not be construed as a waiver of any Default, regardless of whether the Administrative Agent, any Lender may have had notice or knowledge of such Default at the time.</w:t>
      </w:r>
    </w:p>
    <w:p>
      <w:pPr>
        <w:spacing w:after="0" w:line="131" w:lineRule="exact"/>
        <w:rPr>
          <w:sz w:val="20"/>
          <w:szCs w:val="20"/>
          <w:color w:val="auto"/>
        </w:rPr>
      </w:pPr>
    </w:p>
    <w:p>
      <w:pPr>
        <w:jc w:val="both"/>
        <w:ind w:firstLine="656"/>
        <w:spacing w:after="0" w:line="310" w:lineRule="auto"/>
        <w:tabs>
          <w:tab w:leader="none" w:pos="1527"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Except as provided in Section 2.20 with respect to an Incremental Amendment, Section 2.26 with respect to Loan Modification Agreements, Section 2.27 with respect to a Refinancing Amendment, or Section 6.03(c) with respect to changes in fiscal year, or pursuant to the Arranger Fee Letter, neither this Agreement nor any provision hereof may be waived, amended or modified except pursuant to an agreement or agreements in writing entered into by the Company, the Borrower and the Required Lenders or by the Company, the Borrower and the Administrative Agent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agreement shall:</w:t>
      </w:r>
    </w:p>
    <w:p>
      <w:pPr>
        <w:spacing w:after="0" w:line="148" w:lineRule="exact"/>
        <w:rPr>
          <w:rFonts w:ascii="Arial" w:cs="Arial" w:eastAsia="Arial" w:hAnsi="Arial"/>
          <w:sz w:val="18"/>
          <w:szCs w:val="18"/>
          <w:color w:val="auto"/>
        </w:rPr>
      </w:pPr>
    </w:p>
    <w:p>
      <w:pPr>
        <w:jc w:val="both"/>
        <w:ind w:left="1300" w:firstLine="5"/>
        <w:spacing w:after="0" w:line="250" w:lineRule="auto"/>
        <w:tabs>
          <w:tab w:leader="none" w:pos="1554"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increase the Commitment of any Lender without the written consent of such Lender (including any such Lender that is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waiver of any Default or mandatory prepayment shall not constitute an increase of any Commitment of any Lender;</w:t>
      </w:r>
    </w:p>
    <w:p>
      <w:pPr>
        <w:spacing w:after="0" w:line="186" w:lineRule="exact"/>
        <w:rPr>
          <w:rFonts w:ascii="Arial" w:cs="Arial" w:eastAsia="Arial" w:hAnsi="Arial"/>
          <w:sz w:val="20"/>
          <w:szCs w:val="20"/>
          <w:color w:val="auto"/>
        </w:rPr>
      </w:pPr>
    </w:p>
    <w:p>
      <w:pPr>
        <w:jc w:val="both"/>
        <w:ind w:left="1300" w:firstLine="5"/>
        <w:spacing w:after="0" w:line="243" w:lineRule="auto"/>
        <w:tabs>
          <w:tab w:leader="none" w:pos="1600"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reduce or forgive the principal amount of any Loan or reduce the rate of interest thereon, or reduce or forgive any interest or fees payable hereunder, without the written consent of each Lender (including any such Lender that is a Defaulting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any amendment or modification of any financial covenant in this Agreement (or defined terms used in any financial covenant in this Agreement) shall not constitute a reduction in the rate of interest or fees for purposes of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and (y) only the consent of the Required Lenders shall be necessary to reduce or waive any obligation of the Borrower to pay interest or any other amount at the applicable default rate set forth in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13(c)</w:t>
      </w:r>
      <w:r>
        <w:rPr>
          <w:rFonts w:ascii="Arial" w:cs="Arial" w:eastAsia="Arial" w:hAnsi="Arial"/>
          <w:sz w:val="20"/>
          <w:szCs w:val="20"/>
          <w:color w:val="auto"/>
        </w:rPr>
        <w:t xml:space="preserve"> or to amend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13(c)</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1300" w:firstLine="5"/>
        <w:spacing w:after="0" w:line="244" w:lineRule="auto"/>
        <w:tabs>
          <w:tab w:leader="none" w:pos="1655" w:val="left"/>
        </w:tabs>
        <w:numPr>
          <w:ilvl w:val="1"/>
          <w:numId w:val="131"/>
        </w:numPr>
        <w:rPr>
          <w:rFonts w:ascii="Arial" w:cs="Arial" w:eastAsia="Arial" w:hAnsi="Arial"/>
          <w:sz w:val="20"/>
          <w:szCs w:val="20"/>
          <w:color w:val="auto"/>
        </w:rPr>
      </w:pPr>
      <w:r>
        <w:rPr>
          <w:rFonts w:ascii="Arial" w:cs="Arial" w:eastAsia="Arial" w:hAnsi="Arial"/>
          <w:sz w:val="20"/>
          <w:szCs w:val="20"/>
          <w:color w:val="auto"/>
        </w:rPr>
        <w:t xml:space="preserve">postpone the scheduled date of payment of the principal amount of any Loan, or any interest thereon, or any fees payable hereunder, or reduce the amount of, waive or excuse any such payment (including mandatory prepayments required under Section 2.11), or postpone the scheduled date of expiration of any Commitment, without the written consent of each Lender (including any such Lender that is a Defaulting Lender) directly affected thereby (other than with respect to the matters set forth in </w:t>
      </w:r>
      <w:r>
        <w:rPr>
          <w:rFonts w:ascii="Arial" w:cs="Arial" w:eastAsia="Arial" w:hAnsi="Arial"/>
          <w:sz w:val="20"/>
          <w:szCs w:val="20"/>
          <w:u w:val="single" w:color="auto"/>
          <w:color w:val="auto"/>
        </w:rPr>
        <w:t>clauses (ii)(x)</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(ii)(y)</w:t>
      </w:r>
      <w:r>
        <w:rPr>
          <w:rFonts w:ascii="Arial" w:cs="Arial" w:eastAsia="Arial" w:hAnsi="Arial"/>
          <w:sz w:val="20"/>
          <w:szCs w:val="20"/>
          <w:color w:val="auto"/>
        </w:rPr>
        <w:t xml:space="preserve"> above);</w:t>
      </w:r>
    </w:p>
    <w:p>
      <w:pPr>
        <w:spacing w:after="0" w:line="195" w:lineRule="exact"/>
        <w:rPr>
          <w:sz w:val="20"/>
          <w:szCs w:val="20"/>
          <w:color w:val="auto"/>
        </w:rPr>
      </w:pPr>
    </w:p>
    <w:p>
      <w:pPr>
        <w:ind w:left="1300" w:right="20" w:firstLine="5"/>
        <w:spacing w:after="0" w:line="260" w:lineRule="auto"/>
        <w:tabs>
          <w:tab w:leader="none" w:pos="1657"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change Section 2.18(b) or (c) in a manner that would alter the pro rata sharing of payments required thereby, without the written consent of each Lender;</w:t>
      </w:r>
    </w:p>
    <w:p>
      <w:pPr>
        <w:spacing w:after="0" w:line="177" w:lineRule="exact"/>
        <w:rPr>
          <w:sz w:val="20"/>
          <w:szCs w:val="20"/>
          <w:color w:val="auto"/>
        </w:rPr>
      </w:pPr>
    </w:p>
    <w:p>
      <w:pPr>
        <w:jc w:val="both"/>
        <w:ind w:left="1300" w:firstLine="5"/>
        <w:spacing w:after="0" w:line="246" w:lineRule="auto"/>
        <w:tabs>
          <w:tab w:leader="none" w:pos="1598" w:val="left"/>
        </w:tabs>
        <w:numPr>
          <w:ilvl w:val="0"/>
          <w:numId w:val="133"/>
        </w:numPr>
        <w:rPr>
          <w:rFonts w:ascii="Arial" w:cs="Arial" w:eastAsia="Arial" w:hAnsi="Arial"/>
          <w:sz w:val="20"/>
          <w:szCs w:val="20"/>
          <w:color w:val="auto"/>
        </w:rPr>
      </w:pPr>
      <w:r>
        <w:rPr>
          <w:rFonts w:ascii="Arial" w:cs="Arial" w:eastAsia="Arial" w:hAnsi="Arial"/>
          <w:sz w:val="20"/>
          <w:szCs w:val="20"/>
          <w:color w:val="auto"/>
        </w:rPr>
        <w:t>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w:t>
      </w:r>
    </w:p>
    <w:p>
      <w:pPr>
        <w:spacing w:after="0" w:line="191" w:lineRule="exact"/>
        <w:rPr>
          <w:rFonts w:ascii="Arial" w:cs="Arial" w:eastAsia="Arial" w:hAnsi="Arial"/>
          <w:sz w:val="20"/>
          <w:szCs w:val="20"/>
          <w:color w:val="auto"/>
        </w:rPr>
      </w:pPr>
    </w:p>
    <w:p>
      <w:pPr>
        <w:jc w:val="both"/>
        <w:ind w:left="1300" w:firstLine="5"/>
        <w:spacing w:after="0" w:line="250" w:lineRule="auto"/>
        <w:tabs>
          <w:tab w:leader="none" w:pos="1640" w:val="left"/>
        </w:tabs>
        <w:numPr>
          <w:ilvl w:val="0"/>
          <w:numId w:val="133"/>
        </w:numPr>
        <w:rPr>
          <w:rFonts w:ascii="Arial" w:cs="Arial" w:eastAsia="Arial" w:hAnsi="Arial"/>
          <w:sz w:val="20"/>
          <w:szCs w:val="20"/>
          <w:color w:val="auto"/>
        </w:rPr>
      </w:pPr>
      <w:r>
        <w:rPr>
          <w:rFonts w:ascii="Arial" w:cs="Arial" w:eastAsia="Arial" w:hAnsi="Arial"/>
          <w:sz w:val="20"/>
          <w:szCs w:val="20"/>
          <w:color w:val="auto"/>
        </w:rPr>
        <w:t>release all or substantially all of the value of the Loan Guaranty (except as otherwise permitted herein or in the other Loan Documents, including with respect to a sale, disposition or dissolution of a Loan Guarantor permitted herein), without the written consent of each Lender (other than any Defaulting Lender); or</w:t>
      </w:r>
    </w:p>
    <w:p>
      <w:pPr>
        <w:spacing w:after="0" w:line="186" w:lineRule="exact"/>
        <w:rPr>
          <w:rFonts w:ascii="Arial" w:cs="Arial" w:eastAsia="Arial" w:hAnsi="Arial"/>
          <w:sz w:val="20"/>
          <w:szCs w:val="20"/>
          <w:color w:val="auto"/>
        </w:rPr>
      </w:pPr>
    </w:p>
    <w:p>
      <w:pPr>
        <w:ind w:left="1300" w:firstLine="5"/>
        <w:spacing w:after="0" w:line="260" w:lineRule="auto"/>
        <w:tabs>
          <w:tab w:leader="none" w:pos="1721" w:val="left"/>
        </w:tabs>
        <w:numPr>
          <w:ilvl w:val="0"/>
          <w:numId w:val="133"/>
        </w:numPr>
        <w:rPr>
          <w:rFonts w:ascii="Arial" w:cs="Arial" w:eastAsia="Arial" w:hAnsi="Arial"/>
          <w:sz w:val="20"/>
          <w:szCs w:val="20"/>
          <w:color w:val="auto"/>
        </w:rPr>
      </w:pPr>
      <w:r>
        <w:rPr>
          <w:rFonts w:ascii="Arial" w:cs="Arial" w:eastAsia="Arial" w:hAnsi="Arial"/>
          <w:sz w:val="20"/>
          <w:szCs w:val="20"/>
          <w:color w:val="auto"/>
        </w:rPr>
        <w:t>except as provided in clause (d) of this Section or in any Collateral Document, release all or substantially all of the Collateral, without the written consent of each Lender (other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420"/>
          </w:cols>
          <w:pgMar w:left="240" w:top="825" w:right="239" w:bottom="1440" w:gutter="0" w:footer="0" w:header="0"/>
        </w:sectPr>
      </w:pPr>
    </w:p>
    <w:bookmarkStart w:id="119" w:name="page120"/>
    <w:bookmarkEnd w:id="119"/>
    <w:p>
      <w:pPr>
        <w:ind w:left="1300"/>
        <w:spacing w:after="0"/>
        <w:rPr>
          <w:sz w:val="20"/>
          <w:szCs w:val="20"/>
          <w:color w:val="auto"/>
        </w:rPr>
      </w:pPr>
      <w:r>
        <w:rPr>
          <w:rFonts w:ascii="Arial" w:cs="Arial" w:eastAsia="Arial" w:hAnsi="Arial"/>
          <w:sz w:val="20"/>
          <w:szCs w:val="20"/>
          <w:color w:val="auto"/>
        </w:rPr>
        <w:t>than any Defaulting Lender);</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no such agreement shall amend, modify or otherwise affect the rights or duties of the Administrative Agent hereunder without the prior written consent of the Administrative Agent (it being understood that any change to Section 2.20 shall require the consent of the Administrative Agent) and (B) any amendment or waiver that by its terms affects the rights or duties of Lenders holding Loans or Commitments of a particular Class (but not the Lenders holding Loans or Commitments of any other Class) will require only the requisite percentage in interest of the affected Class of Lenders that would be required to consent thereto if such Class of Lenders were the only Class of Lenders.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w:t>
      </w:r>
    </w:p>
    <w:p>
      <w:pPr>
        <w:spacing w:after="0" w:line="179" w:lineRule="exact"/>
        <w:rPr>
          <w:sz w:val="20"/>
          <w:szCs w:val="20"/>
          <w:color w:val="auto"/>
        </w:rPr>
      </w:pPr>
    </w:p>
    <w:p>
      <w:pPr>
        <w:jc w:val="both"/>
        <w:ind w:firstLine="656"/>
        <w:spacing w:after="0" w:line="271" w:lineRule="auto"/>
        <w:tabs>
          <w:tab w:leader="none" w:pos="1516" w:val="left"/>
        </w:tabs>
        <w:numPr>
          <w:ilvl w:val="1"/>
          <w:numId w:val="134"/>
        </w:numPr>
        <w:rPr>
          <w:rFonts w:ascii="Arial" w:cs="Arial" w:eastAsia="Arial" w:hAnsi="Arial"/>
          <w:sz w:val="20"/>
          <w:szCs w:val="20"/>
          <w:color w:val="auto"/>
        </w:rPr>
      </w:pPr>
      <w:r>
        <w:rPr>
          <w:rFonts w:ascii="Arial" w:cs="Arial" w:eastAsia="Arial" w:hAnsi="Arial"/>
          <w:sz w:val="20"/>
          <w:szCs w:val="20"/>
          <w:color w:val="auto"/>
        </w:rPr>
        <w:t>Notwithstanding the foregoing, this Agreement and any other Loan Document may be amended (or amended and restated) with the written consent of the Required Lenders, the Administrative Agent, the Company and the Borrower (x) to add one or more credit facilities (in addition to the Incremental Term Loans pursuant to an Incremental Amendment) to this Agreement and to permit extensions of credit from time to time outstanding thereunder and the accrued interest and fees in respect thereof to share ratably in the benefits of this Agreement and the other Loan Documents with the Tranche B Term Loans, Incremental Term Loans and the accrued interest and fees in respect thereof and (y) to include appropriately the Lenders holding such credit facilities in any determination of the Required Lenders and Lenders.</w:t>
      </w:r>
    </w:p>
    <w:p>
      <w:pPr>
        <w:spacing w:after="0" w:line="194" w:lineRule="exact"/>
        <w:rPr>
          <w:rFonts w:ascii="Arial" w:cs="Arial" w:eastAsia="Arial" w:hAnsi="Arial"/>
          <w:sz w:val="20"/>
          <w:szCs w:val="20"/>
          <w:color w:val="auto"/>
        </w:rPr>
      </w:pPr>
    </w:p>
    <w:p>
      <w:pPr>
        <w:jc w:val="both"/>
        <w:ind w:firstLine="656"/>
        <w:spacing w:after="0" w:line="297" w:lineRule="auto"/>
        <w:tabs>
          <w:tab w:leader="none" w:pos="1527"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Lenders hereby irrevocably authorize the Administrative Agent, at its option and in its sole discretion, to release any Liens granted to the Administrative Agent by the Loan Parties on any Collateral (i) upon satisfaction of the Final Release Conditions,</w:t>
      </w:r>
    </w:p>
    <w:p>
      <w:pPr>
        <w:jc w:val="both"/>
        <w:ind w:firstLine="8"/>
        <w:spacing w:after="0" w:line="300" w:lineRule="auto"/>
        <w:tabs>
          <w:tab w:leader="none" w:pos="30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or (v)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discretion, release its Liens on Collateral valued in the aggregate not in excess of $7,500,000 during any calendar year without the prior written authorization of the Required Lenders(it being agreed that the Administrative Agent may rely conclusively on one or more certificates of the Company or the Borrower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6.02(e)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Secured Obligations or any Liens (other than those expressly being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20"/>
          </w:cols>
          <w:pgMar w:left="240" w:top="811" w:right="239" w:bottom="1440" w:gutter="0" w:footer="0" w:header="0"/>
        </w:sectPr>
      </w:pPr>
    </w:p>
    <w:bookmarkStart w:id="120" w:name="page121"/>
    <w:bookmarkEnd w:id="120"/>
    <w:p>
      <w:pPr>
        <w:jc w:val="both"/>
        <w:spacing w:after="0" w:line="278" w:lineRule="auto"/>
        <w:rPr>
          <w:sz w:val="20"/>
          <w:szCs w:val="20"/>
          <w:color w:val="auto"/>
        </w:rPr>
      </w:pPr>
      <w:r>
        <w:rPr>
          <w:rFonts w:ascii="Arial" w:cs="Arial" w:eastAsia="Arial" w:hAnsi="Arial"/>
          <w:sz w:val="20"/>
          <w:szCs w:val="20"/>
          <w:color w:val="auto"/>
        </w:rPr>
        <w:t>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87" w:lineRule="exact"/>
        <w:rPr>
          <w:sz w:val="20"/>
          <w:szCs w:val="20"/>
          <w:color w:val="auto"/>
        </w:rPr>
      </w:pPr>
    </w:p>
    <w:p>
      <w:pPr>
        <w:jc w:val="both"/>
        <w:ind w:firstLine="656"/>
        <w:spacing w:after="0" w:line="284" w:lineRule="auto"/>
        <w:tabs>
          <w:tab w:leader="none" w:pos="1516"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then the Borrower may elect to replace a Non-Consenting Lender as a Lender party to this Agreement, provided that, concurrently with such replacement, (i) another bank or other entity which is reasonably satisfactory to the Borrower and the Administrative Agent shall agree, as of such date, to purchase for cash the Loans and other Secured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such Non-Consenting Lender shall have received in same day funds on the day of such replacement (1) all interest, fees and other amounts then accrued but unpaid to such Non-Consenting Lender by the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90" w:lineRule="exact"/>
        <w:rPr>
          <w:rFonts w:ascii="Arial" w:cs="Arial" w:eastAsia="Arial" w:hAnsi="Arial"/>
          <w:sz w:val="19"/>
          <w:szCs w:val="19"/>
          <w:color w:val="auto"/>
        </w:rPr>
      </w:pPr>
    </w:p>
    <w:p>
      <w:pPr>
        <w:jc w:val="both"/>
        <w:ind w:firstLine="656"/>
        <w:spacing w:after="0" w:line="270" w:lineRule="auto"/>
        <w:tabs>
          <w:tab w:leader="none" w:pos="149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p>
    <w:p>
      <w:pPr>
        <w:spacing w:after="0" w:line="19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302" w:lineRule="auto"/>
        <w:tabs>
          <w:tab w:leader="none" w:pos="151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Loan Parties shall, jointly and severally, pay (i) all reasonable out-of-pocket expenses incurred by the Administrative Agent and the Lead Arranger and their respective Affiliates (including the reasonable and documented fees, disbursements and other charges of one primary counsel and one local counsel in each applicable jurisdiction for the Administrative Agent and the Lead Arranger and their respective Affiliates, in each case, for all such parties taken together)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(including the reasonable and documented fees, disbursements and other charges of one primary counsel and one local counsel in each applicable jurisdiction for the Administrative Agent and the Lenders taken as a whole (and, in light of actual or potential conflicts of interest or the availability of different claims or defenses (as reasonably determined by the affected party), one additional firm of counsel to each group of similarly affected parties)) in connection with the enforcement or protection of its rights in connection with this Agreement and any other Loan Document, including its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825" w:right="239" w:bottom="1440" w:gutter="0" w:footer="0" w:header="0"/>
        </w:sectPr>
      </w:pPr>
    </w:p>
    <w:bookmarkStart w:id="121" w:name="page122"/>
    <w:bookmarkEnd w:id="121"/>
    <w:p>
      <w:pPr>
        <w:spacing w:after="0" w:line="289" w:lineRule="auto"/>
        <w:rPr>
          <w:sz w:val="20"/>
          <w:szCs w:val="20"/>
          <w:color w:val="auto"/>
        </w:rPr>
      </w:pPr>
      <w:r>
        <w:rPr>
          <w:rFonts w:ascii="Arial" w:cs="Arial" w:eastAsia="Arial" w:hAnsi="Arial"/>
          <w:sz w:val="20"/>
          <w:szCs w:val="20"/>
          <w:color w:val="auto"/>
        </w:rPr>
        <w:t>rights under this Section, or in connection with the Loans made or Letters of Credit issued hereunder, including all such out-of-pocket expenses incurred during any workout, restructuring or negotiations in respect of such Loans or Letters of Credit.</w:t>
      </w:r>
    </w:p>
    <w:p>
      <w:pPr>
        <w:spacing w:after="0" w:line="175" w:lineRule="exact"/>
        <w:rPr>
          <w:sz w:val="20"/>
          <w:szCs w:val="20"/>
          <w:color w:val="auto"/>
        </w:rPr>
      </w:pPr>
    </w:p>
    <w:p>
      <w:pPr>
        <w:jc w:val="both"/>
        <w:ind w:firstLine="656"/>
        <w:spacing w:after="0" w:line="300" w:lineRule="auto"/>
        <w:tabs>
          <w:tab w:leader="none" w:pos="152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Loan Parties shall, jointly and severally, indemnify the Administrative Agent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against, and hold each Indemnitee harmless from, any and all losses, claims, damages, liabilities and related expenses (including the reasonable and documented fees, disbursements and other charges of (x) one primary counsel and one local counsel in each applicable jurisdiction, in each case for the Indemnitees taken as a whole and (y) one additional counsel for each affected Indemnitee in light of actual or potential conflicts of interest or the availability of different claims or defenses)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 (ii) any Loan or the use of the proceeds therefrom,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(y) the material breach in bad faith by such Indemnitee of its express obligations under this Agreement pursuant to a claim initiated by the Company. This Section 9.03(b) shall not apply with respect to Taxes other than any Taxes that represent losses, claims or damages arising from any non-Tax claim.</w:t>
      </w:r>
    </w:p>
    <w:p>
      <w:pPr>
        <w:spacing w:after="0" w:line="177" w:lineRule="exact"/>
        <w:rPr>
          <w:rFonts w:ascii="Arial" w:cs="Arial" w:eastAsia="Arial" w:hAnsi="Arial"/>
          <w:sz w:val="18"/>
          <w:szCs w:val="18"/>
          <w:color w:val="auto"/>
        </w:rPr>
      </w:pPr>
    </w:p>
    <w:p>
      <w:pPr>
        <w:jc w:val="both"/>
        <w:ind w:firstLine="656"/>
        <w:spacing w:after="0" w:line="272" w:lineRule="auto"/>
        <w:tabs>
          <w:tab w:leader="none" w:pos="151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 xml:space="preserve">To the extent that a Loan Party fails to pay any amount required to be paid by it to the Administrative Agent under paragraph (a) or (b) of this Section, each Lender severally agrees to pay to the Administrative Agent such Lender’s Applicable Percentage (determined as of the time that the applicable unreimbursed expense or indemnity payment is sought) of such unpaid amount (it being understood that the payment of any Lender of any such amount shall not relieve such Loan Party of any default in the payment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unreimbursed expense or indemnified loss, claim, damage, liability or related expense, as the case may be, was incurred by or asserted against the Administrative Agent in its capacity as such.</w:t>
      </w:r>
    </w:p>
    <w:p>
      <w:pPr>
        <w:spacing w:after="0" w:line="191" w:lineRule="exact"/>
        <w:rPr>
          <w:rFonts w:ascii="Arial" w:cs="Arial" w:eastAsia="Arial" w:hAnsi="Arial"/>
          <w:sz w:val="20"/>
          <w:szCs w:val="20"/>
          <w:color w:val="auto"/>
        </w:rPr>
      </w:pPr>
    </w:p>
    <w:p>
      <w:pPr>
        <w:jc w:val="both"/>
        <w:ind w:firstLine="656"/>
        <w:spacing w:after="0" w:line="286" w:lineRule="auto"/>
        <w:tabs>
          <w:tab w:leader="none" w:pos="1527"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other than actual or direct damages that are determined by a court of competent jurisdiction by final and nonappealable judgment to have resulted from the gross negligence or willful misconduct of such Indemnitee or any of its Related Parties. To the extent permitted by applicable law, no Indemnitee shall assert against any Loan Party or its Related Parties and no Loan Party shall assert against any Indemnitee, and each Indemnitee and Loan Party hereby waives, any claim,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or any Loan or the use of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420"/>
          </w:cols>
          <w:pgMar w:left="240" w:top="825" w:right="239" w:bottom="1440" w:gutter="0" w:footer="0" w:header="0"/>
        </w:sectPr>
      </w:pPr>
    </w:p>
    <w:bookmarkStart w:id="122" w:name="page123"/>
    <w:bookmarkEnd w:id="122"/>
    <w:p>
      <w:pPr>
        <w:spacing w:after="0" w:line="289" w:lineRule="auto"/>
        <w:rPr>
          <w:sz w:val="20"/>
          <w:szCs w:val="20"/>
          <w:color w:val="auto"/>
        </w:rPr>
      </w:pPr>
      <w:r>
        <w:rPr>
          <w:rFonts w:ascii="Arial" w:cs="Arial" w:eastAsia="Arial" w:hAnsi="Arial"/>
          <w:sz w:val="20"/>
          <w:szCs w:val="20"/>
          <w:color w:val="auto"/>
        </w:rPr>
        <w:t xml:space="preserve">proceeds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nothing contained in this sentence shall limit the Company’s indemnity obligations to the extent set forth in Section 9.03(b).</w:t>
      </w:r>
    </w:p>
    <w:p>
      <w:pPr>
        <w:spacing w:after="0" w:line="175" w:lineRule="exact"/>
        <w:rPr>
          <w:sz w:val="20"/>
          <w:szCs w:val="20"/>
          <w:color w:val="auto"/>
        </w:rPr>
      </w:pPr>
    </w:p>
    <w:p>
      <w:pPr>
        <w:ind w:left="1520" w:hanging="864"/>
        <w:spacing w:after="0"/>
        <w:tabs>
          <w:tab w:leader="none" w:pos="152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not later than fifteen (15) days after written demand therefor.</w:t>
      </w:r>
    </w:p>
    <w:p>
      <w:pPr>
        <w:spacing w:after="0" w:line="25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43" w:lineRule="exact"/>
        <w:rPr>
          <w:sz w:val="20"/>
          <w:szCs w:val="20"/>
          <w:color w:val="auto"/>
        </w:rPr>
      </w:pPr>
    </w:p>
    <w:p>
      <w:pPr>
        <w:jc w:val="both"/>
        <w:ind w:firstLine="1305"/>
        <w:spacing w:after="0" w:line="286" w:lineRule="auto"/>
        <w:tabs>
          <w:tab w:leader="none" w:pos="2164"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Related Parties of each of the Administrative Agent and the Lenders) any legal or equitable right, remedy or claim under or by reason of this Agreement.</w:t>
      </w:r>
    </w:p>
    <w:p>
      <w:pPr>
        <w:spacing w:after="0" w:line="185" w:lineRule="exact"/>
        <w:rPr>
          <w:rFonts w:ascii="Arial" w:cs="Arial" w:eastAsia="Arial" w:hAnsi="Arial"/>
          <w:sz w:val="19"/>
          <w:szCs w:val="19"/>
          <w:color w:val="auto"/>
        </w:rPr>
      </w:pPr>
    </w:p>
    <w:p>
      <w:pPr>
        <w:jc w:val="both"/>
        <w:ind w:firstLine="1305"/>
        <w:spacing w:after="0" w:line="322" w:lineRule="auto"/>
        <w:tabs>
          <w:tab w:leader="none" w:pos="21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Subject to the conditions set forth in paragraph (b)(ii) below, any Lender may 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spacing w:after="0" w:line="153" w:lineRule="exact"/>
        <w:rPr>
          <w:sz w:val="20"/>
          <w:szCs w:val="20"/>
          <w:color w:val="auto"/>
        </w:rPr>
      </w:pPr>
    </w:p>
    <w:p>
      <w:pPr>
        <w:jc w:val="both"/>
        <w:ind w:left="660" w:firstLine="645"/>
        <w:spacing w:after="0" w:line="273" w:lineRule="auto"/>
        <w:tabs>
          <w:tab w:leader="none" w:pos="2281"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the Borrower;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no consent of the Borrower shall be required for an assignment during the primary syndication of the Tranche B Term Loans, (ii) the Borrower shall be deemed to have consented to any assignment unless it shall object thereto by written notice to the Administrative Agent within five (5) Business Days after having received notice thereof and (iii) no consent of the Borrower shall be required for an assignment to a Lender, an Affiliate of a Lender, an Approved Fund or, if an Event of Default has occurred and is continuing, any other assignee; and</w:t>
      </w:r>
    </w:p>
    <w:p>
      <w:pPr>
        <w:spacing w:after="0" w:line="191" w:lineRule="exact"/>
        <w:rPr>
          <w:rFonts w:ascii="Arial" w:cs="Arial" w:eastAsia="Arial" w:hAnsi="Arial"/>
          <w:sz w:val="20"/>
          <w:szCs w:val="20"/>
          <w:color w:val="auto"/>
        </w:rPr>
      </w:pPr>
    </w:p>
    <w:p>
      <w:pPr>
        <w:ind w:left="660" w:firstLine="645"/>
        <w:spacing w:after="0" w:line="289" w:lineRule="auto"/>
        <w:tabs>
          <w:tab w:leader="none" w:pos="2324" w:val="left"/>
        </w:tabs>
        <w:numPr>
          <w:ilvl w:val="0"/>
          <w:numId w:val="141"/>
        </w:numPr>
        <w:rPr>
          <w:rFonts w:ascii="Arial" w:cs="Arial" w:eastAsia="Arial" w:hAnsi="Arial"/>
          <w:sz w:val="20"/>
          <w:szCs w:val="20"/>
          <w:color w:val="auto"/>
        </w:rPr>
      </w:pPr>
      <w:r>
        <w:rPr>
          <w:rFonts w:ascii="Arial" w:cs="Arial" w:eastAsia="Arial" w:hAnsi="Arial"/>
          <w:sz w:val="20"/>
          <w:szCs w:val="20"/>
          <w:color w:val="auto"/>
        </w:rPr>
        <w:t xml:space="preserve">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the Administrative Agent shall be required for an assignment of all or any portion of a Term Loan to a Lender, an Affiliate of a Lender or an Approved Fund.</w:t>
      </w:r>
    </w:p>
    <w:p>
      <w:pPr>
        <w:spacing w:after="0" w:line="175" w:lineRule="exact"/>
        <w:rPr>
          <w:sz w:val="20"/>
          <w:szCs w:val="20"/>
          <w:color w:val="auto"/>
        </w:rPr>
      </w:pPr>
    </w:p>
    <w:p>
      <w:pPr>
        <w:ind w:left="2240" w:hanging="935"/>
        <w:spacing w:after="0"/>
        <w:tabs>
          <w:tab w:leader="none" w:pos="224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3" w:lineRule="exact"/>
        <w:rPr>
          <w:sz w:val="20"/>
          <w:szCs w:val="20"/>
          <w:color w:val="auto"/>
        </w:rPr>
      </w:pPr>
    </w:p>
    <w:p>
      <w:pPr>
        <w:jc w:val="both"/>
        <w:ind w:left="660" w:firstLine="645"/>
        <w:spacing w:after="0" w:line="272" w:lineRule="auto"/>
        <w:tabs>
          <w:tab w:leader="none" w:pos="2281" w:val="left"/>
        </w:tabs>
        <w:numPr>
          <w:ilvl w:val="0"/>
          <w:numId w:val="143"/>
        </w:numPr>
        <w:rPr>
          <w:rFonts w:ascii="Arial" w:cs="Arial" w:eastAsia="Arial" w:hAnsi="Arial"/>
          <w:sz w:val="20"/>
          <w:szCs w:val="20"/>
          <w:color w:val="auto"/>
        </w:rPr>
      </w:pPr>
      <w:r>
        <w:rPr>
          <w:rFonts w:ascii="Arial" w:cs="Arial" w:eastAsia="Arial" w:hAnsi="Arial"/>
          <w:sz w:val="20"/>
          <w:szCs w:val="20"/>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$1,000,000 unless each of the Borrower and the Administrative Agent otherwise consent,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consent of the Borrower shall be required if an Event of Default has occurred and is continuing;</w:t>
      </w:r>
    </w:p>
    <w:p>
      <w:pPr>
        <w:spacing w:after="0" w:line="191" w:lineRule="exact"/>
        <w:rPr>
          <w:rFonts w:ascii="Arial" w:cs="Arial" w:eastAsia="Arial" w:hAnsi="Arial"/>
          <w:sz w:val="20"/>
          <w:szCs w:val="20"/>
          <w:color w:val="auto"/>
        </w:rPr>
      </w:pPr>
    </w:p>
    <w:p>
      <w:pPr>
        <w:jc w:val="both"/>
        <w:ind w:left="660" w:firstLine="645"/>
        <w:spacing w:after="0" w:line="299" w:lineRule="auto"/>
        <w:tabs>
          <w:tab w:leader="none" w:pos="227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420"/>
          </w:cols>
          <w:pgMar w:left="240" w:top="825" w:right="239" w:bottom="1440" w:gutter="0" w:footer="0" w:header="0"/>
        </w:sectPr>
      </w:pPr>
    </w:p>
    <w:bookmarkStart w:id="123" w:name="page124"/>
    <w:bookmarkEnd w:id="123"/>
    <w:p>
      <w:pPr>
        <w:jc w:val="both"/>
        <w:ind w:left="660" w:firstLine="645"/>
        <w:spacing w:after="0" w:line="285" w:lineRule="auto"/>
        <w:tabs>
          <w:tab w:leader="none" w:pos="229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(unless waived by the Administrative Agent), such fee to be paid by either the assigning Lender or the assignee Lender or shared between such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only one such processing and recordation fee shall be payable in the event of simultaneous assignments and delegations from any Lender or its Approved Funds to one or more other Approved Funds of such Lender and (2) with respect to any assignment and delegation pursuant to </w:t>
      </w:r>
      <w:r>
        <w:rPr>
          <w:rFonts w:ascii="Arial" w:cs="Arial" w:eastAsia="Arial" w:hAnsi="Arial"/>
          <w:sz w:val="19"/>
          <w:szCs w:val="19"/>
          <w:u w:val="single" w:color="auto"/>
          <w:color w:val="auto"/>
        </w:rPr>
        <w:t>Section 2.19(b)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9.02(e)</w:t>
      </w:r>
      <w:r>
        <w:rPr>
          <w:rFonts w:ascii="Arial" w:cs="Arial" w:eastAsia="Arial" w:hAnsi="Arial"/>
          <w:sz w:val="19"/>
          <w:szCs w:val="19"/>
          <w:color w:val="auto"/>
        </w:rPr>
        <w:t>, the parties hereto agree that such assignment and delegation may be effected pursuant to an Assignment and Assumption executed by the Borrower and the Administrative Agent and the assignee and that the Lender required to make such assignment and delegation need not be a party thereto;</w:t>
      </w:r>
    </w:p>
    <w:p>
      <w:pPr>
        <w:spacing w:after="0" w:line="187" w:lineRule="exact"/>
        <w:rPr>
          <w:rFonts w:ascii="Arial" w:cs="Arial" w:eastAsia="Arial" w:hAnsi="Arial"/>
          <w:sz w:val="19"/>
          <w:szCs w:val="19"/>
          <w:color w:val="auto"/>
        </w:rPr>
      </w:pPr>
    </w:p>
    <w:p>
      <w:pPr>
        <w:jc w:val="both"/>
        <w:ind w:left="660" w:firstLine="645"/>
        <w:spacing w:after="0" w:line="273" w:lineRule="auto"/>
        <w:tabs>
          <w:tab w:leader="none" w:pos="2281" w:val="left"/>
        </w:tabs>
        <w:numPr>
          <w:ilvl w:val="0"/>
          <w:numId w:val="144"/>
        </w:numPr>
        <w:rPr>
          <w:rFonts w:ascii="Arial" w:cs="Arial" w:eastAsia="Arial" w:hAnsi="Arial"/>
          <w:sz w:val="20"/>
          <w:szCs w:val="20"/>
          <w:color w:val="auto"/>
        </w:rPr>
      </w:pPr>
      <w:r>
        <w:rPr>
          <w:rFonts w:ascii="Arial" w:cs="Arial" w:eastAsia="Arial" w:hAnsi="Arial"/>
          <w:sz w:val="20"/>
          <w:szCs w:val="20"/>
          <w:color w:val="auto"/>
        </w:rPr>
        <w:t>the assignee, if it shall not be a Lender, shall deliver to the Administrative Agent an Administrative Questionnaire in which the assignee designates one or more credit contacts to whom all syndicate-level information (which may contain MNPI about the Company and its affiliates and their Related Parties or their respective securities) will be made available and who may receive such information in accordance with the assignee’s compliance procedures and applicable laws, including Federal and state securities laws; and</w:t>
      </w:r>
    </w:p>
    <w:p>
      <w:pPr>
        <w:spacing w:after="0" w:line="191" w:lineRule="exact"/>
        <w:rPr>
          <w:rFonts w:ascii="Arial" w:cs="Arial" w:eastAsia="Arial" w:hAnsi="Arial"/>
          <w:sz w:val="20"/>
          <w:szCs w:val="20"/>
          <w:color w:val="auto"/>
        </w:rPr>
      </w:pPr>
    </w:p>
    <w:p>
      <w:pPr>
        <w:ind w:left="2300" w:hanging="995"/>
        <w:spacing w:after="0"/>
        <w:tabs>
          <w:tab w:leader="none" w:pos="23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any Loans assigned to the Company or any of its Subsidiaries shall be cancelled immediately upon such</w:t>
      </w:r>
    </w:p>
    <w:p>
      <w:pPr>
        <w:spacing w:after="0" w:line="38"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assignment.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23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means (a) a natural person, (b) a Defaulting Lender or its Lender Parent, (c) a company, investment vehicle or trust for, or owned and operated for the primary benefit of, a natural person or relative(s) thereof or (d) a Disqualified Lender.</w:t>
      </w:r>
    </w:p>
    <w:p>
      <w:pPr>
        <w:spacing w:after="0" w:line="144" w:lineRule="exact"/>
        <w:rPr>
          <w:sz w:val="20"/>
          <w:szCs w:val="20"/>
          <w:color w:val="auto"/>
        </w:rPr>
      </w:pPr>
    </w:p>
    <w:p>
      <w:pPr>
        <w:jc w:val="both"/>
        <w:ind w:left="660" w:firstLine="645"/>
        <w:spacing w:after="0" w:line="286" w:lineRule="auto"/>
        <w:tabs>
          <w:tab w:leader="none" w:pos="233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2" w:lineRule="exact"/>
        <w:rPr>
          <w:sz w:val="20"/>
          <w:szCs w:val="20"/>
          <w:color w:val="auto"/>
        </w:rPr>
      </w:pPr>
    </w:p>
    <w:p>
      <w:pPr>
        <w:ind w:left="5580" w:right="2860" w:hanging="4275"/>
        <w:spacing w:after="0" w:line="697" w:lineRule="auto"/>
        <w:tabs>
          <w:tab w:leader="none" w:pos="214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The Administrative Agent, acting for this purpose as a non-fiduciary agent of the 111</w:t>
      </w:r>
    </w:p>
    <w:p>
      <w:pPr>
        <w:sectPr>
          <w:pgSz w:w="11900" w:h="16838" w:orient="portrait"/>
          <w:cols w:equalWidth="0" w:num="1">
            <w:col w:w="11420"/>
          </w:cols>
          <w:pgMar w:left="240" w:top="825" w:right="239" w:bottom="1440" w:gutter="0" w:footer="0" w:header="0"/>
        </w:sectPr>
      </w:pPr>
    </w:p>
    <w:bookmarkStart w:id="124" w:name="page125"/>
    <w:bookmarkEnd w:id="124"/>
    <w:p>
      <w:pPr>
        <w:jc w:val="both"/>
        <w:ind w:left="660"/>
        <w:spacing w:after="0" w:line="352" w:lineRule="auto"/>
        <w:rPr>
          <w:sz w:val="20"/>
          <w:szCs w:val="20"/>
          <w:color w:val="auto"/>
        </w:rPr>
      </w:pPr>
      <w:r>
        <w:rPr>
          <w:rFonts w:ascii="Arial" w:cs="Arial" w:eastAsia="Arial" w:hAnsi="Arial"/>
          <w:sz w:val="16"/>
          <w:szCs w:val="16"/>
          <w:color w:val="auto"/>
        </w:rPr>
        <w:t>Borrower, shall maintain at one of its offices a copy of each Assignment and Assumption delivered to it and a register for the recordation of the names and addresses of the Lenders, and the Commitment of, and principal amount (and stated interest) of the Loans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Borrower,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83" w:lineRule="exact"/>
        <w:rPr>
          <w:sz w:val="20"/>
          <w:szCs w:val="20"/>
          <w:color w:val="auto"/>
        </w:rPr>
      </w:pPr>
    </w:p>
    <w:p>
      <w:pPr>
        <w:jc w:val="both"/>
        <w:ind w:left="660" w:firstLine="645"/>
        <w:spacing w:after="0" w:line="285" w:lineRule="auto"/>
        <w:tabs>
          <w:tab w:leader="none" w:pos="219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either the assigning Lender or the assignee shall have failed to make any payment required to be made by it pursuant to Section 2.18(d)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31" w:lineRule="exact"/>
        <w:rPr>
          <w:sz w:val="20"/>
          <w:szCs w:val="20"/>
          <w:color w:val="auto"/>
        </w:rPr>
      </w:pPr>
    </w:p>
    <w:p>
      <w:pPr>
        <w:jc w:val="both"/>
        <w:ind w:firstLine="1305"/>
        <w:spacing w:after="0" w:line="283" w:lineRule="auto"/>
        <w:tabs>
          <w:tab w:leader="none" w:pos="222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Lender may, without the consent of the Borrower or the Administrative Agent, sell participations to one or more banks or other entities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Company,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described in the first proviso to Section 9.02(b) that affects such Participant. Each Lender that sells a participation agrees, at the Borrower’s request and expense, to use reasonable efforts to cooperate with the Borrower to effectuate the provisions of Section 2.19 with respect to any Participant. The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420"/>
          </w:cols>
          <w:pgMar w:left="240" w:top="825" w:right="239" w:bottom="1440" w:gutter="0" w:footer="0" w:header="0"/>
        </w:sectPr>
      </w:pPr>
    </w:p>
    <w:bookmarkStart w:id="125" w:name="page126"/>
    <w:bookmarkEnd w:id="125"/>
    <w:p>
      <w:pPr>
        <w:jc w:val="both"/>
        <w:spacing w:after="0" w:line="303" w:lineRule="auto"/>
        <w:rPr>
          <w:sz w:val="20"/>
          <w:szCs w:val="20"/>
          <w:color w:val="auto"/>
        </w:rPr>
      </w:pPr>
      <w:r>
        <w:rPr>
          <w:rFonts w:ascii="Arial" w:cs="Arial" w:eastAsia="Arial" w:hAnsi="Arial"/>
          <w:sz w:val="18"/>
          <w:szCs w:val="18"/>
          <w:color w:val="auto"/>
        </w:rPr>
        <w:t>Section 2.18(c)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15" w:lineRule="exact"/>
        <w:rPr>
          <w:sz w:val="20"/>
          <w:szCs w:val="20"/>
          <w:color w:val="auto"/>
        </w:rPr>
      </w:pPr>
    </w:p>
    <w:p>
      <w:pPr>
        <w:jc w:val="both"/>
        <w:ind w:firstLine="656"/>
        <w:spacing w:after="0" w:line="273" w:lineRule="auto"/>
        <w:tabs>
          <w:tab w:leader="none" w:pos="152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pledge or assignment of a security interest shall release a Lender from any of its obligations hereunder or substitute any such pledgee or assignee for such Lender as a party hereto.</w:t>
      </w:r>
    </w:p>
    <w:p>
      <w:pPr>
        <w:spacing w:after="0" w:line="137" w:lineRule="exact"/>
        <w:rPr>
          <w:rFonts w:ascii="Arial" w:cs="Arial" w:eastAsia="Arial" w:hAnsi="Arial"/>
          <w:sz w:val="20"/>
          <w:szCs w:val="20"/>
          <w:color w:val="auto"/>
        </w:rPr>
      </w:pPr>
    </w:p>
    <w:p>
      <w:pPr>
        <w:ind w:left="1520" w:hanging="864"/>
        <w:spacing w:after="0"/>
        <w:tabs>
          <w:tab w:leader="none" w:pos="1520" w:val="left"/>
        </w:tabs>
        <w:numPr>
          <w:ilvl w:val="0"/>
          <w:numId w:val="149"/>
        </w:numPr>
        <w:rPr>
          <w:rFonts w:ascii="Arial" w:cs="Arial" w:eastAsia="Arial" w:hAnsi="Arial"/>
          <w:sz w:val="20"/>
          <w:szCs w:val="20"/>
          <w:color w:val="auto"/>
        </w:rPr>
      </w:pPr>
      <w:r>
        <w:rPr>
          <w:rFonts w:ascii="Arial" w:cs="Arial" w:eastAsia="Arial" w:hAnsi="Arial"/>
          <w:sz w:val="20"/>
          <w:szCs w:val="20"/>
          <w:u w:val="single" w:color="auto"/>
          <w:color w:val="auto"/>
        </w:rPr>
        <w:t>Disqualified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660" w:firstLine="1293"/>
        <w:spacing w:after="0" w:line="303" w:lineRule="auto"/>
        <w:tabs>
          <w:tab w:leader="none" w:pos="285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No assignment or participation shall be made to any Person that was a Disqualified Lender as of the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written supplement to the list of “Disqualified Lenders” referred to in, the definition of “Disqualified Lender”),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Lender. Any assignment or participation in violation of this </w:t>
      </w:r>
      <w:r>
        <w:rPr>
          <w:rFonts w:ascii="Arial" w:cs="Arial" w:eastAsia="Arial" w:hAnsi="Arial"/>
          <w:sz w:val="18"/>
          <w:szCs w:val="18"/>
          <w:u w:val="single" w:color="auto"/>
          <w:color w:val="auto"/>
        </w:rPr>
        <w:t>clause (e)(i)</w:t>
      </w:r>
      <w:r>
        <w:rPr>
          <w:rFonts w:ascii="Arial" w:cs="Arial" w:eastAsia="Arial" w:hAnsi="Arial"/>
          <w:sz w:val="18"/>
          <w:szCs w:val="18"/>
          <w:color w:val="auto"/>
        </w:rPr>
        <w:t xml:space="preserve"> shall not be void, but the other provisions of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apply.</w:t>
      </w:r>
    </w:p>
    <w:p>
      <w:pPr>
        <w:spacing w:after="0" w:line="114" w:lineRule="exact"/>
        <w:rPr>
          <w:rFonts w:ascii="Arial" w:cs="Arial" w:eastAsia="Arial" w:hAnsi="Arial"/>
          <w:sz w:val="18"/>
          <w:szCs w:val="18"/>
          <w:color w:val="auto"/>
        </w:rPr>
      </w:pPr>
    </w:p>
    <w:p>
      <w:pPr>
        <w:jc w:val="both"/>
        <w:ind w:left="660" w:firstLine="1293"/>
        <w:spacing w:after="0" w:line="305" w:lineRule="auto"/>
        <w:tabs>
          <w:tab w:leader="none" w:pos="2896"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If any assignment or participation is made to any Disqualified Lender without the Borrower’s prior written consent in violation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if any Person becomes a Disqualified Lender after the applicable Trade Date, the Borrower may, at its sole expense and effort, upon notice to the applicable Disqualified Lender and the Administrative Agent, require such Disqualified Lender to assign, without recourse (in accordance with and subject to the restrictions contained in this </w:t>
      </w:r>
      <w:r>
        <w:rPr>
          <w:rFonts w:ascii="Arial" w:cs="Arial" w:eastAsia="Arial" w:hAnsi="Arial"/>
          <w:sz w:val="18"/>
          <w:szCs w:val="18"/>
          <w:u w:val="single" w:color="auto"/>
          <w:color w:val="auto"/>
        </w:rPr>
        <w:t>Section 9.04</w:t>
      </w:r>
      <w:r>
        <w:rPr>
          <w:rFonts w:ascii="Arial" w:cs="Arial" w:eastAsia="Arial" w:hAnsi="Arial"/>
          <w:sz w:val="18"/>
          <w:szCs w:val="18"/>
          <w:color w:val="auto"/>
        </w:rPr>
        <w:t>),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16" w:lineRule="exact"/>
        <w:rPr>
          <w:rFonts w:ascii="Arial" w:cs="Arial" w:eastAsia="Arial" w:hAnsi="Arial"/>
          <w:sz w:val="18"/>
          <w:szCs w:val="18"/>
          <w:color w:val="auto"/>
        </w:rPr>
      </w:pPr>
    </w:p>
    <w:p>
      <w:pPr>
        <w:ind w:left="660" w:right="20" w:firstLine="1293"/>
        <w:spacing w:after="0" w:line="289" w:lineRule="auto"/>
        <w:tabs>
          <w:tab w:leader="none" w:pos="2951" w:val="left"/>
        </w:tabs>
        <w:numPr>
          <w:ilvl w:val="1"/>
          <w:numId w:val="149"/>
        </w:numPr>
        <w:rPr>
          <w:rFonts w:ascii="Arial" w:cs="Arial" w:eastAsia="Arial" w:hAnsi="Arial"/>
          <w:sz w:val="20"/>
          <w:szCs w:val="20"/>
          <w:color w:val="auto"/>
        </w:rPr>
      </w:pPr>
      <w:r>
        <w:rPr>
          <w:rFonts w:ascii="Arial" w:cs="Arial" w:eastAsia="Arial" w:hAnsi="Arial"/>
          <w:sz w:val="20"/>
          <w:szCs w:val="20"/>
          <w:color w:val="auto"/>
        </w:rPr>
        <w:t>Notwithstanding anything to the contrary contained in this Agreement, Disqualified Lenders to whom an assignment or participation is made in violation of clause (i) above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20"/>
          </w:cols>
          <w:pgMar w:left="240" w:top="825" w:right="239" w:bottom="1440" w:gutter="0" w:footer="0" w:header="0"/>
        </w:sectPr>
      </w:pPr>
    </w:p>
    <w:bookmarkStart w:id="126" w:name="page127"/>
    <w:bookmarkEnd w:id="126"/>
    <w:p>
      <w:pPr>
        <w:jc w:val="both"/>
        <w:ind w:left="4" w:hanging="4"/>
        <w:spacing w:after="0" w:line="305" w:lineRule="auto"/>
        <w:tabs>
          <w:tab w:leader="none" w:pos="32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will not have the right to (x) receive information, reports or other materials provided to Lenders by the Company,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w:t>
      </w:r>
    </w:p>
    <w:p>
      <w:pPr>
        <w:spacing w:after="0" w:line="116" w:lineRule="exact"/>
        <w:rPr>
          <w:rFonts w:ascii="Arial" w:cs="Arial" w:eastAsia="Arial" w:hAnsi="Arial"/>
          <w:sz w:val="18"/>
          <w:szCs w:val="18"/>
          <w:color w:val="auto"/>
        </w:rPr>
      </w:pPr>
    </w:p>
    <w:p>
      <w:pPr>
        <w:jc w:val="both"/>
        <w:ind w:left="4" w:firstLine="1293"/>
        <w:spacing w:after="0" w:line="297" w:lineRule="auto"/>
        <w:tabs>
          <w:tab w:leader="none" w:pos="23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Company hereby expressly authorizes the Administrative Agent, to (A) post the list of Disqualified Lenders provided by the Company and any updates thereto from time to time (collectively, the “</w:t>
      </w:r>
      <w:r>
        <w:rPr>
          <w:rFonts w:ascii="Arial" w:cs="Arial" w:eastAsia="Arial" w:hAnsi="Arial"/>
          <w:sz w:val="18"/>
          <w:szCs w:val="18"/>
          <w:u w:val="single" w:color="auto"/>
          <w:color w:val="auto"/>
        </w:rPr>
        <w:t>DQ List</w:t>
      </w:r>
      <w:r>
        <w:rPr>
          <w:rFonts w:ascii="Arial" w:cs="Arial" w:eastAsia="Arial" w:hAnsi="Arial"/>
          <w:sz w:val="18"/>
          <w:szCs w:val="18"/>
          <w:color w:val="auto"/>
        </w:rPr>
        <w:t>”) on a Platform, including that portion of such Platform that is designated for “public side” Lenders and/or</w:t>
      </w:r>
    </w:p>
    <w:p>
      <w:pPr>
        <w:spacing w:after="0" w:line="1" w:lineRule="exact"/>
        <w:rPr>
          <w:rFonts w:ascii="Arial" w:cs="Arial" w:eastAsia="Arial" w:hAnsi="Arial"/>
          <w:sz w:val="18"/>
          <w:szCs w:val="18"/>
          <w:color w:val="auto"/>
        </w:rPr>
      </w:pPr>
    </w:p>
    <w:p>
      <w:pPr>
        <w:ind w:left="304" w:hanging="304"/>
        <w:spacing w:after="0"/>
        <w:tabs>
          <w:tab w:leader="none" w:pos="30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provide the DQ List to each Lender or potential Lender requesting the same.</w:t>
      </w:r>
    </w:p>
    <w:p>
      <w:pPr>
        <w:spacing w:after="0" w:line="242" w:lineRule="exact"/>
        <w:rPr>
          <w:rFonts w:ascii="Arial" w:cs="Arial" w:eastAsia="Arial" w:hAnsi="Arial"/>
          <w:sz w:val="20"/>
          <w:szCs w:val="20"/>
          <w:color w:val="auto"/>
        </w:rPr>
      </w:pPr>
    </w:p>
    <w:p>
      <w:pPr>
        <w:jc w:val="both"/>
        <w:ind w:left="4" w:firstLine="1293"/>
        <w:spacing w:after="0" w:line="272" w:lineRule="auto"/>
        <w:tabs>
          <w:tab w:leader="none" w:pos="2242" w:val="left"/>
        </w:tabs>
        <w:numPr>
          <w:ilvl w:val="1"/>
          <w:numId w:val="151"/>
        </w:numPr>
        <w:rPr>
          <w:rFonts w:ascii="Arial" w:cs="Arial" w:eastAsia="Arial" w:hAnsi="Arial"/>
          <w:sz w:val="20"/>
          <w:szCs w:val="20"/>
          <w:color w:val="auto"/>
        </w:rPr>
      </w:pPr>
      <w:r>
        <w:rPr>
          <w:rFonts w:ascii="Arial" w:cs="Arial" w:eastAsia="Arial" w:hAnsi="Arial"/>
          <w:sz w:val="20"/>
          <w:szCs w:val="20"/>
          <w:color w:val="auto"/>
        </w:rPr>
        <w:t>The Administrative Agent and the Lenders shall not be responsible or have 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spacing w:after="0" w:line="192" w:lineRule="exact"/>
        <w:rPr>
          <w:sz w:val="20"/>
          <w:szCs w:val="20"/>
          <w:color w:val="auto"/>
        </w:rPr>
      </w:pPr>
    </w:p>
    <w:p>
      <w:pPr>
        <w:ind w:left="884" w:hanging="884"/>
        <w:spacing w:after="0"/>
        <w:tabs>
          <w:tab w:leader="none" w:pos="884"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Purchasing Borrower Parties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4" w:firstLine="645"/>
        <w:spacing w:after="0" w:line="274" w:lineRule="auto"/>
        <w:tabs>
          <w:tab w:leader="none" w:pos="1487" w:val="left"/>
        </w:tabs>
        <w:numPr>
          <w:ilvl w:val="1"/>
          <w:numId w:val="152"/>
        </w:numPr>
        <w:rPr>
          <w:rFonts w:ascii="Arial" w:cs="Arial" w:eastAsia="Arial" w:hAnsi="Arial"/>
          <w:sz w:val="20"/>
          <w:szCs w:val="20"/>
          <w:color w:val="auto"/>
        </w:rPr>
      </w:pPr>
      <w:r>
        <w:rPr>
          <w:rFonts w:ascii="Arial" w:cs="Arial" w:eastAsia="Arial" w:hAnsi="Arial"/>
          <w:sz w:val="20"/>
          <w:szCs w:val="20"/>
          <w:color w:val="auto"/>
        </w:rPr>
        <w:t>Notwithstanding anything else to the contrary contained in this Agreement, any Lender may assign all or a portion of its Term Loans to the Company or any Subsidiary (each, a “</w:t>
      </w:r>
      <w:r>
        <w:rPr>
          <w:rFonts w:ascii="Arial" w:cs="Arial" w:eastAsia="Arial" w:hAnsi="Arial"/>
          <w:sz w:val="20"/>
          <w:szCs w:val="20"/>
          <w:u w:val="single" w:color="auto"/>
          <w:color w:val="auto"/>
        </w:rPr>
        <w:t>Purchasing Borrower Party</w:t>
      </w:r>
      <w:r>
        <w:rPr>
          <w:rFonts w:ascii="Arial" w:cs="Arial" w:eastAsia="Arial" w:hAnsi="Arial"/>
          <w:sz w:val="20"/>
          <w:szCs w:val="20"/>
          <w:color w:val="auto"/>
        </w:rPr>
        <w:t xml:space="preserve">”) in accordance with this Section 9.04(f) (which assignment will not constitute a prepayment of Loans for any purposes of this Agreement and the other Loan Documents);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w:t>
      </w:r>
    </w:p>
    <w:p>
      <w:pPr>
        <w:spacing w:after="0" w:line="179" w:lineRule="exact"/>
        <w:rPr>
          <w:sz w:val="20"/>
          <w:szCs w:val="20"/>
          <w:color w:val="auto"/>
        </w:rPr>
      </w:pPr>
    </w:p>
    <w:p>
      <w:pPr>
        <w:ind w:left="964" w:hanging="315"/>
        <w:spacing w:after="0"/>
        <w:tabs>
          <w:tab w:leader="none" w:pos="96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no Default or Event of Default has occurred or is continuing or would result therefrom;</w:t>
      </w:r>
    </w:p>
    <w:p>
      <w:pPr>
        <w:spacing w:after="0" w:line="215" w:lineRule="exact"/>
        <w:rPr>
          <w:rFonts w:ascii="Arial" w:cs="Arial" w:eastAsia="Arial" w:hAnsi="Arial"/>
          <w:sz w:val="20"/>
          <w:szCs w:val="20"/>
          <w:color w:val="auto"/>
        </w:rPr>
      </w:pPr>
    </w:p>
    <w:p>
      <w:pPr>
        <w:ind w:left="644" w:firstLine="5"/>
        <w:spacing w:after="0" w:line="260" w:lineRule="auto"/>
        <w:tabs>
          <w:tab w:leader="none" w:pos="97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each Auction Purchase Offer shall be conducted in accordance with the procedures, terms and conditions set forth in this Section 9.04(f) and the Auction Procedures;</w:t>
      </w:r>
    </w:p>
    <w:p>
      <w:pPr>
        <w:spacing w:after="0" w:line="176" w:lineRule="exact"/>
        <w:rPr>
          <w:rFonts w:ascii="Arial" w:cs="Arial" w:eastAsia="Arial" w:hAnsi="Arial"/>
          <w:sz w:val="20"/>
          <w:szCs w:val="20"/>
          <w:color w:val="auto"/>
        </w:rPr>
      </w:pPr>
    </w:p>
    <w:p>
      <w:pPr>
        <w:jc w:val="both"/>
        <w:ind w:left="644" w:firstLine="5"/>
        <w:spacing w:after="0" w:line="250" w:lineRule="auto"/>
        <w:tabs>
          <w:tab w:leader="none" w:pos="97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 xml:space="preserve">the assigning Lender and Purchasing Borrower Party purchasing such Lender’s Term Loans, as applicable, shall execute and deliver to the Administrative Agent an assignment agreement substantially in the form of </w:t>
      </w:r>
      <w:r>
        <w:rPr>
          <w:rFonts w:ascii="Arial" w:cs="Arial" w:eastAsia="Arial" w:hAnsi="Arial"/>
          <w:sz w:val="20"/>
          <w:szCs w:val="20"/>
          <w:u w:val="single" w:color="auto"/>
          <w:color w:val="auto"/>
        </w:rPr>
        <w:t>Exhibit F-2</w:t>
      </w:r>
      <w:r>
        <w:rPr>
          <w:rFonts w:ascii="Arial" w:cs="Arial" w:eastAsia="Arial" w:hAnsi="Arial"/>
          <w:sz w:val="20"/>
          <w:szCs w:val="20"/>
          <w:color w:val="auto"/>
        </w:rPr>
        <w:t xml:space="preserve"> hereto (an “</w:t>
      </w:r>
      <w:r>
        <w:rPr>
          <w:rFonts w:ascii="Arial" w:cs="Arial" w:eastAsia="Arial" w:hAnsi="Arial"/>
          <w:sz w:val="20"/>
          <w:szCs w:val="20"/>
          <w:u w:val="single" w:color="auto"/>
          <w:color w:val="auto"/>
        </w:rPr>
        <w:t>Affiliated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Lender Assignment and Assumption</w:t>
      </w:r>
      <w:r>
        <w:rPr>
          <w:rFonts w:ascii="Arial" w:cs="Arial" w:eastAsia="Arial" w:hAnsi="Arial"/>
          <w:sz w:val="20"/>
          <w:szCs w:val="20"/>
          <w:color w:val="auto"/>
        </w:rPr>
        <w:t>”) in lieu of an Assignment and Assumption;</w:t>
      </w:r>
    </w:p>
    <w:p>
      <w:pPr>
        <w:spacing w:after="0" w:line="186" w:lineRule="exact"/>
        <w:rPr>
          <w:rFonts w:ascii="Arial" w:cs="Arial" w:eastAsia="Arial" w:hAnsi="Arial"/>
          <w:sz w:val="20"/>
          <w:szCs w:val="20"/>
          <w:color w:val="auto"/>
        </w:rPr>
      </w:pPr>
    </w:p>
    <w:p>
      <w:pPr>
        <w:jc w:val="both"/>
        <w:ind w:left="644" w:firstLine="5"/>
        <w:spacing w:after="0" w:line="243" w:lineRule="auto"/>
        <w:tabs>
          <w:tab w:leader="none" w:pos="98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any Term Loans assigned to any Purchasing Borrower Party shall, without further action by any Person, be immediately deemed permanently cancelled for all purposes and no longer outstanding (and may not be resold by any Purchasing Borrower Party), and the principal amount of the Term Loans so assigned shall be applied on a pro rata basis to reduce the scheduled remaining installments of principal on such Class of Term Loans, it being understood and agreed that any gains or losses by any Purchasing Borrower Party upon purchase or acquisition and cancellation of such Term Loans shall not be taken into account</w:t>
      </w:r>
    </w:p>
    <w:p>
      <w:pPr>
        <w:spacing w:after="0" w:line="200" w:lineRule="exact"/>
        <w:rPr>
          <w:sz w:val="20"/>
          <w:szCs w:val="20"/>
          <w:color w:val="auto"/>
        </w:rPr>
      </w:pPr>
    </w:p>
    <w:p>
      <w:pPr>
        <w:spacing w:after="0" w:line="240"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0764"/>
          </w:cols>
          <w:pgMar w:left="896" w:top="825" w:right="239" w:bottom="1440" w:gutter="0" w:footer="0" w:header="0"/>
        </w:sectPr>
      </w:pPr>
    </w:p>
    <w:bookmarkStart w:id="127" w:name="page128"/>
    <w:bookmarkEnd w:id="127"/>
    <w:p>
      <w:pPr>
        <w:ind w:left="1300"/>
        <w:spacing w:after="0"/>
        <w:rPr>
          <w:sz w:val="20"/>
          <w:szCs w:val="20"/>
          <w:color w:val="auto"/>
        </w:rPr>
      </w:pPr>
      <w:r>
        <w:rPr>
          <w:rFonts w:ascii="Arial" w:cs="Arial" w:eastAsia="Arial" w:hAnsi="Arial"/>
          <w:sz w:val="20"/>
          <w:szCs w:val="20"/>
          <w:color w:val="auto"/>
        </w:rPr>
        <w:t>in the calculation of Excess Cash Flow, Consolidated Net Income or Consolidated EBITDA;</w:t>
      </w:r>
    </w:p>
    <w:p>
      <w:pPr>
        <w:spacing w:after="0" w:line="216" w:lineRule="exact"/>
        <w:rPr>
          <w:sz w:val="20"/>
          <w:szCs w:val="20"/>
          <w:color w:val="auto"/>
        </w:rPr>
      </w:pPr>
    </w:p>
    <w:p>
      <w:pPr>
        <w:ind w:left="1600" w:hanging="295"/>
        <w:spacing w:after="0"/>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 no event shall any Purchasing Borrower Party be entitled to vote hereunder in connection with the assigned Term Loans;</w:t>
      </w:r>
    </w:p>
    <w:p>
      <w:pPr>
        <w:spacing w:after="0" w:line="238" w:lineRule="exact"/>
        <w:rPr>
          <w:rFonts w:ascii="Arial" w:cs="Arial" w:eastAsia="Arial" w:hAnsi="Arial"/>
          <w:sz w:val="18"/>
          <w:szCs w:val="18"/>
          <w:color w:val="auto"/>
        </w:rPr>
      </w:pPr>
    </w:p>
    <w:p>
      <w:pPr>
        <w:ind w:left="1600" w:hanging="295"/>
        <w:spacing w:after="0"/>
        <w:tabs>
          <w:tab w:leader="none" w:pos="16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 more than one (1) Auction Purchase Offer with respect to any Class may be ongoing at any one time, no more than four</w:t>
      </w:r>
    </w:p>
    <w:p>
      <w:pPr>
        <w:spacing w:after="0" w:line="38" w:lineRule="exact"/>
        <w:rPr>
          <w:rFonts w:ascii="Arial" w:cs="Arial" w:eastAsia="Arial" w:hAnsi="Arial"/>
          <w:sz w:val="18"/>
          <w:szCs w:val="18"/>
          <w:color w:val="auto"/>
        </w:rPr>
      </w:pPr>
    </w:p>
    <w:p>
      <w:pPr>
        <w:ind w:left="1300" w:right="20"/>
        <w:spacing w:after="0" w:line="269" w:lineRule="auto"/>
        <w:rPr>
          <w:rFonts w:ascii="Arial" w:cs="Arial" w:eastAsia="Arial" w:hAnsi="Arial"/>
          <w:sz w:val="18"/>
          <w:szCs w:val="18"/>
          <w:color w:val="auto"/>
        </w:rPr>
      </w:pPr>
      <w:r>
        <w:rPr>
          <w:rFonts w:ascii="Arial" w:cs="Arial" w:eastAsia="Arial" w:hAnsi="Arial"/>
          <w:sz w:val="19"/>
          <w:szCs w:val="19"/>
          <w:color w:val="auto"/>
        </w:rPr>
        <w:t>(4) Auction Purchase Offers (regardless of Class) may be made in any one year and any Auction Purchase Offer with respect to any Class shall be offered to all Term Lenders holding Term Loans of such Class on a pro rata basis; and</w:t>
      </w:r>
    </w:p>
    <w:p>
      <w:pPr>
        <w:spacing w:after="0" w:line="169" w:lineRule="exact"/>
        <w:rPr>
          <w:rFonts w:ascii="Arial" w:cs="Arial" w:eastAsia="Arial" w:hAnsi="Arial"/>
          <w:sz w:val="18"/>
          <w:szCs w:val="18"/>
          <w:color w:val="auto"/>
        </w:rPr>
      </w:pPr>
    </w:p>
    <w:p>
      <w:pPr>
        <w:jc w:val="both"/>
        <w:ind w:left="1300" w:firstLine="5"/>
        <w:spacing w:after="0" w:line="244" w:lineRule="auto"/>
        <w:tabs>
          <w:tab w:leader="none" w:pos="1651" w:val="left"/>
        </w:tabs>
        <w:numPr>
          <w:ilvl w:val="0"/>
          <w:numId w:val="154"/>
        </w:numPr>
        <w:rPr>
          <w:rFonts w:ascii="Arial" w:cs="Arial" w:eastAsia="Arial" w:hAnsi="Arial"/>
          <w:sz w:val="20"/>
          <w:szCs w:val="20"/>
          <w:color w:val="auto"/>
        </w:rPr>
      </w:pPr>
      <w:r>
        <w:rPr>
          <w:rFonts w:ascii="Arial" w:cs="Arial" w:eastAsia="Arial" w:hAnsi="Arial"/>
          <w:sz w:val="20"/>
          <w:szCs w:val="20"/>
          <w:color w:val="auto"/>
        </w:rPr>
        <w:t>the Purchasing Borrower Party shall not have any MNPI with respect to any Loan Parties that either (a) has not been disclosed to the Lenders (other than Lenders that do not wish to receive MNPI with respect to any of the Loan Parties) on or prior to the date of any initiation of an Auction by such Purchasing Borrower Party or (b) if not disclosed to the Lenders, could reasonably be expected to have a material effect upon, or otherwise be material to, (x) a Lender’s decision to participate in any such Auction or (y) the market price of the Term Loans.</w:t>
      </w:r>
    </w:p>
    <w:p>
      <w:pPr>
        <w:spacing w:after="0" w:line="208" w:lineRule="exact"/>
        <w:rPr>
          <w:sz w:val="20"/>
          <w:szCs w:val="20"/>
          <w:color w:val="auto"/>
        </w:rPr>
      </w:pPr>
    </w:p>
    <w:p>
      <w:pPr>
        <w:jc w:val="both"/>
        <w:ind w:left="660" w:firstLine="645"/>
        <w:spacing w:after="0" w:line="274" w:lineRule="auto"/>
        <w:tabs>
          <w:tab w:leader="none" w:pos="2198" w:val="left"/>
        </w:tabs>
        <w:numPr>
          <w:ilvl w:val="1"/>
          <w:numId w:val="155"/>
        </w:numPr>
        <w:rPr>
          <w:rFonts w:ascii="Arial" w:cs="Arial" w:eastAsia="Arial" w:hAnsi="Arial"/>
          <w:sz w:val="20"/>
          <w:szCs w:val="20"/>
          <w:color w:val="auto"/>
        </w:rPr>
      </w:pPr>
      <w:r>
        <w:rPr>
          <w:rFonts w:ascii="Arial" w:cs="Arial" w:eastAsia="Arial" w:hAnsi="Arial"/>
          <w:sz w:val="20"/>
          <w:szCs w:val="20"/>
          <w:color w:val="auto"/>
        </w:rPr>
        <w:t>In connection with any Term Loans assigned and cancelled pursuant to this Section 9.04(f), the Administrative Agent is authorized to make appropriate entries in the Register to reflect any such cancellation. Any payment made by any Purchasing Borrower Party in connection with an assignment permitted by this Section 9.04(f) shall not be subject to any of the pro rata payment or sharing requirements of this Agreement.</w:t>
      </w:r>
    </w:p>
    <w:p>
      <w:pPr>
        <w:spacing w:after="0" w:line="192" w:lineRule="exact"/>
        <w:rPr>
          <w:rFonts w:ascii="Arial" w:cs="Arial" w:eastAsia="Arial" w:hAnsi="Arial"/>
          <w:sz w:val="20"/>
          <w:szCs w:val="20"/>
          <w:color w:val="auto"/>
        </w:rPr>
      </w:pPr>
    </w:p>
    <w:p>
      <w:pPr>
        <w:ind w:left="2240" w:hanging="935"/>
        <w:spacing w:after="0"/>
        <w:tabs>
          <w:tab w:leader="none" w:pos="224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Purchasing Borrower Party shall have any right to</w:t>
      </w:r>
    </w:p>
    <w:p>
      <w:pPr>
        <w:spacing w:after="0" w:line="49" w:lineRule="exact"/>
        <w:rPr>
          <w:rFonts w:ascii="Arial" w:cs="Arial" w:eastAsia="Arial" w:hAnsi="Arial"/>
          <w:sz w:val="18"/>
          <w:szCs w:val="18"/>
          <w:color w:val="auto"/>
        </w:rPr>
      </w:pPr>
    </w:p>
    <w:p>
      <w:pPr>
        <w:jc w:val="both"/>
        <w:ind w:left="660" w:hanging="4"/>
        <w:spacing w:after="0" w:line="288" w:lineRule="auto"/>
        <w:tabs>
          <w:tab w:leader="none" w:pos="994"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attend (including by telephone) any meeting or discussions (or portion thereof) among the Administrative Agent or any Lender to which representatives of the Company and its Subsidiaries are not invited, (B) receive any information or material prepared by the Administrative Agent or any Lender or any communication by or among the Administrative Agent and/or one or more Lenders, except to the extent such information or materials have been made available to the Company, any Subsidiary or their respective representatives or (C) make or bring any claim, in its capacity as a Lender, against the Administrative Agent with respect to any duties or obligations or alleged duties or obligations of such agent under the Loan Documents.</w:t>
      </w:r>
    </w:p>
    <w:p>
      <w:pPr>
        <w:spacing w:after="0" w:line="18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or any Lender may have had notice or knowledge of any Default or incorrect representation or warranty at the time any credit is extended hereunder, and shall continue in full force and effect until the Final Release Conditions have been satisfied.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74"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8"/>
          <w:szCs w:val="18"/>
          <w:u w:val="single" w:color="auto"/>
          <w:color w:val="auto"/>
        </w:rPr>
        <w:t xml:space="preserve">Counterparts; Integration; Effectiveness; Electronic Execution. </w:t>
      </w:r>
      <w:r>
        <w:rPr>
          <w:rFonts w:ascii="Arial" w:cs="Arial" w:eastAsia="Arial" w:hAnsi="Arial"/>
          <w:sz w:val="18"/>
          <w:szCs w:val="18"/>
          <w:color w:val="auto"/>
        </w:rPr>
        <w:t>This Agreement may be executed in</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counterparts (and by different parties hereto on different counterparts), each of which shall constitute an original, but all of which when taken together shall constitute a single contract. This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420"/>
          </w:cols>
          <w:pgMar w:left="240" w:top="811" w:right="239" w:bottom="1440" w:gutter="0" w:footer="0" w:header="0"/>
        </w:sectPr>
      </w:pPr>
    </w:p>
    <w:bookmarkStart w:id="128" w:name="page129"/>
    <w:bookmarkEnd w:id="128"/>
    <w:p>
      <w:pPr>
        <w:jc w:val="both"/>
        <w:spacing w:after="0" w:line="257" w:lineRule="exact"/>
        <w:rPr>
          <w:sz w:val="20"/>
          <w:szCs w:val="20"/>
          <w:color w:val="auto"/>
        </w:rPr>
      </w:pPr>
      <w:r>
        <w:rPr>
          <w:rFonts w:ascii="Arial" w:cs="Arial" w:eastAsia="Arial" w:hAnsi="Arial"/>
          <w:sz w:val="18"/>
          <w:szCs w:val="18"/>
          <w:color w:val="auto"/>
        </w:rPr>
        <w:t>Agreement, the other Loan Documents, the Arranger Fee Letter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w:t>
      </w:r>
      <w:r>
        <w:rPr>
          <w:rFonts w:ascii="MS PGothic" w:cs="MS PGothic" w:eastAsia="MS PGothic" w:hAnsi="MS PGothic"/>
          <w:sz w:val="18"/>
          <w:szCs w:val="18"/>
          <w:color w:val="auto"/>
        </w:rPr>
        <w:t>‑</w:t>
      </w:r>
      <w:r>
        <w:rPr>
          <w:rFonts w:ascii="Arial" w:cs="Arial" w:eastAsia="Arial" w:hAnsi="Arial"/>
          <w:sz w:val="18"/>
          <w:szCs w:val="18"/>
          <w:color w:val="auto"/>
        </w:rPr>
        <w:t>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2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the Borrower or any other Loan Party against any of and all of the Secured Obligations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w:t>
      </w:r>
    </w:p>
    <w:p>
      <w:pPr>
        <w:spacing w:after="0" w:line="183" w:lineRule="exact"/>
        <w:rPr>
          <w:sz w:val="20"/>
          <w:szCs w:val="20"/>
          <w:color w:val="auto"/>
        </w:rPr>
      </w:pPr>
    </w:p>
    <w:p>
      <w:pPr>
        <w:ind w:left="660"/>
        <w:spacing w:after="0"/>
        <w:tabs>
          <w:tab w:leader="none" w:pos="3180" w:val="left"/>
        </w:tabs>
        <w:rPr>
          <w:sz w:val="20"/>
          <w:szCs w:val="20"/>
          <w:color w:val="auto"/>
        </w:rPr>
      </w:pPr>
      <w:r>
        <w:rPr>
          <w:rFonts w:ascii="Arial" w:cs="Arial" w:eastAsia="Arial" w:hAnsi="Arial"/>
          <w:sz w:val="20"/>
          <w:szCs w:val="20"/>
          <w:color w:val="auto"/>
        </w:rPr>
        <w:t>SECTION 9.09</w:t>
      </w:r>
      <w:r>
        <w:rPr>
          <w:sz w:val="20"/>
          <w:szCs w:val="20"/>
          <w:color w:val="auto"/>
        </w:rPr>
        <w:tab/>
      </w:r>
      <w:r>
        <w:rPr>
          <w:rFonts w:ascii="Arial" w:cs="Arial" w:eastAsia="Arial" w:hAnsi="Arial"/>
          <w:sz w:val="18"/>
          <w:szCs w:val="18"/>
          <w:u w:val="single" w:color="auto"/>
          <w:color w:val="auto"/>
        </w:rPr>
        <w:t xml:space="preserve">Governing Law; Jurisdiction; Consent to Service of Process. </w:t>
      </w:r>
      <w:r>
        <w:rPr>
          <w:rFonts w:ascii="Arial" w:cs="Arial" w:eastAsia="Arial" w:hAnsi="Arial"/>
          <w:sz w:val="18"/>
          <w:szCs w:val="18"/>
          <w:color w:val="auto"/>
        </w:rPr>
        <w:t>(a)This Agreement shall be construed in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accordance with and governed by the law of the State of New York.</w:t>
      </w:r>
    </w:p>
    <w:p>
      <w:pPr>
        <w:spacing w:after="0" w:line="243" w:lineRule="exact"/>
        <w:rPr>
          <w:sz w:val="20"/>
          <w:szCs w:val="20"/>
          <w:color w:val="auto"/>
        </w:rPr>
      </w:pPr>
    </w:p>
    <w:p>
      <w:pPr>
        <w:jc w:val="both"/>
        <w:ind w:firstLine="656"/>
        <w:spacing w:after="0" w:line="286" w:lineRule="auto"/>
        <w:tabs>
          <w:tab w:leader="none" w:pos="152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Each Loan Party hereby irrevocably and unconditionally submits, for itself and its property, to the 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or any Lender may otherwise have to bring any action or proceeding relating to this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420"/>
          </w:cols>
          <w:pgMar w:left="240" w:top="825" w:right="239" w:bottom="1440" w:gutter="0" w:footer="0" w:header="0"/>
        </w:sectPr>
      </w:pPr>
    </w:p>
    <w:bookmarkStart w:id="129" w:name="page130"/>
    <w:bookmarkEnd w:id="129"/>
    <w:p>
      <w:pPr>
        <w:spacing w:after="0"/>
        <w:rPr>
          <w:sz w:val="20"/>
          <w:szCs w:val="20"/>
          <w:color w:val="auto"/>
        </w:rPr>
      </w:pPr>
      <w:r>
        <w:rPr>
          <w:rFonts w:ascii="Arial" w:cs="Arial" w:eastAsia="Arial" w:hAnsi="Arial"/>
          <w:sz w:val="20"/>
          <w:szCs w:val="20"/>
          <w:color w:val="auto"/>
        </w:rPr>
        <w:t>Agreement or any other Loan Document against any Loan Party or its properties in the courts of any jurisdiction.</w:t>
      </w:r>
    </w:p>
    <w:p>
      <w:pPr>
        <w:spacing w:after="0" w:line="243" w:lineRule="exact"/>
        <w:rPr>
          <w:sz w:val="20"/>
          <w:szCs w:val="20"/>
          <w:color w:val="auto"/>
        </w:rPr>
      </w:pPr>
    </w:p>
    <w:p>
      <w:pPr>
        <w:jc w:val="both"/>
        <w:ind w:firstLine="656"/>
        <w:spacing w:after="0" w:line="273" w:lineRule="auto"/>
        <w:tabs>
          <w:tab w:leader="none" w:pos="1516"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158"/>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9.10 </w:t>
      </w:r>
      <w:r>
        <w:rPr>
          <w:rFonts w:ascii="Arial" w:cs="Arial" w:eastAsia="Arial" w:hAnsi="Arial"/>
          <w:sz w:val="20"/>
          <w:szCs w:val="20"/>
          <w:u w:val="single" w:color="auto"/>
          <w:color w:val="auto"/>
        </w:rPr>
        <w:t>WAIVER OF JURY TRIAL.</w:t>
      </w:r>
      <w:r>
        <w:rPr>
          <w:rFonts w:ascii="Arial" w:cs="Arial" w:eastAsia="Arial" w:hAnsi="Arial"/>
          <w:sz w:val="20"/>
          <w:szCs w:val="20"/>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Administrative Agent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or (2) any actual or prospective counterparty (or its advisors) to any swap or derivative transaction relating to the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20"/>
          </w:cols>
          <w:pgMar w:left="240" w:top="825" w:right="239" w:bottom="1440" w:gutter="0" w:footer="0" w:header="0"/>
        </w:sectPr>
      </w:pPr>
    </w:p>
    <w:bookmarkStart w:id="130" w:name="page131"/>
    <w:bookmarkEnd w:id="130"/>
    <w:p>
      <w:pPr>
        <w:jc w:val="both"/>
        <w:spacing w:after="0" w:line="303" w:lineRule="auto"/>
        <w:rPr>
          <w:sz w:val="20"/>
          <w:szCs w:val="20"/>
          <w:color w:val="auto"/>
        </w:rPr>
      </w:pPr>
      <w:r>
        <w:rPr>
          <w:rFonts w:ascii="Arial" w:cs="Arial" w:eastAsia="Arial" w:hAnsi="Arial"/>
          <w:sz w:val="18"/>
          <w:szCs w:val="18"/>
          <w:color w:val="auto"/>
        </w:rPr>
        <w:t>the Administrative Agent or any Lender on a nonconfidential basis from a source other than the Company. For the purposes of this Section, “Information” means all information received from the Company relating to the Company or its business, whether or not identified at the time of delivery as confidential, other than (x) any such information that is available to the Administrative Agent or any Lender on a nonconfidential basis prior to disclosure by the Company, (y) any such information that is independently developed, discovered or arrived at by the Administrative Agent or any Lender and (z) information pertaining to this Agreement routinely provided by arrangers to data service providers, including league table providers, that serve the lending industry; provided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LENDER ACKNOWLEDGES THAT INFORMATION AS DEFINED IN THE IMMEDIATELY PRECEDING PARAGRAPH FURNISHED TO IT PURSUANT TO THIS AGREEMENT MAY INCLUDE MNPI CONCERNING THE COMPANY AND ITS RELATED PARTIES OR THEIR RESPECTIVE SECURITIES, AND CONFIRMS THAT IT HAS DEVELOPED COMPLIANCE PROCEDURES REGARDING THE USE OF MNPI AND THAT IT WILL HANDLE SUCH MNPI IN ACCORDANCE WITH THOSE PROCEDURES AND APPLICABLE LAW, INCLUDING FEDERAL AND STATE SECURITIES LAWS.</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ALL INFORMATION, INCLUDING REQUESTS FOR WAIVERS AND AMENDMENTS, FURNISHED BY THE COMPANY OR THE ADMINISTRATIVE AGENT PURSUANT TO, OR IN THE COURSE OF ADMINISTERING, THIS AGREEMENT WILL BE SYNDICATE-LEVEL INFORMATION, WHICH MAY CONTAIN MNPI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MNPI IN ACCORDANCE WITH ITS COMPLIANCE PROCEDURES AND APPLICABLE LAW.</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USA PATRIOT Act.</w:t>
      </w:r>
      <w:r>
        <w:rPr>
          <w:rFonts w:ascii="Arial" w:cs="Arial" w:eastAsia="Arial" w:hAnsi="Arial"/>
          <w:sz w:val="20"/>
          <w:szCs w:val="20"/>
          <w:color w:val="auto"/>
        </w:rPr>
        <w:t xml:space="preserve">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9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Several Obligations; Nonreliance; Violation of Law.</w:t>
      </w:r>
      <w:r>
        <w:rPr>
          <w:rFonts w:ascii="Arial" w:cs="Arial" w:eastAsia="Arial" w:hAnsi="Arial"/>
          <w:sz w:val="18"/>
          <w:szCs w:val="18"/>
          <w:color w:val="auto"/>
        </w:rPr>
        <w:t xml:space="preserve">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no Lender shall be obligated to extend credit to the Borrower in violation of any Requirement of Law.</w:t>
      </w:r>
    </w:p>
    <w:p>
      <w:pPr>
        <w:spacing w:after="0" w:line="16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Disclosure</w:t>
      </w:r>
      <w:r>
        <w:rPr>
          <w:rFonts w:ascii="Arial" w:cs="Arial" w:eastAsia="Arial" w:hAnsi="Arial"/>
          <w:sz w:val="20"/>
          <w:szCs w:val="20"/>
          <w:color w:val="auto"/>
        </w:rPr>
        <w:t>. Each Loan Party and each Lender hereby acknowledges and agrees that the Administrative Agent and/or its Affiliates from time to time may hold investments in, make other loans to or have other relationships with any of the Loan Parties and their respective Affiliates.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20"/>
          </w:cols>
          <w:pgMar w:left="240" w:top="825" w:right="239" w:bottom="1440" w:gutter="0" w:footer="0" w:header="0"/>
        </w:sectPr>
      </w:pPr>
    </w:p>
    <w:bookmarkStart w:id="131" w:name="page132"/>
    <w:bookmarkEnd w:id="131"/>
    <w:p>
      <w:pPr>
        <w:jc w:val="both"/>
        <w:ind w:firstLine="648"/>
        <w:spacing w:after="0" w:line="272"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Appointment for Perfection</w:t>
      </w:r>
      <w:r>
        <w:rPr>
          <w:rFonts w:ascii="Arial" w:cs="Arial" w:eastAsia="Arial" w:hAnsi="Arial"/>
          <w:sz w:val="20"/>
          <w:szCs w:val="20"/>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8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xml:space="preserve"> In connection with all aspects of each transaction contemplated hereby (including in connection with any amendment, waiver or other modification hereof or of any other Loan Document), the Borrower acknowledges and agrees that: (i) (A) the arranging and other services regarding this Agreement provided by the Lenders are arm’s-length commercial transactions between the Borrower and its Affiliates, on the one hand, and the Lenders and their Affiliates, on the other hand, (B) the Borrower has consulted its own legal, accounting, regulatory and tax advisors to the extent it has deemed appropriate, and (C) the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the Borrower or any of its Affiliates, or any other Person and (B) no Lender or any of its Affiliates has any obligation to the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the Borrower and its Affiliates, and no Lender or any of its Affiliates has any obligation to disclose any of such interests to the Borrower or its Affiliates. To the fullest extent permitted by law, the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9.19 </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Without limiting the authority granted to the Administrative Agent in Article VIII hereof, each Lender (and each Person that becomes a Lender hereunder pursuant to Section 9.04)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20"/>
          </w:cols>
          <w:pgMar w:left="240" w:top="825" w:right="239" w:bottom="1440" w:gutter="0" w:footer="0" w:header="0"/>
        </w:sectPr>
      </w:pPr>
    </w:p>
    <w:bookmarkStart w:id="132" w:name="page133"/>
    <w:bookmarkEnd w:id="132"/>
    <w:p>
      <w:pPr>
        <w:jc w:val="both"/>
        <w:ind w:firstLine="648"/>
        <w:spacing w:after="0" w:line="307" w:lineRule="auto"/>
        <w:rPr>
          <w:sz w:val="20"/>
          <w:szCs w:val="20"/>
          <w:color w:val="auto"/>
        </w:rPr>
      </w:pPr>
      <w:r>
        <w:rPr>
          <w:rFonts w:ascii="Arial" w:cs="Arial" w:eastAsia="Arial" w:hAnsi="Arial"/>
          <w:sz w:val="18"/>
          <w:szCs w:val="18"/>
          <w:color w:val="auto"/>
        </w:rPr>
        <w:t xml:space="preserve">SECTION 9.20 </w:t>
      </w:r>
      <w:r>
        <w:rPr>
          <w:rFonts w:ascii="Arial" w:cs="Arial" w:eastAsia="Arial" w:hAnsi="Arial"/>
          <w:sz w:val="18"/>
          <w:szCs w:val="18"/>
          <w:u w:val="single" w:color="auto"/>
          <w:color w:val="auto"/>
        </w:rPr>
        <w:t>Marketing Consent</w:t>
      </w:r>
      <w:r>
        <w:rPr>
          <w:rFonts w:ascii="Arial" w:cs="Arial" w:eastAsia="Arial" w:hAnsi="Arial"/>
          <w:sz w:val="18"/>
          <w:szCs w:val="18"/>
          <w:color w:val="auto"/>
        </w:rPr>
        <w:t>. The Company hereby authorizes JPMCB and its affiliates (collectively, the “</w:t>
      </w:r>
      <w:r>
        <w:rPr>
          <w:rFonts w:ascii="Arial" w:cs="Arial" w:eastAsia="Arial" w:hAnsi="Arial"/>
          <w:sz w:val="18"/>
          <w:szCs w:val="18"/>
          <w:u w:val="single" w:color="auto"/>
          <w:color w:val="auto"/>
        </w:rPr>
        <w:t>JPMCB Parties</w:t>
      </w:r>
      <w:r>
        <w:rPr>
          <w:rFonts w:ascii="Arial" w:cs="Arial" w:eastAsia="Arial" w:hAnsi="Arial"/>
          <w:sz w:val="18"/>
          <w:szCs w:val="18"/>
          <w:color w:val="auto"/>
        </w:rPr>
        <w:t>”), at their respective sole expense, but without any prior approval by the Company, to include the Company’s name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Company’s names in a newspaper or magazine without obtaining the Company’s prior written approval. The foregoing authorization shall remain in effect unless and until the Company notifies JPMCB in writing that such authorization is revoked.</w:t>
      </w:r>
    </w:p>
    <w:p>
      <w:pPr>
        <w:spacing w:after="0" w:line="16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9.21</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w:t>
      </w:r>
    </w:p>
    <w:p>
      <w:pPr>
        <w:spacing w:after="0" w:line="27"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53" w:lineRule="exact"/>
        <w:rPr>
          <w:sz w:val="20"/>
          <w:szCs w:val="20"/>
          <w:color w:val="auto"/>
        </w:rPr>
      </w:pPr>
    </w:p>
    <w:p>
      <w:pPr>
        <w:ind w:firstLine="656"/>
        <w:spacing w:after="0" w:line="289" w:lineRule="auto"/>
        <w:tabs>
          <w:tab w:leader="none" w:pos="1516"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42" w:lineRule="exact"/>
        <w:rPr>
          <w:rFonts w:ascii="Arial" w:cs="Arial" w:eastAsia="Arial" w:hAnsi="Arial"/>
          <w:sz w:val="20"/>
          <w:szCs w:val="20"/>
          <w:color w:val="auto"/>
        </w:rPr>
      </w:pPr>
    </w:p>
    <w:p>
      <w:pPr>
        <w:ind w:left="2140" w:hanging="835"/>
        <w:spacing w:after="0"/>
        <w:tabs>
          <w:tab w:leader="none" w:pos="214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2" w:lineRule="exact"/>
        <w:rPr>
          <w:rFonts w:ascii="Arial" w:cs="Arial" w:eastAsia="Arial" w:hAnsi="Arial"/>
          <w:sz w:val="20"/>
          <w:szCs w:val="20"/>
          <w:color w:val="auto"/>
        </w:rPr>
      </w:pPr>
    </w:p>
    <w:p>
      <w:pPr>
        <w:jc w:val="both"/>
        <w:ind w:left="660" w:firstLine="645"/>
        <w:spacing w:after="0" w:line="274" w:lineRule="auto"/>
        <w:tabs>
          <w:tab w:leader="none" w:pos="2198" w:val="left"/>
        </w:tabs>
        <w:numPr>
          <w:ilvl w:val="1"/>
          <w:numId w:val="159"/>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2" w:lineRule="exact"/>
        <w:rPr>
          <w:rFonts w:ascii="Arial" w:cs="Arial" w:eastAsia="Arial" w:hAnsi="Arial"/>
          <w:sz w:val="20"/>
          <w:szCs w:val="20"/>
          <w:color w:val="auto"/>
        </w:rPr>
      </w:pPr>
    </w:p>
    <w:p>
      <w:pPr>
        <w:ind w:left="660" w:firstLine="645"/>
        <w:spacing w:after="0" w:line="289" w:lineRule="auto"/>
        <w:tabs>
          <w:tab w:leader="none" w:pos="2253" w:val="left"/>
        </w:tabs>
        <w:numPr>
          <w:ilvl w:val="1"/>
          <w:numId w:val="159"/>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9.22</w:t>
      </w:r>
      <w:r>
        <w:rPr>
          <w:sz w:val="20"/>
          <w:szCs w:val="20"/>
          <w:color w:val="auto"/>
        </w:rPr>
        <w:tab/>
      </w:r>
      <w:r>
        <w:rPr>
          <w:rFonts w:ascii="Arial" w:cs="Arial" w:eastAsia="Arial" w:hAnsi="Arial"/>
          <w:sz w:val="16"/>
          <w:szCs w:val="16"/>
          <w:u w:val="single" w:color="auto"/>
          <w:color w:val="auto"/>
        </w:rPr>
        <w:t>Releases of Loan Guarantors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7" w:lineRule="auto"/>
        <w:tabs>
          <w:tab w:leader="none" w:pos="151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A Loan Guarantor shall automatically be released from its obligations under the Loan Guaranty upon the consummation of any transaction permitted by this Agreement as a result of which such Loan Guarantor ceases to be a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83" w:lineRule="exact"/>
        <w:rPr>
          <w:rFonts w:ascii="Arial" w:cs="Arial" w:eastAsia="Arial" w:hAnsi="Arial"/>
          <w:sz w:val="19"/>
          <w:szCs w:val="19"/>
          <w:color w:val="auto"/>
        </w:rPr>
      </w:pPr>
    </w:p>
    <w:p>
      <w:pPr>
        <w:jc w:val="both"/>
        <w:ind w:firstLine="656"/>
        <w:spacing w:after="0" w:line="274" w:lineRule="auto"/>
        <w:tabs>
          <w:tab w:leader="none" w:pos="1527" w:val="left"/>
        </w:tabs>
        <w:numPr>
          <w:ilvl w:val="0"/>
          <w:numId w:val="160"/>
        </w:numPr>
        <w:rPr>
          <w:rFonts w:ascii="Arial" w:cs="Arial" w:eastAsia="Arial" w:hAnsi="Arial"/>
          <w:sz w:val="20"/>
          <w:szCs w:val="20"/>
          <w:color w:val="auto"/>
        </w:rPr>
      </w:pPr>
      <w:r>
        <w:rPr>
          <w:rFonts w:ascii="Arial" w:cs="Arial" w:eastAsia="Arial" w:hAnsi="Arial"/>
          <w:sz w:val="20"/>
          <w:szCs w:val="20"/>
          <w:color w:val="auto"/>
        </w:rPr>
        <w:t>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Section 9.02.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420"/>
          </w:cols>
          <w:pgMar w:left="240" w:top="825" w:right="239" w:bottom="1440" w:gutter="0" w:footer="0" w:header="0"/>
        </w:sectPr>
      </w:pPr>
    </w:p>
    <w:bookmarkStart w:id="133" w:name="page134"/>
    <w:bookmarkEnd w:id="133"/>
    <w:p>
      <w:pPr>
        <w:ind w:right="160" w:firstLine="656"/>
        <w:spacing w:after="0" w:line="310" w:lineRule="auto"/>
        <w:tabs>
          <w:tab w:leader="none" w:pos="151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At such time as (i) the principal and interest on the Loans, the fees, expenses and other amounts payable under the Loan Documents and the other Secured Obligations (other than Unliquidated Obligations not then due and payable) shall have been paid in full in cash and (ii) the Commitments shall have been terminated (the conditions set forth in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collectively, the “</w:t>
      </w:r>
      <w:r>
        <w:rPr>
          <w:rFonts w:ascii="Arial" w:cs="Arial" w:eastAsia="Arial" w:hAnsi="Arial"/>
          <w:sz w:val="18"/>
          <w:szCs w:val="18"/>
          <w:u w:val="single" w:color="auto"/>
          <w:color w:val="auto"/>
        </w:rPr>
        <w:t>Final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Release Conditions</w:t>
      </w:r>
      <w:r>
        <w:rPr>
          <w:rFonts w:ascii="Arial" w:cs="Arial" w:eastAsia="Arial" w:hAnsi="Arial"/>
          <w:sz w:val="18"/>
          <w:szCs w:val="18"/>
          <w:color w:val="auto"/>
        </w:rPr>
        <w:t>”),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Loan Guaranty</w:t>
      </w:r>
    </w:p>
    <w:p>
      <w:pPr>
        <w:spacing w:after="0" w:line="229" w:lineRule="exact"/>
        <w:rPr>
          <w:sz w:val="20"/>
          <w:szCs w:val="20"/>
          <w:color w:val="auto"/>
        </w:rPr>
      </w:pPr>
    </w:p>
    <w:p>
      <w:pPr>
        <w:ind w:left="660"/>
        <w:spacing w:after="0"/>
        <w:tabs>
          <w:tab w:leader="none" w:pos="3920" w:val="left"/>
        </w:tabs>
        <w:rPr>
          <w:sz w:val="20"/>
          <w:szCs w:val="20"/>
          <w:color w:val="auto"/>
        </w:rPr>
      </w:pPr>
      <w:r>
        <w:rPr>
          <w:rFonts w:ascii="Arial" w:cs="Arial" w:eastAsia="Arial" w:hAnsi="Arial"/>
          <w:sz w:val="20"/>
          <w:szCs w:val="20"/>
          <w:color w:val="auto"/>
        </w:rPr>
        <w:t>SECTION 10.01</w:t>
      </w:r>
      <w:r>
        <w:rPr>
          <w:sz w:val="20"/>
          <w:szCs w:val="20"/>
          <w:color w:val="auto"/>
        </w:rPr>
        <w:tab/>
      </w:r>
      <w:r>
        <w:rPr>
          <w:rFonts w:ascii="Arial" w:cs="Arial" w:eastAsia="Arial" w:hAnsi="Arial"/>
          <w:sz w:val="18"/>
          <w:szCs w:val="18"/>
          <w:u w:val="single" w:color="auto"/>
          <w:color w:val="auto"/>
        </w:rPr>
        <w:t xml:space="preserve">Guaranty. </w:t>
      </w:r>
      <w:r>
        <w:rPr>
          <w:rFonts w:ascii="Arial" w:cs="Arial" w:eastAsia="Arial" w:hAnsi="Arial"/>
          <w:sz w:val="18"/>
          <w:szCs w:val="18"/>
          <w:color w:val="auto"/>
        </w:rPr>
        <w:t>Each Loan Guarantor (other than those that have delivered a separate Guaranty)</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and the Lenders in endeavoring to collect all or any part of the Secured Obligations from, or in prosecuting any action against, the Borrower, any Loan Guarantor or any other guarantor of all or any part of the Secured Obligations (such costs and expenses, together with the Secured Obligations, collectively the “Guaranteed Obligations”).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10.02 </w:t>
      </w:r>
      <w:r>
        <w:rPr>
          <w:rFonts w:ascii="Arial" w:cs="Arial" w:eastAsia="Arial" w:hAnsi="Arial"/>
          <w:sz w:val="20"/>
          <w:szCs w:val="20"/>
          <w:u w:val="single" w:color="auto"/>
          <w:color w:val="auto"/>
        </w:rPr>
        <w:t>Guaranty of Payment</w:t>
      </w:r>
      <w:r>
        <w:rPr>
          <w:rFonts w:ascii="Arial" w:cs="Arial" w:eastAsia="Arial" w:hAnsi="Arial"/>
          <w:sz w:val="20"/>
          <w:szCs w:val="20"/>
          <w:color w:val="auto"/>
        </w:rPr>
        <w:t>. This Loan Guaranty is a guaranty of payment and not of collection. Each Loan Guarantor waives any right to require the Administrative Agent or any Lender to sue the Borrower, any Loan Guarantor, any other guarantor of, or any other Person obligated for, all or any part of the Guaranteed Obligations (each, an “</w:t>
      </w:r>
      <w:r>
        <w:rPr>
          <w:rFonts w:ascii="Arial" w:cs="Arial" w:eastAsia="Arial" w:hAnsi="Arial"/>
          <w:sz w:val="20"/>
          <w:szCs w:val="20"/>
          <w:u w:val="single" w:color="auto"/>
          <w:color w:val="auto"/>
        </w:rPr>
        <w:t>Obligated Party</w:t>
      </w:r>
      <w:r>
        <w:rPr>
          <w:rFonts w:ascii="Arial" w:cs="Arial" w:eastAsia="Arial" w:hAnsi="Arial"/>
          <w:sz w:val="20"/>
          <w:szCs w:val="20"/>
          <w:color w:val="auto"/>
        </w:rPr>
        <w:t>”), or otherwise to enforce its payment against any collateral securing all or any part of the Guaranteed Obligations.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No Discharge or Diminishment of Loan Guaranty</w:t>
      </w:r>
      <w:r>
        <w:rPr>
          <w:rFonts w:ascii="Arial" w:cs="Arial" w:eastAsia="Arial" w:hAnsi="Arial"/>
          <w:sz w:val="19"/>
          <w:szCs w:val="19"/>
          <w:color w:val="auto"/>
        </w:rPr>
        <w:t>.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the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any Lender or any other Person, whether in connection herewith or in any unrelated transactions.</w:t>
      </w:r>
    </w:p>
    <w:p>
      <w:pPr>
        <w:spacing w:after="0" w:line="169" w:lineRule="exact"/>
        <w:rPr>
          <w:sz w:val="20"/>
          <w:szCs w:val="20"/>
          <w:color w:val="auto"/>
        </w:rPr>
      </w:pPr>
    </w:p>
    <w:p>
      <w:pPr>
        <w:jc w:val="both"/>
        <w:ind w:firstLine="656"/>
        <w:spacing w:after="0" w:line="246" w:lineRule="auto"/>
        <w:tabs>
          <w:tab w:leader="none" w:pos="1233"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420"/>
          </w:cols>
          <w:pgMar w:left="240" w:top="825" w:right="239" w:bottom="1440" w:gutter="0" w:footer="0" w:header="0"/>
        </w:sectPr>
      </w:pPr>
    </w:p>
    <w:bookmarkStart w:id="134" w:name="page135"/>
    <w:bookmarkEnd w:id="134"/>
    <w:p>
      <w:pPr>
        <w:jc w:val="both"/>
        <w:ind w:firstLine="656"/>
        <w:spacing w:after="0" w:line="241" w:lineRule="auto"/>
        <w:tabs>
          <w:tab w:leader="none" w:pos="106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Further, the obligations of any Loan Guarantor hereunder are not discharged or impaired or otherwise affected by: (i) the failure of the Administrative Agent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Obligated Party liable for any of the Guaranteed Obligations; (iv) any action or failure to act by the Administrative Agent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the indefeasible payment in full in cash of the Guaranteed Obligations).</w:t>
      </w:r>
    </w:p>
    <w:p>
      <w:pPr>
        <w:spacing w:after="0" w:line="2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Defenses Waived</w:t>
      </w:r>
      <w:r>
        <w:rPr>
          <w:rFonts w:ascii="Arial" w:cs="Arial" w:eastAsia="Arial" w:hAnsi="Arial"/>
          <w:sz w:val="18"/>
          <w:szCs w:val="18"/>
          <w:color w:val="auto"/>
        </w:rPr>
        <w:t>. To the fullest extent permitted by applicable law, each Loan Guarantor hereby waives any defense based on or arising out of any defense of the Borrower or any Loan Guarantor or the unenforceability of all or any part of the Guaranteed Obligations from any cause, or the cessation from any cause of the liability of the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17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Rights of Subrogation</w:t>
      </w:r>
      <w:r>
        <w:rPr>
          <w:rFonts w:ascii="Arial" w:cs="Arial" w:eastAsia="Arial" w:hAnsi="Arial"/>
          <w:sz w:val="19"/>
          <w:szCs w:val="19"/>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and the Lenders.</w:t>
      </w:r>
    </w:p>
    <w:p>
      <w:pPr>
        <w:spacing w:after="0" w:line="16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the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and the Lenders are in possession of this Loan Guaranty. If acceleration of the time for payment of any of the Guaranteed Obligations is stayed upon the insolvency, bankruptcy or reorganization of the Borrower, all such amounts otherwise subject to acceleration under the terms of any agreement relating to</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420"/>
          </w:cols>
          <w:pgMar w:left="240" w:top="811" w:right="239" w:bottom="1440" w:gutter="0" w:footer="0" w:header="0"/>
        </w:sectPr>
      </w:pPr>
    </w:p>
    <w:bookmarkStart w:id="135" w:name="page136"/>
    <w:bookmarkEnd w:id="135"/>
    <w:p>
      <w:pPr>
        <w:spacing w:after="0"/>
        <w:rPr>
          <w:sz w:val="20"/>
          <w:szCs w:val="20"/>
          <w:color w:val="auto"/>
        </w:rPr>
      </w:pPr>
      <w:r>
        <w:rPr>
          <w:rFonts w:ascii="Arial" w:cs="Arial" w:eastAsia="Arial" w:hAnsi="Arial"/>
          <w:sz w:val="19"/>
          <w:szCs w:val="19"/>
          <w:color w:val="auto"/>
        </w:rPr>
        <w:t>the Guaranteed Obligations shall nonetheless be payable by the Loan Guarantors forthwith on demand by the Administrative Agent.</w:t>
      </w:r>
    </w:p>
    <w:p>
      <w:pPr>
        <w:spacing w:after="0" w:line="2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10.07 </w:t>
      </w:r>
      <w:r>
        <w:rPr>
          <w:rFonts w:ascii="Arial" w:cs="Arial" w:eastAsia="Arial" w:hAnsi="Arial"/>
          <w:sz w:val="20"/>
          <w:szCs w:val="20"/>
          <w:u w:val="single" w:color="auto"/>
          <w:color w:val="auto"/>
        </w:rPr>
        <w:t>Information</w:t>
      </w:r>
      <w:r>
        <w:rPr>
          <w:rFonts w:ascii="Arial" w:cs="Arial" w:eastAsia="Arial" w:hAnsi="Arial"/>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or any Lender shall have any duty to advise any Loan Guarantor of information known to it regarding those circumstances or risks.</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Termination</w:t>
      </w:r>
      <w:r>
        <w:rPr>
          <w:rFonts w:ascii="Arial" w:cs="Arial" w:eastAsia="Arial" w:hAnsi="Arial"/>
          <w:sz w:val="19"/>
          <w:szCs w:val="19"/>
          <w:color w:val="auto"/>
        </w:rPr>
        <w:t>. Each of the Lenders may continue to make loans or extend credit to the Borrower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10.09 </w:t>
      </w:r>
      <w:r>
        <w:rPr>
          <w:rFonts w:ascii="Arial" w:cs="Arial" w:eastAsia="Arial" w:hAnsi="Arial"/>
          <w:sz w:val="20"/>
          <w:szCs w:val="20"/>
          <w:u w:val="single" w:color="auto"/>
          <w:color w:val="auto"/>
        </w:rPr>
        <w:t>Taxes</w:t>
      </w:r>
      <w:r>
        <w:rPr>
          <w:rFonts w:ascii="Arial" w:cs="Arial" w:eastAsia="Arial" w:hAnsi="Arial"/>
          <w:sz w:val="20"/>
          <w:szCs w:val="20"/>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or Lender (as the case may be) receives the amount it would have received had no such withholding been made.</w:t>
      </w:r>
    </w:p>
    <w:p>
      <w:pPr>
        <w:spacing w:after="0" w:line="19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Maximum Liability</w:t>
      </w:r>
      <w:r>
        <w:rPr>
          <w:rFonts w:ascii="Arial" w:cs="Arial" w:eastAsia="Arial" w:hAnsi="Arial"/>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94" w:lineRule="exact"/>
        <w:rPr>
          <w:sz w:val="20"/>
          <w:szCs w:val="20"/>
          <w:color w:val="auto"/>
        </w:rPr>
      </w:pPr>
    </w:p>
    <w:p>
      <w:pPr>
        <w:ind w:left="660"/>
        <w:spacing w:after="0"/>
        <w:tabs>
          <w:tab w:leader="none" w:pos="390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Contribution.</w:t>
      </w:r>
    </w:p>
    <w:p>
      <w:pPr>
        <w:spacing w:after="0" w:line="243" w:lineRule="exact"/>
        <w:rPr>
          <w:sz w:val="20"/>
          <w:szCs w:val="20"/>
          <w:color w:val="auto"/>
        </w:rPr>
      </w:pPr>
    </w:p>
    <w:p>
      <w:pPr>
        <w:jc w:val="both"/>
        <w:ind w:firstLine="656"/>
        <w:spacing w:after="0" w:line="271" w:lineRule="auto"/>
        <w:tabs>
          <w:tab w:leader="none" w:pos="1516" w:val="left"/>
        </w:tabs>
        <w:numPr>
          <w:ilvl w:val="0"/>
          <w:numId w:val="164"/>
        </w:numPr>
        <w:rPr>
          <w:rFonts w:ascii="Arial" w:cs="Arial" w:eastAsia="Arial" w:hAnsi="Arial"/>
          <w:sz w:val="20"/>
          <w:szCs w:val="20"/>
          <w:color w:val="auto"/>
        </w:rPr>
      </w:pPr>
      <w:r>
        <w:rPr>
          <w:rFonts w:ascii="Arial" w:cs="Arial" w:eastAsia="Arial" w:hAnsi="Arial"/>
          <w:sz w:val="20"/>
          <w:szCs w:val="20"/>
          <w:color w:val="auto"/>
        </w:rPr>
        <w:t>To the extent that any Loan Guarantor shall make a payment under this Loan Guaranty (a “</w:t>
      </w:r>
      <w:r>
        <w:rPr>
          <w:rFonts w:ascii="Arial" w:cs="Arial" w:eastAsia="Arial" w:hAnsi="Arial"/>
          <w:sz w:val="20"/>
          <w:szCs w:val="20"/>
          <w:u w:val="single" w:color="auto"/>
          <w:color w:val="auto"/>
        </w:rPr>
        <w:t>Guarantor Payment</w:t>
      </w:r>
      <w:r>
        <w:rPr>
          <w:rFonts w:ascii="Arial" w:cs="Arial" w:eastAsia="Arial" w:hAnsi="Arial"/>
          <w:sz w:val="20"/>
          <w:szCs w:val="20"/>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420"/>
          </w:cols>
          <w:pgMar w:left="240" w:top="825" w:right="239" w:bottom="1440" w:gutter="0" w:footer="0" w:header="0"/>
        </w:sectPr>
      </w:pPr>
    </w:p>
    <w:bookmarkStart w:id="136" w:name="page137"/>
    <w:bookmarkEnd w:id="136"/>
    <w:p>
      <w:pPr>
        <w:jc w:val="both"/>
        <w:spacing w:after="0" w:line="273" w:lineRule="auto"/>
        <w:rPr>
          <w:sz w:val="20"/>
          <w:szCs w:val="20"/>
          <w:color w:val="auto"/>
        </w:rPr>
      </w:pPr>
      <w:r>
        <w:rPr>
          <w:rFonts w:ascii="Arial" w:cs="Arial" w:eastAsia="Arial" w:hAnsi="Arial"/>
          <w:sz w:val="20"/>
          <w:szCs w:val="20"/>
          <w:color w:val="auto"/>
        </w:rPr>
        <w:t>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this Agreement has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1" w:lineRule="exact"/>
        <w:rPr>
          <w:sz w:val="20"/>
          <w:szCs w:val="20"/>
          <w:color w:val="auto"/>
        </w:rPr>
      </w:pPr>
    </w:p>
    <w:p>
      <w:pPr>
        <w:jc w:val="both"/>
        <w:ind w:firstLine="656"/>
        <w:spacing w:after="0" w:line="273" w:lineRule="auto"/>
        <w:tabs>
          <w:tab w:leader="none" w:pos="152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51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86" w:lineRule="exact"/>
        <w:rPr>
          <w:rFonts w:ascii="Arial" w:cs="Arial" w:eastAsia="Arial" w:hAnsi="Arial"/>
          <w:sz w:val="20"/>
          <w:szCs w:val="20"/>
          <w:color w:val="auto"/>
        </w:rPr>
      </w:pPr>
    </w:p>
    <w:p>
      <w:pPr>
        <w:ind w:right="20" w:firstLine="656"/>
        <w:spacing w:after="0" w:line="289" w:lineRule="auto"/>
        <w:tabs>
          <w:tab w:leader="none" w:pos="152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The rights of the indemnifying Loan Guarantors against other Loan Guarantors under this Section 10.11 shall be exercisable upon the full and indefeasible payment of the Guaranteed Obligations in cash (other than Unliquidated Obligations that have not yet arisen) and the termination or expiry, on terms reasonably acceptable to the Administrative Agent, of the Commitments and the termination of this Agreement.</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Liability Cumulative</w:t>
      </w:r>
      <w:r>
        <w:rPr>
          <w:rFonts w:ascii="Arial" w:cs="Arial" w:eastAsia="Arial" w:hAnsi="Arial"/>
          <w:sz w:val="20"/>
          <w:szCs w:val="20"/>
          <w:color w:val="auto"/>
        </w:rPr>
        <w:t>. The liability of each Loan Party as a Loan Guarantor under this Article X is in addition to and shall be cumulative with all liabilities of each Loan Party to the Administrative Agent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420"/>
          </w:cols>
          <w:pgMar w:left="240" w:top="825" w:right="239" w:bottom="1440" w:gutter="0" w:footer="0" w:header="0"/>
        </w:sectPr>
      </w:pPr>
    </w:p>
    <w:bookmarkStart w:id="137" w:name="page138"/>
    <w:bookmarkEnd w:id="137"/>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OCTAVIUS CORPORATION, as the Borrower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INDUSTRIES, INC., as the Company</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OF INDIANA, LLC., as a Loan Guarantor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GRAND DESIGN, LLC, as a Loan Guarantor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Signature Page to Loan Agreement</w:t>
      </w:r>
    </w:p>
    <w:p>
      <w:pPr>
        <w:spacing w:after="0" w:line="1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Winnebago Industries, Inc.</w:t>
      </w:r>
    </w:p>
    <w:p>
      <w:pPr>
        <w:sectPr>
          <w:pgSz w:w="11900" w:h="16838" w:orient="portrait"/>
          <w:cols w:equalWidth="0" w:num="1">
            <w:col w:w="11140"/>
          </w:cols>
          <w:pgMar w:left="240" w:top="811" w:right="519" w:bottom="1440" w:gutter="0" w:footer="0" w:header="0"/>
        </w:sectPr>
      </w:pPr>
    </w:p>
    <w:bookmarkStart w:id="138" w:name="page139"/>
    <w:bookmarkEnd w:id="138"/>
    <w:p>
      <w:pPr>
        <w:ind w:left="4320"/>
        <w:spacing w:after="0"/>
        <w:rPr>
          <w:sz w:val="20"/>
          <w:szCs w:val="20"/>
          <w:color w:val="auto"/>
        </w:rPr>
      </w:pPr>
      <w:r>
        <w:rPr>
          <w:rFonts w:ascii="Arial" w:cs="Arial" w:eastAsia="Arial" w:hAnsi="Arial"/>
          <w:sz w:val="18"/>
          <w:szCs w:val="18"/>
          <w:color w:val="auto"/>
        </w:rPr>
        <w:t>JPMORGAN CHASE BANK, N.A., individually as a</w:t>
      </w:r>
    </w:p>
    <w:p>
      <w:pPr>
        <w:spacing w:after="0" w:line="7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Lender and as Administrative Agent</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Loan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Winnebago Industries, Inc.</w:t>
      </w:r>
    </w:p>
    <w:p>
      <w:pPr>
        <w:sectPr>
          <w:pgSz w:w="11900" w:h="16838" w:orient="portrait"/>
          <w:cols w:equalWidth="0" w:num="1">
            <w:col w:w="9019"/>
          </w:cols>
          <w:pgMar w:left="1440" w:top="973" w:right="1440" w:bottom="1440" w:gutter="0" w:footer="0" w:header="0"/>
        </w:sectPr>
      </w:pPr>
    </w:p>
    <w:bookmarkStart w:id="139" w:name="page140"/>
    <w:bookmarkEnd w:id="139"/>
    <w:tbl>
      <w:tblPr>
        <w:tblLayout w:type="fixed"/>
        <w:tblInd w:w="1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7780" w:type="dxa"/>
            <w:vAlign w:val="bottom"/>
            <w:gridSpan w:val="4"/>
          </w:tcPr>
          <w:p>
            <w:pPr>
              <w:jc w:val="right"/>
              <w:ind w:right="4500"/>
              <w:spacing w:after="0"/>
              <w:rPr>
                <w:sz w:val="20"/>
                <w:szCs w:val="20"/>
                <w:color w:val="auto"/>
              </w:rPr>
            </w:pPr>
            <w:r>
              <w:rPr>
                <w:rFonts w:ascii="Arial" w:cs="Arial" w:eastAsia="Arial" w:hAnsi="Arial"/>
                <w:sz w:val="20"/>
                <w:szCs w:val="20"/>
                <w:color w:val="auto"/>
              </w:rPr>
              <w:t>COMMITMENT SCHEDULE</w:t>
            </w:r>
          </w:p>
        </w:tc>
      </w:tr>
      <w:tr>
        <w:trPr>
          <w:trHeight w:val="459"/>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780" w:type="dxa"/>
            <w:vAlign w:val="bottom"/>
            <w:gridSpan w:val="4"/>
          </w:tcPr>
          <w:p>
            <w:pPr>
              <w:jc w:val="right"/>
              <w:ind w:right="4380"/>
              <w:spacing w:after="0"/>
              <w:rPr>
                <w:sz w:val="20"/>
                <w:szCs w:val="20"/>
                <w:color w:val="auto"/>
              </w:rPr>
            </w:pPr>
            <w:r>
              <w:rPr>
                <w:rFonts w:ascii="Arial" w:cs="Arial" w:eastAsia="Arial" w:hAnsi="Arial"/>
                <w:sz w:val="20"/>
                <w:szCs w:val="20"/>
                <w:color w:val="auto"/>
              </w:rPr>
              <w:t>TERM LOAN COMMITMENTS</w:t>
            </w:r>
          </w:p>
        </w:tc>
      </w:tr>
      <w:tr>
        <w:trPr>
          <w:trHeight w:val="361"/>
        </w:trPr>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3620" w:type="dxa"/>
            <w:vAlign w:val="bottom"/>
            <w:gridSpan w:val="2"/>
          </w:tcPr>
          <w:p>
            <w:pPr>
              <w:spacing w:after="0" w:line="209" w:lineRule="exact"/>
              <w:rPr>
                <w:sz w:val="20"/>
                <w:szCs w:val="20"/>
                <w:color w:val="auto"/>
              </w:rPr>
            </w:pPr>
            <w:r>
              <w:rPr>
                <w:rFonts w:ascii="Arial" w:cs="Arial" w:eastAsia="Arial" w:hAnsi="Arial"/>
                <w:sz w:val="20"/>
                <w:szCs w:val="20"/>
                <w:color w:val="auto"/>
              </w:rPr>
              <w:t>LENDER</w:t>
            </w:r>
          </w:p>
        </w:tc>
        <w:tc>
          <w:tcPr>
            <w:tcW w:w="208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140" w:type="dxa"/>
            <w:vAlign w:val="bottom"/>
            <w:tcBorders>
              <w:right w:val="single" w:sz="8" w:color="auto"/>
            </w:tcBorders>
            <w:gridSpan w:val="2"/>
          </w:tcPr>
          <w:p>
            <w:pPr>
              <w:jc w:val="right"/>
              <w:ind w:right="1580"/>
              <w:spacing w:after="0" w:line="209" w:lineRule="exact"/>
              <w:rPr>
                <w:sz w:val="20"/>
                <w:szCs w:val="20"/>
                <w:color w:val="auto"/>
              </w:rPr>
            </w:pPr>
            <w:r>
              <w:rPr>
                <w:rFonts w:ascii="Arial" w:cs="Arial" w:eastAsia="Arial" w:hAnsi="Arial"/>
                <w:sz w:val="20"/>
                <w:szCs w:val="20"/>
                <w:color w:val="auto"/>
                <w:w w:val="97"/>
              </w:rPr>
              <w:t>TERM LOAN COMMITMENT</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256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20"/>
                <w:szCs w:val="20"/>
                <w:color w:val="auto"/>
              </w:rPr>
              <w:t>JPMORGAN CHASE, BANK, N.A.</w:t>
            </w:r>
          </w:p>
        </w:tc>
        <w:tc>
          <w:tcPr>
            <w:tcW w:w="20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$300,000,000</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3620" w:type="dxa"/>
            <w:vAlign w:val="bottom"/>
            <w:gridSpan w:val="2"/>
          </w:tcPr>
          <w:p>
            <w:pPr>
              <w:spacing w:after="0"/>
              <w:rPr>
                <w:sz w:val="20"/>
                <w:szCs w:val="20"/>
                <w:color w:val="auto"/>
              </w:rPr>
            </w:pPr>
            <w:r>
              <w:rPr>
                <w:rFonts w:ascii="Arial" w:cs="Arial" w:eastAsia="Arial" w:hAnsi="Arial"/>
                <w:sz w:val="20"/>
                <w:szCs w:val="20"/>
                <w:b w:val="1"/>
                <w:bCs w:val="1"/>
                <w:color w:val="auto"/>
              </w:rPr>
              <w:t>AGGREGATE COMMITMENTS</w:t>
            </w:r>
          </w:p>
        </w:tc>
        <w:tc>
          <w:tcPr>
            <w:tcW w:w="208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$300,000,000</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811"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Loan Agreement identified below (as amended, the “</w:t>
      </w:r>
      <w:r>
        <w:rPr>
          <w:rFonts w:ascii="Arial" w:cs="Arial" w:eastAsia="Arial" w:hAnsi="Arial"/>
          <w:sz w:val="18"/>
          <w:szCs w:val="18"/>
          <w:u w:val="single" w:color="auto"/>
          <w:color w:val="auto"/>
        </w:rPr>
        <w:t>Loan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5" w:lineRule="exact"/>
        <w:rPr>
          <w:sz w:val="20"/>
          <w:szCs w:val="20"/>
          <w:color w:val="auto"/>
        </w:rPr>
      </w:pPr>
    </w:p>
    <w:p>
      <w:pPr>
        <w:jc w:val="both"/>
        <w:ind w:firstLine="1297"/>
        <w:spacing w:after="0" w:line="30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Administrative Agent as contemplated below (i) all of the Assignor’s rights and obligations in its capacity as a Lender under the Loan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Loan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6"/>
          <w:szCs w:val="16"/>
          <w:u w:val="single" w:color="auto"/>
          <w:color w:val="auto"/>
        </w:rPr>
        <w:t>Assigned Interest</w:t>
      </w:r>
      <w:r>
        <w:rPr>
          <w:rFonts w:ascii="Arial" w:cs="Arial" w:eastAsia="Arial" w:hAnsi="Arial"/>
          <w:sz w:val="16"/>
          <w:szCs w:val="16"/>
          <w:color w:val="auto"/>
        </w:rPr>
        <w:t>”). Such sale and assignment is without recourse to the Assignor and, except as expressly provided in this Assignment and Assumption, without representation or warranty by the Assignor.</w:t>
      </w:r>
    </w:p>
    <w:p>
      <w:pPr>
        <w:spacing w:after="0" w:line="200" w:lineRule="exact"/>
        <w:rPr>
          <w:sz w:val="20"/>
          <w:szCs w:val="20"/>
          <w:color w:val="auto"/>
        </w:rPr>
      </w:pPr>
    </w:p>
    <w:p>
      <w:pPr>
        <w:spacing w:after="0" w:line="236" w:lineRule="exact"/>
        <w:rPr>
          <w:sz w:val="20"/>
          <w:szCs w:val="20"/>
          <w:color w:val="auto"/>
        </w:rPr>
      </w:pPr>
    </w:p>
    <w:p>
      <w:pPr>
        <w:ind w:left="620" w:hanging="585"/>
        <w:spacing w:after="0"/>
        <w:tabs>
          <w:tab w:leader="none" w:pos="62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Assignor:</w:t>
      </w:r>
    </w:p>
    <w:p>
      <w:pPr>
        <w:spacing w:after="0" w:line="337" w:lineRule="exact"/>
        <w:rPr>
          <w:rFonts w:ascii="Arial" w:cs="Arial" w:eastAsia="Arial" w:hAnsi="Arial"/>
          <w:sz w:val="20"/>
          <w:szCs w:val="20"/>
          <w:color w:val="auto"/>
        </w:rPr>
      </w:pPr>
    </w:p>
    <w:p>
      <w:pPr>
        <w:ind w:left="620" w:hanging="585"/>
        <w:spacing w:after="0"/>
        <w:tabs>
          <w:tab w:leader="none" w:pos="62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27305</wp:posOffset>
            </wp:positionV>
            <wp:extent cx="49225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-151765</wp:posOffset>
            </wp:positionV>
            <wp:extent cx="49225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22520" cy="8890"/>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-332105</wp:posOffset>
            </wp:positionV>
            <wp:extent cx="49225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47"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[and is an Affiliate/Approved Fund of [identify Lender]</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3.</w:t>
            </w:r>
          </w:p>
        </w:tc>
        <w:tc>
          <w:tcPr>
            <w:tcW w:w="3260" w:type="dxa"/>
            <w:vAlign w:val="bottom"/>
          </w:tcPr>
          <w:p>
            <w:pPr>
              <w:ind w:left="220"/>
              <w:spacing w:after="0"/>
              <w:rPr>
                <w:sz w:val="20"/>
                <w:szCs w:val="20"/>
                <w:color w:val="auto"/>
              </w:rPr>
            </w:pPr>
            <w:r>
              <w:rPr>
                <w:rFonts w:ascii="Arial" w:cs="Arial" w:eastAsia="Arial" w:hAnsi="Arial"/>
                <w:sz w:val="20"/>
                <w:szCs w:val="20"/>
                <w:color w:val="auto"/>
              </w:rPr>
              <w:t>Borrower:</w:t>
            </w:r>
          </w:p>
        </w:tc>
        <w:tc>
          <w:tcPr>
            <w:tcW w:w="7760" w:type="dxa"/>
            <w:vAlign w:val="bottom"/>
            <w:gridSpan w:val="3"/>
          </w:tcPr>
          <w:p>
            <w:pPr>
              <w:ind w:left="40"/>
              <w:spacing w:after="0"/>
              <w:rPr>
                <w:sz w:val="20"/>
                <w:szCs w:val="20"/>
                <w:color w:val="auto"/>
              </w:rPr>
            </w:pPr>
            <w:r>
              <w:rPr>
                <w:rFonts w:ascii="Arial" w:cs="Arial" w:eastAsia="Arial" w:hAnsi="Arial"/>
                <w:sz w:val="20"/>
                <w:szCs w:val="20"/>
                <w:color w:val="auto"/>
              </w:rPr>
              <w:t>Octavius Corporation</w:t>
            </w:r>
          </w:p>
        </w:tc>
      </w:tr>
      <w:tr>
        <w:trPr>
          <w:trHeight w:val="23"/>
        </w:trPr>
        <w:tc>
          <w:tcPr>
            <w:tcW w:w="36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524"/>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4.</w:t>
            </w:r>
          </w:p>
        </w:tc>
        <w:tc>
          <w:tcPr>
            <w:tcW w:w="3260" w:type="dxa"/>
            <w:vAlign w:val="bottom"/>
          </w:tcPr>
          <w:p>
            <w:pPr>
              <w:ind w:left="220"/>
              <w:spacing w:after="0"/>
              <w:rPr>
                <w:sz w:val="20"/>
                <w:szCs w:val="20"/>
                <w:color w:val="auto"/>
              </w:rPr>
            </w:pPr>
            <w:r>
              <w:rPr>
                <w:rFonts w:ascii="Arial" w:cs="Arial" w:eastAsia="Arial" w:hAnsi="Arial"/>
                <w:sz w:val="20"/>
                <w:szCs w:val="20"/>
                <w:color w:val="auto"/>
              </w:rPr>
              <w:t>Administrative Agent</w:t>
            </w:r>
          </w:p>
        </w:tc>
        <w:tc>
          <w:tcPr>
            <w:tcW w:w="7760" w:type="dxa"/>
            <w:vAlign w:val="bottom"/>
            <w:gridSpan w:val="3"/>
          </w:tcPr>
          <w:p>
            <w:pPr>
              <w:ind w:left="40"/>
              <w:spacing w:after="0"/>
              <w:rPr>
                <w:sz w:val="20"/>
                <w:szCs w:val="20"/>
                <w:color w:val="auto"/>
              </w:rPr>
            </w:pPr>
            <w:r>
              <w:rPr>
                <w:rFonts w:ascii="Arial" w:cs="Arial" w:eastAsia="Arial" w:hAnsi="Arial"/>
                <w:sz w:val="20"/>
                <w:szCs w:val="20"/>
                <w:color w:val="auto"/>
              </w:rPr>
              <w:t>JPMorgan Chase Bank, N.A., as the administrative agent under the Loan Agreement</w:t>
            </w:r>
          </w:p>
        </w:tc>
      </w:tr>
      <w:tr>
        <w:trPr>
          <w:trHeight w:val="533"/>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5.</w:t>
            </w:r>
          </w:p>
        </w:tc>
        <w:tc>
          <w:tcPr>
            <w:tcW w:w="3260" w:type="dxa"/>
            <w:vAlign w:val="bottom"/>
          </w:tcPr>
          <w:p>
            <w:pPr>
              <w:ind w:left="220"/>
              <w:spacing w:after="0"/>
              <w:rPr>
                <w:sz w:val="20"/>
                <w:szCs w:val="20"/>
                <w:color w:val="auto"/>
              </w:rPr>
            </w:pPr>
            <w:r>
              <w:rPr>
                <w:rFonts w:ascii="Arial" w:cs="Arial" w:eastAsia="Arial" w:hAnsi="Arial"/>
                <w:sz w:val="20"/>
                <w:szCs w:val="20"/>
                <w:color w:val="auto"/>
              </w:rPr>
              <w:t>Loan Agreement</w:t>
            </w:r>
          </w:p>
        </w:tc>
        <w:tc>
          <w:tcPr>
            <w:tcW w:w="7760" w:type="dxa"/>
            <w:vAlign w:val="bottom"/>
            <w:gridSpan w:val="3"/>
          </w:tcPr>
          <w:p>
            <w:pPr>
              <w:ind w:left="40"/>
              <w:spacing w:after="0"/>
              <w:rPr>
                <w:sz w:val="20"/>
                <w:szCs w:val="20"/>
                <w:color w:val="auto"/>
              </w:rPr>
            </w:pPr>
            <w:r>
              <w:rPr>
                <w:rFonts w:ascii="Arial" w:cs="Arial" w:eastAsia="Arial" w:hAnsi="Arial"/>
                <w:sz w:val="20"/>
                <w:szCs w:val="20"/>
                <w:color w:val="auto"/>
                <w:w w:val="94"/>
              </w:rPr>
              <w:t>The Loan Agreement dated as of November 8, 2016 among Winnebago Industries, Inc. (the</w:t>
            </w:r>
          </w:p>
        </w:tc>
      </w:tr>
      <w:tr>
        <w:trPr>
          <w:trHeight w:val="206"/>
        </w:trPr>
        <w:tc>
          <w:tcPr>
            <w:tcW w:w="3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7760" w:type="dxa"/>
            <w:vAlign w:val="bottom"/>
            <w:gridSpan w:val="3"/>
          </w:tcPr>
          <w:p>
            <w:pPr>
              <w:ind w:left="40"/>
              <w:spacing w:after="0" w:line="206" w:lineRule="exact"/>
              <w:rPr>
                <w:sz w:val="20"/>
                <w:szCs w:val="20"/>
                <w:color w:val="auto"/>
              </w:rPr>
            </w:pPr>
            <w:r>
              <w:rPr>
                <w:rFonts w:ascii="Arial" w:cs="Arial" w:eastAsia="Arial" w:hAnsi="Arial"/>
                <w:sz w:val="20"/>
                <w:szCs w:val="20"/>
                <w:color w:val="auto"/>
                <w:w w:val="95"/>
              </w:rPr>
              <w:t>“Company”), Octavius Corporation, the Lenders parties thereto and JPMorgan Chase Bank,</w:t>
            </w:r>
          </w:p>
        </w:tc>
      </w:tr>
      <w:tr>
        <w:trPr>
          <w:trHeight w:val="20"/>
        </w:trPr>
        <w:tc>
          <w:tcPr>
            <w:tcW w:w="3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254"/>
        </w:trPr>
        <w:tc>
          <w:tcPr>
            <w:tcW w:w="3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7760" w:type="dxa"/>
            <w:vAlign w:val="bottom"/>
            <w:gridSpan w:val="3"/>
          </w:tcPr>
          <w:p>
            <w:pPr>
              <w:ind w:left="40"/>
              <w:spacing w:after="0"/>
              <w:rPr>
                <w:sz w:val="20"/>
                <w:szCs w:val="20"/>
                <w:color w:val="auto"/>
              </w:rPr>
            </w:pPr>
            <w:r>
              <w:rPr>
                <w:rFonts w:ascii="Arial" w:cs="Arial" w:eastAsia="Arial" w:hAnsi="Arial"/>
                <w:sz w:val="20"/>
                <w:szCs w:val="20"/>
                <w:color w:val="auto"/>
              </w:rPr>
              <w:t>N.A., as Administrative Agent</w:t>
            </w:r>
          </w:p>
        </w:tc>
      </w:tr>
    </w:tbl>
    <w:p>
      <w:pPr>
        <w:spacing w:after="0" w:line="200" w:lineRule="exact"/>
        <w:rPr>
          <w:sz w:val="20"/>
          <w:szCs w:val="20"/>
          <w:color w:val="auto"/>
        </w:rPr>
      </w:pPr>
    </w:p>
    <w:p>
      <w:pPr>
        <w:spacing w:after="0" w:line="319" w:lineRule="exact"/>
        <w:rPr>
          <w:sz w:val="20"/>
          <w:szCs w:val="20"/>
          <w:color w:val="auto"/>
        </w:rPr>
      </w:pPr>
    </w:p>
    <w:p>
      <w:pPr>
        <w:ind w:left="620" w:hanging="585"/>
        <w:spacing w:after="0"/>
        <w:tabs>
          <w:tab w:leader="none" w:pos="6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Assigned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23241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20" w:hanging="85"/>
        <w:spacing w:after="0"/>
        <w:tabs>
          <w:tab w:leader="none" w:pos="120" w:val="left"/>
        </w:tabs>
        <w:numPr>
          <w:ilvl w:val="0"/>
          <w:numId w:val="168"/>
        </w:numPr>
        <w:rPr>
          <w:rFonts w:ascii="Arial" w:cs="Arial" w:eastAsia="Arial" w:hAnsi="Arial"/>
          <w:sz w:val="22"/>
          <w:szCs w:val="22"/>
          <w:color w:val="auto"/>
          <w:vertAlign w:val="superscript"/>
        </w:rPr>
      </w:pPr>
      <w:r>
        <w:rPr>
          <w:rFonts w:ascii="Arial" w:cs="Arial" w:eastAsia="Arial" w:hAnsi="Arial"/>
          <w:sz w:val="17"/>
          <w:szCs w:val="17"/>
          <w:color w:val="auto"/>
        </w:rPr>
        <w:t>Select as applicable.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141" w:name="page142"/>
    <w:bookmarkEnd w:id="141"/>
    <w:tbl>
      <w:tblPr>
        <w:tblLayout w:type="fixed"/>
        <w:tblInd w:w="10" w:type="dxa"/>
        <w:tblCellMar>
          <w:top w:w="0" w:type="dxa"/>
          <w:left w:w="0" w:type="dxa"/>
          <w:bottom w:w="0" w:type="dxa"/>
          <w:right w:w="0" w:type="dxa"/>
        </w:tblCellMar>
      </w:tblPr>
      <w:tr>
        <w:trPr>
          <w:trHeight w:val="242"/>
        </w:trPr>
        <w:tc>
          <w:tcPr>
            <w:tcW w:w="2900" w:type="dxa"/>
            <w:vAlign w:val="bottom"/>
            <w:tcBorders>
              <w:top w:val="single" w:sz="8" w:color="auto"/>
              <w:left w:val="single" w:sz="8" w:color="auto"/>
              <w:right w:val="single" w:sz="8" w:color="auto"/>
            </w:tcBorders>
          </w:tcPr>
          <w:p>
            <w:pPr>
              <w:spacing w:after="0"/>
              <w:rPr>
                <w:sz w:val="21"/>
                <w:szCs w:val="21"/>
                <w:color w:val="auto"/>
              </w:rPr>
            </w:pP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Aggregate Amount of</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Percentage Assigned</w:t>
            </w:r>
          </w:p>
        </w:tc>
      </w:tr>
      <w:tr>
        <w:trPr>
          <w:trHeight w:val="216"/>
        </w:trPr>
        <w:tc>
          <w:tcPr>
            <w:tcW w:w="2900" w:type="dxa"/>
            <w:vAlign w:val="bottom"/>
            <w:tcBorders>
              <w:left w:val="single" w:sz="8" w:color="auto"/>
              <w:right w:val="single" w:sz="8" w:color="auto"/>
            </w:tcBorders>
          </w:tcPr>
          <w:p>
            <w:pPr>
              <w:spacing w:after="0"/>
              <w:rPr>
                <w:sz w:val="18"/>
                <w:szCs w:val="18"/>
                <w:color w:val="auto"/>
              </w:rPr>
            </w:pP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Commitment/Loans for all</w:t>
            </w:r>
          </w:p>
        </w:tc>
        <w:tc>
          <w:tcPr>
            <w:tcW w:w="2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Commitment/Loans</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of</w:t>
            </w:r>
          </w:p>
        </w:tc>
      </w:tr>
      <w:tr>
        <w:trPr>
          <w:trHeight w:val="257"/>
        </w:trPr>
        <w:tc>
          <w:tcPr>
            <w:tcW w:w="2900" w:type="dxa"/>
            <w:vAlign w:val="bottom"/>
            <w:tcBorders>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18"/>
                <w:szCs w:val="18"/>
                <w:color w:val="auto"/>
              </w:rPr>
              <w:t>Facility Assigned</w:t>
            </w:r>
          </w:p>
        </w:tc>
        <w:tc>
          <w:tcPr>
            <w:tcW w:w="2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Lenders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Assigned</w:t>
            </w:r>
          </w:p>
        </w:tc>
        <w:tc>
          <w:tcPr>
            <w:tcW w:w="284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90"/>
              </w:rPr>
              <w:t>Commitment Loans</w:t>
            </w:r>
            <w:r>
              <w:rPr>
                <w:rFonts w:ascii="Arial" w:cs="Arial" w:eastAsia="Arial" w:hAnsi="Arial"/>
                <w:sz w:val="25"/>
                <w:szCs w:val="25"/>
                <w:color w:val="auto"/>
                <w:w w:val="90"/>
                <w:vertAlign w:val="superscript"/>
              </w:rPr>
              <w:t>2</w:t>
            </w: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79"/>
              </w:rPr>
              <w:t>$</w:t>
            </w:r>
          </w:p>
        </w:tc>
        <w:tc>
          <w:tcPr>
            <w:tcW w:w="286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79"/>
              </w:rPr>
              <w:t>$</w:t>
            </w:r>
          </w:p>
        </w:tc>
        <w:tc>
          <w:tcPr>
            <w:tcW w:w="286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r>
        <w:trPr>
          <w:trHeight w:val="237"/>
        </w:trPr>
        <w:tc>
          <w:tcPr>
            <w:tcW w:w="2900" w:type="dxa"/>
            <w:vAlign w:val="bottom"/>
            <w:tcBorders>
              <w:left w:val="single" w:sz="8" w:color="auto"/>
              <w:right w:val="single" w:sz="8" w:color="auto"/>
            </w:tcBorders>
          </w:tcPr>
          <w:p>
            <w:pPr>
              <w:spacing w:after="0"/>
              <w:rPr>
                <w:sz w:val="20"/>
                <w:szCs w:val="20"/>
                <w:color w:val="auto"/>
              </w:rPr>
            </w:pPr>
          </w:p>
        </w:tc>
        <w:tc>
          <w:tcPr>
            <w:tcW w:w="284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79"/>
              </w:rPr>
              <w:t>$</w:t>
            </w:r>
          </w:p>
        </w:tc>
        <w:tc>
          <w:tcPr>
            <w:tcW w:w="2860" w:type="dxa"/>
            <w:vAlign w:val="bottom"/>
            <w:tcBorders>
              <w:right w:val="single" w:sz="8" w:color="auto"/>
            </w:tcBorders>
          </w:tcPr>
          <w:p>
            <w:pPr>
              <w:jc w:val="right"/>
              <w:ind w:right="2650"/>
              <w:spacing w:after="0"/>
              <w:rPr>
                <w:sz w:val="20"/>
                <w:szCs w:val="20"/>
                <w:color w:val="auto"/>
              </w:rPr>
            </w:pPr>
            <w:r>
              <w:rPr>
                <w:rFonts w:ascii="Arial" w:cs="Arial" w:eastAsia="Arial" w:hAnsi="Arial"/>
                <w:sz w:val="18"/>
                <w:szCs w:val="18"/>
                <w:color w:val="auto"/>
                <w:w w:val="99"/>
              </w:rPr>
              <w: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2900" w:type="dxa"/>
            <w:vAlign w:val="bottom"/>
            <w:tcBorders>
              <w:left w:val="single" w:sz="8" w:color="auto"/>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u w:val="single" w:color="auto"/>
          <w:color w:val="auto"/>
        </w:rPr>
        <w:t>ASSIGNOR</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[NAME OF ASSIGNOR]</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59" w:lineRule="exact"/>
        <w:rPr>
          <w:sz w:val="20"/>
          <w:szCs w:val="20"/>
          <w:color w:val="auto"/>
        </w:rPr>
      </w:pPr>
    </w:p>
    <w:p>
      <w:pPr>
        <w:ind w:left="5520"/>
        <w:spacing w:after="0"/>
        <w:rPr>
          <w:sz w:val="20"/>
          <w:szCs w:val="20"/>
          <w:color w:val="auto"/>
        </w:rPr>
      </w:pPr>
      <w:r>
        <w:rPr>
          <w:rFonts w:ascii="Arial" w:cs="Arial" w:eastAsia="Arial" w:hAnsi="Arial"/>
          <w:sz w:val="20"/>
          <w:szCs w:val="20"/>
          <w:u w:val="single" w:color="auto"/>
          <w:color w:val="auto"/>
        </w:rPr>
        <w:t>ASSIGNEE</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[NAME OF ASSIGNEE]</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Consented to and Accepted: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[Consented to:] </w:t>
      </w:r>
      <w:r>
        <w:rPr>
          <w:rFonts w:ascii="Arial" w:cs="Arial" w:eastAsia="Arial" w:hAnsi="Arial"/>
          <w:sz w:val="25"/>
          <w:szCs w:val="25"/>
          <w:color w:val="auto"/>
          <w:vertAlign w:val="superscript"/>
        </w:rPr>
        <w:t>3</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OCTAVIUS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rPr>
          <w:sz w:val="20"/>
          <w:szCs w:val="20"/>
          <w:color w:val="auto"/>
        </w:rPr>
      </w:pPr>
      <w:r>
        <w:rPr>
          <w:rFonts w:ascii="Arial" w:cs="Arial" w:eastAsia="Arial" w:hAnsi="Arial"/>
          <w:sz w:val="20"/>
          <w:szCs w:val="20"/>
          <w:color w:val="auto"/>
        </w:rPr>
        <w:t>Title:</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ind w:left="100" w:hanging="92"/>
        <w:spacing w:after="0" w:line="213" w:lineRule="auto"/>
        <w:tabs>
          <w:tab w:leader="none" w:pos="100" w:val="left"/>
        </w:tabs>
        <w:numPr>
          <w:ilvl w:val="0"/>
          <w:numId w:val="169"/>
        </w:numPr>
        <w:rPr>
          <w:rFonts w:ascii="Arial" w:cs="Arial" w:eastAsia="Arial" w:hAnsi="Arial"/>
          <w:sz w:val="24"/>
          <w:szCs w:val="24"/>
          <w:color w:val="auto"/>
          <w:vertAlign w:val="superscript"/>
        </w:rPr>
      </w:pPr>
      <w:r>
        <w:rPr>
          <w:rFonts w:ascii="Arial" w:cs="Arial" w:eastAsia="Arial" w:hAnsi="Arial"/>
          <w:sz w:val="19"/>
          <w:szCs w:val="19"/>
          <w:color w:val="auto"/>
        </w:rPr>
        <w:t>Set forth, to at least 9 decimals, as a percentage of the Commitment/Loans of all Lenders thereunder.</w:t>
      </w:r>
    </w:p>
    <w:p>
      <w:pPr>
        <w:spacing w:after="0"/>
        <w:rPr>
          <w:rFonts w:ascii="Arial" w:cs="Arial" w:eastAsia="Arial" w:hAnsi="Arial"/>
          <w:sz w:val="24"/>
          <w:szCs w:val="24"/>
          <w:color w:val="auto"/>
          <w:vertAlign w:val="superscript"/>
        </w:rPr>
      </w:pPr>
      <w:r>
        <w:rPr>
          <w:rFonts w:ascii="Arial" w:cs="Arial" w:eastAsia="Arial" w:hAnsi="Arial"/>
          <w:sz w:val="25"/>
          <w:szCs w:val="25"/>
          <w:color w:val="auto"/>
          <w:vertAlign w:val="superscript"/>
        </w:rPr>
        <w:t>3</w:t>
      </w:r>
      <w:r>
        <w:rPr>
          <w:rFonts w:ascii="Arial" w:cs="Arial" w:eastAsia="Arial" w:hAnsi="Arial"/>
          <w:sz w:val="20"/>
          <w:szCs w:val="20"/>
          <w:color w:val="auto"/>
        </w:rPr>
        <w:t xml:space="preserve"> To be added only if the consent of the Borrower is required by the terms of the Credit Agreement.</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40"/>
          </w:cols>
          <w:pgMar w:left="240" w:top="943"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20"/>
          <w:szCs w:val="20"/>
          <w:color w:val="auto"/>
        </w:rPr>
        <w:t>ANNEX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ind w:left="1500" w:hanging="195"/>
        <w:spacing w:after="0"/>
        <w:tabs>
          <w:tab w:leader="none" w:pos="1500"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w:t>
      </w:r>
    </w:p>
    <w:p>
      <w:pPr>
        <w:spacing w:after="0" w:line="39" w:lineRule="exact"/>
        <w:rPr>
          <w:sz w:val="20"/>
          <w:szCs w:val="20"/>
          <w:color w:val="auto"/>
        </w:rPr>
      </w:pPr>
    </w:p>
    <w:p>
      <w:pPr>
        <w:jc w:val="both"/>
        <w:ind w:firstLine="8"/>
        <w:spacing w:after="0" w:line="255" w:lineRule="auto"/>
        <w:tabs>
          <w:tab w:leader="none" w:pos="31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Loan Agreement, (ii) it satisfies the requirements, if any, specified in the Loan Agreement that are required to be satisfied by it in order to acquire the Assigned Interest and become a Lender, (iii) from and after the Effective Date, it shall be bound by the provisions of the Loan Agreement as a Lender thereunder and, to the extent of the Assigned Interest, shall have the obligations of a Lender thereunder, (iv) it has received a copy of the Loan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Loan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0" w:lineRule="exact"/>
        <w:rPr>
          <w:sz w:val="20"/>
          <w:szCs w:val="20"/>
          <w:color w:val="auto"/>
        </w:rPr>
      </w:pPr>
    </w:p>
    <w:p>
      <w:pPr>
        <w:jc w:val="both"/>
        <w:ind w:firstLine="1305"/>
        <w:spacing w:after="0" w:line="269" w:lineRule="auto"/>
        <w:tabs>
          <w:tab w:leader="none" w:pos="1494"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0" w:lineRule="exact"/>
        <w:rPr>
          <w:rFonts w:ascii="Arial" w:cs="Arial" w:eastAsia="Arial" w:hAnsi="Arial"/>
          <w:sz w:val="19"/>
          <w:szCs w:val="19"/>
          <w:color w:val="auto"/>
        </w:rPr>
      </w:pPr>
    </w:p>
    <w:p>
      <w:pPr>
        <w:jc w:val="both"/>
        <w:ind w:firstLine="1305"/>
        <w:spacing w:after="0" w:line="244" w:lineRule="auto"/>
        <w:tabs>
          <w:tab w:leader="none" w:pos="1494"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11" w:right="239" w:bottom="1440" w:gutter="0" w:footer="0" w:header="0"/>
        </w:sectPr>
      </w:pPr>
    </w:p>
    <w:bookmarkStart w:id="143" w:name="page144"/>
    <w:bookmarkEnd w:id="143"/>
    <w:p>
      <w:pPr>
        <w:spacing w:after="0" w:line="260" w:lineRule="auto"/>
        <w:rPr>
          <w:sz w:val="20"/>
          <w:szCs w:val="20"/>
          <w:color w:val="auto"/>
        </w:rPr>
      </w:pPr>
      <w:r>
        <w:rPr>
          <w:rFonts w:ascii="Arial" w:cs="Arial" w:eastAsia="Arial" w:hAnsi="Arial"/>
          <w:sz w:val="20"/>
          <w:szCs w:val="20"/>
          <w:color w:val="auto"/>
        </w:rPr>
        <w:t>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12" w:right="239" w:bottom="1440" w:gutter="0" w:footer="0" w:header="0"/>
        </w:sectPr>
      </w:pPr>
    </w:p>
    <w:bookmarkStart w:id="144" w:name="page145"/>
    <w:bookmarkEnd w:id="144"/>
    <w:p>
      <w:pPr>
        <w:jc w:val="center"/>
        <w:ind w:right="-20"/>
        <w:spacing w:after="0"/>
        <w:rPr>
          <w:sz w:val="20"/>
          <w:szCs w:val="20"/>
          <w:color w:val="auto"/>
        </w:rPr>
      </w:pPr>
      <w:r>
        <w:rPr>
          <w:rFonts w:ascii="Arial" w:cs="Arial" w:eastAsia="Arial" w:hAnsi="Arial"/>
          <w:sz w:val="20"/>
          <w:szCs w:val="20"/>
          <w:color w:val="auto"/>
        </w:rPr>
        <w:t>EXHIBIT B</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[INTENTIONALLY OMITTED]</w:t>
      </w:r>
    </w:p>
    <w:p>
      <w:pPr>
        <w:sectPr>
          <w:pgSz w:w="11900" w:h="16838" w:orient="portrait"/>
          <w:cols w:equalWidth="0" w:num="1">
            <w:col w:w="9019"/>
          </w:cols>
          <w:pgMar w:left="1440" w:top="811"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COMPLIANCE CERTIFICATE</w:t>
      </w:r>
    </w:p>
    <w:p>
      <w:pPr>
        <w:sectPr>
          <w:pgSz w:w="11900" w:h="16838" w:orient="portrait"/>
          <w:cols w:equalWidth="0" w:num="1">
            <w:col w:w="11420"/>
          </w:cols>
          <w:pgMar w:left="240" w:top="811"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Lenders parties to the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Agreement Described Below</w:t>
      </w:r>
    </w:p>
    <w:p>
      <w:pPr>
        <w:spacing w:after="0" w:line="200" w:lineRule="exact"/>
        <w:rPr>
          <w:sz w:val="20"/>
          <w:szCs w:val="20"/>
          <w:color w:val="auto"/>
        </w:rPr>
      </w:pPr>
    </w:p>
    <w:p>
      <w:pPr>
        <w:sectPr>
          <w:pgSz w:w="11900" w:h="16838" w:orient="portrait"/>
          <w:cols w:equalWidth="0" w:num="2">
            <w:col w:w="260" w:space="400"/>
            <w:col w:w="10760"/>
          </w:cols>
          <w:pgMar w:left="240" w:top="811" w:right="239" w:bottom="1440" w:gutter="0" w:footer="0" w:header="0"/>
          <w:type w:val="continuous"/>
        </w:sectPr>
      </w:pPr>
    </w:p>
    <w:p>
      <w:pPr>
        <w:spacing w:after="0" w:line="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This Compliance Certificate is furnished pursuant to that certain Loan Agreement, dated as of November 8, 2016 (as amended, restated, supplemented or otherwise modified from time to time, the “</w:t>
      </w:r>
      <w:r>
        <w:rPr>
          <w:rFonts w:ascii="Arial" w:cs="Arial" w:eastAsia="Arial" w:hAnsi="Arial"/>
          <w:sz w:val="20"/>
          <w:szCs w:val="20"/>
          <w:u w:val="single" w:color="auto"/>
          <w:color w:val="auto"/>
        </w:rPr>
        <w:t>Agreement</w:t>
      </w:r>
      <w:r>
        <w:rPr>
          <w:rFonts w:ascii="Arial" w:cs="Arial" w:eastAsia="Arial" w:hAnsi="Arial"/>
          <w:sz w:val="20"/>
          <w:szCs w:val="20"/>
          <w:color w:val="auto"/>
        </w:rPr>
        <w:t>”), among Winnebago Industries, Inc. (the “</w:t>
      </w:r>
      <w:r>
        <w:rPr>
          <w:rFonts w:ascii="Arial" w:cs="Arial" w:eastAsia="Arial" w:hAnsi="Arial"/>
          <w:sz w:val="20"/>
          <w:szCs w:val="20"/>
          <w:u w:val="single" w:color="auto"/>
          <w:color w:val="auto"/>
        </w:rPr>
        <w:t>Company</w:t>
      </w:r>
      <w:r>
        <w:rPr>
          <w:rFonts w:ascii="Arial" w:cs="Arial" w:eastAsia="Arial" w:hAnsi="Arial"/>
          <w:sz w:val="20"/>
          <w:szCs w:val="20"/>
          <w:color w:val="auto"/>
        </w:rPr>
        <w:t>”), Octavius Corporation, as Borrower, the other Loan Parties from time to time party thereto, the Lenders from time to time party thereto and JPMorgan Chase Bank, N.A., as Administrative Agent. Unless otherwise defined herein, capitalized terms used in this Compliance Certificate have the meanings ascribed thereto in the Agreement.</w:t>
      </w:r>
    </w:p>
    <w:p>
      <w:pPr>
        <w:spacing w:after="0" w:line="20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UNDERSIGNED HEREBY CERTIFIES, ON ITS BEHALF, SOLELY IN SUCH PERSON’S CAPACITY AS AN OFFICER OF THE COMPANY AND NOT IN AN INDIVIDUAL CAPACITY, THAT:</w:t>
      </w:r>
    </w:p>
    <w:p>
      <w:pPr>
        <w:spacing w:after="0" w:line="190" w:lineRule="exact"/>
        <w:rPr>
          <w:sz w:val="20"/>
          <w:szCs w:val="20"/>
          <w:color w:val="auto"/>
        </w:rPr>
      </w:pPr>
    </w:p>
    <w:p>
      <w:pPr>
        <w:ind w:left="1660" w:hanging="355"/>
        <w:spacing w:after="0"/>
        <w:tabs>
          <w:tab w:leader="none" w:pos="166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 xml:space="preserve">I am the duly elected </w:t>
      </w:r>
      <w:r>
        <w:rPr>
          <w:rFonts w:ascii="Arial" w:cs="Arial" w:eastAsia="Arial" w:hAnsi="Arial"/>
          <w:sz w:val="20"/>
          <w:szCs w:val="20"/>
          <w:u w:val="single" w:color="auto"/>
          <w:color w:val="auto"/>
        </w:rPr>
        <w:t>[__________]</w:t>
      </w:r>
      <w:r>
        <w:rPr>
          <w:rFonts w:ascii="Arial" w:cs="Arial" w:eastAsia="Arial" w:hAnsi="Arial"/>
          <w:sz w:val="20"/>
          <w:szCs w:val="20"/>
          <w:color w:val="auto"/>
        </w:rPr>
        <w:t xml:space="preserve"> of the Company;</w:t>
      </w:r>
    </w:p>
    <w:p>
      <w:pPr>
        <w:spacing w:after="0" w:line="215" w:lineRule="exact"/>
        <w:rPr>
          <w:rFonts w:ascii="Arial" w:cs="Arial" w:eastAsia="Arial" w:hAnsi="Arial"/>
          <w:sz w:val="20"/>
          <w:szCs w:val="20"/>
          <w:color w:val="auto"/>
        </w:rPr>
      </w:pPr>
    </w:p>
    <w:p>
      <w:pPr>
        <w:jc w:val="both"/>
        <w:ind w:firstLine="1305"/>
        <w:spacing w:after="0" w:line="278" w:lineRule="auto"/>
        <w:tabs>
          <w:tab w:leader="none" w:pos="1683"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 have reviewed the terms of the Loan Agreement and I have made, or have caused to be made under my supervision, a detailed review of the transactions and conditions of the Company and its Subsidiaries during the accounting period covered by the attached financial statements [</w:t>
      </w:r>
      <w:r>
        <w:rPr>
          <w:rFonts w:ascii="Arial" w:cs="Arial" w:eastAsia="Arial" w:hAnsi="Arial"/>
          <w:sz w:val="18"/>
          <w:szCs w:val="18"/>
          <w:b w:val="1"/>
          <w:bCs w:val="1"/>
          <w:color w:val="auto"/>
        </w:rPr>
        <w:t>for quarterly financial statements add</w:t>
      </w:r>
      <w:r>
        <w:rPr>
          <w:rFonts w:ascii="Arial" w:cs="Arial" w:eastAsia="Arial" w:hAnsi="Arial"/>
          <w:sz w:val="18"/>
          <w:szCs w:val="18"/>
          <w:color w:val="auto"/>
        </w:rPr>
        <w:t>: and such financial statements present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65" w:lineRule="exact"/>
        <w:rPr>
          <w:rFonts w:ascii="Arial" w:cs="Arial" w:eastAsia="Arial" w:hAnsi="Arial"/>
          <w:sz w:val="18"/>
          <w:szCs w:val="18"/>
          <w:color w:val="auto"/>
        </w:rPr>
      </w:pPr>
    </w:p>
    <w:p>
      <w:pPr>
        <w:jc w:val="both"/>
        <w:ind w:firstLine="1305"/>
        <w:spacing w:after="0" w:line="263" w:lineRule="auto"/>
        <w:tabs>
          <w:tab w:leader="none" w:pos="1670" w:val="left"/>
        </w:tabs>
        <w:numPr>
          <w:ilvl w:val="1"/>
          <w:numId w:val="173"/>
        </w:numPr>
        <w:rPr>
          <w:rFonts w:ascii="Arial" w:cs="Arial" w:eastAsia="Arial" w:hAnsi="Arial"/>
          <w:sz w:val="19"/>
          <w:szCs w:val="19"/>
          <w:color w:val="auto"/>
        </w:rPr>
      </w:pPr>
      <w:r>
        <w:rPr>
          <w:rFonts w:ascii="Arial" w:cs="Arial" w:eastAsia="Arial" w:hAnsi="Arial"/>
          <w:sz w:val="19"/>
          <w:szCs w:val="19"/>
          <w:color w:val="auto"/>
        </w:rPr>
        <w:t xml:space="preserve">The examinations described in </w:t>
      </w:r>
      <w:r>
        <w:rPr>
          <w:rFonts w:ascii="Arial" w:cs="Arial" w:eastAsia="Arial" w:hAnsi="Arial"/>
          <w:sz w:val="19"/>
          <w:szCs w:val="19"/>
          <w:u w:val="single" w:color="auto"/>
          <w:color w:val="auto"/>
        </w:rPr>
        <w:t>paragraph 2</w:t>
      </w:r>
      <w:r>
        <w:rPr>
          <w:rFonts w:ascii="Arial" w:cs="Arial" w:eastAsia="Arial" w:hAnsi="Arial"/>
          <w:sz w:val="19"/>
          <w:szCs w:val="19"/>
          <w:color w:val="auto"/>
        </w:rPr>
        <w:t xml:space="preserve">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Loan Agreement; and</w:t>
      </w:r>
    </w:p>
    <w:p>
      <w:pPr>
        <w:spacing w:after="0" w:line="176" w:lineRule="exact"/>
        <w:rPr>
          <w:rFonts w:ascii="Arial" w:cs="Arial" w:eastAsia="Arial" w:hAnsi="Arial"/>
          <w:sz w:val="19"/>
          <w:szCs w:val="19"/>
          <w:color w:val="auto"/>
        </w:rPr>
      </w:pPr>
    </w:p>
    <w:p>
      <w:pPr>
        <w:ind w:left="1660" w:hanging="355"/>
        <w:spacing w:after="0"/>
        <w:tabs>
          <w:tab w:leader="none" w:pos="166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 hereby certify that no Loan Party has changed (i) its name, (ii) its chief executive office, (iii) principal place of business,</w:t>
      </w:r>
    </w:p>
    <w:p>
      <w:pPr>
        <w:spacing w:after="0" w:line="38" w:lineRule="exact"/>
        <w:rPr>
          <w:rFonts w:ascii="Arial" w:cs="Arial" w:eastAsia="Arial" w:hAnsi="Arial"/>
          <w:sz w:val="18"/>
          <w:szCs w:val="18"/>
          <w:color w:val="auto"/>
        </w:rPr>
      </w:pPr>
    </w:p>
    <w:p>
      <w:pPr>
        <w:ind w:right="20" w:firstLine="8"/>
        <w:spacing w:after="0" w:line="244" w:lineRule="auto"/>
        <w:tabs>
          <w:tab w:leader="none" w:pos="339" w:val="left"/>
        </w:tabs>
        <w:numPr>
          <w:ilvl w:val="0"/>
          <w:numId w:val="174"/>
        </w:numPr>
        <w:rPr>
          <w:rFonts w:ascii="Arial" w:cs="Arial" w:eastAsia="Arial" w:hAnsi="Arial"/>
          <w:sz w:val="20"/>
          <w:szCs w:val="20"/>
          <w:color w:val="auto"/>
        </w:rPr>
      </w:pPr>
      <w:r>
        <w:rPr>
          <w:rFonts w:ascii="Arial" w:cs="Arial" w:eastAsia="Arial" w:hAnsi="Arial"/>
          <w:sz w:val="20"/>
          <w:szCs w:val="20"/>
          <w:color w:val="auto"/>
        </w:rPr>
        <w:t>the type of entity it is or (v) its state of incorporation or organization without having given the Administrative Agent the notice required by Section 4.15 of the Security Agreement;</w:t>
      </w:r>
    </w:p>
    <w:p>
      <w:pPr>
        <w:spacing w:after="0" w:line="191" w:lineRule="exact"/>
        <w:rPr>
          <w:rFonts w:ascii="Arial" w:cs="Arial" w:eastAsia="Arial" w:hAnsi="Arial"/>
          <w:sz w:val="20"/>
          <w:szCs w:val="20"/>
          <w:color w:val="auto"/>
        </w:rPr>
      </w:pPr>
    </w:p>
    <w:p>
      <w:pPr>
        <w:jc w:val="both"/>
        <w:ind w:firstLine="1305"/>
        <w:spacing w:after="0" w:line="259" w:lineRule="auto"/>
        <w:tabs>
          <w:tab w:leader="none" w:pos="1697" w:val="left"/>
        </w:tabs>
        <w:numPr>
          <w:ilvl w:val="1"/>
          <w:numId w:val="1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sets forth financial data and computations evidencing the Company’s calculations of Excess Cash Flow, all of which data and computations are true, complete and correct.] To be included only in compliance certificates attaching financial statements ending as of any fiscal year.]</w:t>
      </w:r>
      <w:r>
        <w:rPr>
          <w:rFonts w:ascii="Arial" w:cs="Arial" w:eastAsia="Arial" w:hAnsi="Arial"/>
          <w:sz w:val="25"/>
          <w:szCs w:val="25"/>
          <w:color w:val="auto"/>
          <w:vertAlign w:val="superscript"/>
        </w:rPr>
        <w:t>1</w:t>
      </w:r>
    </w:p>
    <w:p>
      <w:pPr>
        <w:spacing w:after="0" w:line="98" w:lineRule="exact"/>
        <w:rPr>
          <w:rFonts w:ascii="Arial" w:cs="Arial" w:eastAsia="Arial" w:hAnsi="Arial"/>
          <w:sz w:val="20"/>
          <w:szCs w:val="20"/>
          <w:color w:val="auto"/>
        </w:rPr>
      </w:pPr>
    </w:p>
    <w:p>
      <w:pPr>
        <w:jc w:val="both"/>
        <w:ind w:firstLine="1305"/>
        <w:spacing w:after="0" w:line="291" w:lineRule="auto"/>
        <w:tabs>
          <w:tab w:leader="none" w:pos="1737"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attached hereto sets forth the amount of the Available Amount utilized for Investments made pursuant to Section 6.04(cc), Restricted Payments made pursuant to clause (g)(ii)(C) of Section 6.09, or payments made of or in respect of Subordinated Indebtedness pursuant to Section 6.10(a)(v), in each case, during the most recent fiscal quarter included in the attached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12" w:lineRule="exact"/>
        <w:rPr>
          <w:sz w:val="20"/>
          <w:szCs w:val="20"/>
          <w:color w:val="auto"/>
        </w:rPr>
      </w:pPr>
    </w:p>
    <w:p>
      <w:pPr>
        <w:ind w:left="5660" w:right="2980" w:hanging="5652"/>
        <w:spacing w:after="0" w:line="441" w:lineRule="auto"/>
        <w:tabs>
          <w:tab w:leader="none" w:pos="116" w:val="left"/>
        </w:tabs>
        <w:numPr>
          <w:ilvl w:val="0"/>
          <w:numId w:val="175"/>
        </w:numPr>
        <w:rPr>
          <w:rFonts w:ascii="Arial" w:cs="Arial" w:eastAsia="Arial" w:hAnsi="Arial"/>
          <w:sz w:val="25"/>
          <w:szCs w:val="25"/>
          <w:color w:val="auto"/>
          <w:vertAlign w:val="superscript"/>
        </w:rPr>
      </w:pPr>
      <w:r>
        <w:rPr>
          <w:rFonts w:ascii="Arial" w:cs="Arial" w:eastAsia="Arial" w:hAnsi="Arial"/>
          <w:sz w:val="20"/>
          <w:szCs w:val="20"/>
          <w:color w:val="auto"/>
        </w:rPr>
        <w:t>To be included only in compliance certificates attaching financial statements ending as of any fiscal year. 1</w:t>
      </w:r>
    </w:p>
    <w:p>
      <w:pPr>
        <w:sectPr>
          <w:pgSz w:w="11900" w:h="16838" w:orient="portrait"/>
          <w:cols w:equalWidth="0" w:num="1">
            <w:col w:w="11420"/>
          </w:cols>
          <w:pgMar w:left="240" w:top="811" w:right="239" w:bottom="1440" w:gutter="0" w:footer="0" w:header="0"/>
          <w:type w:val="continuous"/>
        </w:sectPr>
      </w:pPr>
    </w:p>
    <w:bookmarkStart w:id="146" w:name="page147"/>
    <w:bookmarkEnd w:id="146"/>
    <w:p>
      <w:pPr>
        <w:jc w:val="both"/>
        <w:spacing w:after="0" w:line="269" w:lineRule="auto"/>
        <w:rPr>
          <w:sz w:val="20"/>
          <w:szCs w:val="20"/>
          <w:color w:val="auto"/>
        </w:rPr>
      </w:pPr>
      <w:r>
        <w:rPr>
          <w:rFonts w:ascii="Arial" w:cs="Arial" w:eastAsia="Arial" w:hAnsi="Arial"/>
          <w:sz w:val="19"/>
          <w:szCs w:val="19"/>
          <w:color w:val="auto"/>
        </w:rPr>
        <w:t xml:space="preserve">Described below are the exceptions, if any, to </w:t>
      </w:r>
      <w:r>
        <w:rPr>
          <w:rFonts w:ascii="Arial" w:cs="Arial" w:eastAsia="Arial" w:hAnsi="Arial"/>
          <w:sz w:val="19"/>
          <w:szCs w:val="19"/>
          <w:u w:val="single" w:color="auto"/>
          <w:color w:val="auto"/>
        </w:rPr>
        <w:t>paragraph 3</w:t>
      </w:r>
      <w:r>
        <w:rPr>
          <w:rFonts w:ascii="Arial" w:cs="Arial" w:eastAsia="Arial" w:hAnsi="Arial"/>
          <w:sz w:val="19"/>
          <w:szCs w:val="19"/>
          <w:color w:val="auto"/>
        </w:rPr>
        <w:t xml:space="preserve"> by listing, in detail, the (i) nature of the condition or event, the period during which it has existed and the action which the Company has taken, is taking, or proposes to take with respect to each such condition or event or (i) the change in GAAP or the application thereof and the effect of such change on the attached financial statements: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147" w:name="page148"/>
    <w:bookmarkEnd w:id="147"/>
    <w:p>
      <w:pPr>
        <w:ind w:firstLine="1297"/>
        <w:spacing w:after="0" w:line="287" w:lineRule="auto"/>
        <w:rPr>
          <w:sz w:val="20"/>
          <w:szCs w:val="20"/>
          <w:color w:val="auto"/>
        </w:rPr>
      </w:pPr>
      <w:r>
        <w:rPr>
          <w:rFonts w:ascii="Arial" w:cs="Arial" w:eastAsia="Arial" w:hAnsi="Arial"/>
          <w:sz w:val="19"/>
          <w:szCs w:val="19"/>
          <w:color w:val="auto"/>
        </w:rPr>
        <w:t xml:space="preserve">The foregoing certifications, together with the computations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and the financial statements delivered with this Certificate in support hereof, are made and delivered this _____ day of __________, 20___.</w:t>
      </w:r>
    </w:p>
    <w:p>
      <w:pPr>
        <w:spacing w:after="0" w:line="315"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INDUSTRIES, INC.</w:t>
      </w:r>
    </w:p>
    <w:p>
      <w:pPr>
        <w:spacing w:after="0" w:line="378"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00"/>
          </w:cols>
          <w:pgMar w:left="240" w:top="1257" w:right="259" w:bottom="1440" w:gutter="0" w:footer="0" w:header="0"/>
        </w:sectPr>
      </w:pPr>
    </w:p>
    <w:bookmarkStart w:id="148" w:name="page149"/>
    <w:bookmarkEnd w:id="148"/>
    <w:p>
      <w:pPr>
        <w:jc w:val="center"/>
        <w:spacing w:after="0"/>
        <w:rPr>
          <w:sz w:val="20"/>
          <w:szCs w:val="20"/>
          <w:color w:val="auto"/>
        </w:rPr>
      </w:pPr>
      <w:r>
        <w:rPr>
          <w:rFonts w:ascii="Arial" w:cs="Arial" w:eastAsia="Arial" w:hAnsi="Arial"/>
          <w:sz w:val="20"/>
          <w:szCs w:val="20"/>
          <w:color w:val="auto"/>
        </w:rPr>
        <w:t>EXHIBIT 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CLOSING DOCUMENTS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LOAN FACILITY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8,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CLOSING DOCUMENTS</w:t>
      </w:r>
      <w:r>
        <w:rPr>
          <w:rFonts w:ascii="Arial" w:cs="Arial" w:eastAsia="Arial" w:hAnsi="Arial"/>
          <w:sz w:val="25"/>
          <w:szCs w:val="25"/>
          <w:color w:val="auto"/>
          <w:vertAlign w:val="superscript"/>
        </w:rPr>
        <w:t>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LOAN DOCUMENTS</w:t>
      </w:r>
    </w:p>
    <w:p>
      <w:pPr>
        <w:spacing w:after="0" w:line="222" w:lineRule="exact"/>
        <w:rPr>
          <w:sz w:val="20"/>
          <w:szCs w:val="20"/>
          <w:color w:val="auto"/>
        </w:rPr>
      </w:pPr>
    </w:p>
    <w:p>
      <w:pPr>
        <w:jc w:val="both"/>
        <w:ind w:left="660" w:hanging="652"/>
        <w:spacing w:after="0" w:line="282" w:lineRule="auto"/>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Loan Agreement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Winnebago Industries, Inc., an Iowa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Octavius Corporation, as Borrower, the other Loan Parties from time to time parties thereto, the institutions from time to time parties thereto as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and JPMorgan Chase Bank, N.A. (“</w:t>
      </w:r>
      <w:r>
        <w:rPr>
          <w:rFonts w:ascii="Arial" w:cs="Arial" w:eastAsia="Arial" w:hAnsi="Arial"/>
          <w:sz w:val="18"/>
          <w:szCs w:val="18"/>
          <w:u w:val="single" w:color="auto"/>
          <w:color w:val="auto"/>
        </w:rPr>
        <w:t>JPMorgan</w:t>
      </w:r>
      <w:r>
        <w:rPr>
          <w:rFonts w:ascii="Arial" w:cs="Arial" w:eastAsia="Arial" w:hAnsi="Arial"/>
          <w:sz w:val="18"/>
          <w:szCs w:val="18"/>
          <w:color w:val="auto"/>
        </w:rPr>
        <w:t>”), in its capacity as Administrative Agent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evidencing a term loan B facility to the Borrower from the Lenders in an initial aggregate principal amount of $300,000,000.</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50"/>
        </w:trPr>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780" w:type="dxa"/>
            <w:vAlign w:val="bottom"/>
          </w:tcPr>
          <w:p>
            <w:pPr>
              <w:jc w:val="center"/>
              <w:ind w:left="2541"/>
              <w:spacing w:after="0"/>
              <w:rPr>
                <w:sz w:val="20"/>
                <w:szCs w:val="20"/>
                <w:color w:val="auto"/>
              </w:rPr>
            </w:pPr>
            <w:r>
              <w:rPr>
                <w:rFonts w:ascii="Arial" w:cs="Arial" w:eastAsia="Arial" w:hAnsi="Arial"/>
                <w:sz w:val="20"/>
                <w:szCs w:val="20"/>
                <w:color w:val="auto"/>
                <w:w w:val="93"/>
              </w:rPr>
              <w:t>SCHEDULES</w:t>
            </w:r>
          </w:p>
        </w:tc>
      </w:tr>
      <w:tr>
        <w:trPr>
          <w:trHeight w:val="425"/>
        </w:trPr>
        <w:tc>
          <w:tcPr>
            <w:tcW w:w="1840" w:type="dxa"/>
            <w:vAlign w:val="bottom"/>
            <w:gridSpan w:val="3"/>
          </w:tcPr>
          <w:p>
            <w:pPr>
              <w:spacing w:after="0"/>
              <w:rPr>
                <w:sz w:val="20"/>
                <w:szCs w:val="20"/>
                <w:color w:val="auto"/>
              </w:rPr>
            </w:pPr>
            <w:r>
              <w:rPr>
                <w:rFonts w:ascii="Arial" w:cs="Arial" w:eastAsia="Arial" w:hAnsi="Arial"/>
                <w:sz w:val="20"/>
                <w:szCs w:val="20"/>
                <w:color w:val="auto"/>
                <w:w w:val="89"/>
              </w:rPr>
              <w:t>Commitment Schedule</w:t>
            </w:r>
          </w:p>
        </w:tc>
        <w:tc>
          <w:tcPr>
            <w:tcW w:w="378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3.15</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80"/>
              <w:spacing w:after="0"/>
              <w:rPr>
                <w:sz w:val="20"/>
                <w:szCs w:val="20"/>
                <w:color w:val="auto"/>
              </w:rPr>
            </w:pPr>
            <w:r>
              <w:rPr>
                <w:rFonts w:ascii="Arial" w:cs="Arial" w:eastAsia="Arial" w:hAnsi="Arial"/>
                <w:sz w:val="20"/>
                <w:szCs w:val="20"/>
                <w:b w:val="1"/>
                <w:bCs w:val="1"/>
                <w:i w:val="1"/>
                <w:iCs w:val="1"/>
                <w:color w:val="auto"/>
              </w:rPr>
              <w:t>Capitalization and Subsidiaries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3.18</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80"/>
              <w:spacing w:after="0"/>
              <w:rPr>
                <w:sz w:val="20"/>
                <w:szCs w:val="20"/>
                <w:color w:val="auto"/>
              </w:rPr>
            </w:pPr>
            <w:r>
              <w:rPr>
                <w:rFonts w:ascii="Arial" w:cs="Arial" w:eastAsia="Arial" w:hAnsi="Arial"/>
                <w:sz w:val="20"/>
                <w:szCs w:val="20"/>
                <w:b w:val="1"/>
                <w:bCs w:val="1"/>
                <w:i w:val="1"/>
                <w:iCs w:val="1"/>
                <w:color w:val="auto"/>
              </w:rPr>
              <w:t>Insurance</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6.01</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140"/>
              <w:spacing w:after="0"/>
              <w:rPr>
                <w:sz w:val="20"/>
                <w:szCs w:val="20"/>
                <w:color w:val="auto"/>
              </w:rPr>
            </w:pPr>
            <w:r>
              <w:rPr>
                <w:rFonts w:ascii="Arial" w:cs="Arial" w:eastAsia="Arial" w:hAnsi="Arial"/>
                <w:sz w:val="20"/>
                <w:szCs w:val="20"/>
                <w:b w:val="1"/>
                <w:bCs w:val="1"/>
                <w:i w:val="1"/>
                <w:iCs w:val="1"/>
                <w:color w:val="auto"/>
              </w:rPr>
              <w:t>Existing Indebtedness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6.02</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80"/>
              <w:spacing w:after="0"/>
              <w:rPr>
                <w:sz w:val="20"/>
                <w:szCs w:val="20"/>
                <w:color w:val="auto"/>
              </w:rPr>
            </w:pPr>
            <w:r>
              <w:rPr>
                <w:rFonts w:ascii="Arial" w:cs="Arial" w:eastAsia="Arial" w:hAnsi="Arial"/>
                <w:sz w:val="20"/>
                <w:szCs w:val="20"/>
                <w:b w:val="1"/>
                <w:bCs w:val="1"/>
                <w:i w:val="1"/>
                <w:iCs w:val="1"/>
                <w:color w:val="auto"/>
              </w:rPr>
              <w:t>Existing Liens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6.04</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140"/>
              <w:spacing w:after="0"/>
              <w:rPr>
                <w:sz w:val="20"/>
                <w:szCs w:val="20"/>
                <w:color w:val="auto"/>
              </w:rPr>
            </w:pPr>
            <w:r>
              <w:rPr>
                <w:rFonts w:ascii="Arial" w:cs="Arial" w:eastAsia="Arial" w:hAnsi="Arial"/>
                <w:sz w:val="20"/>
                <w:szCs w:val="20"/>
                <w:b w:val="1"/>
                <w:bCs w:val="1"/>
                <w:i w:val="1"/>
                <w:iCs w:val="1"/>
                <w:color w:val="auto"/>
              </w:rPr>
              <w:t>Existing Investments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6.05</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140"/>
              <w:spacing w:after="0"/>
              <w:rPr>
                <w:sz w:val="20"/>
                <w:szCs w:val="20"/>
                <w:color w:val="auto"/>
              </w:rPr>
            </w:pPr>
            <w:r>
              <w:rPr>
                <w:rFonts w:ascii="Arial" w:cs="Arial" w:eastAsia="Arial" w:hAnsi="Arial"/>
                <w:sz w:val="20"/>
                <w:szCs w:val="20"/>
                <w:b w:val="1"/>
                <w:bCs w:val="1"/>
                <w:i w:val="1"/>
                <w:iCs w:val="1"/>
                <w:color w:val="auto"/>
              </w:rPr>
              <w:t>Dispositions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6.08</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140"/>
              <w:spacing w:after="0"/>
              <w:rPr>
                <w:sz w:val="20"/>
                <w:szCs w:val="20"/>
                <w:color w:val="auto"/>
              </w:rPr>
            </w:pPr>
            <w:r>
              <w:rPr>
                <w:rFonts w:ascii="Arial" w:cs="Arial" w:eastAsia="Arial" w:hAnsi="Arial"/>
                <w:sz w:val="20"/>
                <w:szCs w:val="20"/>
                <w:b w:val="1"/>
                <w:bCs w:val="1"/>
                <w:i w:val="1"/>
                <w:iCs w:val="1"/>
                <w:color w:val="auto"/>
              </w:rPr>
              <w:t>Transactions with Affiliates</w:t>
            </w:r>
          </w:p>
        </w:tc>
      </w:tr>
      <w:tr>
        <w:trPr>
          <w:trHeight w:val="25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6.11</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4100" w:type="dxa"/>
            <w:vAlign w:val="bottom"/>
            <w:gridSpan w:val="2"/>
          </w:tcPr>
          <w:p>
            <w:pPr>
              <w:ind w:left="80"/>
              <w:spacing w:after="0"/>
              <w:rPr>
                <w:sz w:val="20"/>
                <w:szCs w:val="20"/>
                <w:color w:val="auto"/>
              </w:rPr>
            </w:pPr>
            <w:r>
              <w:rPr>
                <w:rFonts w:ascii="Arial" w:cs="Arial" w:eastAsia="Arial" w:hAnsi="Arial"/>
                <w:sz w:val="20"/>
                <w:szCs w:val="20"/>
                <w:b w:val="1"/>
                <w:bCs w:val="1"/>
                <w:i w:val="1"/>
                <w:iCs w:val="1"/>
                <w:color w:val="auto"/>
              </w:rPr>
              <w:t>Restrictive Agreements</w:t>
            </w:r>
          </w:p>
        </w:tc>
      </w:tr>
      <w:tr>
        <w:trPr>
          <w:trHeight w:val="68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80" w:type="dxa"/>
            <w:vAlign w:val="bottom"/>
          </w:tcPr>
          <w:p>
            <w:pPr>
              <w:jc w:val="center"/>
              <w:ind w:left="2541"/>
              <w:spacing w:after="0"/>
              <w:rPr>
                <w:sz w:val="20"/>
                <w:szCs w:val="20"/>
                <w:color w:val="auto"/>
              </w:rPr>
            </w:pPr>
            <w:r>
              <w:rPr>
                <w:rFonts w:ascii="Arial" w:cs="Arial" w:eastAsia="Arial" w:hAnsi="Arial"/>
                <w:sz w:val="20"/>
                <w:szCs w:val="20"/>
                <w:color w:val="auto"/>
                <w:w w:val="98"/>
              </w:rPr>
              <w:t>EXHIBITS</w:t>
            </w:r>
          </w:p>
        </w:tc>
      </w:tr>
      <w:tr>
        <w:trPr>
          <w:trHeight w:val="425"/>
        </w:trPr>
        <w:tc>
          <w:tcPr>
            <w:tcW w:w="1240" w:type="dxa"/>
            <w:vAlign w:val="bottom"/>
          </w:tcPr>
          <w:p>
            <w:pPr>
              <w:spacing w:after="0"/>
              <w:rPr>
                <w:sz w:val="20"/>
                <w:szCs w:val="20"/>
                <w:color w:val="auto"/>
              </w:rPr>
            </w:pPr>
            <w:r>
              <w:rPr>
                <w:rFonts w:ascii="Arial" w:cs="Arial" w:eastAsia="Arial" w:hAnsi="Arial"/>
                <w:sz w:val="20"/>
                <w:szCs w:val="20"/>
                <w:color w:val="auto"/>
              </w:rPr>
              <w:t>Exhibit A</w:t>
            </w:r>
          </w:p>
        </w:tc>
        <w:tc>
          <w:tcPr>
            <w:tcW w:w="280" w:type="dxa"/>
            <w:vAlign w:val="bottom"/>
          </w:tcPr>
          <w:p>
            <w:pPr>
              <w:spacing w:after="0"/>
              <w:rPr>
                <w:sz w:val="24"/>
                <w:szCs w:val="24"/>
                <w:color w:val="auto"/>
              </w:rPr>
            </w:pPr>
          </w:p>
        </w:tc>
        <w:tc>
          <w:tcPr>
            <w:tcW w:w="4100" w:type="dxa"/>
            <w:vAlign w:val="bottom"/>
            <w:gridSpan w:val="2"/>
          </w:tcPr>
          <w:p>
            <w:pPr>
              <w:ind w:left="100"/>
              <w:spacing w:after="0"/>
              <w:rPr>
                <w:sz w:val="20"/>
                <w:szCs w:val="20"/>
                <w:color w:val="auto"/>
              </w:rPr>
            </w:pPr>
            <w:r>
              <w:rPr>
                <w:rFonts w:ascii="Arial" w:cs="Arial" w:eastAsia="Arial" w:hAnsi="Arial"/>
                <w:sz w:val="20"/>
                <w:szCs w:val="20"/>
                <w:color w:val="auto"/>
              </w:rPr>
              <w:t>-  Form of Assignment and Assumption</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B</w:t>
            </w:r>
          </w:p>
        </w:tc>
        <w:tc>
          <w:tcPr>
            <w:tcW w:w="28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3780" w:type="dxa"/>
            <w:vAlign w:val="bottom"/>
          </w:tcPr>
          <w:p>
            <w:pPr>
              <w:ind w:left="40"/>
              <w:spacing w:after="0"/>
              <w:rPr>
                <w:sz w:val="20"/>
                <w:szCs w:val="20"/>
                <w:color w:val="auto"/>
              </w:rPr>
            </w:pPr>
            <w:r>
              <w:rPr>
                <w:rFonts w:ascii="Arial" w:cs="Arial" w:eastAsia="Arial" w:hAnsi="Arial"/>
                <w:sz w:val="20"/>
                <w:szCs w:val="20"/>
                <w:color w:val="auto"/>
              </w:rPr>
              <w:t>[Intentionally Omitted]</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C</w:t>
            </w:r>
          </w:p>
        </w:tc>
        <w:tc>
          <w:tcPr>
            <w:tcW w:w="280" w:type="dxa"/>
            <w:vAlign w:val="bottom"/>
          </w:tcPr>
          <w:p>
            <w:pPr>
              <w:spacing w:after="0"/>
              <w:rPr>
                <w:sz w:val="19"/>
                <w:szCs w:val="19"/>
                <w:color w:val="auto"/>
              </w:rPr>
            </w:pPr>
          </w:p>
        </w:tc>
        <w:tc>
          <w:tcPr>
            <w:tcW w:w="4100" w:type="dxa"/>
            <w:vAlign w:val="bottom"/>
            <w:gridSpan w:val="2"/>
          </w:tcPr>
          <w:p>
            <w:pPr>
              <w:ind w:left="100"/>
              <w:spacing w:after="0"/>
              <w:rPr>
                <w:sz w:val="20"/>
                <w:szCs w:val="20"/>
                <w:color w:val="auto"/>
              </w:rPr>
            </w:pPr>
            <w:r>
              <w:rPr>
                <w:rFonts w:ascii="Arial" w:cs="Arial" w:eastAsia="Arial" w:hAnsi="Arial"/>
                <w:sz w:val="20"/>
                <w:szCs w:val="20"/>
                <w:color w:val="auto"/>
              </w:rPr>
              <w:t>-  Form of Compliance Certificate</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D</w:t>
            </w:r>
          </w:p>
        </w:tc>
        <w:tc>
          <w:tcPr>
            <w:tcW w:w="280" w:type="dxa"/>
            <w:vAlign w:val="bottom"/>
          </w:tcPr>
          <w:p>
            <w:pPr>
              <w:spacing w:after="0"/>
              <w:rPr>
                <w:sz w:val="19"/>
                <w:szCs w:val="19"/>
                <w:color w:val="auto"/>
              </w:rPr>
            </w:pPr>
          </w:p>
        </w:tc>
        <w:tc>
          <w:tcPr>
            <w:tcW w:w="4100" w:type="dxa"/>
            <w:vAlign w:val="bottom"/>
            <w:gridSpan w:val="2"/>
          </w:tcPr>
          <w:p>
            <w:pPr>
              <w:ind w:left="100"/>
              <w:spacing w:after="0"/>
              <w:rPr>
                <w:sz w:val="20"/>
                <w:szCs w:val="20"/>
                <w:color w:val="auto"/>
              </w:rPr>
            </w:pPr>
            <w:r>
              <w:rPr>
                <w:rFonts w:ascii="Arial" w:cs="Arial" w:eastAsia="Arial" w:hAnsi="Arial"/>
                <w:sz w:val="20"/>
                <w:szCs w:val="20"/>
                <w:color w:val="auto"/>
              </w:rPr>
              <w:t>-  List of Closing Documents</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E</w:t>
            </w:r>
          </w:p>
        </w:tc>
        <w:tc>
          <w:tcPr>
            <w:tcW w:w="280" w:type="dxa"/>
            <w:vAlign w:val="bottom"/>
          </w:tcPr>
          <w:p>
            <w:pPr>
              <w:spacing w:after="0"/>
              <w:rPr>
                <w:sz w:val="19"/>
                <w:szCs w:val="19"/>
                <w:color w:val="auto"/>
              </w:rPr>
            </w:pPr>
          </w:p>
        </w:tc>
        <w:tc>
          <w:tcPr>
            <w:tcW w:w="4100" w:type="dxa"/>
            <w:vAlign w:val="bottom"/>
            <w:gridSpan w:val="2"/>
          </w:tcPr>
          <w:p>
            <w:pPr>
              <w:ind w:left="100"/>
              <w:spacing w:after="0"/>
              <w:rPr>
                <w:sz w:val="20"/>
                <w:szCs w:val="20"/>
                <w:color w:val="auto"/>
              </w:rPr>
            </w:pPr>
            <w:r>
              <w:rPr>
                <w:rFonts w:ascii="Arial" w:cs="Arial" w:eastAsia="Arial" w:hAnsi="Arial"/>
                <w:sz w:val="20"/>
                <w:szCs w:val="20"/>
                <w:color w:val="auto"/>
              </w:rPr>
              <w:t>-  Form of Joinder Agreement</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F-1</w:t>
            </w:r>
          </w:p>
        </w:tc>
        <w:tc>
          <w:tcPr>
            <w:tcW w:w="280" w:type="dxa"/>
            <w:vAlign w:val="bottom"/>
          </w:tcPr>
          <w:p>
            <w:pPr>
              <w:spacing w:after="0"/>
              <w:rPr>
                <w:sz w:val="19"/>
                <w:szCs w:val="19"/>
                <w:color w:val="auto"/>
              </w:rPr>
            </w:pPr>
          </w:p>
        </w:tc>
        <w:tc>
          <w:tcPr>
            <w:tcW w:w="320" w:type="dxa"/>
            <w:vAlign w:val="bottom"/>
          </w:tcPr>
          <w:p>
            <w:pPr>
              <w:ind w:left="100"/>
              <w:spacing w:after="0"/>
              <w:rPr>
                <w:sz w:val="20"/>
                <w:szCs w:val="20"/>
                <w:color w:val="auto"/>
              </w:rPr>
            </w:pPr>
            <w:r>
              <w:rPr>
                <w:rFonts w:ascii="Arial" w:cs="Arial" w:eastAsia="Arial" w:hAnsi="Arial"/>
                <w:sz w:val="20"/>
                <w:szCs w:val="20"/>
                <w:color w:val="auto"/>
              </w:rPr>
              <w:t>-</w:t>
            </w:r>
          </w:p>
        </w:tc>
        <w:tc>
          <w:tcPr>
            <w:tcW w:w="3780" w:type="dxa"/>
            <w:vAlign w:val="bottom"/>
          </w:tcPr>
          <w:p>
            <w:pPr>
              <w:ind w:left="20"/>
              <w:spacing w:after="0"/>
              <w:rPr>
                <w:sz w:val="20"/>
                <w:szCs w:val="20"/>
                <w:color w:val="auto"/>
              </w:rPr>
            </w:pPr>
            <w:r>
              <w:rPr>
                <w:rFonts w:ascii="Arial" w:cs="Arial" w:eastAsia="Arial" w:hAnsi="Arial"/>
                <w:sz w:val="20"/>
                <w:szCs w:val="20"/>
                <w:color w:val="auto"/>
              </w:rPr>
              <w:t>Auction Procedures</w:t>
            </w:r>
          </w:p>
        </w:tc>
      </w:tr>
      <w:tr>
        <w:trPr>
          <w:trHeight w:val="250"/>
        </w:trPr>
        <w:tc>
          <w:tcPr>
            <w:tcW w:w="1240" w:type="dxa"/>
            <w:vAlign w:val="bottom"/>
          </w:tcPr>
          <w:p>
            <w:pPr>
              <w:spacing w:after="0"/>
              <w:rPr>
                <w:sz w:val="20"/>
                <w:szCs w:val="20"/>
                <w:color w:val="auto"/>
              </w:rPr>
            </w:pPr>
            <w:r>
              <w:rPr>
                <w:rFonts w:ascii="Arial" w:cs="Arial" w:eastAsia="Arial" w:hAnsi="Arial"/>
                <w:sz w:val="20"/>
                <w:szCs w:val="20"/>
                <w:color w:val="auto"/>
              </w:rPr>
              <w:t>Exhibit F-2</w:t>
            </w:r>
          </w:p>
        </w:tc>
        <w:tc>
          <w:tcPr>
            <w:tcW w:w="280" w:type="dxa"/>
            <w:vAlign w:val="bottom"/>
          </w:tcPr>
          <w:p>
            <w:pPr>
              <w:spacing w:after="0"/>
              <w:rPr>
                <w:sz w:val="21"/>
                <w:szCs w:val="21"/>
                <w:color w:val="auto"/>
              </w:rPr>
            </w:pPr>
          </w:p>
        </w:tc>
        <w:tc>
          <w:tcPr>
            <w:tcW w:w="4100" w:type="dxa"/>
            <w:vAlign w:val="bottom"/>
            <w:gridSpan w:val="2"/>
          </w:tcPr>
          <w:p>
            <w:pPr>
              <w:ind w:left="100"/>
              <w:spacing w:after="0"/>
              <w:rPr>
                <w:sz w:val="20"/>
                <w:szCs w:val="20"/>
                <w:color w:val="auto"/>
              </w:rPr>
            </w:pPr>
            <w:r>
              <w:rPr>
                <w:rFonts w:ascii="Arial" w:cs="Arial" w:eastAsia="Arial" w:hAnsi="Arial"/>
                <w:sz w:val="20"/>
                <w:szCs w:val="20"/>
                <w:color w:val="auto"/>
              </w:rPr>
              <w:t>-  Affiliated Lender Assignment Assumption</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w:t>
      </w:r>
    </w:p>
    <w:p>
      <w:pPr>
        <w:spacing w:after="0" w:line="12" w:lineRule="exact"/>
        <w:rPr>
          <w:sz w:val="20"/>
          <w:szCs w:val="20"/>
          <w:color w:val="auto"/>
        </w:rPr>
      </w:pPr>
    </w:p>
    <w:p>
      <w:pPr>
        <w:ind w:right="980" w:firstLine="8"/>
        <w:spacing w:after="0" w:line="263" w:lineRule="auto"/>
        <w:tabs>
          <w:tab w:leader="none" w:pos="94" w:val="left"/>
        </w:tabs>
        <w:numPr>
          <w:ilvl w:val="0"/>
          <w:numId w:val="177"/>
        </w:numPr>
        <w:rPr>
          <w:rFonts w:ascii="Arial" w:cs="Arial" w:eastAsia="Arial" w:hAnsi="Arial"/>
          <w:sz w:val="22"/>
          <w:szCs w:val="22"/>
          <w:color w:val="auto"/>
          <w:vertAlign w:val="superscript"/>
        </w:rPr>
      </w:pPr>
      <w:r>
        <w:rPr>
          <w:rFonts w:ascii="Arial" w:cs="Arial" w:eastAsia="Arial" w:hAnsi="Arial"/>
          <w:sz w:val="17"/>
          <w:szCs w:val="17"/>
          <w:color w:val="auto"/>
        </w:rPr>
        <w:t xml:space="preserve">Each capitalized term used herein and not defined herein shall have the meaning assigned to such term in the above-defined Credit Agreement. Items appearing in </w:t>
      </w:r>
      <w:r>
        <w:rPr>
          <w:rFonts w:ascii="Arial" w:cs="Arial" w:eastAsia="Arial" w:hAnsi="Arial"/>
          <w:sz w:val="17"/>
          <w:szCs w:val="17"/>
          <w:b w:val="1"/>
          <w:bCs w:val="1"/>
          <w:color w:val="auto"/>
        </w:rPr>
        <w:t>bold</w:t>
      </w:r>
      <w:r>
        <w:rPr>
          <w:rFonts w:ascii="Arial" w:cs="Arial" w:eastAsia="Arial" w:hAnsi="Arial"/>
          <w:sz w:val="17"/>
          <w:szCs w:val="17"/>
          <w:color w:val="auto"/>
        </w:rPr>
        <w:t xml:space="preserve"> and </w:t>
      </w:r>
      <w:r>
        <w:rPr>
          <w:rFonts w:ascii="Arial" w:cs="Arial" w:eastAsia="Arial" w:hAnsi="Arial"/>
          <w:sz w:val="17"/>
          <w:szCs w:val="17"/>
          <w:i w:val="1"/>
          <w:iCs w:val="1"/>
          <w:color w:val="auto"/>
        </w:rPr>
        <w:t>italics</w:t>
      </w:r>
      <w:r>
        <w:rPr>
          <w:rFonts w:ascii="Arial" w:cs="Arial" w:eastAsia="Arial" w:hAnsi="Arial"/>
          <w:sz w:val="17"/>
          <w:szCs w:val="17"/>
          <w:color w:val="auto"/>
        </w:rPr>
        <w:t xml:space="preserve"> shall be prepared and/or provided by the Borrower and/or Borrower’s counsel.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2" w:right="239" w:bottom="1440" w:gutter="0" w:footer="0" w:header="0"/>
        </w:sectPr>
      </w:pPr>
    </w:p>
    <w:bookmarkStart w:id="149" w:name="page150"/>
    <w:bookmarkEnd w:id="149"/>
    <w:p>
      <w:pPr>
        <w:ind w:left="660"/>
        <w:spacing w:after="0"/>
        <w:tabs>
          <w:tab w:leader="none" w:pos="2100" w:val="left"/>
        </w:tabs>
        <w:rPr>
          <w:sz w:val="20"/>
          <w:szCs w:val="20"/>
          <w:color w:val="auto"/>
        </w:rPr>
      </w:pPr>
      <w:r>
        <w:rPr>
          <w:rFonts w:ascii="Arial" w:cs="Arial" w:eastAsia="Arial" w:hAnsi="Arial"/>
          <w:sz w:val="20"/>
          <w:szCs w:val="20"/>
          <w:color w:val="auto"/>
        </w:rPr>
        <w:t>Exhibit G-1</w:t>
      </w:r>
      <w:r>
        <w:rPr>
          <w:sz w:val="20"/>
          <w:szCs w:val="20"/>
          <w:color w:val="auto"/>
        </w:rPr>
        <w:tab/>
      </w:r>
      <w:r>
        <w:rPr>
          <w:rFonts w:ascii="Arial" w:cs="Arial" w:eastAsia="Arial" w:hAnsi="Arial"/>
          <w:sz w:val="18"/>
          <w:szCs w:val="18"/>
          <w:color w:val="auto"/>
        </w:rPr>
        <w:t>- Form of U.S. Tax Certificate (Foreign Lenders That Are Not Partnerships)</w:t>
      </w:r>
    </w:p>
    <w:p>
      <w:pPr>
        <w:spacing w:after="0" w:line="15" w:lineRule="exact"/>
        <w:rPr>
          <w:sz w:val="20"/>
          <w:szCs w:val="20"/>
          <w:color w:val="auto"/>
        </w:rPr>
      </w:pPr>
    </w:p>
    <w:p>
      <w:pPr>
        <w:ind w:left="660"/>
        <w:spacing w:after="0"/>
        <w:tabs>
          <w:tab w:leader="none" w:pos="2100" w:val="left"/>
        </w:tabs>
        <w:rPr>
          <w:sz w:val="20"/>
          <w:szCs w:val="20"/>
          <w:color w:val="auto"/>
        </w:rPr>
      </w:pPr>
      <w:r>
        <w:rPr>
          <w:rFonts w:ascii="Arial" w:cs="Arial" w:eastAsia="Arial" w:hAnsi="Arial"/>
          <w:sz w:val="20"/>
          <w:szCs w:val="20"/>
          <w:color w:val="auto"/>
        </w:rPr>
        <w:t>Exhibit G-2</w:t>
      </w:r>
      <w:r>
        <w:rPr>
          <w:sz w:val="20"/>
          <w:szCs w:val="20"/>
          <w:color w:val="auto"/>
        </w:rPr>
        <w:tab/>
      </w:r>
      <w:r>
        <w:rPr>
          <w:rFonts w:ascii="Arial" w:cs="Arial" w:eastAsia="Arial" w:hAnsi="Arial"/>
          <w:sz w:val="18"/>
          <w:szCs w:val="18"/>
          <w:color w:val="auto"/>
        </w:rPr>
        <w:t>- Form of U.S. Tax Certificate (Foreign Participants That Are Not Partnerships)</w:t>
      </w:r>
    </w:p>
    <w:p>
      <w:pPr>
        <w:ind w:left="660"/>
        <w:spacing w:after="0"/>
        <w:tabs>
          <w:tab w:leader="none" w:pos="2100" w:val="left"/>
        </w:tabs>
        <w:rPr>
          <w:sz w:val="20"/>
          <w:szCs w:val="20"/>
          <w:color w:val="auto"/>
        </w:rPr>
      </w:pPr>
      <w:r>
        <w:rPr>
          <w:rFonts w:ascii="Arial" w:cs="Arial" w:eastAsia="Arial" w:hAnsi="Arial"/>
          <w:sz w:val="20"/>
          <w:szCs w:val="20"/>
          <w:color w:val="auto"/>
        </w:rPr>
        <w:t>Exhibit G-3</w:t>
      </w:r>
      <w:r>
        <w:rPr>
          <w:sz w:val="20"/>
          <w:szCs w:val="20"/>
          <w:color w:val="auto"/>
        </w:rPr>
        <w:tab/>
      </w:r>
      <w:r>
        <w:rPr>
          <w:rFonts w:ascii="Arial" w:cs="Arial" w:eastAsia="Arial" w:hAnsi="Arial"/>
          <w:sz w:val="18"/>
          <w:szCs w:val="18"/>
          <w:color w:val="auto"/>
        </w:rPr>
        <w:t>- Form of U.S. Tax Certificate (Foreign Participants That Are Partnerships)</w:t>
      </w:r>
    </w:p>
    <w:p>
      <w:pPr>
        <w:ind w:left="660"/>
        <w:spacing w:after="0"/>
        <w:tabs>
          <w:tab w:leader="none" w:pos="2100" w:val="left"/>
        </w:tabs>
        <w:rPr>
          <w:sz w:val="20"/>
          <w:szCs w:val="20"/>
          <w:color w:val="auto"/>
        </w:rPr>
      </w:pPr>
      <w:r>
        <w:rPr>
          <w:rFonts w:ascii="Arial" w:cs="Arial" w:eastAsia="Arial" w:hAnsi="Arial"/>
          <w:sz w:val="20"/>
          <w:szCs w:val="20"/>
          <w:color w:val="auto"/>
        </w:rPr>
        <w:t>Exhibit G-4</w:t>
      </w:r>
      <w:r>
        <w:rPr>
          <w:sz w:val="20"/>
          <w:szCs w:val="20"/>
          <w:color w:val="auto"/>
        </w:rPr>
        <w:tab/>
      </w:r>
      <w:r>
        <w:rPr>
          <w:rFonts w:ascii="Arial" w:cs="Arial" w:eastAsia="Arial" w:hAnsi="Arial"/>
          <w:sz w:val="18"/>
          <w:szCs w:val="18"/>
          <w:color w:val="auto"/>
        </w:rPr>
        <w:t>- Form of U.S. Tax Certificate (Foreign Lenders That Are Partnerships)</w:t>
      </w:r>
    </w:p>
    <w:p>
      <w:pPr>
        <w:ind w:left="660"/>
        <w:spacing w:after="0"/>
        <w:tabs>
          <w:tab w:leader="none" w:pos="2100" w:val="left"/>
        </w:tabs>
        <w:rPr>
          <w:sz w:val="20"/>
          <w:szCs w:val="20"/>
          <w:color w:val="auto"/>
        </w:rPr>
      </w:pPr>
      <w:r>
        <w:rPr>
          <w:rFonts w:ascii="Arial" w:cs="Arial" w:eastAsia="Arial" w:hAnsi="Arial"/>
          <w:sz w:val="20"/>
          <w:szCs w:val="20"/>
          <w:color w:val="auto"/>
        </w:rPr>
        <w:t>Exhibit H-1</w:t>
      </w:r>
      <w:r>
        <w:rPr>
          <w:sz w:val="20"/>
          <w:szCs w:val="20"/>
          <w:color w:val="auto"/>
        </w:rPr>
        <w:tab/>
      </w:r>
      <w:r>
        <w:rPr>
          <w:rFonts w:ascii="Arial" w:cs="Arial" w:eastAsia="Arial" w:hAnsi="Arial"/>
          <w:sz w:val="18"/>
          <w:szCs w:val="18"/>
          <w:color w:val="auto"/>
        </w:rPr>
        <w:t>- Form of Borrowing Request</w:t>
      </w:r>
    </w:p>
    <w:p>
      <w:pPr>
        <w:ind w:left="660"/>
        <w:spacing w:after="0"/>
        <w:tabs>
          <w:tab w:leader="none" w:pos="2100" w:val="left"/>
        </w:tabs>
        <w:rPr>
          <w:sz w:val="20"/>
          <w:szCs w:val="20"/>
          <w:color w:val="auto"/>
        </w:rPr>
      </w:pPr>
      <w:r>
        <w:rPr>
          <w:rFonts w:ascii="Arial" w:cs="Arial" w:eastAsia="Arial" w:hAnsi="Arial"/>
          <w:sz w:val="20"/>
          <w:szCs w:val="20"/>
          <w:color w:val="auto"/>
        </w:rPr>
        <w:t>Exhibit H-2</w:t>
      </w:r>
      <w:r>
        <w:rPr>
          <w:sz w:val="20"/>
          <w:szCs w:val="20"/>
          <w:color w:val="auto"/>
        </w:rPr>
        <w:tab/>
      </w:r>
      <w:r>
        <w:rPr>
          <w:rFonts w:ascii="Arial" w:cs="Arial" w:eastAsia="Arial" w:hAnsi="Arial"/>
          <w:sz w:val="18"/>
          <w:szCs w:val="18"/>
          <w:color w:val="auto"/>
        </w:rPr>
        <w:t>- Form of Interest Election Request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right="20" w:hanging="652"/>
        <w:spacing w:after="0" w:line="260" w:lineRule="auto"/>
        <w:tabs>
          <w:tab w:leader="none" w:pos="6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Notes executed by the Borrower in favor of each of the Lenders, if any, which has requested a note pursuant to Section 2.10(e) of the Loan Agreement.</w:t>
      </w:r>
    </w:p>
    <w:p>
      <w:pPr>
        <w:spacing w:after="0" w:line="176" w:lineRule="exact"/>
        <w:rPr>
          <w:rFonts w:ascii="Arial" w:cs="Arial" w:eastAsia="Arial" w:hAnsi="Arial"/>
          <w:sz w:val="20"/>
          <w:szCs w:val="20"/>
          <w:color w:val="auto"/>
        </w:rPr>
      </w:pPr>
    </w:p>
    <w:p>
      <w:pPr>
        <w:ind w:left="660" w:right="20" w:hanging="652"/>
        <w:spacing w:after="0" w:line="386" w:lineRule="auto"/>
        <w:tabs>
          <w:tab w:leader="none" w:pos="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Pledge and Security Agreement executed by the Loan Parties in favor of the Administrative Agent, </w:t>
      </w:r>
      <w:r>
        <w:rPr>
          <w:rFonts w:ascii="Arial" w:cs="Arial" w:eastAsia="Arial" w:hAnsi="Arial"/>
          <w:sz w:val="16"/>
          <w:szCs w:val="16"/>
          <w:b w:val="1"/>
          <w:bCs w:val="1"/>
          <w:i w:val="1"/>
          <w:iCs w:val="1"/>
          <w:color w:val="auto"/>
        </w:rPr>
        <w:t>together with pledged instruments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and allonges, stock certificates, stock powers executed in blank, pledge instructions and acknowledgments, as appropriate</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Patents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Patents; Patent Applications; Other Patents</w:t>
      </w:r>
    </w:p>
    <w:p>
      <w:pPr>
        <w:spacing w:after="0" w:line="200" w:lineRule="exact"/>
        <w:rPr>
          <w:sz w:val="20"/>
          <w:szCs w:val="20"/>
          <w:color w:val="auto"/>
        </w:rPr>
      </w:pPr>
    </w:p>
    <w:p>
      <w:pPr>
        <w:spacing w:after="0" w:line="272" w:lineRule="exact"/>
        <w:rPr>
          <w:sz w:val="20"/>
          <w:szCs w:val="20"/>
          <w:color w:val="auto"/>
        </w:rPr>
      </w:pPr>
    </w:p>
    <w:p>
      <w:pPr>
        <w:ind w:left="660" w:hanging="652"/>
        <w:spacing w:after="0" w:line="260" w:lineRule="auto"/>
        <w:tabs>
          <w:tab w:leader="none" w:pos="66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Trademarks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Trademarks; Trademark and Service Mark Applications; Other Trademarks</w:t>
      </w:r>
    </w:p>
    <w:p>
      <w:pPr>
        <w:spacing w:after="0" w:line="200" w:lineRule="exact"/>
        <w:rPr>
          <w:sz w:val="20"/>
          <w:szCs w:val="20"/>
          <w:color w:val="auto"/>
        </w:rPr>
      </w:pPr>
    </w:p>
    <w:p>
      <w:pPr>
        <w:spacing w:after="0" w:line="272" w:lineRule="exact"/>
        <w:rPr>
          <w:sz w:val="20"/>
          <w:szCs w:val="20"/>
          <w:color w:val="auto"/>
        </w:rPr>
      </w:pPr>
    </w:p>
    <w:p>
      <w:pPr>
        <w:ind w:left="660" w:hanging="652"/>
        <w:spacing w:after="0" w:line="260" w:lineRule="auto"/>
        <w:tabs>
          <w:tab w:leader="none" w:pos="66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Copyrights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Copyrights; Copyright Applications; Other Copyrights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b w:val="1"/>
          <w:bCs w:val="1"/>
          <w:color w:val="auto"/>
        </w:rPr>
        <w:t>UCC DOCUMENTS</w:t>
      </w:r>
    </w:p>
    <w:p>
      <w:pPr>
        <w:spacing w:after="0" w:line="222"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19"/>
          <w:szCs w:val="19"/>
          <w:color w:val="auto"/>
        </w:rPr>
      </w:pPr>
      <w:r>
        <w:rPr>
          <w:rFonts w:ascii="Arial" w:cs="Arial" w:eastAsia="Arial" w:hAnsi="Arial"/>
          <w:sz w:val="19"/>
          <w:szCs w:val="19"/>
          <w:color w:val="auto"/>
        </w:rPr>
        <w:t>UCC, tax lien and name variation search reports naming each Loan Party from the appropriate offices in relevant jurisdictions.</w:t>
      </w:r>
    </w:p>
    <w:p>
      <w:pPr>
        <w:spacing w:after="0" w:line="227"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UCC financing statements naming each Loan Party as debtor and the Administrative Agent as secured party as filed with the appropriate offices in applicable jurisdictions.</w:t>
      </w:r>
    </w:p>
    <w:p>
      <w:pPr>
        <w:spacing w:after="0" w:line="170" w:lineRule="exact"/>
        <w:rPr>
          <w:rFonts w:ascii="Arial" w:cs="Arial" w:eastAsia="Arial" w:hAnsi="Arial"/>
          <w:sz w:val="20"/>
          <w:szCs w:val="20"/>
          <w:color w:val="auto"/>
        </w:rPr>
      </w:pPr>
    </w:p>
    <w:p>
      <w:pPr>
        <w:ind w:left="4540" w:hanging="235"/>
        <w:spacing w:after="0"/>
        <w:tabs>
          <w:tab w:leader="none" w:pos="4540" w:val="left"/>
        </w:tabs>
        <w:numPr>
          <w:ilvl w:val="1"/>
          <w:numId w:val="181"/>
        </w:numPr>
        <w:rPr>
          <w:rFonts w:ascii="Arial" w:cs="Arial" w:eastAsia="Arial" w:hAnsi="Arial"/>
          <w:sz w:val="20"/>
          <w:szCs w:val="20"/>
          <w:color w:val="auto"/>
        </w:rPr>
      </w:pPr>
      <w:r>
        <w:rPr>
          <w:rFonts w:ascii="Arial" w:cs="Arial" w:eastAsia="Arial" w:hAnsi="Arial"/>
          <w:sz w:val="20"/>
          <w:szCs w:val="20"/>
          <w:b w:val="1"/>
          <w:bCs w:val="1"/>
          <w:color w:val="auto"/>
        </w:rPr>
        <w:t>CORPORATE DOCUMENTS</w:t>
      </w:r>
    </w:p>
    <w:p>
      <w:pPr>
        <w:spacing w:after="0" w:line="221" w:lineRule="exact"/>
        <w:rPr>
          <w:rFonts w:ascii="Arial" w:cs="Arial" w:eastAsia="Arial" w:hAnsi="Arial"/>
          <w:sz w:val="20"/>
          <w:szCs w:val="20"/>
          <w:color w:val="auto"/>
        </w:rPr>
      </w:pPr>
    </w:p>
    <w:p>
      <w:pPr>
        <w:jc w:val="both"/>
        <w:ind w:left="660" w:hanging="652"/>
        <w:spacing w:after="0" w:line="250" w:lineRule="auto"/>
        <w:tabs>
          <w:tab w:leader="none" w:pos="660" w:val="left"/>
        </w:tabs>
        <w:numPr>
          <w:ilvl w:val="0"/>
          <w:numId w:val="181"/>
        </w:numPr>
        <w:rPr>
          <w:rFonts w:ascii="Arial" w:cs="Arial" w:eastAsia="Arial" w:hAnsi="Arial"/>
          <w:sz w:val="20"/>
          <w:szCs w:val="20"/>
          <w:color w:val="auto"/>
        </w:rPr>
      </w:pPr>
      <w:r>
        <w:rPr>
          <w:rFonts w:ascii="Arial" w:cs="Arial" w:eastAsia="Arial" w:hAnsi="Arial"/>
          <w:sz w:val="20"/>
          <w:szCs w:val="20"/>
          <w:b w:val="1"/>
          <w:bCs w:val="1"/>
          <w:i w:val="1"/>
          <w:iCs w:val="1"/>
          <w:color w:val="auto"/>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analogous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1"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6"/>
          <w:szCs w:val="16"/>
          <w:b w:val="1"/>
          <w:bCs w:val="1"/>
          <w:i w:val="1"/>
          <w:iCs w:val="1"/>
          <w:color w:val="auto"/>
        </w:rPr>
        <w:t>governmental entity) of the jurisdiction of its organization, since the date of the certification thereof by such governmental entity,</w:t>
      </w:r>
    </w:p>
    <w:p>
      <w:pPr>
        <w:spacing w:after="0" w:line="73" w:lineRule="exact"/>
        <w:rPr>
          <w:sz w:val="20"/>
          <w:szCs w:val="20"/>
          <w:color w:val="auto"/>
        </w:rPr>
      </w:pPr>
    </w:p>
    <w:p>
      <w:pPr>
        <w:jc w:val="both"/>
        <w:ind w:left="660" w:hanging="4"/>
        <w:spacing w:after="0" w:line="310" w:lineRule="auto"/>
        <w:tabs>
          <w:tab w:leader="none" w:pos="969" w:val="left"/>
        </w:tabs>
        <w:numPr>
          <w:ilvl w:val="1"/>
          <w:numId w:val="1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the Borrower) authorized to request a Borrowing or the issuance of a Letter of Credit under the Loan Agreement.</w:t>
      </w:r>
    </w:p>
    <w:p>
      <w:pPr>
        <w:spacing w:after="0" w:line="148" w:lineRule="exact"/>
        <w:rPr>
          <w:rFonts w:ascii="Arial" w:cs="Arial" w:eastAsia="Arial" w:hAnsi="Arial"/>
          <w:sz w:val="18"/>
          <w:szCs w:val="18"/>
          <w:b w:val="1"/>
          <w:bCs w:val="1"/>
          <w:i w:val="1"/>
          <w:iCs w:val="1"/>
          <w:color w:val="auto"/>
        </w:rPr>
      </w:pPr>
    </w:p>
    <w:p>
      <w:pPr>
        <w:ind w:left="660" w:hanging="652"/>
        <w:spacing w:after="0" w:line="316"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b w:val="1"/>
          <w:bCs w:val="1"/>
          <w:i w:val="1"/>
          <w:iCs w:val="1"/>
          <w:color w:val="auto"/>
        </w:rPr>
        <w:t>Good Standing Certificate (or analogous documentation if applicable) for each Loan Party from the Secretary of State (or analogous governmental entity) of the jurisdiction of its organization, to the extent generally available in such jurisdiction.</w:t>
      </w:r>
    </w:p>
    <w:p>
      <w:pPr>
        <w:spacing w:after="0" w:line="124" w:lineRule="exact"/>
        <w:rPr>
          <w:rFonts w:ascii="Arial" w:cs="Arial" w:eastAsia="Arial" w:hAnsi="Arial"/>
          <w:sz w:val="18"/>
          <w:szCs w:val="18"/>
          <w:color w:val="auto"/>
        </w:rPr>
      </w:pPr>
    </w:p>
    <w:p>
      <w:pPr>
        <w:ind w:left="5100"/>
        <w:spacing w:after="0"/>
        <w:rPr>
          <w:rFonts w:ascii="Arial" w:cs="Arial" w:eastAsia="Arial" w:hAnsi="Arial"/>
          <w:sz w:val="18"/>
          <w:szCs w:val="18"/>
          <w:color w:val="auto"/>
        </w:rPr>
      </w:pPr>
      <w:r>
        <w:rPr>
          <w:rFonts w:ascii="Arial" w:cs="Arial" w:eastAsia="Arial" w:hAnsi="Arial"/>
          <w:sz w:val="20"/>
          <w:szCs w:val="20"/>
          <w:color w:val="auto"/>
        </w:rPr>
        <w:t xml:space="preserve">D. </w:t>
      </w:r>
      <w:r>
        <w:rPr>
          <w:rFonts w:ascii="Arial" w:cs="Arial" w:eastAsia="Arial" w:hAnsi="Arial"/>
          <w:sz w:val="20"/>
          <w:szCs w:val="20"/>
          <w:b w:val="1"/>
          <w:bCs w:val="1"/>
          <w:color w:val="auto"/>
        </w:rPr>
        <w:t>OPINIONS</w:t>
      </w:r>
    </w:p>
    <w:p>
      <w:pPr>
        <w:spacing w:after="0" w:line="221"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K&amp;L Gates LLP, special New York counsel for the Loan Parties, covering such matters relating to the Loan Parties, the Loan Documents or the Transactions as the Administrative Agent shall reasonably request. The Borrower hereby requests such counsel to deliver such opinion.</w:t>
      </w:r>
    </w:p>
    <w:p>
      <w:pPr>
        <w:spacing w:after="0" w:line="191"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Barnes &amp; Thornburg LLP, special Indiana counsel for the Loan Parties, covering such matters relating to the Loan Parties, the Loan Documents or the Transactions as the Administrative Agent shall reasonably request. The Borrower hereby requests such counsel to deliver such opinion.</w:t>
      </w:r>
    </w:p>
    <w:p>
      <w:pPr>
        <w:spacing w:after="0" w:line="191"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183"/>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Davis, Brown, Koehn, Shors &amp; Roberts, P.C., special Iowa counsel for the Loan Parties, covering such matters relating to the Loan Parties, the Loan Documents or the Transactions as the Administrative Agent shall reasonably request. The Borrower hereby requests such counsel to deliver such opinion.</w:t>
      </w:r>
    </w:p>
    <w:p>
      <w:pPr>
        <w:spacing w:after="0" w:line="185" w:lineRule="exact"/>
        <w:rPr>
          <w:rFonts w:ascii="Arial" w:cs="Arial" w:eastAsia="Arial" w:hAnsi="Arial"/>
          <w:sz w:val="20"/>
          <w:szCs w:val="20"/>
          <w:color w:val="auto"/>
        </w:rPr>
      </w:pPr>
    </w:p>
    <w:p>
      <w:pPr>
        <w:ind w:left="3260"/>
        <w:spacing w:after="0"/>
        <w:rPr>
          <w:rFonts w:ascii="Arial" w:cs="Arial" w:eastAsia="Arial" w:hAnsi="Arial"/>
          <w:sz w:val="20"/>
          <w:szCs w:val="20"/>
          <w:color w:val="auto"/>
        </w:rPr>
      </w:pPr>
      <w:r>
        <w:rPr>
          <w:rFonts w:ascii="Arial" w:cs="Arial" w:eastAsia="Arial" w:hAnsi="Arial"/>
          <w:sz w:val="20"/>
          <w:szCs w:val="20"/>
          <w:color w:val="auto"/>
        </w:rPr>
        <w:t xml:space="preserve">E. </w:t>
      </w:r>
      <w:r>
        <w:rPr>
          <w:rFonts w:ascii="Arial" w:cs="Arial" w:eastAsia="Arial" w:hAnsi="Arial"/>
          <w:sz w:val="20"/>
          <w:szCs w:val="20"/>
          <w:b w:val="1"/>
          <w:bCs w:val="1"/>
          <w:color w:val="auto"/>
        </w:rPr>
        <w:t>CLOSING CERTIFICATES AND MISCELLANEOUS</w:t>
      </w:r>
    </w:p>
    <w:p>
      <w:pPr>
        <w:spacing w:after="0" w:line="221" w:lineRule="exact"/>
        <w:rPr>
          <w:rFonts w:ascii="Arial" w:cs="Arial" w:eastAsia="Arial" w:hAnsi="Arial"/>
          <w:sz w:val="20"/>
          <w:szCs w:val="20"/>
          <w:color w:val="auto"/>
        </w:rPr>
      </w:pPr>
    </w:p>
    <w:p>
      <w:pPr>
        <w:ind w:left="660" w:hanging="652"/>
        <w:spacing w:after="0"/>
        <w:tabs>
          <w:tab w:leader="none" w:pos="660" w:val="left"/>
        </w:tabs>
        <w:numPr>
          <w:ilvl w:val="0"/>
          <w:numId w:val="183"/>
        </w:numPr>
        <w:rPr>
          <w:rFonts w:ascii="Arial" w:cs="Arial" w:eastAsia="Arial" w:hAnsi="Arial"/>
          <w:sz w:val="20"/>
          <w:szCs w:val="20"/>
          <w:color w:val="auto"/>
        </w:rPr>
      </w:pPr>
      <w:r>
        <w:rPr>
          <w:rFonts w:ascii="Arial" w:cs="Arial" w:eastAsia="Arial" w:hAnsi="Arial"/>
          <w:sz w:val="20"/>
          <w:szCs w:val="20"/>
          <w:b w:val="1"/>
          <w:bCs w:val="1"/>
          <w:i w:val="1"/>
          <w:iCs w:val="1"/>
          <w:color w:val="auto"/>
        </w:rPr>
        <w:t>A Certificate signed by the President, a Vice President or a Financial Officer of the Company certifying that:</w:t>
      </w:r>
    </w:p>
    <w:p>
      <w:pPr>
        <w:spacing w:after="0" w:line="215" w:lineRule="exact"/>
        <w:rPr>
          <w:rFonts w:ascii="Arial" w:cs="Arial" w:eastAsia="Arial" w:hAnsi="Arial"/>
          <w:sz w:val="20"/>
          <w:szCs w:val="20"/>
          <w:color w:val="auto"/>
        </w:rPr>
      </w:pPr>
    </w:p>
    <w:p>
      <w:pPr>
        <w:jc w:val="both"/>
        <w:ind w:left="660" w:firstLine="645"/>
        <w:spacing w:after="0" w:line="278" w:lineRule="auto"/>
        <w:tabs>
          <w:tab w:leader="none" w:pos="1551" w:val="left"/>
        </w:tabs>
        <w:numPr>
          <w:ilvl w:val="2"/>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Specified Representations are true and correct in all material respects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that any representation or warranty that is qualified by materiality, Material Adverse Effect or similar language are true and correct in all respects) on and as of the Effective Date, except to the extent that such representations and warranties specifically refer to an earlier date, in which case they are true and correct in all material respects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that any representation or warranty that is qualified by materiality, Material Adverse Effect or similar language are true and correct in all respects) as of such earlier date;</w:t>
      </w:r>
    </w:p>
    <w:p>
      <w:pPr>
        <w:spacing w:after="0" w:line="165" w:lineRule="exact"/>
        <w:rPr>
          <w:rFonts w:ascii="Arial" w:cs="Arial" w:eastAsia="Arial" w:hAnsi="Arial"/>
          <w:sz w:val="18"/>
          <w:szCs w:val="18"/>
          <w:b w:val="1"/>
          <w:bCs w:val="1"/>
          <w:i w:val="1"/>
          <w:iCs w:val="1"/>
          <w:color w:val="auto"/>
        </w:rPr>
      </w:pPr>
    </w:p>
    <w:p>
      <w:pPr>
        <w:jc w:val="both"/>
        <w:ind w:left="660" w:firstLine="645"/>
        <w:spacing w:after="0" w:line="342" w:lineRule="auto"/>
        <w:tabs>
          <w:tab w:leader="none" w:pos="1608" w:val="left"/>
        </w:tabs>
        <w:numPr>
          <w:ilvl w:val="2"/>
          <w:numId w:val="18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Grand Design Purchase Agreement Representations are true and correct in all material respects (</w:t>
      </w:r>
      <w:r>
        <w:rPr>
          <w:rFonts w:ascii="Arial" w:cs="Arial" w:eastAsia="Arial" w:hAnsi="Arial"/>
          <w:sz w:val="16"/>
          <w:szCs w:val="16"/>
          <w:b w:val="1"/>
          <w:bCs w:val="1"/>
          <w:i w:val="1"/>
          <w:iCs w:val="1"/>
          <w:u w:val="single" w:color="auto"/>
          <w:color w:val="auto"/>
        </w:rPr>
        <w:t>provided</w:t>
      </w:r>
      <w:r>
        <w:rPr>
          <w:rFonts w:ascii="Arial" w:cs="Arial" w:eastAsia="Arial" w:hAnsi="Arial"/>
          <w:sz w:val="16"/>
          <w:szCs w:val="16"/>
          <w:b w:val="1"/>
          <w:bCs w:val="1"/>
          <w:i w:val="1"/>
          <w:iCs w:val="1"/>
          <w:color w:val="auto"/>
        </w:rPr>
        <w:t xml:space="preserve"> that any such representation or warranty that is qualified by “materiality,” “Material Adverse Effect,” or similar language shall be true and correct in all respects) on and as of the Effective Date, except to the extent that such representations and warranties specifically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25" w:right="239" w:bottom="1440" w:gutter="0" w:footer="0" w:header="0"/>
        </w:sectPr>
      </w:pPr>
    </w:p>
    <w:bookmarkStart w:id="151" w:name="page152"/>
    <w:bookmarkEnd w:id="151"/>
    <w:p>
      <w:pPr>
        <w:jc w:val="both"/>
        <w:ind w:left="652"/>
        <w:spacing w:after="0" w:line="250" w:lineRule="auto"/>
        <w:rPr>
          <w:sz w:val="20"/>
          <w:szCs w:val="20"/>
          <w:color w:val="auto"/>
        </w:rPr>
      </w:pPr>
      <w:r>
        <w:rPr>
          <w:rFonts w:ascii="Arial" w:cs="Arial" w:eastAsia="Arial" w:hAnsi="Arial"/>
          <w:sz w:val="20"/>
          <w:szCs w:val="20"/>
          <w:b w:val="1"/>
          <w:bCs w:val="1"/>
          <w:i w:val="1"/>
          <w:iCs w:val="1"/>
          <w:color w:val="auto"/>
        </w:rPr>
        <w:t>refer to an earlier date, in which case they are true and correct in all material respects (</w:t>
      </w:r>
      <w:r>
        <w:rPr>
          <w:rFonts w:ascii="Arial" w:cs="Arial" w:eastAsia="Arial" w:hAnsi="Arial"/>
          <w:sz w:val="20"/>
          <w:szCs w:val="20"/>
          <w:b w:val="1"/>
          <w:bCs w:val="1"/>
          <w:i w:val="1"/>
          <w:iCs w:val="1"/>
          <w:u w:val="single" w:color="auto"/>
          <w:color w:val="auto"/>
        </w:rPr>
        <w:t>provided</w:t>
      </w:r>
      <w:r>
        <w:rPr>
          <w:rFonts w:ascii="Arial" w:cs="Arial" w:eastAsia="Arial" w:hAnsi="Arial"/>
          <w:sz w:val="20"/>
          <w:szCs w:val="20"/>
          <w:b w:val="1"/>
          <w:bCs w:val="1"/>
          <w:i w:val="1"/>
          <w:iCs w:val="1"/>
          <w:color w:val="auto"/>
        </w:rPr>
        <w:t xml:space="preserve"> that any representation or warranty that is qualified by “materiality,” “Material Adverse Effect,” or similar language shall be true and correct in all respects) as of such earlier date;</w:t>
      </w:r>
    </w:p>
    <w:p>
      <w:pPr>
        <w:spacing w:after="0" w:line="186" w:lineRule="exact"/>
        <w:rPr>
          <w:sz w:val="20"/>
          <w:szCs w:val="20"/>
          <w:color w:val="auto"/>
        </w:rPr>
      </w:pPr>
    </w:p>
    <w:p>
      <w:pPr>
        <w:jc w:val="both"/>
        <w:ind w:left="652" w:right="20" w:firstLine="645"/>
        <w:spacing w:after="0" w:line="250" w:lineRule="auto"/>
        <w:tabs>
          <w:tab w:leader="none" w:pos="1651" w:val="left"/>
        </w:tabs>
        <w:numPr>
          <w:ilvl w:val="1"/>
          <w:numId w:val="18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after giving effect to the Transactions, neither the Company nor any of its Subsidiaries (including, for the avoidance of doubt, the Target and its subsidiaries) shall have any Indebtedness outstanding other than the Permitted Surviving Debt and the Indebtedness permitted pursuant to Section 6.01 of the Credit Agreement;</w:t>
      </w:r>
    </w:p>
    <w:p>
      <w:pPr>
        <w:spacing w:after="0" w:line="186" w:lineRule="exact"/>
        <w:rPr>
          <w:rFonts w:ascii="Arial" w:cs="Arial" w:eastAsia="Arial" w:hAnsi="Arial"/>
          <w:sz w:val="20"/>
          <w:szCs w:val="20"/>
          <w:b w:val="1"/>
          <w:bCs w:val="1"/>
          <w:i w:val="1"/>
          <w:iCs w:val="1"/>
          <w:color w:val="auto"/>
        </w:rPr>
      </w:pPr>
    </w:p>
    <w:p>
      <w:pPr>
        <w:ind w:left="652" w:firstLine="645"/>
        <w:spacing w:after="0" w:line="260" w:lineRule="auto"/>
        <w:tabs>
          <w:tab w:leader="none" w:pos="1641" w:val="left"/>
        </w:tabs>
        <w:numPr>
          <w:ilvl w:val="1"/>
          <w:numId w:val="184"/>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Since October 2, 2016, there has not been a “Material Adverse Effect” (as such term is defined in the Grand Design Purchase Agreement as in effect on October 2, 2016); and</w:t>
      </w:r>
    </w:p>
    <w:p>
      <w:pPr>
        <w:spacing w:after="0" w:line="176" w:lineRule="exact"/>
        <w:rPr>
          <w:rFonts w:ascii="Arial" w:cs="Arial" w:eastAsia="Arial" w:hAnsi="Arial"/>
          <w:sz w:val="20"/>
          <w:szCs w:val="20"/>
          <w:b w:val="1"/>
          <w:bCs w:val="1"/>
          <w:i w:val="1"/>
          <w:iCs w:val="1"/>
          <w:color w:val="auto"/>
        </w:rPr>
      </w:pPr>
    </w:p>
    <w:p>
      <w:pPr>
        <w:jc w:val="both"/>
        <w:ind w:left="652" w:firstLine="645"/>
        <w:spacing w:after="0" w:line="328" w:lineRule="auto"/>
        <w:tabs>
          <w:tab w:leader="none" w:pos="1599" w:val="left"/>
        </w:tabs>
        <w:numPr>
          <w:ilvl w:val="1"/>
          <w:numId w:val="18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Grand Design Acquisition shall, substantially concurrently with the initial funding of the Loans hereunder and under the Term Loan Agreement, be consummated pursuant to the Grand Design Purchase Agreement, as in effect on October 2, 2016, and no provision thereof shall have been amended or waived, and no consent or request shall have been given under the Grand Design Purchase Agreement, in any way that is materially adverse to the Lenders in their capacities as such.</w:t>
      </w:r>
    </w:p>
    <w:p>
      <w:pPr>
        <w:spacing w:after="0" w:line="128" w:lineRule="exact"/>
        <w:rPr>
          <w:rFonts w:ascii="Arial" w:cs="Arial" w:eastAsia="Arial" w:hAnsi="Arial"/>
          <w:sz w:val="16"/>
          <w:szCs w:val="16"/>
          <w:b w:val="1"/>
          <w:bCs w:val="1"/>
          <w:i w:val="1"/>
          <w:iCs w:val="1"/>
          <w:color w:val="auto"/>
        </w:rPr>
      </w:pPr>
    </w:p>
    <w:p>
      <w:pPr>
        <w:ind w:left="652" w:hanging="652"/>
        <w:spacing w:after="0" w:line="316" w:lineRule="auto"/>
        <w:tabs>
          <w:tab w:leader="none" w:pos="652"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Solvency Certificate of the chief financial officer of the Company substantially in the form of </w:t>
      </w:r>
      <w:r>
        <w:rPr>
          <w:rFonts w:ascii="Arial" w:cs="Arial" w:eastAsia="Arial" w:hAnsi="Arial"/>
          <w:sz w:val="18"/>
          <w:szCs w:val="18"/>
          <w:b w:val="1"/>
          <w:bCs w:val="1"/>
          <w:i w:val="1"/>
          <w:iCs w:val="1"/>
          <w:u w:val="single" w:color="auto"/>
          <w:color w:val="auto"/>
        </w:rPr>
        <w:t>Annex I</w:t>
      </w:r>
      <w:r>
        <w:rPr>
          <w:rFonts w:ascii="Arial" w:cs="Arial" w:eastAsia="Arial" w:hAnsi="Arial"/>
          <w:sz w:val="18"/>
          <w:szCs w:val="18"/>
          <w:b w:val="1"/>
          <w:bCs w:val="1"/>
          <w:i w:val="1"/>
          <w:iCs w:val="1"/>
          <w:color w:val="auto"/>
        </w:rPr>
        <w:t xml:space="preserve"> hereto, certifying that the Company and its Subsidiaries, on a consolidated basis after giving effect to the Transactions, are solvent.</w:t>
      </w:r>
    </w:p>
    <w:p>
      <w:pPr>
        <w:spacing w:after="0" w:line="130"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Payoff documentation providing evidence satisfactory to the Administrative Agent that the Existing Credit Agreement has been terminated and cancelled (along with all of the agreements, documents and instruments delivered in connection therewith) and all Indebtedness owing thereunder has been repaid.</w:t>
      </w:r>
    </w:p>
    <w:p>
      <w:pPr>
        <w:spacing w:after="0" w:line="186" w:lineRule="exact"/>
        <w:rPr>
          <w:rFonts w:ascii="Arial" w:cs="Arial" w:eastAsia="Arial" w:hAnsi="Arial"/>
          <w:sz w:val="20"/>
          <w:szCs w:val="20"/>
          <w:color w:val="auto"/>
        </w:rPr>
      </w:pPr>
    </w:p>
    <w:p>
      <w:pPr>
        <w:ind w:left="652" w:hanging="652"/>
        <w:spacing w:after="0" w:line="260" w:lineRule="auto"/>
        <w:tabs>
          <w:tab w:leader="none" w:pos="65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ABL/Term Loan Intercreditor Agreement, executed by JPMorgan, as ABL Representative, JPMorgan, as Term Loan Representative, and the Loan Parties.</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ABL Documents.</w:t>
      </w: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12"/>
          </w:cols>
          <w:pgMar w:left="248" w:top="811"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0"/>
          <w:szCs w:val="20"/>
          <w:u w:val="single" w:color="auto"/>
          <w:color w:val="auto"/>
        </w:rPr>
        <w:t>Annex I to 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SOLVENCY CERTIFICATE</w:t>
      </w:r>
    </w:p>
    <w:p>
      <w:pPr>
        <w:spacing w:after="0" w:line="21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[__________], 20[__]</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This Solvency Certificate is being executed and delivered pursuant to </w:t>
      </w:r>
      <w:r>
        <w:rPr>
          <w:rFonts w:ascii="Arial" w:cs="Arial" w:eastAsia="Arial" w:hAnsi="Arial"/>
          <w:sz w:val="20"/>
          <w:szCs w:val="20"/>
          <w:u w:val="single" w:color="auto"/>
          <w:color w:val="auto"/>
        </w:rPr>
        <w:t>Section 4.01(a)</w:t>
      </w:r>
      <w:r>
        <w:rPr>
          <w:rFonts w:ascii="Arial" w:cs="Arial" w:eastAsia="Arial" w:hAnsi="Arial"/>
          <w:sz w:val="20"/>
          <w:szCs w:val="20"/>
          <w:color w:val="auto"/>
        </w:rPr>
        <w:t xml:space="preserve"> of the Loan Agreement (the “</w:t>
      </w:r>
      <w:r>
        <w:rPr>
          <w:rFonts w:ascii="Arial" w:cs="Arial" w:eastAsia="Arial" w:hAnsi="Arial"/>
          <w:sz w:val="20"/>
          <w:szCs w:val="20"/>
          <w:u w:val="single" w:color="auto"/>
          <w:color w:val="auto"/>
        </w:rPr>
        <w:t>Loan Agreement</w:t>
      </w:r>
      <w:r>
        <w:rPr>
          <w:rFonts w:ascii="Arial" w:cs="Arial" w:eastAsia="Arial" w:hAnsi="Arial"/>
          <w:sz w:val="20"/>
          <w:szCs w:val="20"/>
          <w:color w:val="auto"/>
        </w:rPr>
        <w:t>”), dated as of November 8, 2016, among Winnebago Industries, Inc. (the “</w:t>
      </w:r>
      <w:r>
        <w:rPr>
          <w:rFonts w:ascii="Arial" w:cs="Arial" w:eastAsia="Arial" w:hAnsi="Arial"/>
          <w:sz w:val="20"/>
          <w:szCs w:val="20"/>
          <w:u w:val="single" w:color="auto"/>
          <w:color w:val="auto"/>
        </w:rPr>
        <w:t>Company</w:t>
      </w:r>
      <w:r>
        <w:rPr>
          <w:rFonts w:ascii="Arial" w:cs="Arial" w:eastAsia="Arial" w:hAnsi="Arial"/>
          <w:sz w:val="20"/>
          <w:szCs w:val="20"/>
          <w:color w:val="auto"/>
        </w:rPr>
        <w:t>”), Octavius Corporation, as Borrower, the other Loan Parties party thereto from time to time, the lenders party thereto from time to time and JPMorgan Chase Bank, N.A., as the administrative agent; the terms defined therein being used herein as therein defined.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w:t>
      </w:r>
      <w:r>
        <w:rPr>
          <w:rFonts w:ascii="Arial" w:cs="Arial" w:eastAsia="Arial" w:hAnsi="Arial"/>
          <w:sz w:val="18"/>
          <w:szCs w:val="18"/>
          <w:color w:val="auto"/>
        </w:rPr>
        <w:t>__________</w:t>
      </w:r>
      <w:r>
        <w:rPr>
          <w:rFonts w:ascii="Arial" w:cs="Arial" w:eastAsia="Arial" w:hAnsi="Arial"/>
          <w:sz w:val="18"/>
          <w:szCs w:val="18"/>
          <w:b w:val="1"/>
          <w:bCs w:val="1"/>
          <w:color w:val="auto"/>
        </w:rPr>
        <w:t>]</w:t>
      </w:r>
      <w:r>
        <w:rPr>
          <w:rFonts w:ascii="Arial" w:cs="Arial" w:eastAsia="Arial" w:hAnsi="Arial"/>
          <w:sz w:val="18"/>
          <w:szCs w:val="18"/>
          <w:color w:val="auto"/>
        </w:rPr>
        <w:t>, the chief financial officer of the Company, solely in such capacity and not in an individual capacity, hereby certify</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that I am the 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Loan Agreement.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Loan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 (b) the capital of the Company and its Subsidiaries, taken as a whole, is not unreasonably small in relation to the business of the Company and its Subsidiaries, taken as a whole, contemplated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Remainder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257"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IN WITNESS WHEREOF, I have executed this Solvency Certificate on the date first written above.</w:t>
      </w:r>
    </w:p>
    <w:p>
      <w:pPr>
        <w:sectPr>
          <w:pgSz w:w="11900" w:h="16838" w:orient="portrait"/>
          <w:cols w:equalWidth="0" w:num="1">
            <w:col w:w="9559"/>
          </w:cols>
          <w:pgMar w:left="900" w:top="12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By:__________________________________</w:t>
      </w:r>
    </w:p>
    <w:p>
      <w:pPr>
        <w:spacing w:after="0" w:line="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559"/>
          </w:cols>
          <w:pgMar w:left="900" w:top="1257" w:right="1440" w:bottom="1440" w:gutter="0" w:footer="0" w:header="0"/>
          <w:type w:val="continuous"/>
        </w:sectPr>
      </w:pPr>
    </w:p>
    <w:bookmarkStart w:id="154" w:name="page155"/>
    <w:bookmarkEnd w:id="154"/>
    <w:p>
      <w:pPr>
        <w:jc w:val="center"/>
        <w:spacing w:after="0"/>
        <w:rPr>
          <w:sz w:val="20"/>
          <w:szCs w:val="20"/>
          <w:color w:val="auto"/>
        </w:rPr>
      </w:pPr>
      <w:r>
        <w:rPr>
          <w:rFonts w:ascii="Arial" w:cs="Arial" w:eastAsia="Arial" w:hAnsi="Arial"/>
          <w:sz w:val="20"/>
          <w:szCs w:val="20"/>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JOINDER AGREEMENT</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[__________], 20__, is entered into between [__________], 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[__________] (the “</w:t>
      </w:r>
      <w:r>
        <w:rPr>
          <w:rFonts w:ascii="Arial" w:cs="Arial" w:eastAsia="Arial" w:hAnsi="Arial"/>
          <w:sz w:val="19"/>
          <w:szCs w:val="19"/>
          <w:u w:val="single" w:color="auto"/>
          <w:color w:val="auto"/>
        </w:rPr>
        <w:t>New Subsidiary</w:t>
      </w:r>
      <w:r>
        <w:rPr>
          <w:rFonts w:ascii="Arial" w:cs="Arial" w:eastAsia="Arial" w:hAnsi="Arial"/>
          <w:sz w:val="19"/>
          <w:szCs w:val="19"/>
          <w:color w:val="auto"/>
        </w:rPr>
        <w:t>”) and JPMORGAN CHASE BANK, N.A., in its capacity as administrative agent (the “</w:t>
      </w:r>
      <w:r>
        <w:rPr>
          <w:rFonts w:ascii="Arial" w:cs="Arial" w:eastAsia="Arial" w:hAnsi="Arial"/>
          <w:sz w:val="19"/>
          <w:szCs w:val="19"/>
          <w:u w:val="single" w:color="auto"/>
          <w:color w:val="auto"/>
        </w:rPr>
        <w:t>Administrative</w:t>
      </w:r>
    </w:p>
    <w:p>
      <w:pPr>
        <w:spacing w:after="0" w:line="11" w:lineRule="exact"/>
        <w:rPr>
          <w:sz w:val="20"/>
          <w:szCs w:val="20"/>
          <w:color w:val="auto"/>
        </w:rPr>
      </w:pPr>
    </w:p>
    <w:p>
      <w:pPr>
        <w:jc w:val="both"/>
        <w:spacing w:after="0" w:line="241" w:lineRule="auto"/>
        <w:rPr>
          <w:sz w:val="20"/>
          <w:szCs w:val="20"/>
          <w:color w:val="auto"/>
        </w:rPr>
      </w:pPr>
      <w:r>
        <w:rPr>
          <w:rFonts w:ascii="Arial" w:cs="Arial" w:eastAsia="Arial" w:hAnsi="Arial"/>
          <w:sz w:val="20"/>
          <w:szCs w:val="20"/>
          <w:u w:val="single" w:color="auto"/>
          <w:color w:val="auto"/>
        </w:rPr>
        <w:t>Agent</w:t>
      </w:r>
      <w:r>
        <w:rPr>
          <w:rFonts w:ascii="Arial" w:cs="Arial" w:eastAsia="Arial" w:hAnsi="Arial"/>
          <w:sz w:val="20"/>
          <w:szCs w:val="20"/>
          <w:color w:val="auto"/>
        </w:rPr>
        <w:t>”) under that certain Loan Agreement dated as of November 8, 2016 (as amended, restated,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Winnebago Industries, Inc., as Company, Octavius Corporation, as Borrower, the other Loan Parties party thereto, the Lenders party thereto and the Administrative Agent for the Lenders. All capitalized terms used herein and not otherwise defined herein shall have the meanings set forth in the Loan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Subsidiary and the Administrative Agent, for the benefit of the Lenders, hereby agree as follows:</w:t>
      </w:r>
    </w:p>
    <w:p>
      <w:pPr>
        <w:spacing w:after="0" w:line="229" w:lineRule="exact"/>
        <w:rPr>
          <w:sz w:val="20"/>
          <w:szCs w:val="20"/>
          <w:color w:val="auto"/>
        </w:rPr>
      </w:pPr>
    </w:p>
    <w:p>
      <w:pPr>
        <w:jc w:val="both"/>
        <w:ind w:firstLine="656"/>
        <w:spacing w:after="0" w:line="269" w:lineRule="auto"/>
        <w:tabs>
          <w:tab w:leader="none" w:pos="1008"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by its execution of this Agreement, the New Subsidiary will be deemed to be a Loan Party under the Loan Agreement and a “Loan Guarantor” for all purposes of the Loan Agreement and shall have all of the obligations of a Loan Party and a Loan Guarantor thereunder as if it had executed the Loan Agreement. The New Subsidiary hereby ratifies, as of the date hereof, and agrees to be bound by, all of the terms, provisions and conditions contained in the Loan Agreement, including without limitation (a) all of the representations and warranties of the Loan Parties set forth in Article III of the Loan Agreement, (b) all of the covenants set forth in Articles V and VI of the Loan Agreement and (c) all of the guaranty obligations set forth in Article X of the Loan Agreement. Without limiting the generality of the foregoing terms of this paragraph 1, the New Subsidiary, subject to the limitations set forth in Sections 10.10 and 10.13 of the Loan Agreement, hereby guarantees, jointly and severally with the other Loan Guarantors, to the Administrative Agent and the Lenders, as provided in Article X of the Loan Agreement, the prompt payment and performance of the Guaranteed Obligations in full when due (whether at stated maturity, as a mandatory prepayment, by acceleration or otherwise)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93" w:lineRule="exact"/>
        <w:rPr>
          <w:rFonts w:ascii="Arial" w:cs="Arial" w:eastAsia="Arial" w:hAnsi="Arial"/>
          <w:sz w:val="18"/>
          <w:szCs w:val="18"/>
          <w:color w:val="auto"/>
        </w:rPr>
      </w:pPr>
    </w:p>
    <w:p>
      <w:pPr>
        <w:ind w:firstLine="656"/>
        <w:spacing w:after="0" w:line="316" w:lineRule="auto"/>
        <w:tabs>
          <w:tab w:leader="none" w:pos="102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Loan Agreement.</w:t>
      </w:r>
    </w:p>
    <w:p>
      <w:pPr>
        <w:spacing w:after="0" w:line="143" w:lineRule="exact"/>
        <w:rPr>
          <w:rFonts w:ascii="Arial" w:cs="Arial" w:eastAsia="Arial" w:hAnsi="Arial"/>
          <w:sz w:val="18"/>
          <w:szCs w:val="18"/>
          <w:color w:val="auto"/>
        </w:rPr>
      </w:pPr>
    </w:p>
    <w:p>
      <w:pPr>
        <w:ind w:left="1000" w:hanging="344"/>
        <w:spacing w:after="0"/>
        <w:tabs>
          <w:tab w:leader="none" w:pos="100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address of the New Subsidiary for purposes of Section 9.01 of the Loan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945515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730885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516255</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302260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155" w:name="page156"/>
    <w:bookmarkEnd w:id="155"/>
    <w:p>
      <w:pPr>
        <w:ind w:firstLine="656"/>
        <w:spacing w:after="0" w:line="260" w:lineRule="auto"/>
        <w:tabs>
          <w:tab w:leader="none" w:pos="1143"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Lenders of the guaranty by the New Subsidiary upon the execution of this Agreement by the New Subsidiary.</w:t>
      </w:r>
    </w:p>
    <w:p>
      <w:pPr>
        <w:spacing w:after="0" w:line="190" w:lineRule="exact"/>
        <w:rPr>
          <w:rFonts w:ascii="Arial" w:cs="Arial" w:eastAsia="Arial" w:hAnsi="Arial"/>
          <w:sz w:val="20"/>
          <w:szCs w:val="20"/>
          <w:color w:val="auto"/>
        </w:rPr>
      </w:pPr>
    </w:p>
    <w:p>
      <w:pPr>
        <w:ind w:firstLine="656"/>
        <w:spacing w:after="0" w:line="260" w:lineRule="auto"/>
        <w:tabs>
          <w:tab w:leader="none" w:pos="1089" w:val="left"/>
        </w:tabs>
        <w:numPr>
          <w:ilvl w:val="0"/>
          <w:numId w:val="187"/>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when so executed and delivered shall be an original, but all of which shall constitute one and the same instrument.</w:t>
      </w:r>
    </w:p>
    <w:p>
      <w:pPr>
        <w:spacing w:after="0" w:line="190" w:lineRule="exact"/>
        <w:rPr>
          <w:rFonts w:ascii="Arial" w:cs="Arial" w:eastAsia="Arial" w:hAnsi="Arial"/>
          <w:sz w:val="20"/>
          <w:szCs w:val="20"/>
          <w:color w:val="auto"/>
        </w:rPr>
      </w:pPr>
    </w:p>
    <w:p>
      <w:pPr>
        <w:ind w:firstLine="656"/>
        <w:spacing w:after="0" w:line="287" w:lineRule="auto"/>
        <w:tabs>
          <w:tab w:leader="none" w:pos="1049"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HEREUNDER SHALL BE GOVERNED BY AND CONSTRUED AND INTERPRETED IN ACCORDANCE WITH THE LAWS OF THE STATE OF NEW YORK.</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36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[NEW SUBSIDIARY]</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JPMORGAN CHASE BANK, N.A., as Administrative Agent</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color w:val="auto"/>
        </w:rPr>
        <w:t>EXHIBIT F-1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AUCTION PROCEDURES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i w:val="1"/>
          <w:iCs w:val="1"/>
          <w:color w:val="auto"/>
        </w:rPr>
        <w:t xml:space="preserve">This </w:t>
      </w:r>
      <w:r>
        <w:rPr>
          <w:rFonts w:ascii="Arial" w:cs="Arial" w:eastAsia="Arial" w:hAnsi="Arial"/>
          <w:sz w:val="19"/>
          <w:szCs w:val="19"/>
          <w:i w:val="1"/>
          <w:iCs w:val="1"/>
          <w:u w:val="single" w:color="auto"/>
          <w:color w:val="auto"/>
        </w:rPr>
        <w:t>Exhibit F-1</w:t>
      </w:r>
      <w:r>
        <w:rPr>
          <w:rFonts w:ascii="Arial" w:cs="Arial" w:eastAsia="Arial" w:hAnsi="Arial"/>
          <w:sz w:val="19"/>
          <w:szCs w:val="19"/>
          <w:i w:val="1"/>
          <w:iCs w:val="1"/>
          <w:color w:val="auto"/>
        </w:rPr>
        <w:t xml:space="preserve"> is intended to summarize certain basic terms of the reverse Dutch auction procedures pursuant to and in accordance with the terms and conditions of </w:t>
      </w:r>
      <w:r>
        <w:rPr>
          <w:rFonts w:ascii="Arial" w:cs="Arial" w:eastAsia="Arial" w:hAnsi="Arial"/>
          <w:sz w:val="19"/>
          <w:szCs w:val="19"/>
          <w:i w:val="1"/>
          <w:iCs w:val="1"/>
          <w:u w:val="single" w:color="auto"/>
          <w:color w:val="auto"/>
        </w:rPr>
        <w:t>Section 9.04(f)</w:t>
      </w:r>
      <w:r>
        <w:rPr>
          <w:rFonts w:ascii="Arial" w:cs="Arial" w:eastAsia="Arial" w:hAnsi="Arial"/>
          <w:sz w:val="19"/>
          <w:szCs w:val="19"/>
          <w:i w:val="1"/>
          <w:iCs w:val="1"/>
          <w:color w:val="auto"/>
        </w:rPr>
        <w:t xml:space="preserve"> of the Loan Agreement, of which this </w:t>
      </w:r>
      <w:r>
        <w:rPr>
          <w:rFonts w:ascii="Arial" w:cs="Arial" w:eastAsia="Arial" w:hAnsi="Arial"/>
          <w:sz w:val="19"/>
          <w:szCs w:val="19"/>
          <w:i w:val="1"/>
          <w:iCs w:val="1"/>
          <w:u w:val="single" w:color="auto"/>
          <w:color w:val="auto"/>
        </w:rPr>
        <w:t>Exhibit F-1</w:t>
      </w:r>
      <w:r>
        <w:rPr>
          <w:rFonts w:ascii="Arial" w:cs="Arial" w:eastAsia="Arial" w:hAnsi="Arial"/>
          <w:sz w:val="19"/>
          <w:szCs w:val="19"/>
          <w:i w:val="1"/>
          <w:iCs w:val="1"/>
          <w:color w:val="auto"/>
        </w:rPr>
        <w:t xml:space="preserve"> is a part. It is not intended to be a definitive statement of all of the terms and conditions of a reverse Dutch auction, the definitive terms and conditions for which shall be set forth in the applicable offering document. None of the Administrative Agent, the Auction Manager or any of their respective Affiliates makes any recommendation pursuant to any offering document as to whether or not any Lender should sell its Term Loans to a Purchasing Borrower Party pursuant to any offering documents, nor shall the decision by the Administrative Agent or the Auction Manager (or any of their respective Affiliates) in its capacity as a Lender to sell its Term Loans to a Purchasing Borrower Party be deemed to constitute such a recommendation. Each Lender should make its own decision as to whether to sell any of its Term Loans and as to the price to be sought for such Term Loans. In addition, each Lender should consult its own attorney, business advisor or tax advisor as to legal, business, tax and related matters concerning each Auction Purchase Offer and the relevant offering documents. Capitalized terms not otherwise defined in this </w:t>
      </w:r>
      <w:r>
        <w:rPr>
          <w:rFonts w:ascii="Arial" w:cs="Arial" w:eastAsia="Arial" w:hAnsi="Arial"/>
          <w:sz w:val="19"/>
          <w:szCs w:val="19"/>
          <w:i w:val="1"/>
          <w:iCs w:val="1"/>
          <w:u w:val="single" w:color="auto"/>
          <w:color w:val="auto"/>
        </w:rPr>
        <w:t>Exhibit F-1</w:t>
      </w:r>
      <w:r>
        <w:rPr>
          <w:rFonts w:ascii="Arial" w:cs="Arial" w:eastAsia="Arial" w:hAnsi="Arial"/>
          <w:sz w:val="19"/>
          <w:szCs w:val="19"/>
          <w:i w:val="1"/>
          <w:iCs w:val="1"/>
          <w:color w:val="auto"/>
        </w:rPr>
        <w:t xml:space="preserve"> have the meanings assigned to them in the Loan Agreement.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u w:val="single" w:color="auto"/>
          <w:color w:val="auto"/>
        </w:rPr>
        <w:t>Notice Procedures</w:t>
      </w:r>
      <w:r>
        <w:rPr>
          <w:rFonts w:ascii="Arial" w:cs="Arial" w:eastAsia="Arial" w:hAnsi="Arial"/>
          <w:sz w:val="18"/>
          <w:szCs w:val="18"/>
          <w:color w:val="auto"/>
        </w:rPr>
        <w:t>. In connection with each Auction Purchase Offer, a Purchasing Borrower Party will provide notification to the Auction Manager (for distribution to the Lenders) of the Class or Classes of Term Loans (as determined by such Purchasing Borrower Party in its sole discretion) that will be the subject of such Auction Purchase Offer (each, an “</w:t>
      </w:r>
      <w:r>
        <w:rPr>
          <w:rFonts w:ascii="Arial" w:cs="Arial" w:eastAsia="Arial" w:hAnsi="Arial"/>
          <w:sz w:val="18"/>
          <w:szCs w:val="18"/>
          <w:u w:val="single" w:color="auto"/>
          <w:color w:val="auto"/>
        </w:rPr>
        <w:t>Auction Notice</w:t>
      </w:r>
      <w:r>
        <w:rPr>
          <w:rFonts w:ascii="Arial" w:cs="Arial" w:eastAsia="Arial" w:hAnsi="Arial"/>
          <w:sz w:val="18"/>
          <w:szCs w:val="18"/>
          <w:color w:val="auto"/>
        </w:rPr>
        <w:t>”). Each Auction Notice shall contain (i) the maximum principal amount (calculated on the face amount thereof) of each Class or Classes of Term Loans that the applicable Purchasing Borrower Party offers to purchase in such Auction Purchase Offer (the “</w:t>
      </w:r>
      <w:r>
        <w:rPr>
          <w:rFonts w:ascii="Arial" w:cs="Arial" w:eastAsia="Arial" w:hAnsi="Arial"/>
          <w:sz w:val="18"/>
          <w:szCs w:val="18"/>
          <w:u w:val="single" w:color="auto"/>
          <w:color w:val="auto"/>
        </w:rPr>
        <w:t>Auction Amount</w:t>
      </w:r>
      <w:r>
        <w:rPr>
          <w:rFonts w:ascii="Arial" w:cs="Arial" w:eastAsia="Arial" w:hAnsi="Arial"/>
          <w:sz w:val="18"/>
          <w:szCs w:val="18"/>
          <w:color w:val="auto"/>
        </w:rPr>
        <w:t xml:space="preserve"> ”), which shall be no less than $15,000,000 (across all such Classes); (ii) the range of discounts to par (the “</w:t>
      </w:r>
      <w:r>
        <w:rPr>
          <w:rFonts w:ascii="Arial" w:cs="Arial" w:eastAsia="Arial" w:hAnsi="Arial"/>
          <w:sz w:val="18"/>
          <w:szCs w:val="18"/>
          <w:u w:val="single" w:color="auto"/>
          <w:color w:val="auto"/>
        </w:rPr>
        <w:t>Discount Range</w:t>
      </w:r>
      <w:r>
        <w:rPr>
          <w:rFonts w:ascii="Arial" w:cs="Arial" w:eastAsia="Arial" w:hAnsi="Arial"/>
          <w:sz w:val="18"/>
          <w:szCs w:val="18"/>
          <w:color w:val="auto"/>
        </w:rPr>
        <w:t>”), expressed as a range of prices (in increments of $25) per $1,000, at which such Purchasing Borrower Party would be willing to purchase Term Loans of each applicable Class in such Auction Purchase Offer; and</w:t>
      </w:r>
    </w:p>
    <w:p>
      <w:pPr>
        <w:spacing w:after="0" w:line="5" w:lineRule="exact"/>
        <w:rPr>
          <w:sz w:val="20"/>
          <w:szCs w:val="20"/>
          <w:color w:val="auto"/>
        </w:rPr>
      </w:pPr>
    </w:p>
    <w:p>
      <w:pPr>
        <w:jc w:val="both"/>
        <w:ind w:firstLine="8"/>
        <w:spacing w:after="0" w:line="268" w:lineRule="auto"/>
        <w:tabs>
          <w:tab w:leader="none" w:pos="38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date on which such Auction Purchase Offer will conclude (which date shall not be less than three Business Days following the distribution of the Auction Notice to the Lenders of the applicable Class(es)), on which date Return Bids (as defined below) will be due by 1:00 p.m., New York City time (as such date and time may be extended by the Auction Manager, the “</w:t>
      </w:r>
      <w:r>
        <w:rPr>
          <w:rFonts w:ascii="Arial" w:cs="Arial" w:eastAsia="Arial" w:hAnsi="Arial"/>
          <w:sz w:val="18"/>
          <w:szCs w:val="18"/>
          <w:u w:val="single" w:color="auto"/>
          <w:color w:val="auto"/>
        </w:rPr>
        <w:t>Expiration Time</w:t>
      </w:r>
      <w:r>
        <w:rPr>
          <w:rFonts w:ascii="Arial" w:cs="Arial" w:eastAsia="Arial" w:hAnsi="Arial"/>
          <w:sz w:val="18"/>
          <w:szCs w:val="18"/>
          <w:color w:val="auto"/>
        </w:rPr>
        <w:t xml:space="preserve">”). Such Expiration Time may be extended for a period not exceeding three (3) Business Days upon notice by the applicable Purchasing Borrower Party to the Auction Manager received not less than 24 hours before the original Expiration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only two (2) extensions per offer shall be permitted. An Auction Purchase Offer shall be regarded as a “</w:t>
      </w:r>
      <w:r>
        <w:rPr>
          <w:rFonts w:ascii="Arial" w:cs="Arial" w:eastAsia="Arial" w:hAnsi="Arial"/>
          <w:sz w:val="18"/>
          <w:szCs w:val="18"/>
          <w:u w:val="single" w:color="auto"/>
          <w:color w:val="auto"/>
        </w:rPr>
        <w:t>failed Auction Purchase Offer</w:t>
      </w:r>
      <w:r>
        <w:rPr>
          <w:rFonts w:ascii="Arial" w:cs="Arial" w:eastAsia="Arial" w:hAnsi="Arial"/>
          <w:sz w:val="18"/>
          <w:szCs w:val="18"/>
          <w:color w:val="auto"/>
        </w:rPr>
        <w:t>” in the event that either (x) the applicable Purchasing Borrower Party withdraws such Auction Purchase Offer in accordance with the terms hereof or (y) the Expiration Time occurs with no Qualifying Bids (as defined below) having been received. In the event of a failed Auction Purchase Offer, no Purchasing Borrower Party shall be permitted to deliver a new Auction Notice prior to the date occurring three (3) Business Days after such withdrawal or Expiration Time, as the case may be. Notwithstanding anything to the contrary contained herein, the applicable Purchasing Borrower Party shall not initiate any Auction Purchase Offer by delivering an Auction Notice to the Auction Manager until after the conclusion (whether successful or failed) of the previous Auction Purchase Offer (if any), whether such conclusion occurs by withdrawal of such previous Auction Purchase Offer or the occurrence of the Expiration Time of such previous Auction Purchase Offer.</w:t>
      </w:r>
    </w:p>
    <w:p>
      <w:pPr>
        <w:spacing w:after="0" w:line="18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u w:val="single" w:color="auto"/>
          <w:color w:val="auto"/>
        </w:rPr>
        <w:t>Reply Procedures</w:t>
      </w:r>
      <w:r>
        <w:rPr>
          <w:rFonts w:ascii="Arial" w:cs="Arial" w:eastAsia="Arial" w:hAnsi="Arial"/>
          <w:sz w:val="20"/>
          <w:szCs w:val="20"/>
          <w:color w:val="auto"/>
        </w:rPr>
        <w:t>. In connection with any Auction Purchase Offer, each Lender of the applicable Class(es) wishing to participate in such Auction Purchase Offer shall, prior to the Expiration Time, provide</w:t>
      </w:r>
    </w:p>
    <w:p>
      <w:pPr>
        <w:sectPr>
          <w:pgSz w:w="11900" w:h="16838" w:orient="portrait"/>
          <w:cols w:equalWidth="0" w:num="1">
            <w:col w:w="11420"/>
          </w:cols>
          <w:pgMar w:left="240" w:top="811" w:right="239" w:bottom="1440" w:gutter="0" w:footer="0" w:header="0"/>
        </w:sectPr>
      </w:pPr>
    </w:p>
    <w:bookmarkStart w:id="157" w:name="page158"/>
    <w:bookmarkEnd w:id="157"/>
    <w:p>
      <w:pPr>
        <w:jc w:val="both"/>
        <w:spacing w:after="0" w:line="270" w:lineRule="auto"/>
        <w:rPr>
          <w:sz w:val="20"/>
          <w:szCs w:val="20"/>
          <w:color w:val="auto"/>
        </w:rPr>
      </w:pPr>
      <w:r>
        <w:rPr>
          <w:rFonts w:ascii="Arial" w:cs="Arial" w:eastAsia="Arial" w:hAnsi="Arial"/>
          <w:sz w:val="18"/>
          <w:szCs w:val="18"/>
          <w:color w:val="auto"/>
        </w:rPr>
        <w:t>the Auction Manager with a notice of participation, in the form included in the applicable offering document (each, a “</w:t>
      </w:r>
      <w:r>
        <w:rPr>
          <w:rFonts w:ascii="Arial" w:cs="Arial" w:eastAsia="Arial" w:hAnsi="Arial"/>
          <w:sz w:val="18"/>
          <w:szCs w:val="18"/>
          <w:u w:val="single" w:color="auto"/>
          <w:color w:val="auto"/>
        </w:rPr>
        <w:t>Return Bid</w:t>
      </w:r>
      <w:r>
        <w:rPr>
          <w:rFonts w:ascii="Arial" w:cs="Arial" w:eastAsia="Arial" w:hAnsi="Arial"/>
          <w:sz w:val="18"/>
          <w:szCs w:val="18"/>
          <w:color w:val="auto"/>
        </w:rPr>
        <w:t>”) which shall specify (i) a discount to par that must be expressed as a price (in increments of $25) per $1,000 in principal amount of Term Loans (the “</w:t>
      </w:r>
      <w:r>
        <w:rPr>
          <w:rFonts w:ascii="Arial" w:cs="Arial" w:eastAsia="Arial" w:hAnsi="Arial"/>
          <w:sz w:val="18"/>
          <w:szCs w:val="18"/>
          <w:u w:val="single" w:color="auto"/>
          <w:color w:val="auto"/>
        </w:rPr>
        <w:t>Reply</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 of the applicable Class(es) within the Discount Range and (ii) the principal amount of Term Loans of the applicable Class(es), in an amount not less than $1,000,000 or an integral multiple of $1,000 in excess thereof, that such Lender offers for sale at its Reply Price (the “</w:t>
      </w:r>
      <w:r>
        <w:rPr>
          <w:rFonts w:ascii="Arial" w:cs="Arial" w:eastAsia="Arial" w:hAnsi="Arial"/>
          <w:sz w:val="18"/>
          <w:szCs w:val="18"/>
          <w:u w:val="single" w:color="auto"/>
          <w:color w:val="auto"/>
        </w:rPr>
        <w:t>Reply Amount</w:t>
      </w:r>
      <w:r>
        <w:rPr>
          <w:rFonts w:ascii="Arial" w:cs="Arial" w:eastAsia="Arial" w:hAnsi="Arial"/>
          <w:sz w:val="18"/>
          <w:szCs w:val="18"/>
          <w:color w:val="auto"/>
        </w:rPr>
        <w:t>”). A Lender may submit a Reply Amount that is less than the minimum amount and incremental amount requirements described above only if the Reply Amount comprises the entire amount of the Term Loans of the applicable Class(es) held by such Lender. Lenders may only submit one Return Bid per Class per Auction Purchase Offer, but each Return Bid may contain up to three component bids, each of which may result in a separate Qualifying Bid and each of which will not be contingent on any other component bid submitted by such Lender resulting in a Qualifying Bid. In addition to the Return Bid, the participating Lender must execute and deliver, to be held in escrow by the Auction Manager, an Affiliated Lender Assignment and Assumption. No Purchasing Borrower Party will purchase any Term Loans at a price that is outside of the applicable Discount Range, nor will any Return Bids (including any component bids specified therein) submitted at a price that is outside such applicable Discount Range be considered in any calculation of the Applicable Threshold Price (as defined below).</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u w:val="single" w:color="auto"/>
          <w:color w:val="auto"/>
        </w:rPr>
        <w:t>Acceptance Procedures</w:t>
      </w:r>
      <w:r>
        <w:rPr>
          <w:rFonts w:ascii="Arial" w:cs="Arial" w:eastAsia="Arial" w:hAnsi="Arial"/>
          <w:sz w:val="18"/>
          <w:szCs w:val="18"/>
          <w:color w:val="auto"/>
        </w:rPr>
        <w:t>. Based on the Reply Prices and Reply Amounts received by the Auction Manager, the Auction Manager, in consultation with the applicable Purchasing Borrower Party, will determine the applicable discounted price (the “</w:t>
      </w:r>
      <w:r>
        <w:rPr>
          <w:rFonts w:ascii="Arial" w:cs="Arial" w:eastAsia="Arial" w:hAnsi="Arial"/>
          <w:sz w:val="18"/>
          <w:szCs w:val="18"/>
          <w:u w:val="single" w:color="auto"/>
          <w:color w:val="auto"/>
        </w:rPr>
        <w:t>Applicable Discounted Price</w:t>
      </w:r>
      <w:r>
        <w:rPr>
          <w:rFonts w:ascii="Arial" w:cs="Arial" w:eastAsia="Arial" w:hAnsi="Arial"/>
          <w:sz w:val="18"/>
          <w:szCs w:val="18"/>
          <w:color w:val="auto"/>
        </w:rPr>
        <w:t>”) for the Auction, which will be (i) the lowest Reply Price for which such Purchasing Borrower Party can complete the Auction Purchase Offer at the Auction Amount or (ii) in the event that the aggregate amount of the Reply Amounts relating to such Auction Notice is insufficient to allow such Purchasing Borrower Party to purchase the entire Auction Amount, the highest Reply Price that is within the Discounted Range, so that such Purchasing Borrower Party can complete the purchase at such aggregate amount of Reply Amounts. Subject to the conditions contained in the Auction Notice, the applicable Purchasing Borrower Party shall purchase the Term Loans (or the respective portions thereof) from each Lender with a Reply Price that is equal to or less than the Applicable Discounted Price (“</w:t>
      </w:r>
      <w:r>
        <w:rPr>
          <w:rFonts w:ascii="Arial" w:cs="Arial" w:eastAsia="Arial" w:hAnsi="Arial"/>
          <w:sz w:val="18"/>
          <w:szCs w:val="18"/>
          <w:u w:val="single" w:color="auto"/>
          <w:color w:val="auto"/>
        </w:rPr>
        <w:t>Qualifying Bids</w:t>
      </w:r>
      <w:r>
        <w:rPr>
          <w:rFonts w:ascii="Arial" w:cs="Arial" w:eastAsia="Arial" w:hAnsi="Arial"/>
          <w:sz w:val="18"/>
          <w:szCs w:val="18"/>
          <w:color w:val="auto"/>
        </w:rPr>
        <w:t>”) at the Applicable Discounted Price; provided that if the aggregate amount required to pay the Qualifying Bids would exceed the Auction Amount for such Auction Purchase Offer, such Purchasing Borrower Party shall pay such Qualifying Bids at the Applicable Discounted Price ratably based on the respective principal amounts of such Qualifying Bids (subject to rounding requirements specified by the Auction Manager). Each participating Term Lender shall be given notice as to whether its bid is a Qualifying Bid as soon as reasonably practicable but in no case later than five (5) Business Days from the date the Return Bid was due.</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u w:val="single" w:color="auto"/>
          <w:color w:val="auto"/>
        </w:rPr>
        <w:t>Notification Procedures</w:t>
      </w:r>
      <w:r>
        <w:rPr>
          <w:rFonts w:ascii="Arial" w:cs="Arial" w:eastAsia="Arial" w:hAnsi="Arial"/>
          <w:sz w:val="19"/>
          <w:szCs w:val="19"/>
          <w:color w:val="auto"/>
        </w:rPr>
        <w:t>. The Auction Manager will calculate the Applicable Discounted Price and will cause the Administrative Agent to post the Applicable Discounted Price and proration factor, if applicable, onto an internet or intranet site (including an IntraLinks, SyndTrak or other electronic workspace) in accordance with the Auction Manager’s standard dissemination practices by 4:00 p.m., New York City time, on the Business Day during which the Expiration Time occurs. The Auction Manager will insert the principal amount of Term Loans of the applicable Class(es) to be assigned and the applicable settlement date into each applicable Auction Assignment and Assumption received in connection with a Qualifying Bid. Upon the request of any submitting Lender, the Auction Manager will promptly return any Auction Assignment and Assumption received in connection with a Return Bid that is not a Qualifying Bid.</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Additional Procedures</w:t>
      </w:r>
      <w:r>
        <w:rPr>
          <w:rFonts w:ascii="Arial" w:cs="Arial" w:eastAsia="Arial" w:hAnsi="Arial"/>
          <w:sz w:val="20"/>
          <w:szCs w:val="20"/>
          <w:color w:val="auto"/>
        </w:rPr>
        <w:t>. After delivery of an Auction Notice, the applicable Purchasing Borrower Party may withdraw an Auction Purchase Offer only if no Qualifying Bid has been received by the Auction Manager at the time of withdrawal. Any Return Bid (including any component bid thereof) delivered to the Auction Manager may not be withdrawn, modified, revoked, terminated or cancelled by a Lender. However,</w:t>
      </w:r>
    </w:p>
    <w:p>
      <w:pPr>
        <w:sectPr>
          <w:pgSz w:w="11900" w:h="16838" w:orient="portrait"/>
          <w:cols w:equalWidth="0" w:num="1">
            <w:col w:w="11420"/>
          </w:cols>
          <w:pgMar w:left="240" w:top="811" w:right="239" w:bottom="1440" w:gutter="0" w:footer="0" w:header="0"/>
        </w:sectPr>
      </w:pPr>
    </w:p>
    <w:bookmarkStart w:id="158" w:name="page159"/>
    <w:bookmarkEnd w:id="158"/>
    <w:p>
      <w:pPr>
        <w:jc w:val="both"/>
        <w:spacing w:after="0" w:line="269" w:lineRule="auto"/>
        <w:rPr>
          <w:sz w:val="20"/>
          <w:szCs w:val="20"/>
          <w:color w:val="auto"/>
        </w:rPr>
      </w:pPr>
      <w:r>
        <w:rPr>
          <w:rFonts w:ascii="Arial" w:cs="Arial" w:eastAsia="Arial" w:hAnsi="Arial"/>
          <w:sz w:val="18"/>
          <w:szCs w:val="18"/>
          <w:color w:val="auto"/>
        </w:rPr>
        <w:t xml:space="preserve">an Auction Purchase Offer may become void if the conditions to the purchase set forth in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of the Loan Agreement are not met. The purchase price in respect of each Qualifying Bid for which purchase by the applicable Purchasing Borrower Party is required in accordance with the foregoing provisions shall be paid directly by such Purchasing Borrower Party to the respective assigning Lender on a settlement date as determined jointly by such Purchasing Borrower Party and the Auction Manager (which shall be not later than ten Business Days after the date Return Bids are due). The applicable Purchasing Borrower Party shall execute each applicable Affiliated Lender Assignment and Assumption received in connection with a Qualifying Bid. All questions as to the form of documents and eligibility of Term Loans that are the subject of an Auction Purchase Offer will be determined by the Auction Manager, in consultation with the applicable Purchasing Borrower Party, and their determination will be final and binding so long as such determination is not inconsistent with the terms of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of the Loan Agreement or this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The Auction Manager’s interpretation of the terms and conditions of the offering document, in consultation with the applicable Purchasing Borrower Party, will be final and binding so long as such interpretation is not inconsistent with the terms of </w:t>
      </w:r>
      <w:r>
        <w:rPr>
          <w:rFonts w:ascii="Arial" w:cs="Arial" w:eastAsia="Arial" w:hAnsi="Arial"/>
          <w:sz w:val="18"/>
          <w:szCs w:val="18"/>
          <w:u w:val="single" w:color="auto"/>
          <w:color w:val="auto"/>
        </w:rPr>
        <w:t>Section 9.04(f)</w:t>
      </w:r>
      <w:r>
        <w:rPr>
          <w:rFonts w:ascii="Arial" w:cs="Arial" w:eastAsia="Arial" w:hAnsi="Arial"/>
          <w:sz w:val="18"/>
          <w:szCs w:val="18"/>
          <w:color w:val="auto"/>
        </w:rPr>
        <w:t xml:space="preserve"> of the Loan Agreement or this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None of the Administrative Agent, the Auction Manager or any of their respective Affiliates assumes any responsibility for the accuracy or completeness of the information concerning the applicable Purchasing Borrower Party, the Loan Parties or any of their respective Affiliates (whether contained in an offering document or otherwise) or for any failure to disclose events that may have occurred and may affect the significance or accuracy of such information. This </w:t>
      </w:r>
      <w:r>
        <w:rPr>
          <w:rFonts w:ascii="Arial" w:cs="Arial" w:eastAsia="Arial" w:hAnsi="Arial"/>
          <w:sz w:val="18"/>
          <w:szCs w:val="18"/>
          <w:u w:val="single" w:color="auto"/>
          <w:color w:val="auto"/>
        </w:rPr>
        <w:t>Exhibit F-1</w:t>
      </w:r>
      <w:r>
        <w:rPr>
          <w:rFonts w:ascii="Arial" w:cs="Arial" w:eastAsia="Arial" w:hAnsi="Arial"/>
          <w:sz w:val="18"/>
          <w:szCs w:val="18"/>
          <w:color w:val="auto"/>
        </w:rPr>
        <w:t xml:space="preserve"> shall not require any Purchasing Borrower Party to initiate any Auction Purchase Offer.</w:t>
      </w:r>
    </w:p>
    <w:p>
      <w:pPr>
        <w:sectPr>
          <w:pgSz w:w="11900" w:h="16838" w:orient="portrait"/>
          <w:cols w:equalWidth="0" w:num="1">
            <w:col w:w="11420"/>
          </w:cols>
          <w:pgMar w:left="240" w:top="812"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color w:val="auto"/>
        </w:rPr>
        <w:t>EXHIBIT F-2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AFFILIATED LENDER ASSIGNMENT AND ASSUMPTION</w:t>
      </w:r>
    </w:p>
    <w:p>
      <w:pPr>
        <w:spacing w:after="0" w:line="200" w:lineRule="exact"/>
        <w:rPr>
          <w:sz w:val="20"/>
          <w:szCs w:val="20"/>
          <w:color w:val="auto"/>
        </w:rPr>
      </w:pPr>
    </w:p>
    <w:p>
      <w:pPr>
        <w:spacing w:after="0" w:line="22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Loan Agreement identified below (as amended, the “</w:t>
      </w:r>
      <w:r>
        <w:rPr>
          <w:rFonts w:ascii="Arial" w:cs="Arial" w:eastAsia="Arial" w:hAnsi="Arial"/>
          <w:sz w:val="18"/>
          <w:szCs w:val="18"/>
          <w:u w:val="single" w:color="auto"/>
          <w:color w:val="auto"/>
        </w:rPr>
        <w:t>Loan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5"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Loan Agreement, as of the Effective Date inserted by the Administrative Agent as contemplated below (i) all of the Assignor’s rights and obligations in its capacity as a Lender under the Loan Agreement and any other documents or instruments delivered pursuant thereto to the extent related to the amount and percentage interest identified below of all of such outstanding rights and obligations of the Assignor under the facility identified below and (ii) to the extent permitted to be assigned under applicable law, all claims, suits, causes of action and any other right of the Assignor (in its capacity as a Lender) against any Person, whether known or unknown, arising under or in connection with the Loan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w:t>
      </w:r>
    </w:p>
    <w:p>
      <w:pPr>
        <w:spacing w:after="0" w:line="180" w:lineRule="exact"/>
        <w:rPr>
          <w:sz w:val="20"/>
          <w:szCs w:val="20"/>
          <w:color w:val="auto"/>
        </w:rPr>
      </w:pPr>
    </w:p>
    <w:p>
      <w:pPr>
        <w:ind w:firstLine="8"/>
        <w:spacing w:after="0" w:line="269" w:lineRule="auto"/>
        <w:tabs>
          <w:tab w:leader="none" w:pos="30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above being referred to herein collectively as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and Assumption, without representation or warranty by the Assignor.</w:t>
      </w:r>
    </w:p>
    <w:p>
      <w:pPr>
        <w:spacing w:after="0" w:line="224" w:lineRule="exact"/>
        <w:rPr>
          <w:sz w:val="20"/>
          <w:szCs w:val="20"/>
          <w:color w:val="auto"/>
        </w:rPr>
      </w:pPr>
    </w:p>
    <w:p>
      <w:pPr>
        <w:ind w:left="720" w:hanging="685"/>
        <w:spacing w:after="0"/>
        <w:tabs>
          <w:tab w:leader="none" w:pos="7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Assignor:</w:t>
      </w:r>
    </w:p>
    <w:p>
      <w:pPr>
        <w:spacing w:after="0" w:line="53" w:lineRule="exact"/>
        <w:rPr>
          <w:rFonts w:ascii="Arial" w:cs="Arial" w:eastAsia="Arial" w:hAnsi="Arial"/>
          <w:sz w:val="20"/>
          <w:szCs w:val="20"/>
          <w:color w:val="auto"/>
        </w:rPr>
      </w:pPr>
    </w:p>
    <w:p>
      <w:pPr>
        <w:ind w:left="720" w:hanging="685"/>
        <w:spacing w:after="0"/>
        <w:tabs>
          <w:tab w:leader="none" w:pos="720" w:val="left"/>
        </w:tabs>
        <w:numPr>
          <w:ilvl w:val="0"/>
          <w:numId w:val="190"/>
        </w:numPr>
        <w:rPr>
          <w:rFonts w:ascii="Arial" w:cs="Arial" w:eastAsia="Arial" w:hAnsi="Arial"/>
          <w:sz w:val="20"/>
          <w:szCs w:val="20"/>
          <w:color w:val="auto"/>
        </w:rPr>
      </w:pPr>
      <w:r>
        <w:rPr>
          <w:rFonts w:ascii="Arial" w:cs="Arial" w:eastAsia="Arial" w:hAnsi="Arial"/>
          <w:sz w:val="20"/>
          <w:szCs w:val="20"/>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27305</wp:posOffset>
            </wp:positionV>
            <wp:extent cx="48450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45050" cy="8890"/>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-151765</wp:posOffset>
            </wp:positionV>
            <wp:extent cx="2675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3.</w:t>
            </w:r>
          </w:p>
        </w:tc>
        <w:tc>
          <w:tcPr>
            <w:tcW w:w="3320" w:type="dxa"/>
            <w:vAlign w:val="bottom"/>
          </w:tcPr>
          <w:p>
            <w:pPr>
              <w:ind w:left="260"/>
              <w:spacing w:after="0"/>
              <w:rPr>
                <w:sz w:val="20"/>
                <w:szCs w:val="20"/>
                <w:color w:val="auto"/>
              </w:rPr>
            </w:pPr>
            <w:r>
              <w:rPr>
                <w:rFonts w:ascii="Arial" w:cs="Arial" w:eastAsia="Arial" w:hAnsi="Arial"/>
                <w:sz w:val="20"/>
                <w:szCs w:val="20"/>
                <w:color w:val="auto"/>
              </w:rPr>
              <w:t>Borrower:</w:t>
            </w:r>
          </w:p>
        </w:tc>
        <w:tc>
          <w:tcPr>
            <w:tcW w:w="7640" w:type="dxa"/>
            <w:vAlign w:val="bottom"/>
          </w:tcPr>
          <w:p>
            <w:pPr>
              <w:ind w:left="40"/>
              <w:spacing w:after="0"/>
              <w:rPr>
                <w:sz w:val="20"/>
                <w:szCs w:val="20"/>
                <w:color w:val="auto"/>
              </w:rPr>
            </w:pPr>
            <w:r>
              <w:rPr>
                <w:rFonts w:ascii="Arial" w:cs="Arial" w:eastAsia="Arial" w:hAnsi="Arial"/>
                <w:sz w:val="20"/>
                <w:szCs w:val="20"/>
                <w:color w:val="auto"/>
              </w:rPr>
              <w:t>Octavius Corporation</w:t>
            </w:r>
          </w:p>
        </w:tc>
      </w:tr>
      <w:tr>
        <w:trPr>
          <w:trHeight w:val="23"/>
        </w:trPr>
        <w:tc>
          <w:tcPr>
            <w:tcW w:w="4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r>
      <w:tr>
        <w:trPr>
          <w:trHeight w:val="254"/>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4.</w:t>
            </w:r>
          </w:p>
        </w:tc>
        <w:tc>
          <w:tcPr>
            <w:tcW w:w="3320" w:type="dxa"/>
            <w:vAlign w:val="bottom"/>
          </w:tcPr>
          <w:p>
            <w:pPr>
              <w:ind w:left="260"/>
              <w:spacing w:after="0"/>
              <w:rPr>
                <w:sz w:val="20"/>
                <w:szCs w:val="20"/>
                <w:color w:val="auto"/>
              </w:rPr>
            </w:pPr>
            <w:r>
              <w:rPr>
                <w:rFonts w:ascii="Arial" w:cs="Arial" w:eastAsia="Arial" w:hAnsi="Arial"/>
                <w:sz w:val="20"/>
                <w:szCs w:val="20"/>
                <w:color w:val="auto"/>
              </w:rPr>
              <w:t>Administrative Agent:</w:t>
            </w:r>
          </w:p>
        </w:tc>
        <w:tc>
          <w:tcPr>
            <w:tcW w:w="7640" w:type="dxa"/>
            <w:vAlign w:val="bottom"/>
          </w:tcPr>
          <w:p>
            <w:pPr>
              <w:ind w:left="40"/>
              <w:spacing w:after="0"/>
              <w:rPr>
                <w:sz w:val="20"/>
                <w:szCs w:val="20"/>
                <w:color w:val="auto"/>
              </w:rPr>
            </w:pPr>
            <w:r>
              <w:rPr>
                <w:rFonts w:ascii="Arial" w:cs="Arial" w:eastAsia="Arial" w:hAnsi="Arial"/>
                <w:sz w:val="20"/>
                <w:szCs w:val="20"/>
                <w:color w:val="auto"/>
              </w:rPr>
              <w:t>JPMorgan Chase Bank, N.A., as the administrative agent under the Loan Agreement</w:t>
            </w:r>
          </w:p>
        </w:tc>
      </w:tr>
      <w:tr>
        <w:trPr>
          <w:trHeight w:val="263"/>
        </w:trPr>
        <w:tc>
          <w:tcPr>
            <w:tcW w:w="4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7640" w:type="dxa"/>
            <w:vAlign w:val="bottom"/>
          </w:tcPr>
          <w:p>
            <w:pPr>
              <w:ind w:left="40"/>
              <w:spacing w:after="0"/>
              <w:rPr>
                <w:sz w:val="20"/>
                <w:szCs w:val="20"/>
                <w:color w:val="auto"/>
              </w:rPr>
            </w:pPr>
            <w:r>
              <w:rPr>
                <w:rFonts w:ascii="Arial" w:cs="Arial" w:eastAsia="Arial" w:hAnsi="Arial"/>
                <w:sz w:val="20"/>
                <w:szCs w:val="20"/>
                <w:color w:val="auto"/>
                <w:w w:val="97"/>
              </w:rPr>
              <w:t>The Loan Agreement dated as of November 8, 2016 among Winnebago Industries, Inc.,</w:t>
            </w:r>
          </w:p>
        </w:tc>
      </w:tr>
      <w:tr>
        <w:trPr>
          <w:trHeight w:val="230"/>
        </w:trPr>
        <w:tc>
          <w:tcPr>
            <w:tcW w:w="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7640" w:type="dxa"/>
            <w:vAlign w:val="bottom"/>
          </w:tcPr>
          <w:p>
            <w:pPr>
              <w:ind w:left="40"/>
              <w:spacing w:after="0"/>
              <w:rPr>
                <w:sz w:val="20"/>
                <w:szCs w:val="20"/>
                <w:color w:val="auto"/>
              </w:rPr>
            </w:pPr>
            <w:r>
              <w:rPr>
                <w:rFonts w:ascii="Arial" w:cs="Arial" w:eastAsia="Arial" w:hAnsi="Arial"/>
                <w:sz w:val="20"/>
                <w:szCs w:val="20"/>
                <w:color w:val="auto"/>
                <w:w w:val="92"/>
              </w:rPr>
              <w:t>Octavius Corporation, the other Loan Parties parties thereto, the Lenders parties thereto and</w:t>
            </w:r>
          </w:p>
        </w:tc>
      </w:tr>
      <w:tr>
        <w:trPr>
          <w:trHeight w:val="250"/>
        </w:trPr>
        <w:tc>
          <w:tcPr>
            <w:tcW w:w="420" w:type="dxa"/>
            <w:vAlign w:val="bottom"/>
          </w:tcPr>
          <w:p>
            <w:pPr>
              <w:jc w:val="right"/>
              <w:ind w:right="181"/>
              <w:spacing w:after="0"/>
              <w:rPr>
                <w:sz w:val="20"/>
                <w:szCs w:val="20"/>
                <w:color w:val="auto"/>
              </w:rPr>
            </w:pPr>
            <w:r>
              <w:rPr>
                <w:rFonts w:ascii="Arial" w:cs="Arial" w:eastAsia="Arial" w:hAnsi="Arial"/>
                <w:sz w:val="20"/>
                <w:szCs w:val="20"/>
                <w:color w:val="auto"/>
                <w:w w:val="71"/>
              </w:rPr>
              <w:t>5.</w:t>
            </w:r>
          </w:p>
        </w:tc>
        <w:tc>
          <w:tcPr>
            <w:tcW w:w="3320" w:type="dxa"/>
            <w:vAlign w:val="bottom"/>
          </w:tcPr>
          <w:p>
            <w:pPr>
              <w:ind w:left="260"/>
              <w:spacing w:after="0"/>
              <w:rPr>
                <w:sz w:val="20"/>
                <w:szCs w:val="20"/>
                <w:color w:val="auto"/>
              </w:rPr>
            </w:pPr>
            <w:r>
              <w:rPr>
                <w:rFonts w:ascii="Arial" w:cs="Arial" w:eastAsia="Arial" w:hAnsi="Arial"/>
                <w:sz w:val="20"/>
                <w:szCs w:val="20"/>
                <w:color w:val="auto"/>
              </w:rPr>
              <w:t>Loan Agreement:</w:t>
            </w:r>
          </w:p>
        </w:tc>
        <w:tc>
          <w:tcPr>
            <w:tcW w:w="7640" w:type="dxa"/>
            <w:vAlign w:val="bottom"/>
          </w:tcPr>
          <w:p>
            <w:pPr>
              <w:ind w:left="40"/>
              <w:spacing w:after="0"/>
              <w:rPr>
                <w:sz w:val="20"/>
                <w:szCs w:val="20"/>
                <w:color w:val="auto"/>
              </w:rPr>
            </w:pPr>
            <w:r>
              <w:rPr>
                <w:rFonts w:ascii="Arial" w:cs="Arial" w:eastAsia="Arial" w:hAnsi="Arial"/>
                <w:sz w:val="20"/>
                <w:szCs w:val="20"/>
                <w:color w:val="auto"/>
              </w:rPr>
              <w:t>JPMorgan Chase Bank, N.A., as Administrative Agent</w:t>
            </w:r>
          </w:p>
        </w:tc>
      </w:tr>
    </w:tbl>
    <w:p>
      <w:pPr>
        <w:sectPr>
          <w:pgSz w:w="11900" w:h="16838" w:orient="portrait"/>
          <w:cols w:equalWidth="0" w:num="1">
            <w:col w:w="11420"/>
          </w:cols>
          <w:pgMar w:left="240" w:top="812" w:right="239" w:bottom="1440" w:gutter="0" w:footer="0" w:header="0"/>
        </w:sectPr>
      </w:pPr>
    </w:p>
    <w:bookmarkStart w:id="160" w:name="page161"/>
    <w:bookmarkEnd w:id="160"/>
    <w:p>
      <w:pPr>
        <w:ind w:left="40"/>
        <w:spacing w:after="0"/>
        <w:rPr>
          <w:sz w:val="20"/>
          <w:szCs w:val="20"/>
          <w:color w:val="auto"/>
        </w:rPr>
      </w:pPr>
      <w:r>
        <w:rPr>
          <w:rFonts w:ascii="Arial" w:cs="Arial" w:eastAsia="Arial" w:hAnsi="Arial"/>
          <w:sz w:val="20"/>
          <w:szCs w:val="20"/>
          <w:color w:val="auto"/>
        </w:rPr>
        <w:t>6. Assigned Interest:</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660" w:type="dxa"/>
            <w:vAlign w:val="bottom"/>
            <w:tcBorders>
              <w:top w:val="single" w:sz="8" w:color="auto"/>
              <w:left w:val="single" w:sz="8" w:color="auto"/>
              <w:right w:val="single" w:sz="8" w:color="auto"/>
            </w:tcBorders>
          </w:tcPr>
          <w:p>
            <w:pPr>
              <w:spacing w:after="0"/>
              <w:rPr>
                <w:sz w:val="22"/>
                <w:szCs w:val="22"/>
                <w:color w:val="auto"/>
              </w:rPr>
            </w:pPr>
          </w:p>
        </w:tc>
        <w:tc>
          <w:tcPr>
            <w:tcW w:w="3420" w:type="dxa"/>
            <w:vAlign w:val="bottom"/>
            <w:tcBorders>
              <w:top w:val="single" w:sz="8" w:color="auto"/>
              <w:right w:val="single" w:sz="8" w:color="auto"/>
            </w:tcBorders>
          </w:tcPr>
          <w:p>
            <w:pPr>
              <w:spacing w:after="0"/>
              <w:rPr>
                <w:sz w:val="22"/>
                <w:szCs w:val="22"/>
                <w:color w:val="auto"/>
              </w:rPr>
            </w:pPr>
          </w:p>
        </w:tc>
        <w:tc>
          <w:tcPr>
            <w:tcW w:w="2280" w:type="dxa"/>
            <w:vAlign w:val="bottom"/>
            <w:tcBorders>
              <w:top w:val="single" w:sz="8" w:color="auto"/>
              <w:right w:val="single" w:sz="8" w:color="auto"/>
            </w:tcBorders>
          </w:tcPr>
          <w:p>
            <w:pPr>
              <w:spacing w:after="0"/>
              <w:rPr>
                <w:sz w:val="22"/>
                <w:szCs w:val="22"/>
                <w:color w:val="auto"/>
              </w:rPr>
            </w:pPr>
          </w:p>
        </w:tc>
        <w:tc>
          <w:tcPr>
            <w:tcW w:w="3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Percentage Assigned</w:t>
            </w: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of</w:t>
            </w: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 Set forth, to at least 9</w:t>
            </w:r>
          </w:p>
        </w:tc>
      </w:tr>
      <w:tr>
        <w:trPr>
          <w:trHeight w:val="230"/>
        </w:trPr>
        <w:tc>
          <w:tcPr>
            <w:tcW w:w="2660" w:type="dxa"/>
            <w:vAlign w:val="bottom"/>
            <w:tcBorders>
              <w:left w:val="single" w:sz="8" w:color="auto"/>
              <w:right w:val="single" w:sz="8" w:color="auto"/>
            </w:tcBorders>
          </w:tcPr>
          <w:p>
            <w:pPr>
              <w:spacing w:after="0"/>
              <w:rPr>
                <w:sz w:val="19"/>
                <w:szCs w:val="19"/>
                <w:color w:val="auto"/>
              </w:rPr>
            </w:pP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2"/>
              </w:rPr>
              <w:t>Aggregate Amount of Loans for all</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Amount of</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decimals, as a percentage of the</w:t>
            </w:r>
          </w:p>
        </w:tc>
      </w:tr>
      <w:tr>
        <w:trPr>
          <w:trHeight w:val="250"/>
        </w:trPr>
        <w:tc>
          <w:tcPr>
            <w:tcW w:w="2660" w:type="dxa"/>
            <w:vAlign w:val="bottom"/>
            <w:tcBorders>
              <w:left w:val="single" w:sz="8" w:color="auto"/>
              <w:right w:val="single" w:sz="8" w:color="auto"/>
            </w:tcBorders>
          </w:tcPr>
          <w:p>
            <w:pPr>
              <w:ind w:left="640"/>
              <w:spacing w:after="0"/>
              <w:rPr>
                <w:sz w:val="20"/>
                <w:szCs w:val="20"/>
                <w:color w:val="auto"/>
              </w:rPr>
            </w:pPr>
            <w:r>
              <w:rPr>
                <w:rFonts w:ascii="Arial" w:cs="Arial" w:eastAsia="Arial" w:hAnsi="Arial"/>
                <w:sz w:val="20"/>
                <w:szCs w:val="20"/>
                <w:color w:val="auto"/>
              </w:rPr>
              <w:t>Facility Assigned</w:t>
            </w:r>
          </w:p>
        </w:tc>
        <w:tc>
          <w:tcPr>
            <w:tcW w:w="34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Lenders</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Loans Assigned</w:t>
            </w:r>
          </w:p>
        </w:tc>
        <w:tc>
          <w:tcPr>
            <w:tcW w:w="30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Loans of all Lenders thereunder.</w:t>
            </w:r>
          </w:p>
        </w:tc>
      </w:tr>
      <w:tr>
        <w:trPr>
          <w:trHeight w:val="2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r>
        <w:trPr>
          <w:trHeight w:val="254"/>
        </w:trPr>
        <w:tc>
          <w:tcPr>
            <w:tcW w:w="2660" w:type="dxa"/>
            <w:vAlign w:val="bottom"/>
            <w:tcBorders>
              <w:left w:val="single" w:sz="8" w:color="auto"/>
              <w:right w:val="single" w:sz="8" w:color="auto"/>
            </w:tcBorders>
          </w:tcPr>
          <w:p>
            <w:pPr>
              <w:spacing w:after="0"/>
              <w:rPr>
                <w:sz w:val="22"/>
                <w:szCs w:val="22"/>
                <w:color w:val="auto"/>
              </w:rPr>
            </w:pPr>
          </w:p>
        </w:tc>
        <w:tc>
          <w:tcPr>
            <w:tcW w:w="3420" w:type="dxa"/>
            <w:vAlign w:val="bottom"/>
            <w:tcBorders>
              <w:right w:val="single" w:sz="8" w:color="auto"/>
            </w:tcBorders>
          </w:tcPr>
          <w:p>
            <w:pPr>
              <w:jc w:val="right"/>
              <w:ind w:right="3201"/>
              <w:spacing w:after="0"/>
              <w:rPr>
                <w:sz w:val="20"/>
                <w:szCs w:val="20"/>
                <w:color w:val="auto"/>
              </w:rPr>
            </w:pPr>
            <w:r>
              <w:rPr>
                <w:rFonts w:ascii="Arial" w:cs="Arial" w:eastAsia="Arial" w:hAnsi="Arial"/>
                <w:sz w:val="20"/>
                <w:szCs w:val="20"/>
                <w:color w:val="auto"/>
                <w:w w:val="89"/>
              </w:rPr>
              <w:t>$</w:t>
            </w:r>
          </w:p>
        </w:tc>
        <w:tc>
          <w:tcPr>
            <w:tcW w:w="2280" w:type="dxa"/>
            <w:vAlign w:val="bottom"/>
            <w:tcBorders>
              <w:right w:val="single" w:sz="8" w:color="auto"/>
            </w:tcBorders>
          </w:tcPr>
          <w:p>
            <w:pPr>
              <w:jc w:val="right"/>
              <w:ind w:right="2061"/>
              <w:spacing w:after="0"/>
              <w:rPr>
                <w:sz w:val="20"/>
                <w:szCs w:val="20"/>
                <w:color w:val="auto"/>
              </w:rPr>
            </w:pPr>
            <w:r>
              <w:rPr>
                <w:rFonts w:ascii="Arial" w:cs="Arial" w:eastAsia="Arial" w:hAnsi="Arial"/>
                <w:sz w:val="20"/>
                <w:szCs w:val="20"/>
                <w:color w:val="auto"/>
                <w:w w:val="89"/>
              </w:rPr>
              <w:t>$</w:t>
            </w:r>
          </w:p>
        </w:tc>
        <w:tc>
          <w:tcPr>
            <w:tcW w:w="3080" w:type="dxa"/>
            <w:vAlign w:val="bottom"/>
            <w:tcBorders>
              <w:right w:val="single" w:sz="8" w:color="auto"/>
            </w:tcBorders>
          </w:tcPr>
          <w:p>
            <w:pPr>
              <w:jc w:val="right"/>
              <w:ind w:right="2801"/>
              <w:spacing w:after="0"/>
              <w:rPr>
                <w:sz w:val="20"/>
                <w:szCs w:val="20"/>
                <w:color w:val="auto"/>
              </w:rPr>
            </w:pPr>
            <w:r>
              <w:rPr>
                <w:rFonts w:ascii="Arial" w:cs="Arial" w:eastAsia="Arial" w:hAnsi="Arial"/>
                <w:sz w:val="20"/>
                <w:szCs w:val="20"/>
                <w:color w:val="auto"/>
                <w:w w:val="89"/>
              </w:rPr>
              <w:t>%</w:t>
            </w:r>
          </w:p>
        </w:tc>
      </w:tr>
      <w:tr>
        <w:trPr>
          <w:trHeight w:val="2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342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ASSIGNOR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ASSIGNOR]</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u w:val="single" w:color="auto"/>
          <w:color w:val="auto"/>
        </w:rPr>
        <w:t>ASSIGNEE</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 OF ASSIGNEE]</w:t>
      </w: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w:t>
      </w:r>
    </w:p>
    <w:p>
      <w:pPr>
        <w:spacing w:after="0" w:line="179" w:lineRule="exact"/>
        <w:rPr>
          <w:sz w:val="20"/>
          <w:szCs w:val="20"/>
          <w:color w:val="auto"/>
        </w:rPr>
      </w:pPr>
    </w:p>
    <w:p>
      <w:pPr>
        <w:ind w:left="120" w:hanging="112"/>
        <w:spacing w:after="0"/>
        <w:tabs>
          <w:tab w:leader="none" w:pos="120" w:val="left"/>
        </w:tabs>
        <w:numPr>
          <w:ilvl w:val="0"/>
          <w:numId w:val="191"/>
        </w:numPr>
        <w:rPr>
          <w:rFonts w:ascii="Arial" w:cs="Arial" w:eastAsia="Arial" w:hAnsi="Arial"/>
          <w:sz w:val="25"/>
          <w:szCs w:val="25"/>
          <w:color w:val="auto"/>
          <w:vertAlign w:val="superscript"/>
        </w:rPr>
      </w:pPr>
      <w:r>
        <w:rPr>
          <w:rFonts w:ascii="Arial" w:cs="Arial" w:eastAsia="Arial" w:hAnsi="Arial"/>
          <w:sz w:val="20"/>
          <w:szCs w:val="20"/>
          <w:color w:val="auto"/>
        </w:rPr>
        <w:t>Set forth, to at least 9 decimals, as a percentage of the Loans of all Lenders thereunder.</w:t>
      </w:r>
    </w:p>
    <w:p>
      <w:pPr>
        <w:sectPr>
          <w:pgSz w:w="11900" w:h="16838" w:orient="portrait"/>
          <w:cols w:equalWidth="0" w:num="1">
            <w:col w:w="11440"/>
          </w:cols>
          <w:pgMar w:left="240" w:top="974"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20"/>
          <w:szCs w:val="20"/>
          <w:color w:val="auto"/>
        </w:rPr>
        <w:t>ANNEX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ind w:left="1500" w:hanging="195"/>
        <w:spacing w:after="0"/>
        <w:tabs>
          <w:tab w:leader="none" w:pos="1500"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w:t>
      </w:r>
    </w:p>
    <w:p>
      <w:pPr>
        <w:spacing w:after="0" w:line="39" w:lineRule="exact"/>
        <w:rPr>
          <w:sz w:val="20"/>
          <w:szCs w:val="20"/>
          <w:color w:val="auto"/>
        </w:rPr>
      </w:pPr>
    </w:p>
    <w:p>
      <w:pPr>
        <w:jc w:val="both"/>
        <w:ind w:firstLine="8"/>
        <w:spacing w:after="0" w:line="255" w:lineRule="auto"/>
        <w:tabs>
          <w:tab w:leader="none" w:pos="31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Loan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Loan Agreement, (ii) it satisfies the requirements, if any, specified in the Loan Agreement that are required to be satisfied by it in order to acquire the Assigned Interest and become a Lender, (iii) it is a Purchasing Borrower Party (as defined in the Loan Agreement);</w:t>
      </w:r>
    </w:p>
    <w:p>
      <w:pPr>
        <w:spacing w:after="0" w:line="3" w:lineRule="exact"/>
        <w:rPr>
          <w:sz w:val="20"/>
          <w:szCs w:val="20"/>
          <w:color w:val="auto"/>
        </w:rPr>
      </w:pPr>
    </w:p>
    <w:p>
      <w:pPr>
        <w:jc w:val="both"/>
        <w:ind w:firstLine="8"/>
        <w:spacing w:after="0" w:line="266" w:lineRule="auto"/>
        <w:tabs>
          <w:tab w:leader="none" w:pos="3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as of the date hereof the Assignee does not have any MNPI with respect to any Loan Party that either (A) has not been disclosed to the Lenders or (B) if not disclosed to the Lenders, could reasonably be expected to have a material effect upon, or otherwise be material (1) to a Lender’s decision to assign its Term Loans to the Assignee or (2) to the market price of the Term Loans; (v) from and after the Effective Date, it shall be bound by the provisions of the Loan Agreement as a Lender thereunder and, to the extent of the Assigned Interest, shall have the obligations of a Lender thereunder, (vi) it has received a copy of the Loan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w:t>
      </w:r>
    </w:p>
    <w:p>
      <w:pPr>
        <w:spacing w:after="0" w:line="1" w:lineRule="exact"/>
        <w:rPr>
          <w:rFonts w:ascii="Arial" w:cs="Arial" w:eastAsia="Arial" w:hAnsi="Arial"/>
          <w:sz w:val="18"/>
          <w:szCs w:val="18"/>
          <w:color w:val="auto"/>
        </w:rPr>
      </w:pPr>
    </w:p>
    <w:p>
      <w:pPr>
        <w:jc w:val="both"/>
        <w:ind w:firstLine="8"/>
        <w:spacing w:after="0" w:line="274" w:lineRule="auto"/>
        <w:tabs>
          <w:tab w:leader="none" w:pos="42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attached to the Assignment and Assumption is any documentation required to be delivered by it pursuant to the terms of the Loan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66" w:lineRule="exact"/>
        <w:rPr>
          <w:rFonts w:ascii="Arial" w:cs="Arial" w:eastAsia="Arial" w:hAnsi="Arial"/>
          <w:sz w:val="18"/>
          <w:szCs w:val="18"/>
          <w:color w:val="auto"/>
        </w:rPr>
      </w:pPr>
    </w:p>
    <w:p>
      <w:pPr>
        <w:jc w:val="both"/>
        <w:ind w:firstLine="1305"/>
        <w:spacing w:after="0" w:line="269" w:lineRule="auto"/>
        <w:tabs>
          <w:tab w:leader="none" w:pos="1494" w:val="left"/>
        </w:tabs>
        <w:numPr>
          <w:ilvl w:val="1"/>
          <w:numId w:val="195"/>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0" w:lineRule="exact"/>
        <w:rPr>
          <w:rFonts w:ascii="Arial" w:cs="Arial" w:eastAsia="Arial" w:hAnsi="Arial"/>
          <w:sz w:val="19"/>
          <w:szCs w:val="19"/>
          <w:color w:val="auto"/>
        </w:rPr>
      </w:pPr>
    </w:p>
    <w:p>
      <w:pPr>
        <w:jc w:val="both"/>
        <w:ind w:firstLine="1305"/>
        <w:spacing w:after="0" w:line="250" w:lineRule="auto"/>
        <w:tabs>
          <w:tab w:leader="none" w:pos="1494" w:val="left"/>
        </w:tabs>
        <w:numPr>
          <w:ilvl w:val="1"/>
          <w:numId w:val="195"/>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162" w:name="page163"/>
    <w:bookmarkEnd w:id="162"/>
    <w:p>
      <w:pPr>
        <w:jc w:val="both"/>
        <w:spacing w:after="0" w:line="246" w:lineRule="auto"/>
        <w:rPr>
          <w:sz w:val="20"/>
          <w:szCs w:val="20"/>
          <w:color w:val="auto"/>
        </w:rPr>
      </w:pPr>
      <w:r>
        <w:rPr>
          <w:rFonts w:ascii="Arial" w:cs="Arial" w:eastAsia="Arial" w:hAnsi="Arial"/>
          <w:sz w:val="20"/>
          <w:szCs w:val="20"/>
          <w:color w:val="auto"/>
        </w:rPr>
        <w:t>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 this Assignment and Assumption. This Assignment and Assumption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2"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20"/>
          <w:szCs w:val="20"/>
          <w:color w:val="auto"/>
        </w:rPr>
        <w:t>EXHIBIT G-1</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U.S. TAX COMPLIANCE CERTIFICATE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Reference is hereby made to the Loan Agreement dated as of November 8, 2016 (as amended, restated,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Winnebago Industries, Inc., Octavius Corporation, as Borrower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from time to time party thereto, the Lenders from time to time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Pursuant to the provisions of Section 2.17 of the Loan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 (C) of the Code.</w:t>
      </w:r>
    </w:p>
    <w:p>
      <w:pPr>
        <w:spacing w:after="0" w:line="19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or IRS Form W-8BEN-E.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20[__]</w:t>
      </w:r>
    </w:p>
    <w:p>
      <w:pPr>
        <w:sectPr>
          <w:pgSz w:w="11900" w:h="16838" w:orient="portrait"/>
          <w:cols w:equalWidth="0" w:num="1">
            <w:col w:w="11420"/>
          </w:cols>
          <w:pgMar w:left="240" w:top="812" w:right="239"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20"/>
          <w:szCs w:val="20"/>
          <w:color w:val="auto"/>
        </w:rPr>
        <w:t>EXHIBIT G-2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U.S. TAX COMPLIANCE CERTIFICATE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16" w:lineRule="exact"/>
        <w:rPr>
          <w:sz w:val="20"/>
          <w:szCs w:val="20"/>
          <w:color w:val="auto"/>
        </w:rPr>
      </w:pPr>
    </w:p>
    <w:p>
      <w:pPr>
        <w:jc w:val="both"/>
        <w:ind w:right="20" w:firstLine="1297"/>
        <w:spacing w:after="0" w:line="246" w:lineRule="auto"/>
        <w:rPr>
          <w:sz w:val="20"/>
          <w:szCs w:val="20"/>
          <w:color w:val="auto"/>
        </w:rPr>
      </w:pPr>
      <w:r>
        <w:rPr>
          <w:rFonts w:ascii="Arial" w:cs="Arial" w:eastAsia="Arial" w:hAnsi="Arial"/>
          <w:sz w:val="20"/>
          <w:szCs w:val="20"/>
          <w:color w:val="auto"/>
        </w:rPr>
        <w:t>Reference is hereby made to the Loan Agreement dated as of November 8, 2016 (as amended, restated,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Winnebago Industries, Inc., Octavius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from time to time party thereto, the Lenders from time to time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Pursuant to the provisions of Section 2.17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20[__]</w:t>
      </w:r>
    </w:p>
    <w:p>
      <w:pPr>
        <w:sectPr>
          <w:pgSz w:w="11900" w:h="16838" w:orient="portrait"/>
          <w:cols w:equalWidth="0" w:num="1">
            <w:col w:w="11420"/>
          </w:cols>
          <w:pgMar w:left="240" w:top="811"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0"/>
          <w:szCs w:val="20"/>
          <w:color w:val="auto"/>
        </w:rPr>
        <w:t>EXHIBIT G-3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16" w:lineRule="exact"/>
        <w:rPr>
          <w:sz w:val="20"/>
          <w:szCs w:val="20"/>
          <w:color w:val="auto"/>
        </w:rPr>
      </w:pPr>
    </w:p>
    <w:p>
      <w:pPr>
        <w:jc w:val="both"/>
        <w:ind w:right="20" w:firstLine="1297"/>
        <w:spacing w:after="0" w:line="246" w:lineRule="auto"/>
        <w:rPr>
          <w:sz w:val="20"/>
          <w:szCs w:val="20"/>
          <w:color w:val="auto"/>
        </w:rPr>
      </w:pPr>
      <w:r>
        <w:rPr>
          <w:rFonts w:ascii="Arial" w:cs="Arial" w:eastAsia="Arial" w:hAnsi="Arial"/>
          <w:sz w:val="20"/>
          <w:szCs w:val="20"/>
          <w:color w:val="auto"/>
        </w:rPr>
        <w:t>Reference is hereby made to the Loan Agreement dated as of November 8, 2016 (as amended, restated,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Winnebago Industries, Inc., Octavius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from time to time party thereto, the Lenders from time to time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Pursuant to the provisions of Section 2.17 of the Loan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8"/>
        <w:spacing w:after="0" w:line="256" w:lineRule="auto"/>
        <w:tabs>
          <w:tab w:leader="none" w:pos="301"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20[__]</w:t>
      </w:r>
    </w:p>
    <w:p>
      <w:pPr>
        <w:sectPr>
          <w:pgSz w:w="11900" w:h="16838" w:orient="portrait"/>
          <w:cols w:equalWidth="0" w:num="1">
            <w:col w:w="11420"/>
          </w:cols>
          <w:pgMar w:left="240" w:top="812"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0"/>
          <w:szCs w:val="20"/>
          <w:color w:val="auto"/>
        </w:rPr>
        <w:t>EXHIBIT G-4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16" w:lineRule="exact"/>
        <w:rPr>
          <w:sz w:val="20"/>
          <w:szCs w:val="20"/>
          <w:color w:val="auto"/>
        </w:rPr>
      </w:pPr>
    </w:p>
    <w:p>
      <w:pPr>
        <w:jc w:val="both"/>
        <w:ind w:right="20" w:firstLine="1297"/>
        <w:spacing w:after="0" w:line="246" w:lineRule="auto"/>
        <w:rPr>
          <w:sz w:val="20"/>
          <w:szCs w:val="20"/>
          <w:color w:val="auto"/>
        </w:rPr>
      </w:pPr>
      <w:r>
        <w:rPr>
          <w:rFonts w:ascii="Arial" w:cs="Arial" w:eastAsia="Arial" w:hAnsi="Arial"/>
          <w:sz w:val="20"/>
          <w:szCs w:val="20"/>
          <w:color w:val="auto"/>
        </w:rPr>
        <w:t>Reference is hereby made to the Loan Agreement dated as of November 8, 2016 (as amended, restated, supplemented or otherwise modified from time to time, the “</w:t>
      </w:r>
      <w:r>
        <w:rPr>
          <w:rFonts w:ascii="Arial" w:cs="Arial" w:eastAsia="Arial" w:hAnsi="Arial"/>
          <w:sz w:val="20"/>
          <w:szCs w:val="20"/>
          <w:u w:val="single" w:color="auto"/>
          <w:color w:val="auto"/>
        </w:rPr>
        <w:t>Loan Agreement</w:t>
      </w:r>
      <w:r>
        <w:rPr>
          <w:rFonts w:ascii="Arial" w:cs="Arial" w:eastAsia="Arial" w:hAnsi="Arial"/>
          <w:sz w:val="20"/>
          <w:szCs w:val="20"/>
          <w:color w:val="auto"/>
        </w:rPr>
        <w:t>”), among Winnebago Industries, Inc., Octavius Corporation (the “</w:t>
      </w:r>
      <w:r>
        <w:rPr>
          <w:rFonts w:ascii="Arial" w:cs="Arial" w:eastAsia="Arial" w:hAnsi="Arial"/>
          <w:sz w:val="20"/>
          <w:szCs w:val="20"/>
          <w:u w:val="single" w:color="auto"/>
          <w:color w:val="auto"/>
        </w:rPr>
        <w:t>Borrower</w:t>
      </w:r>
      <w:r>
        <w:rPr>
          <w:rFonts w:ascii="Arial" w:cs="Arial" w:eastAsia="Arial" w:hAnsi="Arial"/>
          <w:sz w:val="20"/>
          <w:szCs w:val="20"/>
          <w:color w:val="auto"/>
        </w:rPr>
        <w:t>”), the other Loan Parties from time to time party thereto, the Lenders from time to time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Pursuant to the provisions of Section 2.17 of the Loan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w:t>
      </w:r>
    </w:p>
    <w:p>
      <w:pPr>
        <w:spacing w:after="0" w:line="3" w:lineRule="exact"/>
        <w:rPr>
          <w:sz w:val="20"/>
          <w:szCs w:val="20"/>
          <w:color w:val="auto"/>
        </w:rPr>
      </w:pPr>
    </w:p>
    <w:p>
      <w:pPr>
        <w:jc w:val="both"/>
        <w:ind w:firstLine="8"/>
        <w:spacing w:after="0" w:line="241" w:lineRule="auto"/>
        <w:tabs>
          <w:tab w:leader="none" w:pos="308" w:val="left"/>
        </w:tabs>
        <w:numPr>
          <w:ilvl w:val="0"/>
          <w:numId w:val="197"/>
        </w:numPr>
        <w:rPr>
          <w:rFonts w:ascii="Arial" w:cs="Arial" w:eastAsia="Arial" w:hAnsi="Arial"/>
          <w:sz w:val="20"/>
          <w:szCs w:val="20"/>
          <w:color w:val="auto"/>
        </w:rPr>
      </w:pPr>
      <w:r>
        <w:rPr>
          <w:rFonts w:ascii="Arial" w:cs="Arial" w:eastAsia="Arial" w:hAnsi="Arial"/>
          <w:sz w:val="20"/>
          <w:szCs w:val="20"/>
          <w:color w:val="auto"/>
        </w:rPr>
        <w:t>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ind w:right="20" w:firstLine="1297"/>
        <w:spacing w:after="0" w:line="260" w:lineRule="auto"/>
        <w:rPr>
          <w:sz w:val="20"/>
          <w:szCs w:val="20"/>
          <w:color w:val="auto"/>
        </w:rPr>
      </w:pPr>
      <w:r>
        <w:rPr>
          <w:rFonts w:ascii="Arial" w:cs="Arial" w:eastAsia="Arial" w:hAnsi="Arial"/>
          <w:sz w:val="20"/>
          <w:szCs w:val="20"/>
          <w:color w:val="auto"/>
        </w:rPr>
        <w:t>Unless otherwise defined herein, terms defined in the Loan Agreement and used herein shall have the meanings given to them in the Loan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Name: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Title: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 __________, 20[__]</w:t>
      </w:r>
    </w:p>
    <w:p>
      <w:pPr>
        <w:sectPr>
          <w:pgSz w:w="11900" w:h="16838" w:orient="portrait"/>
          <w:cols w:equalWidth="0" w:num="1">
            <w:col w:w="11420"/>
          </w:cols>
          <w:pgMar w:left="240" w:top="811"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color w:val="auto"/>
        </w:rPr>
        <w:t>EXHIBIT H-1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BORROWING REQUEST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for the Lenders referred to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10 South Dearborn, Floor L2S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Chicago, IL 60603</w:t>
      </w:r>
    </w:p>
    <w:p>
      <w:pPr>
        <w:spacing w:after="0"/>
        <w:rPr>
          <w:sz w:val="20"/>
          <w:szCs w:val="20"/>
          <w:color w:val="auto"/>
        </w:rPr>
      </w:pPr>
      <w:r>
        <w:rPr>
          <w:rFonts w:ascii="Arial" w:cs="Arial" w:eastAsia="Arial" w:hAnsi="Arial"/>
          <w:sz w:val="20"/>
          <w:szCs w:val="20"/>
          <w:color w:val="auto"/>
        </w:rPr>
        <w:t>Attention :  April Yebd</w:t>
      </w:r>
    </w:p>
    <w:p>
      <w:pPr>
        <w:spacing w:after="0"/>
        <w:tabs>
          <w:tab w:leader="none" w:pos="1300" w:val="left"/>
        </w:tabs>
        <w:rPr>
          <w:sz w:val="20"/>
          <w:szCs w:val="20"/>
          <w:color w:val="auto"/>
        </w:rPr>
      </w:pPr>
      <w:r>
        <w:rPr>
          <w:rFonts w:ascii="Arial" w:cs="Arial" w:eastAsia="Arial" w:hAnsi="Arial"/>
          <w:sz w:val="20"/>
          <w:szCs w:val="20"/>
          <w:color w:val="auto"/>
        </w:rPr>
        <w:t>Telecopy No:</w:t>
      </w:r>
      <w:r>
        <w:rPr>
          <w:sz w:val="20"/>
          <w:szCs w:val="20"/>
          <w:color w:val="auto"/>
        </w:rPr>
        <w:tab/>
      </w:r>
      <w:r>
        <w:rPr>
          <w:rFonts w:ascii="Arial" w:cs="Arial" w:eastAsia="Arial" w:hAnsi="Arial"/>
          <w:sz w:val="16"/>
          <w:szCs w:val="16"/>
          <w:color w:val="auto"/>
        </w:rPr>
        <w:t>844-490-5665</w:t>
      </w:r>
    </w:p>
    <w:p>
      <w:pPr>
        <w:spacing w:after="0"/>
        <w:rPr>
          <w:sz w:val="20"/>
          <w:szCs w:val="20"/>
          <w:color w:val="auto"/>
        </w:rPr>
      </w:pPr>
      <w:r>
        <w:rPr>
          <w:rFonts w:ascii="Arial" w:cs="Arial" w:eastAsia="Arial" w:hAnsi="Arial"/>
          <w:sz w:val="20"/>
          <w:szCs w:val="20"/>
          <w:color w:val="auto"/>
        </w:rPr>
        <w:t>Email Address: april.yebd@jpmorgan.com</w:t>
      </w:r>
    </w:p>
    <w:p>
      <w:pPr>
        <w:ind w:left="1340"/>
        <w:spacing w:after="0"/>
        <w:rPr>
          <w:sz w:val="20"/>
          <w:szCs w:val="20"/>
          <w:color w:val="auto"/>
        </w:rPr>
      </w:pPr>
      <w:r>
        <w:rPr>
          <w:rFonts w:ascii="Arial" w:cs="Arial" w:eastAsia="Arial" w:hAnsi="Arial"/>
          <w:sz w:val="20"/>
          <w:szCs w:val="20"/>
          <w:color w:val="auto"/>
        </w:rPr>
        <w:t>Jpm.agency.servicing.1@jpmorgan.com</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Octavius Corporation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rPr>
          <w:sz w:val="20"/>
          <w:szCs w:val="20"/>
          <w:color w:val="auto"/>
        </w:rPr>
      </w:pPr>
      <w:r>
        <w:rPr>
          <w:rFonts w:ascii="Arial" w:cs="Arial" w:eastAsia="Arial" w:hAnsi="Arial"/>
          <w:sz w:val="20"/>
          <w:szCs w:val="20"/>
          <w:color w:val="auto"/>
        </w:rPr>
        <w:t>Ladies and Gentlemen:</w:t>
      </w:r>
    </w:p>
    <w:p>
      <w:pPr>
        <w:spacing w:after="0" w:line="200"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Reference is hereby made to the Loan Agreement dated as of November 8, 2016 (as the same may be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among Octavius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from time to time party thereto, the other Loan Parties from time to time party thereto and JPMorgan Chase Bank, N.A.,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defined herein shall have the meanings assigned to such terms in the Loan Agreement. The Borrower hereby gives you notice pursuant to Section 2.03 of the Loan Agreement that it requests a Borrowing under the Loan Agreement, and in that connection the Borrower specifies the following information with respect to such Borrowing requested hereby:</w:t>
      </w:r>
    </w:p>
    <w:p>
      <w:pPr>
        <w:spacing w:after="0" w:line="165" w:lineRule="exact"/>
        <w:rPr>
          <w:sz w:val="20"/>
          <w:szCs w:val="20"/>
          <w:color w:val="auto"/>
        </w:rPr>
      </w:pPr>
    </w:p>
    <w:p>
      <w:pPr>
        <w:ind w:left="660" w:hanging="652"/>
        <w:spacing w:after="0"/>
        <w:tabs>
          <w:tab w:leader="none" w:pos="660" w:val="left"/>
        </w:tabs>
        <w:numPr>
          <w:ilvl w:val="0"/>
          <w:numId w:val="198"/>
        </w:numPr>
        <w:rPr>
          <w:rFonts w:ascii="Arial" w:cs="Arial" w:eastAsia="Arial" w:hAnsi="Arial"/>
          <w:sz w:val="20"/>
          <w:szCs w:val="20"/>
          <w:color w:val="auto"/>
        </w:rPr>
      </w:pPr>
      <w:r>
        <w:rPr>
          <w:rFonts w:ascii="Arial" w:cs="Arial" w:eastAsia="Arial" w:hAnsi="Arial"/>
          <w:sz w:val="20"/>
          <w:szCs w:val="20"/>
          <w:color w:val="auto"/>
        </w:rPr>
        <w:t>Aggregate principal amount of Borrowing:</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__________</w:t>
      </w:r>
    </w:p>
    <w:p>
      <w:pPr>
        <w:spacing w:after="0" w:line="158"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Date of Borrowing (which shall be a Business Day):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Type of Borrowing (ABR or Eurodollar):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Interest Period and the last day thereof (if a Eurodollar Borrowing):</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__________</w:t>
      </w:r>
    </w:p>
    <w:p>
      <w:pPr>
        <w:spacing w:after="0" w:line="158"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199"/>
        </w:numPr>
        <w:rPr>
          <w:rFonts w:ascii="Arial" w:cs="Arial" w:eastAsia="Arial" w:hAnsi="Arial"/>
          <w:sz w:val="20"/>
          <w:szCs w:val="20"/>
          <w:color w:val="auto"/>
        </w:rPr>
      </w:pPr>
      <w:r>
        <w:rPr>
          <w:rFonts w:ascii="Arial" w:cs="Arial" w:eastAsia="Arial" w:hAnsi="Arial"/>
          <w:sz w:val="20"/>
          <w:szCs w:val="20"/>
          <w:color w:val="auto"/>
        </w:rPr>
        <w:t>Location and number of the Borrower’s account or any other account agreed upon by the Administrative Agent and the Borrower to which proceeds of Borrowing are to be disbursed: __________</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line="170" w:lineRule="exact"/>
        <w:rPr>
          <w:sz w:val="20"/>
          <w:szCs w:val="20"/>
          <w:color w:val="auto"/>
        </w:rPr>
      </w:pPr>
    </w:p>
    <w:p>
      <w:pPr>
        <w:ind w:left="120" w:hanging="112"/>
        <w:spacing w:after="0"/>
        <w:tabs>
          <w:tab w:leader="none" w:pos="120" w:val="left"/>
        </w:tabs>
        <w:numPr>
          <w:ilvl w:val="0"/>
          <w:numId w:val="200"/>
        </w:numPr>
        <w:rPr>
          <w:rFonts w:ascii="Arial" w:cs="Arial" w:eastAsia="Arial" w:hAnsi="Arial"/>
          <w:sz w:val="25"/>
          <w:szCs w:val="25"/>
          <w:color w:val="auto"/>
          <w:vertAlign w:val="superscript"/>
        </w:rPr>
      </w:pPr>
      <w:r>
        <w:rPr>
          <w:rFonts w:ascii="Arial" w:cs="Arial" w:eastAsia="Arial" w:hAnsi="Arial"/>
          <w:sz w:val="18"/>
          <w:szCs w:val="18"/>
          <w:color w:val="auto"/>
        </w:rPr>
        <w:t>Not less than applicable amounts specified in Section 2.02(c).</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Which must comply with the definition of “Interest Period” and end not later than the Maturity Date.</w:t>
      </w:r>
    </w:p>
    <w:p>
      <w:pPr>
        <w:sectPr>
          <w:pgSz w:w="11900" w:h="16838" w:orient="portrait"/>
          <w:cols w:equalWidth="0" w:num="1">
            <w:col w:w="11420"/>
          </w:cols>
          <w:pgMar w:left="240" w:top="812" w:right="239" w:bottom="1440" w:gutter="0" w:footer="0" w:header="0"/>
        </w:sectPr>
      </w:pPr>
    </w:p>
    <w:bookmarkStart w:id="168" w:name="page169"/>
    <w:bookmarkEnd w:id="168"/>
    <w:p>
      <w:pPr>
        <w:ind w:firstLine="648"/>
        <w:spacing w:after="0" w:line="260" w:lineRule="auto"/>
        <w:rPr>
          <w:sz w:val="20"/>
          <w:szCs w:val="20"/>
          <w:color w:val="auto"/>
        </w:rPr>
      </w:pPr>
      <w:r>
        <w:rPr>
          <w:rFonts w:ascii="Arial" w:cs="Arial" w:eastAsia="Arial" w:hAnsi="Arial"/>
          <w:sz w:val="20"/>
          <w:szCs w:val="20"/>
          <w:color w:val="auto"/>
        </w:rPr>
        <w:t>The undersigned hereby represents and warrants that the conditions to lending specified in Section 4.01 of the Loan Agreement are satisfied as of the date hereof.</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OCTAVIUS CORPORATION,</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as the Borrower</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420"/>
          </w:cols>
          <w:pgMar w:left="240" w:top="1028"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20"/>
          <w:szCs w:val="20"/>
          <w:color w:val="auto"/>
        </w:rPr>
        <w:t>EXHIBIT G-2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INTEREST ELECTION REQUEST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for the Lenders referred to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10 South Dearborn, Floor L2S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Chicago, IL 60603</w:t>
      </w:r>
    </w:p>
    <w:p>
      <w:pPr>
        <w:spacing w:after="0"/>
        <w:rPr>
          <w:sz w:val="20"/>
          <w:szCs w:val="20"/>
          <w:color w:val="auto"/>
        </w:rPr>
      </w:pPr>
      <w:r>
        <w:rPr>
          <w:rFonts w:ascii="Arial" w:cs="Arial" w:eastAsia="Arial" w:hAnsi="Arial"/>
          <w:sz w:val="20"/>
          <w:szCs w:val="20"/>
          <w:color w:val="auto"/>
        </w:rPr>
        <w:t>Attention :  April Yebd</w:t>
      </w:r>
    </w:p>
    <w:p>
      <w:pPr>
        <w:spacing w:after="0"/>
        <w:tabs>
          <w:tab w:leader="none" w:pos="1300" w:val="left"/>
        </w:tabs>
        <w:rPr>
          <w:sz w:val="20"/>
          <w:szCs w:val="20"/>
          <w:color w:val="auto"/>
        </w:rPr>
      </w:pPr>
      <w:r>
        <w:rPr>
          <w:rFonts w:ascii="Arial" w:cs="Arial" w:eastAsia="Arial" w:hAnsi="Arial"/>
          <w:sz w:val="20"/>
          <w:szCs w:val="20"/>
          <w:color w:val="auto"/>
        </w:rPr>
        <w:t>Telecopy No:</w:t>
      </w:r>
      <w:r>
        <w:rPr>
          <w:sz w:val="20"/>
          <w:szCs w:val="20"/>
          <w:color w:val="auto"/>
        </w:rPr>
        <w:tab/>
      </w:r>
      <w:r>
        <w:rPr>
          <w:rFonts w:ascii="Arial" w:cs="Arial" w:eastAsia="Arial" w:hAnsi="Arial"/>
          <w:sz w:val="16"/>
          <w:szCs w:val="16"/>
          <w:color w:val="auto"/>
        </w:rPr>
        <w:t>844-490-5665</w:t>
      </w:r>
    </w:p>
    <w:p>
      <w:pPr>
        <w:spacing w:after="0"/>
        <w:rPr>
          <w:sz w:val="20"/>
          <w:szCs w:val="20"/>
          <w:color w:val="auto"/>
        </w:rPr>
      </w:pPr>
      <w:r>
        <w:rPr>
          <w:rFonts w:ascii="Arial" w:cs="Arial" w:eastAsia="Arial" w:hAnsi="Arial"/>
          <w:sz w:val="20"/>
          <w:szCs w:val="20"/>
          <w:color w:val="auto"/>
        </w:rPr>
        <w:t>Email Address: april.yebd@jpmorgan.com</w:t>
      </w:r>
    </w:p>
    <w:p>
      <w:pPr>
        <w:ind w:left="1340"/>
        <w:spacing w:after="0"/>
        <w:rPr>
          <w:sz w:val="20"/>
          <w:szCs w:val="20"/>
          <w:color w:val="auto"/>
        </w:rPr>
      </w:pPr>
      <w:r>
        <w:rPr>
          <w:rFonts w:ascii="Arial" w:cs="Arial" w:eastAsia="Arial" w:hAnsi="Arial"/>
          <w:sz w:val="20"/>
          <w:szCs w:val="20"/>
          <w:color w:val="auto"/>
        </w:rPr>
        <w:t>Jpm.agency.servicing.1@jpmorgan.com</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Octavius Corporation</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Reference is hereby made to the Loan Agreement dated as of November 8, 2016 (as the same may be amended, restated, supplemented or otherwise modified from time to time, the “</w:t>
      </w:r>
      <w:r>
        <w:rPr>
          <w:rFonts w:ascii="Arial" w:cs="Arial" w:eastAsia="Arial" w:hAnsi="Arial"/>
          <w:sz w:val="19"/>
          <w:szCs w:val="19"/>
          <w:u w:val="single" w:color="auto"/>
          <w:color w:val="auto"/>
        </w:rPr>
        <w:t>Loan Agreement</w:t>
      </w:r>
      <w:r>
        <w:rPr>
          <w:rFonts w:ascii="Arial" w:cs="Arial" w:eastAsia="Arial" w:hAnsi="Arial"/>
          <w:sz w:val="19"/>
          <w:szCs w:val="19"/>
          <w:color w:val="auto"/>
        </w:rPr>
        <w:t>”), among Octavius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other Loan Parties from time to time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defined herein shall have the meanings assigned to such terms in the Loan Agreement. The Borrower hereby gives you notice pursuant to Section 2.08 of the Loan Agreement that it requests to [convert] [continue] an existing Borrowing under the Loan Agreement, and in that connection the Borrower specifies the following information with respect to such [conversion][continuation] requested hereby:</w:t>
      </w:r>
    </w:p>
    <w:p>
      <w:pPr>
        <w:spacing w:after="0" w:line="179" w:lineRule="exact"/>
        <w:rPr>
          <w:sz w:val="20"/>
          <w:szCs w:val="20"/>
          <w:color w:val="auto"/>
        </w:rPr>
      </w:pPr>
    </w:p>
    <w:p>
      <w:pPr>
        <w:ind w:left="660" w:hanging="652"/>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List date, Type, Class, principal amount and Interest Period (if applicable) of existing Borrowing: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Aggregate principal amount of resulting Borrowing: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Effective date of interest election (which shall be a Business Day):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Type of Borrowing (ABR or Eurodollar):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Interest Period and the last day thereof (if a Eurodollar Borrowing):</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__________</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hanging="92"/>
        <w:spacing w:after="0"/>
        <w:tabs>
          <w:tab w:leader="none" w:pos="100" w:val="left"/>
        </w:tabs>
        <w:numPr>
          <w:ilvl w:val="0"/>
          <w:numId w:val="202"/>
        </w:numPr>
        <w:rPr>
          <w:rFonts w:ascii="Arial" w:cs="Arial" w:eastAsia="Arial" w:hAnsi="Arial"/>
          <w:sz w:val="24"/>
          <w:szCs w:val="24"/>
          <w:color w:val="auto"/>
          <w:vertAlign w:val="superscript"/>
        </w:rPr>
      </w:pPr>
      <w:r>
        <w:rPr>
          <w:rFonts w:ascii="Arial" w:cs="Arial" w:eastAsia="Arial" w:hAnsi="Arial"/>
          <w:sz w:val="17"/>
          <w:szCs w:val="17"/>
          <w:color w:val="auto"/>
        </w:rPr>
        <w:t>Which must comply with the definition of “Interest Period” and end not later than the Maturity Date.</w:t>
      </w:r>
    </w:p>
    <w:p>
      <w:pPr>
        <w:sectPr>
          <w:pgSz w:w="11900" w:h="16838" w:orient="portrait"/>
          <w:cols w:equalWidth="0" w:num="1">
            <w:col w:w="11420"/>
          </w:cols>
          <w:pgMar w:left="240" w:top="811" w:right="239" w:bottom="1440" w:gutter="0" w:footer="0" w:header="0"/>
        </w:sectPr>
      </w:pPr>
    </w:p>
    <w:bookmarkStart w:id="170" w:name="page171"/>
    <w:bookmarkEnd w:id="170"/>
    <w:p>
      <w:pPr>
        <w:ind w:left="4320"/>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OCTAVIUS CORPORATION,</w:t>
      </w:r>
    </w:p>
    <w:p>
      <w:pPr>
        <w:spacing w:after="0" w:line="77"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as the Borrower</w:t>
      </w:r>
    </w:p>
    <w:p>
      <w:pPr>
        <w:spacing w:after="0" w:line="378"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9019"/>
          </w:cols>
          <w:pgMar w:left="1440" w:top="1406" w:right="1440" w:bottom="1440" w:gutter="0" w:footer="0" w:header="0"/>
        </w:sectPr>
      </w:pPr>
    </w:p>
    <w:bookmarkStart w:id="171" w:name="page172"/>
    <w:bookmarkEnd w:id="171"/>
    <w:p>
      <w:pPr>
        <w:spacing w:after="0" w:line="2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873760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50"/>
          <w:szCs w:val="50"/>
          <w:color w:val="auto"/>
        </w:rPr>
        <w:t>J.P.Morgan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8, 2016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WINNEBAGO INDUSTRIES,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WINNEBAGO OF INDIANA, LLC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GRAND DESIGN RV, LLC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Other Loan Parties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Lenders Party Hereto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 Administrative Agent</w:t>
      </w:r>
    </w:p>
    <w:p>
      <w:pPr>
        <w:ind w:left="3080"/>
        <w:spacing w:after="0"/>
        <w:rPr>
          <w:sz w:val="20"/>
          <w:szCs w:val="20"/>
          <w:color w:val="auto"/>
        </w:rPr>
      </w:pPr>
      <w:r>
        <w:rPr>
          <w:rFonts w:ascii="Arial" w:cs="Arial" w:eastAsia="Arial" w:hAnsi="Arial"/>
          <w:sz w:val="19"/>
          <w:szCs w:val="19"/>
          <w:color w:val="auto"/>
        </w:rPr>
        <w:t>_____________________________</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JPMORGAN CHASE BANK, N.A.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377190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ASSET BASED LENDING</w:t>
      </w:r>
    </w:p>
    <w:p>
      <w:pPr>
        <w:sectPr>
          <w:pgSz w:w="11900" w:h="16838" w:orient="portrait"/>
          <w:cols w:equalWidth="0" w:num="1">
            <w:col w:w="9019"/>
          </w:cols>
          <w:pgMar w:left="1440" w:top="1440" w:right="1440" w:bottom="1440" w:gutter="0" w:footer="0" w:header="0"/>
        </w:sectPr>
      </w:pPr>
    </w:p>
    <w:bookmarkStart w:id="172" w:name="page173"/>
    <w:bookmarkEnd w:id="172"/>
    <w:p>
      <w:pPr>
        <w:jc w:val="center"/>
        <w:ind w:right="-19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ARTICLE I.</w:t>
            </w:r>
          </w:p>
        </w:tc>
        <w:tc>
          <w:tcPr>
            <w:tcW w:w="8240" w:type="dxa"/>
            <w:vAlign w:val="bottom"/>
          </w:tcPr>
          <w:p>
            <w:pPr>
              <w:ind w:left="420"/>
              <w:spacing w:after="0"/>
              <w:rPr>
                <w:sz w:val="20"/>
                <w:szCs w:val="20"/>
                <w:color w:val="auto"/>
              </w:rPr>
            </w:pPr>
            <w:r>
              <w:rPr>
                <w:rFonts w:ascii="Arial" w:cs="Arial" w:eastAsia="Arial" w:hAnsi="Arial"/>
                <w:sz w:val="20"/>
                <w:szCs w:val="20"/>
                <w:color w:val="auto"/>
              </w:rPr>
              <w:t>Definitions</w:t>
            </w:r>
          </w:p>
        </w:tc>
        <w:tc>
          <w:tcPr>
            <w:tcW w:w="1260" w:type="dxa"/>
            <w:vAlign w:val="bottom"/>
          </w:tcPr>
          <w:p>
            <w:pPr>
              <w:jc w:val="center"/>
              <w:ind w:left="981"/>
              <w:spacing w:after="0"/>
              <w:rPr>
                <w:sz w:val="20"/>
                <w:szCs w:val="20"/>
                <w:color w:val="auto"/>
              </w:rPr>
            </w:pPr>
            <w:r>
              <w:rPr>
                <w:rFonts w:ascii="Arial" w:cs="Arial" w:eastAsia="Arial" w:hAnsi="Arial"/>
                <w:sz w:val="20"/>
                <w:szCs w:val="20"/>
                <w:color w:val="auto"/>
                <w:w w:val="89"/>
              </w:rPr>
              <w:t>1</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1.01</w:t>
            </w:r>
          </w:p>
        </w:tc>
        <w:tc>
          <w:tcPr>
            <w:tcW w:w="8240" w:type="dxa"/>
            <w:vAlign w:val="bottom"/>
          </w:tcPr>
          <w:p>
            <w:pPr>
              <w:ind w:left="420"/>
              <w:spacing w:after="0"/>
              <w:rPr>
                <w:sz w:val="20"/>
                <w:szCs w:val="20"/>
                <w:color w:val="auto"/>
              </w:rPr>
            </w:pPr>
            <w:r>
              <w:rPr>
                <w:rFonts w:ascii="Arial" w:cs="Arial" w:eastAsia="Arial" w:hAnsi="Arial"/>
                <w:sz w:val="20"/>
                <w:szCs w:val="20"/>
                <w:color w:val="auto"/>
              </w:rPr>
              <w:t>Defined Terms</w:t>
            </w:r>
          </w:p>
        </w:tc>
        <w:tc>
          <w:tcPr>
            <w:tcW w:w="1260" w:type="dxa"/>
            <w:vAlign w:val="bottom"/>
          </w:tcPr>
          <w:p>
            <w:pPr>
              <w:jc w:val="center"/>
              <w:ind w:left="981"/>
              <w:spacing w:after="0"/>
              <w:rPr>
                <w:sz w:val="20"/>
                <w:szCs w:val="20"/>
                <w:color w:val="auto"/>
              </w:rPr>
            </w:pPr>
            <w:r>
              <w:rPr>
                <w:rFonts w:ascii="Arial" w:cs="Arial" w:eastAsia="Arial" w:hAnsi="Arial"/>
                <w:sz w:val="20"/>
                <w:szCs w:val="20"/>
                <w:color w:val="auto"/>
                <w:w w:val="89"/>
              </w:rPr>
              <w:t>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1.02</w:t>
            </w:r>
          </w:p>
        </w:tc>
        <w:tc>
          <w:tcPr>
            <w:tcW w:w="8240" w:type="dxa"/>
            <w:vAlign w:val="bottom"/>
          </w:tcPr>
          <w:p>
            <w:pPr>
              <w:ind w:left="420"/>
              <w:spacing w:after="0"/>
              <w:rPr>
                <w:sz w:val="20"/>
                <w:szCs w:val="20"/>
                <w:color w:val="auto"/>
              </w:rPr>
            </w:pPr>
            <w:r>
              <w:rPr>
                <w:rFonts w:ascii="Arial" w:cs="Arial" w:eastAsia="Arial" w:hAnsi="Arial"/>
                <w:sz w:val="20"/>
                <w:szCs w:val="20"/>
                <w:color w:val="auto"/>
              </w:rPr>
              <w:t>Classification of Loans and Borrowings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1.03</w:t>
            </w:r>
          </w:p>
        </w:tc>
        <w:tc>
          <w:tcPr>
            <w:tcW w:w="8240" w:type="dxa"/>
            <w:vAlign w:val="bottom"/>
          </w:tcPr>
          <w:p>
            <w:pPr>
              <w:ind w:left="420"/>
              <w:spacing w:after="0"/>
              <w:rPr>
                <w:sz w:val="20"/>
                <w:szCs w:val="20"/>
                <w:color w:val="auto"/>
              </w:rPr>
            </w:pPr>
            <w:r>
              <w:rPr>
                <w:rFonts w:ascii="Arial" w:cs="Arial" w:eastAsia="Arial" w:hAnsi="Arial"/>
                <w:sz w:val="20"/>
                <w:szCs w:val="20"/>
                <w:color w:val="auto"/>
              </w:rPr>
              <w:t>Terms Generally</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1.04</w:t>
            </w:r>
          </w:p>
        </w:tc>
        <w:tc>
          <w:tcPr>
            <w:tcW w:w="8240" w:type="dxa"/>
            <w:vAlign w:val="bottom"/>
          </w:tcPr>
          <w:p>
            <w:pPr>
              <w:ind w:left="420"/>
              <w:spacing w:after="0"/>
              <w:rPr>
                <w:sz w:val="20"/>
                <w:szCs w:val="20"/>
                <w:color w:val="auto"/>
              </w:rPr>
            </w:pPr>
            <w:r>
              <w:rPr>
                <w:rFonts w:ascii="Arial" w:cs="Arial" w:eastAsia="Arial" w:hAnsi="Arial"/>
                <w:sz w:val="20"/>
                <w:szCs w:val="20"/>
                <w:color w:val="auto"/>
              </w:rPr>
              <w:t>Accounting Terms; GAAP; Pro Forma Calculations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1.05</w:t>
            </w:r>
          </w:p>
        </w:tc>
        <w:tc>
          <w:tcPr>
            <w:tcW w:w="8240" w:type="dxa"/>
            <w:vAlign w:val="bottom"/>
          </w:tcPr>
          <w:p>
            <w:pPr>
              <w:ind w:left="420"/>
              <w:spacing w:after="0"/>
              <w:rPr>
                <w:sz w:val="20"/>
                <w:szCs w:val="20"/>
                <w:color w:val="auto"/>
              </w:rPr>
            </w:pPr>
            <w:r>
              <w:rPr>
                <w:rFonts w:ascii="Arial" w:cs="Arial" w:eastAsia="Arial" w:hAnsi="Arial"/>
                <w:sz w:val="20"/>
                <w:szCs w:val="20"/>
                <w:color w:val="auto"/>
              </w:rPr>
              <w:t>Status of Obligations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48</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ARTICLE II.</w:t>
            </w:r>
          </w:p>
        </w:tc>
        <w:tc>
          <w:tcPr>
            <w:tcW w:w="8240" w:type="dxa"/>
            <w:vAlign w:val="bottom"/>
          </w:tcPr>
          <w:p>
            <w:pPr>
              <w:ind w:left="420"/>
              <w:spacing w:after="0"/>
              <w:rPr>
                <w:sz w:val="20"/>
                <w:szCs w:val="20"/>
                <w:color w:val="auto"/>
              </w:rPr>
            </w:pPr>
            <w:r>
              <w:rPr>
                <w:rFonts w:ascii="Arial" w:cs="Arial" w:eastAsia="Arial" w:hAnsi="Arial"/>
                <w:sz w:val="20"/>
                <w:szCs w:val="20"/>
                <w:color w:val="auto"/>
              </w:rPr>
              <w:t>The Credits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48</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2.01</w:t>
            </w:r>
          </w:p>
        </w:tc>
        <w:tc>
          <w:tcPr>
            <w:tcW w:w="8240" w:type="dxa"/>
            <w:vAlign w:val="bottom"/>
          </w:tcPr>
          <w:p>
            <w:pPr>
              <w:ind w:left="420"/>
              <w:spacing w:after="0"/>
              <w:rPr>
                <w:sz w:val="20"/>
                <w:szCs w:val="20"/>
                <w:color w:val="auto"/>
              </w:rPr>
            </w:pPr>
            <w:r>
              <w:rPr>
                <w:rFonts w:ascii="Arial" w:cs="Arial" w:eastAsia="Arial" w:hAnsi="Arial"/>
                <w:sz w:val="20"/>
                <w:szCs w:val="20"/>
                <w:color w:val="auto"/>
              </w:rPr>
              <w:t>Commitments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2.02</w:t>
            </w:r>
          </w:p>
        </w:tc>
        <w:tc>
          <w:tcPr>
            <w:tcW w:w="8240" w:type="dxa"/>
            <w:vAlign w:val="bottom"/>
          </w:tcPr>
          <w:p>
            <w:pPr>
              <w:ind w:left="420"/>
              <w:spacing w:after="0"/>
              <w:rPr>
                <w:sz w:val="20"/>
                <w:szCs w:val="20"/>
                <w:color w:val="auto"/>
              </w:rPr>
            </w:pPr>
            <w:r>
              <w:rPr>
                <w:rFonts w:ascii="Arial" w:cs="Arial" w:eastAsia="Arial" w:hAnsi="Arial"/>
                <w:sz w:val="20"/>
                <w:szCs w:val="20"/>
                <w:color w:val="auto"/>
              </w:rPr>
              <w:t>Loans and Borrowings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2.03</w:t>
            </w:r>
          </w:p>
        </w:tc>
        <w:tc>
          <w:tcPr>
            <w:tcW w:w="8240" w:type="dxa"/>
            <w:vAlign w:val="bottom"/>
          </w:tcPr>
          <w:p>
            <w:pPr>
              <w:ind w:left="420"/>
              <w:spacing w:after="0"/>
              <w:rPr>
                <w:sz w:val="20"/>
                <w:szCs w:val="20"/>
                <w:color w:val="auto"/>
              </w:rPr>
            </w:pPr>
            <w:r>
              <w:rPr>
                <w:rFonts w:ascii="Arial" w:cs="Arial" w:eastAsia="Arial" w:hAnsi="Arial"/>
                <w:sz w:val="20"/>
                <w:szCs w:val="20"/>
                <w:color w:val="auto"/>
              </w:rPr>
              <w:t>Requests for Borrowings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49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2.04</w:t>
            </w:r>
          </w:p>
        </w:tc>
        <w:tc>
          <w:tcPr>
            <w:tcW w:w="8240" w:type="dxa"/>
            <w:vAlign w:val="bottom"/>
          </w:tcPr>
          <w:p>
            <w:pPr>
              <w:ind w:left="420"/>
              <w:spacing w:after="0"/>
              <w:rPr>
                <w:sz w:val="20"/>
                <w:szCs w:val="20"/>
                <w:color w:val="auto"/>
              </w:rPr>
            </w:pPr>
            <w:r>
              <w:rPr>
                <w:rFonts w:ascii="Arial" w:cs="Arial" w:eastAsia="Arial" w:hAnsi="Arial"/>
                <w:sz w:val="20"/>
                <w:szCs w:val="20"/>
                <w:color w:val="auto"/>
              </w:rPr>
              <w:t>Protective Advances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50</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2.05</w:t>
            </w:r>
          </w:p>
        </w:tc>
        <w:tc>
          <w:tcPr>
            <w:tcW w:w="8240" w:type="dxa"/>
            <w:vAlign w:val="bottom"/>
          </w:tcPr>
          <w:p>
            <w:pPr>
              <w:ind w:left="420"/>
              <w:spacing w:after="0"/>
              <w:rPr>
                <w:sz w:val="20"/>
                <w:szCs w:val="20"/>
                <w:color w:val="auto"/>
              </w:rPr>
            </w:pPr>
            <w:r>
              <w:rPr>
                <w:rFonts w:ascii="Arial" w:cs="Arial" w:eastAsia="Arial" w:hAnsi="Arial"/>
                <w:sz w:val="20"/>
                <w:szCs w:val="20"/>
                <w:color w:val="auto"/>
              </w:rPr>
              <w:t>Swingline Loans and Overadvances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2.06</w:t>
            </w:r>
          </w:p>
        </w:tc>
        <w:tc>
          <w:tcPr>
            <w:tcW w:w="8240" w:type="dxa"/>
            <w:vAlign w:val="bottom"/>
          </w:tcPr>
          <w:p>
            <w:pPr>
              <w:ind w:left="420"/>
              <w:spacing w:after="0"/>
              <w:rPr>
                <w:sz w:val="20"/>
                <w:szCs w:val="20"/>
                <w:color w:val="auto"/>
              </w:rPr>
            </w:pPr>
            <w:r>
              <w:rPr>
                <w:rFonts w:ascii="Arial" w:cs="Arial" w:eastAsia="Arial" w:hAnsi="Arial"/>
                <w:sz w:val="20"/>
                <w:szCs w:val="20"/>
                <w:color w:val="auto"/>
              </w:rPr>
              <w:t>Letters of Credit</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2.07</w:t>
            </w:r>
          </w:p>
        </w:tc>
        <w:tc>
          <w:tcPr>
            <w:tcW w:w="8240" w:type="dxa"/>
            <w:vAlign w:val="bottom"/>
          </w:tcPr>
          <w:p>
            <w:pPr>
              <w:ind w:left="420"/>
              <w:spacing w:after="0"/>
              <w:rPr>
                <w:sz w:val="20"/>
                <w:szCs w:val="20"/>
                <w:color w:val="auto"/>
              </w:rPr>
            </w:pPr>
            <w:r>
              <w:rPr>
                <w:rFonts w:ascii="Arial" w:cs="Arial" w:eastAsia="Arial" w:hAnsi="Arial"/>
                <w:sz w:val="20"/>
                <w:szCs w:val="20"/>
                <w:color w:val="auto"/>
              </w:rPr>
              <w:t>Funding of Borrowings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2.08</w:t>
            </w:r>
          </w:p>
        </w:tc>
        <w:tc>
          <w:tcPr>
            <w:tcW w:w="8240" w:type="dxa"/>
            <w:vAlign w:val="bottom"/>
          </w:tcPr>
          <w:p>
            <w:pPr>
              <w:ind w:left="420"/>
              <w:spacing w:after="0"/>
              <w:rPr>
                <w:sz w:val="20"/>
                <w:szCs w:val="20"/>
                <w:color w:val="auto"/>
              </w:rPr>
            </w:pPr>
            <w:r>
              <w:rPr>
                <w:rFonts w:ascii="Arial" w:cs="Arial" w:eastAsia="Arial" w:hAnsi="Arial"/>
                <w:sz w:val="20"/>
                <w:szCs w:val="20"/>
                <w:color w:val="auto"/>
              </w:rPr>
              <w:t>Interest Elections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2.09</w:t>
            </w:r>
          </w:p>
        </w:tc>
        <w:tc>
          <w:tcPr>
            <w:tcW w:w="8240" w:type="dxa"/>
            <w:vAlign w:val="bottom"/>
          </w:tcPr>
          <w:p>
            <w:pPr>
              <w:ind w:left="420"/>
              <w:spacing w:after="0"/>
              <w:rPr>
                <w:sz w:val="20"/>
                <w:szCs w:val="20"/>
                <w:color w:val="auto"/>
              </w:rPr>
            </w:pPr>
            <w:r>
              <w:rPr>
                <w:rFonts w:ascii="Arial" w:cs="Arial" w:eastAsia="Arial" w:hAnsi="Arial"/>
                <w:sz w:val="20"/>
                <w:szCs w:val="20"/>
                <w:color w:val="auto"/>
              </w:rPr>
              <w:t>Termination and Reduction of Commitments; Increase in Commitments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58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2.10</w:t>
            </w:r>
          </w:p>
        </w:tc>
        <w:tc>
          <w:tcPr>
            <w:tcW w:w="8240" w:type="dxa"/>
            <w:vAlign w:val="bottom"/>
          </w:tcPr>
          <w:p>
            <w:pPr>
              <w:ind w:left="420"/>
              <w:spacing w:after="0"/>
              <w:rPr>
                <w:sz w:val="20"/>
                <w:szCs w:val="20"/>
                <w:color w:val="auto"/>
              </w:rPr>
            </w:pPr>
            <w:r>
              <w:rPr>
                <w:rFonts w:ascii="Arial" w:cs="Arial" w:eastAsia="Arial" w:hAnsi="Arial"/>
                <w:sz w:val="20"/>
                <w:szCs w:val="20"/>
                <w:color w:val="auto"/>
              </w:rPr>
              <w:t>Repayment of Loans; Evidence of Debt</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60</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2.11</w:t>
            </w:r>
          </w:p>
        </w:tc>
        <w:tc>
          <w:tcPr>
            <w:tcW w:w="8240" w:type="dxa"/>
            <w:vAlign w:val="bottom"/>
          </w:tcPr>
          <w:p>
            <w:pPr>
              <w:ind w:left="420"/>
              <w:spacing w:after="0"/>
              <w:rPr>
                <w:sz w:val="20"/>
                <w:szCs w:val="20"/>
                <w:color w:val="auto"/>
              </w:rPr>
            </w:pPr>
            <w:r>
              <w:rPr>
                <w:rFonts w:ascii="Arial" w:cs="Arial" w:eastAsia="Arial" w:hAnsi="Arial"/>
                <w:sz w:val="20"/>
                <w:szCs w:val="20"/>
                <w:color w:val="auto"/>
              </w:rPr>
              <w:t>Prepayment of Loans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2.12</w:t>
            </w:r>
          </w:p>
        </w:tc>
        <w:tc>
          <w:tcPr>
            <w:tcW w:w="8240" w:type="dxa"/>
            <w:vAlign w:val="bottom"/>
          </w:tcPr>
          <w:p>
            <w:pPr>
              <w:ind w:left="420"/>
              <w:spacing w:after="0"/>
              <w:rPr>
                <w:sz w:val="20"/>
                <w:szCs w:val="20"/>
                <w:color w:val="auto"/>
              </w:rPr>
            </w:pPr>
            <w:r>
              <w:rPr>
                <w:rFonts w:ascii="Arial" w:cs="Arial" w:eastAsia="Arial" w:hAnsi="Arial"/>
                <w:sz w:val="20"/>
                <w:szCs w:val="20"/>
                <w:color w:val="auto"/>
              </w:rPr>
              <w:t>Fees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2.13</w:t>
            </w:r>
          </w:p>
        </w:tc>
        <w:tc>
          <w:tcPr>
            <w:tcW w:w="8240" w:type="dxa"/>
            <w:vAlign w:val="bottom"/>
          </w:tcPr>
          <w:p>
            <w:pPr>
              <w:ind w:left="420"/>
              <w:spacing w:after="0"/>
              <w:rPr>
                <w:sz w:val="20"/>
                <w:szCs w:val="20"/>
                <w:color w:val="auto"/>
              </w:rPr>
            </w:pPr>
            <w:r>
              <w:rPr>
                <w:rFonts w:ascii="Arial" w:cs="Arial" w:eastAsia="Arial" w:hAnsi="Arial"/>
                <w:sz w:val="20"/>
                <w:szCs w:val="20"/>
                <w:color w:val="auto"/>
              </w:rPr>
              <w:t>Interest</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2.14</w:t>
            </w:r>
          </w:p>
        </w:tc>
        <w:tc>
          <w:tcPr>
            <w:tcW w:w="8240" w:type="dxa"/>
            <w:vAlign w:val="bottom"/>
          </w:tcPr>
          <w:p>
            <w:pPr>
              <w:ind w:left="420"/>
              <w:spacing w:after="0"/>
              <w:rPr>
                <w:sz w:val="20"/>
                <w:szCs w:val="20"/>
                <w:color w:val="auto"/>
              </w:rPr>
            </w:pPr>
            <w:r>
              <w:rPr>
                <w:rFonts w:ascii="Arial" w:cs="Arial" w:eastAsia="Arial" w:hAnsi="Arial"/>
                <w:sz w:val="20"/>
                <w:szCs w:val="20"/>
                <w:color w:val="auto"/>
              </w:rPr>
              <w:t>Alternate Rate of Interest</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2.15</w:t>
            </w:r>
          </w:p>
        </w:tc>
        <w:tc>
          <w:tcPr>
            <w:tcW w:w="8240" w:type="dxa"/>
            <w:vAlign w:val="bottom"/>
          </w:tcPr>
          <w:p>
            <w:pPr>
              <w:ind w:left="420"/>
              <w:spacing w:after="0"/>
              <w:rPr>
                <w:sz w:val="20"/>
                <w:szCs w:val="20"/>
                <w:color w:val="auto"/>
              </w:rPr>
            </w:pPr>
            <w:r>
              <w:rPr>
                <w:rFonts w:ascii="Arial" w:cs="Arial" w:eastAsia="Arial" w:hAnsi="Arial"/>
                <w:sz w:val="20"/>
                <w:szCs w:val="20"/>
                <w:color w:val="auto"/>
              </w:rPr>
              <w:t>Increased Costs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2.16</w:t>
            </w:r>
          </w:p>
        </w:tc>
        <w:tc>
          <w:tcPr>
            <w:tcW w:w="8240" w:type="dxa"/>
            <w:vAlign w:val="bottom"/>
          </w:tcPr>
          <w:p>
            <w:pPr>
              <w:ind w:left="420"/>
              <w:spacing w:after="0"/>
              <w:rPr>
                <w:sz w:val="20"/>
                <w:szCs w:val="20"/>
                <w:color w:val="auto"/>
              </w:rPr>
            </w:pPr>
            <w:r>
              <w:rPr>
                <w:rFonts w:ascii="Arial" w:cs="Arial" w:eastAsia="Arial" w:hAnsi="Arial"/>
                <w:sz w:val="20"/>
                <w:szCs w:val="20"/>
                <w:color w:val="auto"/>
              </w:rPr>
              <w:t>Break Funding Payments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2.17</w:t>
            </w:r>
          </w:p>
        </w:tc>
        <w:tc>
          <w:tcPr>
            <w:tcW w:w="8240" w:type="dxa"/>
            <w:vAlign w:val="bottom"/>
          </w:tcPr>
          <w:p>
            <w:pPr>
              <w:ind w:left="420"/>
              <w:spacing w:after="0"/>
              <w:rPr>
                <w:sz w:val="20"/>
                <w:szCs w:val="20"/>
                <w:color w:val="auto"/>
              </w:rPr>
            </w:pPr>
            <w:r>
              <w:rPr>
                <w:rFonts w:ascii="Arial" w:cs="Arial" w:eastAsia="Arial" w:hAnsi="Arial"/>
                <w:sz w:val="20"/>
                <w:szCs w:val="20"/>
                <w:color w:val="auto"/>
              </w:rPr>
              <w:t>Taxes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2.18</w:t>
            </w:r>
          </w:p>
        </w:tc>
        <w:tc>
          <w:tcPr>
            <w:tcW w:w="8240" w:type="dxa"/>
            <w:vAlign w:val="bottom"/>
          </w:tcPr>
          <w:p>
            <w:pPr>
              <w:ind w:left="420"/>
              <w:spacing w:after="0"/>
              <w:rPr>
                <w:sz w:val="20"/>
                <w:szCs w:val="20"/>
                <w:color w:val="auto"/>
              </w:rPr>
            </w:pPr>
            <w:r>
              <w:rPr>
                <w:rFonts w:ascii="Arial" w:cs="Arial" w:eastAsia="Arial" w:hAnsi="Arial"/>
                <w:sz w:val="20"/>
                <w:szCs w:val="20"/>
                <w:color w:val="auto"/>
              </w:rPr>
              <w:t>Payments Generally; Allocation of Proceeds; Pro Rata Treatment; Sharing of Set-offs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69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2.19</w:t>
            </w:r>
          </w:p>
        </w:tc>
        <w:tc>
          <w:tcPr>
            <w:tcW w:w="8240" w:type="dxa"/>
            <w:vAlign w:val="bottom"/>
          </w:tcPr>
          <w:p>
            <w:pPr>
              <w:ind w:left="420"/>
              <w:spacing w:after="0"/>
              <w:rPr>
                <w:sz w:val="20"/>
                <w:szCs w:val="20"/>
                <w:color w:val="auto"/>
              </w:rPr>
            </w:pPr>
            <w:r>
              <w:rPr>
                <w:rFonts w:ascii="Arial" w:cs="Arial" w:eastAsia="Arial" w:hAnsi="Arial"/>
                <w:sz w:val="20"/>
                <w:szCs w:val="20"/>
                <w:color w:val="auto"/>
              </w:rPr>
              <w:t>Mitigation Obligations; Replacement of Lenders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2.20</w:t>
            </w:r>
          </w:p>
        </w:tc>
        <w:tc>
          <w:tcPr>
            <w:tcW w:w="8240" w:type="dxa"/>
            <w:vAlign w:val="bottom"/>
          </w:tcPr>
          <w:p>
            <w:pPr>
              <w:ind w:left="420"/>
              <w:spacing w:after="0"/>
              <w:rPr>
                <w:sz w:val="20"/>
                <w:szCs w:val="20"/>
                <w:color w:val="auto"/>
              </w:rPr>
            </w:pPr>
            <w:r>
              <w:rPr>
                <w:rFonts w:ascii="Arial" w:cs="Arial" w:eastAsia="Arial" w:hAnsi="Arial"/>
                <w:sz w:val="20"/>
                <w:szCs w:val="20"/>
                <w:color w:val="auto"/>
              </w:rPr>
              <w:t>Defaulting Lenders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2.21</w:t>
            </w:r>
          </w:p>
        </w:tc>
        <w:tc>
          <w:tcPr>
            <w:tcW w:w="8240" w:type="dxa"/>
            <w:vAlign w:val="bottom"/>
          </w:tcPr>
          <w:p>
            <w:pPr>
              <w:ind w:left="420"/>
              <w:spacing w:after="0"/>
              <w:rPr>
                <w:sz w:val="20"/>
                <w:szCs w:val="20"/>
                <w:color w:val="auto"/>
              </w:rPr>
            </w:pPr>
            <w:r>
              <w:rPr>
                <w:rFonts w:ascii="Arial" w:cs="Arial" w:eastAsia="Arial" w:hAnsi="Arial"/>
                <w:sz w:val="20"/>
                <w:szCs w:val="20"/>
                <w:color w:val="auto"/>
              </w:rPr>
              <w:t>Returned Payments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2.22</w:t>
            </w:r>
          </w:p>
        </w:tc>
        <w:tc>
          <w:tcPr>
            <w:tcW w:w="8240" w:type="dxa"/>
            <w:vAlign w:val="bottom"/>
          </w:tcPr>
          <w:p>
            <w:pPr>
              <w:ind w:left="420"/>
              <w:spacing w:after="0"/>
              <w:rPr>
                <w:sz w:val="20"/>
                <w:szCs w:val="20"/>
                <w:color w:val="auto"/>
              </w:rPr>
            </w:pPr>
            <w:r>
              <w:rPr>
                <w:rFonts w:ascii="Arial" w:cs="Arial" w:eastAsia="Arial" w:hAnsi="Arial"/>
                <w:sz w:val="20"/>
                <w:szCs w:val="20"/>
                <w:color w:val="auto"/>
              </w:rPr>
              <w:t>Banking Services and Swap Agreements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74</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ARTCILE III.</w:t>
            </w:r>
          </w:p>
        </w:tc>
        <w:tc>
          <w:tcPr>
            <w:tcW w:w="8240" w:type="dxa"/>
            <w:vAlign w:val="bottom"/>
          </w:tcPr>
          <w:p>
            <w:pPr>
              <w:ind w:left="420"/>
              <w:spacing w:after="0"/>
              <w:rPr>
                <w:sz w:val="20"/>
                <w:szCs w:val="20"/>
                <w:color w:val="auto"/>
              </w:rPr>
            </w:pPr>
            <w:r>
              <w:rPr>
                <w:rFonts w:ascii="Arial" w:cs="Arial" w:eastAsia="Arial" w:hAnsi="Arial"/>
                <w:sz w:val="20"/>
                <w:szCs w:val="20"/>
                <w:color w:val="auto"/>
              </w:rPr>
              <w:t>Representations and Warranties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74</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3.01</w:t>
            </w:r>
          </w:p>
        </w:tc>
        <w:tc>
          <w:tcPr>
            <w:tcW w:w="8240" w:type="dxa"/>
            <w:vAlign w:val="bottom"/>
          </w:tcPr>
          <w:p>
            <w:pPr>
              <w:ind w:left="420"/>
              <w:spacing w:after="0"/>
              <w:rPr>
                <w:sz w:val="20"/>
                <w:szCs w:val="20"/>
                <w:color w:val="auto"/>
              </w:rPr>
            </w:pPr>
            <w:r>
              <w:rPr>
                <w:rFonts w:ascii="Arial" w:cs="Arial" w:eastAsia="Arial" w:hAnsi="Arial"/>
                <w:sz w:val="20"/>
                <w:szCs w:val="20"/>
                <w:color w:val="auto"/>
              </w:rPr>
              <w:t>Organization; Powers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3.02</w:t>
            </w:r>
          </w:p>
        </w:tc>
        <w:tc>
          <w:tcPr>
            <w:tcW w:w="8240" w:type="dxa"/>
            <w:vAlign w:val="bottom"/>
          </w:tcPr>
          <w:p>
            <w:pPr>
              <w:ind w:left="420"/>
              <w:spacing w:after="0"/>
              <w:rPr>
                <w:sz w:val="20"/>
                <w:szCs w:val="20"/>
                <w:color w:val="auto"/>
              </w:rPr>
            </w:pPr>
            <w:r>
              <w:rPr>
                <w:rFonts w:ascii="Arial" w:cs="Arial" w:eastAsia="Arial" w:hAnsi="Arial"/>
                <w:sz w:val="20"/>
                <w:szCs w:val="20"/>
                <w:color w:val="auto"/>
              </w:rPr>
              <w:t>Authorization; Enforceability</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3.03</w:t>
            </w:r>
          </w:p>
        </w:tc>
        <w:tc>
          <w:tcPr>
            <w:tcW w:w="8240" w:type="dxa"/>
            <w:vAlign w:val="bottom"/>
          </w:tcPr>
          <w:p>
            <w:pPr>
              <w:ind w:left="420"/>
              <w:spacing w:after="0"/>
              <w:rPr>
                <w:sz w:val="20"/>
                <w:szCs w:val="20"/>
                <w:color w:val="auto"/>
              </w:rPr>
            </w:pPr>
            <w:r>
              <w:rPr>
                <w:rFonts w:ascii="Arial" w:cs="Arial" w:eastAsia="Arial" w:hAnsi="Arial"/>
                <w:sz w:val="20"/>
                <w:szCs w:val="20"/>
                <w:color w:val="auto"/>
              </w:rPr>
              <w:t>Governmental Approvals; No Conflicts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3.04</w:t>
            </w:r>
          </w:p>
        </w:tc>
        <w:tc>
          <w:tcPr>
            <w:tcW w:w="8240" w:type="dxa"/>
            <w:vAlign w:val="bottom"/>
          </w:tcPr>
          <w:p>
            <w:pPr>
              <w:ind w:left="420"/>
              <w:spacing w:after="0"/>
              <w:rPr>
                <w:sz w:val="20"/>
                <w:szCs w:val="20"/>
                <w:color w:val="auto"/>
              </w:rPr>
            </w:pPr>
            <w:r>
              <w:rPr>
                <w:rFonts w:ascii="Arial" w:cs="Arial" w:eastAsia="Arial" w:hAnsi="Arial"/>
                <w:sz w:val="20"/>
                <w:szCs w:val="20"/>
                <w:color w:val="auto"/>
              </w:rPr>
              <w:t>Financial Condition; No Material Adverse Change</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3.05</w:t>
            </w:r>
          </w:p>
        </w:tc>
        <w:tc>
          <w:tcPr>
            <w:tcW w:w="8240" w:type="dxa"/>
            <w:vAlign w:val="bottom"/>
          </w:tcPr>
          <w:p>
            <w:pPr>
              <w:ind w:left="420"/>
              <w:spacing w:after="0"/>
              <w:rPr>
                <w:sz w:val="20"/>
                <w:szCs w:val="20"/>
                <w:color w:val="auto"/>
              </w:rPr>
            </w:pPr>
            <w:r>
              <w:rPr>
                <w:rFonts w:ascii="Arial" w:cs="Arial" w:eastAsia="Arial" w:hAnsi="Arial"/>
                <w:sz w:val="20"/>
                <w:szCs w:val="20"/>
                <w:color w:val="auto"/>
              </w:rPr>
              <w:t>Properties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3.06</w:t>
            </w:r>
          </w:p>
        </w:tc>
        <w:tc>
          <w:tcPr>
            <w:tcW w:w="8240" w:type="dxa"/>
            <w:vAlign w:val="bottom"/>
          </w:tcPr>
          <w:p>
            <w:pPr>
              <w:ind w:left="420"/>
              <w:spacing w:after="0"/>
              <w:rPr>
                <w:sz w:val="20"/>
                <w:szCs w:val="20"/>
                <w:color w:val="auto"/>
              </w:rPr>
            </w:pPr>
            <w:r>
              <w:rPr>
                <w:rFonts w:ascii="Arial" w:cs="Arial" w:eastAsia="Arial" w:hAnsi="Arial"/>
                <w:sz w:val="20"/>
                <w:szCs w:val="20"/>
                <w:color w:val="auto"/>
              </w:rPr>
              <w:t>Litigation and Environmental Matters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3.07</w:t>
            </w:r>
          </w:p>
        </w:tc>
        <w:tc>
          <w:tcPr>
            <w:tcW w:w="8240" w:type="dxa"/>
            <w:vAlign w:val="bottom"/>
          </w:tcPr>
          <w:p>
            <w:pPr>
              <w:ind w:left="420"/>
              <w:spacing w:after="0"/>
              <w:rPr>
                <w:sz w:val="20"/>
                <w:szCs w:val="20"/>
                <w:color w:val="auto"/>
              </w:rPr>
            </w:pPr>
            <w:r>
              <w:rPr>
                <w:rFonts w:ascii="Arial" w:cs="Arial" w:eastAsia="Arial" w:hAnsi="Arial"/>
                <w:sz w:val="20"/>
                <w:szCs w:val="20"/>
                <w:color w:val="auto"/>
              </w:rPr>
              <w:t>Compliance with Laws and Agreements; No Default</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3.08</w:t>
            </w:r>
          </w:p>
        </w:tc>
        <w:tc>
          <w:tcPr>
            <w:tcW w:w="8240" w:type="dxa"/>
            <w:vAlign w:val="bottom"/>
          </w:tcPr>
          <w:p>
            <w:pPr>
              <w:ind w:left="420"/>
              <w:spacing w:after="0"/>
              <w:rPr>
                <w:sz w:val="20"/>
                <w:szCs w:val="20"/>
                <w:color w:val="auto"/>
              </w:rPr>
            </w:pPr>
            <w:r>
              <w:rPr>
                <w:rFonts w:ascii="Arial" w:cs="Arial" w:eastAsia="Arial" w:hAnsi="Arial"/>
                <w:sz w:val="20"/>
                <w:szCs w:val="20"/>
                <w:color w:val="auto"/>
              </w:rPr>
              <w:t>Investment Company Status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3.09</w:t>
            </w:r>
          </w:p>
        </w:tc>
        <w:tc>
          <w:tcPr>
            <w:tcW w:w="8240" w:type="dxa"/>
            <w:vAlign w:val="bottom"/>
          </w:tcPr>
          <w:p>
            <w:pPr>
              <w:ind w:left="420"/>
              <w:spacing w:after="0"/>
              <w:rPr>
                <w:sz w:val="20"/>
                <w:szCs w:val="20"/>
                <w:color w:val="auto"/>
              </w:rPr>
            </w:pPr>
            <w:r>
              <w:rPr>
                <w:rFonts w:ascii="Arial" w:cs="Arial" w:eastAsia="Arial" w:hAnsi="Arial"/>
                <w:sz w:val="20"/>
                <w:szCs w:val="20"/>
                <w:color w:val="auto"/>
              </w:rPr>
              <w:t>Taxes</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3.10</w:t>
            </w:r>
          </w:p>
        </w:tc>
        <w:tc>
          <w:tcPr>
            <w:tcW w:w="8240" w:type="dxa"/>
            <w:vAlign w:val="bottom"/>
          </w:tcPr>
          <w:p>
            <w:pPr>
              <w:ind w:left="420"/>
              <w:spacing w:after="0"/>
              <w:rPr>
                <w:sz w:val="20"/>
                <w:szCs w:val="20"/>
                <w:color w:val="auto"/>
              </w:rPr>
            </w:pPr>
            <w:r>
              <w:rPr>
                <w:rFonts w:ascii="Arial" w:cs="Arial" w:eastAsia="Arial" w:hAnsi="Arial"/>
                <w:sz w:val="20"/>
                <w:szCs w:val="20"/>
                <w:color w:val="auto"/>
              </w:rPr>
              <w:t>ERISA</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3.11</w:t>
            </w:r>
          </w:p>
        </w:tc>
        <w:tc>
          <w:tcPr>
            <w:tcW w:w="8240" w:type="dxa"/>
            <w:vAlign w:val="bottom"/>
          </w:tcPr>
          <w:p>
            <w:pPr>
              <w:ind w:left="420"/>
              <w:spacing w:after="0"/>
              <w:rPr>
                <w:sz w:val="20"/>
                <w:szCs w:val="20"/>
                <w:color w:val="auto"/>
              </w:rPr>
            </w:pPr>
            <w:r>
              <w:rPr>
                <w:rFonts w:ascii="Arial" w:cs="Arial" w:eastAsia="Arial" w:hAnsi="Arial"/>
                <w:sz w:val="20"/>
                <w:szCs w:val="20"/>
                <w:color w:val="auto"/>
              </w:rPr>
              <w:t>Disclosure</w:t>
            </w:r>
          </w:p>
        </w:tc>
        <w:tc>
          <w:tcPr>
            <w:tcW w:w="1260" w:type="dxa"/>
            <w:vAlign w:val="bottom"/>
          </w:tcPr>
          <w:p>
            <w:pPr>
              <w:jc w:val="center"/>
              <w:ind w:left="961"/>
              <w:spacing w:after="0"/>
              <w:rPr>
                <w:sz w:val="20"/>
                <w:szCs w:val="20"/>
                <w:color w:val="auto"/>
              </w:rPr>
            </w:pPr>
            <w:r>
              <w:rPr>
                <w:rFonts w:ascii="Arial" w:cs="Arial" w:eastAsia="Arial" w:hAnsi="Arial"/>
                <w:sz w:val="20"/>
                <w:szCs w:val="20"/>
                <w:color w:val="auto"/>
                <w:w w:val="89"/>
              </w:rPr>
              <w:t>76</w:t>
            </w:r>
          </w:p>
        </w:tc>
      </w:tr>
    </w:tbl>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i</w:t>
      </w:r>
    </w:p>
    <w:p>
      <w:pPr>
        <w:sectPr>
          <w:pgSz w:w="11900" w:h="16838" w:orient="portrait"/>
          <w:cols w:equalWidth="0" w:num="1">
            <w:col w:w="11140"/>
          </w:cols>
          <w:pgMar w:left="280" w:top="582" w:right="479" w:bottom="673" w:gutter="0" w:footer="0" w:header="0"/>
        </w:sectPr>
      </w:pPr>
    </w:p>
    <w:bookmarkStart w:id="173" w:name="page174"/>
    <w:bookmarkEnd w:id="173"/>
    <w:p>
      <w:pPr>
        <w:jc w:val="center"/>
        <w:ind w:right="-13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640" w:type="dxa"/>
            <w:vAlign w:val="bottom"/>
          </w:tcPr>
          <w:p>
            <w:pPr>
              <w:spacing w:after="0"/>
              <w:rPr>
                <w:sz w:val="20"/>
                <w:szCs w:val="20"/>
                <w:color w:val="auto"/>
              </w:rPr>
            </w:pPr>
            <w:r>
              <w:rPr>
                <w:rFonts w:ascii="Arial" w:cs="Arial" w:eastAsia="Arial" w:hAnsi="Arial"/>
                <w:sz w:val="20"/>
                <w:szCs w:val="20"/>
                <w:color w:val="auto"/>
              </w:rPr>
              <w:t>SECTION 3.12</w:t>
            </w:r>
          </w:p>
        </w:tc>
        <w:tc>
          <w:tcPr>
            <w:tcW w:w="8300" w:type="dxa"/>
            <w:vAlign w:val="bottom"/>
          </w:tcPr>
          <w:p>
            <w:pPr>
              <w:ind w:left="420"/>
              <w:spacing w:after="0"/>
              <w:rPr>
                <w:sz w:val="20"/>
                <w:szCs w:val="20"/>
                <w:color w:val="auto"/>
              </w:rPr>
            </w:pPr>
            <w:r>
              <w:rPr>
                <w:rFonts w:ascii="Arial" w:cs="Arial" w:eastAsia="Arial" w:hAnsi="Arial"/>
                <w:sz w:val="20"/>
                <w:szCs w:val="20"/>
                <w:color w:val="auto"/>
              </w:rPr>
              <w:t>Material Agreements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3.13</w:t>
            </w:r>
          </w:p>
        </w:tc>
        <w:tc>
          <w:tcPr>
            <w:tcW w:w="8300" w:type="dxa"/>
            <w:vAlign w:val="bottom"/>
          </w:tcPr>
          <w:p>
            <w:pPr>
              <w:ind w:left="420"/>
              <w:spacing w:after="0"/>
              <w:rPr>
                <w:sz w:val="20"/>
                <w:szCs w:val="20"/>
                <w:color w:val="auto"/>
              </w:rPr>
            </w:pPr>
            <w:r>
              <w:rPr>
                <w:rFonts w:ascii="Arial" w:cs="Arial" w:eastAsia="Arial" w:hAnsi="Arial"/>
                <w:sz w:val="20"/>
                <w:szCs w:val="20"/>
                <w:color w:val="auto"/>
              </w:rPr>
              <w:t>Federal Reserve Regulations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3.14</w:t>
            </w:r>
          </w:p>
        </w:tc>
        <w:tc>
          <w:tcPr>
            <w:tcW w:w="8300" w:type="dxa"/>
            <w:vAlign w:val="bottom"/>
          </w:tcPr>
          <w:p>
            <w:pPr>
              <w:ind w:left="420"/>
              <w:spacing w:after="0"/>
              <w:rPr>
                <w:sz w:val="20"/>
                <w:szCs w:val="20"/>
                <w:color w:val="auto"/>
              </w:rPr>
            </w:pPr>
            <w:r>
              <w:rPr>
                <w:rFonts w:ascii="Arial" w:cs="Arial" w:eastAsia="Arial" w:hAnsi="Arial"/>
                <w:sz w:val="20"/>
                <w:szCs w:val="20"/>
                <w:color w:val="auto"/>
              </w:rPr>
              <w:t>Liens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3.15</w:t>
            </w:r>
          </w:p>
        </w:tc>
        <w:tc>
          <w:tcPr>
            <w:tcW w:w="8300" w:type="dxa"/>
            <w:vAlign w:val="bottom"/>
          </w:tcPr>
          <w:p>
            <w:pPr>
              <w:ind w:left="420"/>
              <w:spacing w:after="0"/>
              <w:rPr>
                <w:sz w:val="20"/>
                <w:szCs w:val="20"/>
                <w:color w:val="auto"/>
              </w:rPr>
            </w:pPr>
            <w:r>
              <w:rPr>
                <w:rFonts w:ascii="Arial" w:cs="Arial" w:eastAsia="Arial" w:hAnsi="Arial"/>
                <w:sz w:val="20"/>
                <w:szCs w:val="20"/>
                <w:color w:val="auto"/>
              </w:rPr>
              <w:t>Capitalization and Subsidiaries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3.16</w:t>
            </w:r>
          </w:p>
        </w:tc>
        <w:tc>
          <w:tcPr>
            <w:tcW w:w="8300" w:type="dxa"/>
            <w:vAlign w:val="bottom"/>
          </w:tcPr>
          <w:p>
            <w:pPr>
              <w:ind w:left="420"/>
              <w:spacing w:after="0"/>
              <w:rPr>
                <w:sz w:val="20"/>
                <w:szCs w:val="20"/>
                <w:color w:val="auto"/>
              </w:rPr>
            </w:pPr>
            <w:r>
              <w:rPr>
                <w:rFonts w:ascii="Arial" w:cs="Arial" w:eastAsia="Arial" w:hAnsi="Arial"/>
                <w:sz w:val="20"/>
                <w:szCs w:val="20"/>
                <w:color w:val="auto"/>
              </w:rPr>
              <w:t>No Burdensome Restrictions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3.17</w:t>
            </w:r>
          </w:p>
        </w:tc>
        <w:tc>
          <w:tcPr>
            <w:tcW w:w="8300" w:type="dxa"/>
            <w:vAlign w:val="bottom"/>
          </w:tcPr>
          <w:p>
            <w:pPr>
              <w:ind w:left="420"/>
              <w:spacing w:after="0"/>
              <w:rPr>
                <w:sz w:val="20"/>
                <w:szCs w:val="20"/>
                <w:color w:val="auto"/>
              </w:rPr>
            </w:pPr>
            <w:r>
              <w:rPr>
                <w:rFonts w:ascii="Arial" w:cs="Arial" w:eastAsia="Arial" w:hAnsi="Arial"/>
                <w:sz w:val="20"/>
                <w:szCs w:val="20"/>
                <w:color w:val="auto"/>
              </w:rPr>
              <w:t>Solvency</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3.18</w:t>
            </w:r>
          </w:p>
        </w:tc>
        <w:tc>
          <w:tcPr>
            <w:tcW w:w="8300" w:type="dxa"/>
            <w:vAlign w:val="bottom"/>
          </w:tcPr>
          <w:p>
            <w:pPr>
              <w:ind w:left="420"/>
              <w:spacing w:after="0"/>
              <w:rPr>
                <w:sz w:val="20"/>
                <w:szCs w:val="20"/>
                <w:color w:val="auto"/>
              </w:rPr>
            </w:pPr>
            <w:r>
              <w:rPr>
                <w:rFonts w:ascii="Arial" w:cs="Arial" w:eastAsia="Arial" w:hAnsi="Arial"/>
                <w:sz w:val="20"/>
                <w:szCs w:val="20"/>
                <w:color w:val="auto"/>
              </w:rPr>
              <w:t>Insurance</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3.19</w:t>
            </w:r>
          </w:p>
        </w:tc>
        <w:tc>
          <w:tcPr>
            <w:tcW w:w="8300" w:type="dxa"/>
            <w:vAlign w:val="bottom"/>
          </w:tcPr>
          <w:p>
            <w:pPr>
              <w:ind w:left="420"/>
              <w:spacing w:after="0"/>
              <w:rPr>
                <w:sz w:val="20"/>
                <w:szCs w:val="20"/>
                <w:color w:val="auto"/>
              </w:rPr>
            </w:pPr>
            <w:r>
              <w:rPr>
                <w:rFonts w:ascii="Arial" w:cs="Arial" w:eastAsia="Arial" w:hAnsi="Arial"/>
                <w:sz w:val="20"/>
                <w:szCs w:val="20"/>
                <w:color w:val="auto"/>
              </w:rPr>
              <w:t>Security Interest in Collateral</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3.20</w:t>
            </w:r>
          </w:p>
        </w:tc>
        <w:tc>
          <w:tcPr>
            <w:tcW w:w="8300" w:type="dxa"/>
            <w:vAlign w:val="bottom"/>
          </w:tcPr>
          <w:p>
            <w:pPr>
              <w:ind w:left="420"/>
              <w:spacing w:after="0"/>
              <w:rPr>
                <w:sz w:val="20"/>
                <w:szCs w:val="20"/>
                <w:color w:val="auto"/>
              </w:rPr>
            </w:pPr>
            <w:r>
              <w:rPr>
                <w:rFonts w:ascii="Arial" w:cs="Arial" w:eastAsia="Arial" w:hAnsi="Arial"/>
                <w:sz w:val="20"/>
                <w:szCs w:val="20"/>
                <w:color w:val="auto"/>
              </w:rPr>
              <w:t>Employment Matters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3.21</w:t>
            </w:r>
          </w:p>
        </w:tc>
        <w:tc>
          <w:tcPr>
            <w:tcW w:w="8300" w:type="dxa"/>
            <w:vAlign w:val="bottom"/>
          </w:tcPr>
          <w:p>
            <w:pPr>
              <w:ind w:left="420"/>
              <w:spacing w:after="0"/>
              <w:rPr>
                <w:sz w:val="20"/>
                <w:szCs w:val="20"/>
                <w:color w:val="auto"/>
              </w:rPr>
            </w:pPr>
            <w:r>
              <w:rPr>
                <w:rFonts w:ascii="Arial" w:cs="Arial" w:eastAsia="Arial" w:hAnsi="Arial"/>
                <w:sz w:val="20"/>
                <w:szCs w:val="20"/>
                <w:color w:val="auto"/>
              </w:rPr>
              <w:t>Anti-Corruption Laws and Sanctions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78</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3.22</w:t>
            </w:r>
          </w:p>
        </w:tc>
        <w:tc>
          <w:tcPr>
            <w:tcW w:w="8300" w:type="dxa"/>
            <w:vAlign w:val="bottom"/>
          </w:tcPr>
          <w:p>
            <w:pPr>
              <w:ind w:left="420"/>
              <w:spacing w:after="0"/>
              <w:rPr>
                <w:sz w:val="20"/>
                <w:szCs w:val="20"/>
                <w:color w:val="auto"/>
              </w:rPr>
            </w:pPr>
            <w:r>
              <w:rPr>
                <w:rFonts w:ascii="Arial" w:cs="Arial" w:eastAsia="Arial" w:hAnsi="Arial"/>
                <w:sz w:val="20"/>
                <w:szCs w:val="20"/>
                <w:color w:val="auto"/>
              </w:rPr>
              <w:t>EEA Financial Institutions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79</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ARTICLE IV.</w:t>
            </w:r>
          </w:p>
        </w:tc>
        <w:tc>
          <w:tcPr>
            <w:tcW w:w="8300" w:type="dxa"/>
            <w:vAlign w:val="bottom"/>
          </w:tcPr>
          <w:p>
            <w:pPr>
              <w:ind w:left="420"/>
              <w:spacing w:after="0"/>
              <w:rPr>
                <w:sz w:val="20"/>
                <w:szCs w:val="20"/>
                <w:color w:val="auto"/>
              </w:rPr>
            </w:pPr>
            <w:r>
              <w:rPr>
                <w:rFonts w:ascii="Arial" w:cs="Arial" w:eastAsia="Arial" w:hAnsi="Arial"/>
                <w:sz w:val="20"/>
                <w:szCs w:val="20"/>
                <w:color w:val="auto"/>
              </w:rPr>
              <w:t>Conditions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79</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4.01</w:t>
            </w:r>
          </w:p>
        </w:tc>
        <w:tc>
          <w:tcPr>
            <w:tcW w:w="8300" w:type="dxa"/>
            <w:vAlign w:val="bottom"/>
          </w:tcPr>
          <w:p>
            <w:pPr>
              <w:ind w:left="420"/>
              <w:spacing w:after="0"/>
              <w:rPr>
                <w:sz w:val="20"/>
                <w:szCs w:val="20"/>
                <w:color w:val="auto"/>
              </w:rPr>
            </w:pPr>
            <w:r>
              <w:rPr>
                <w:rFonts w:ascii="Arial" w:cs="Arial" w:eastAsia="Arial" w:hAnsi="Arial"/>
                <w:sz w:val="20"/>
                <w:szCs w:val="20"/>
                <w:color w:val="auto"/>
              </w:rPr>
              <w:t>Effective Date</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79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4.02</w:t>
            </w:r>
          </w:p>
        </w:tc>
        <w:tc>
          <w:tcPr>
            <w:tcW w:w="8300" w:type="dxa"/>
            <w:vAlign w:val="bottom"/>
          </w:tcPr>
          <w:p>
            <w:pPr>
              <w:ind w:left="420"/>
              <w:spacing w:after="0"/>
              <w:rPr>
                <w:sz w:val="20"/>
                <w:szCs w:val="20"/>
                <w:color w:val="auto"/>
              </w:rPr>
            </w:pPr>
            <w:r>
              <w:rPr>
                <w:rFonts w:ascii="Arial" w:cs="Arial" w:eastAsia="Arial" w:hAnsi="Arial"/>
                <w:sz w:val="20"/>
                <w:szCs w:val="20"/>
                <w:color w:val="auto"/>
              </w:rPr>
              <w:t>Each Other Credit Event</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80</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ARTICLE V.</w:t>
            </w:r>
          </w:p>
        </w:tc>
        <w:tc>
          <w:tcPr>
            <w:tcW w:w="8300" w:type="dxa"/>
            <w:vAlign w:val="bottom"/>
          </w:tcPr>
          <w:p>
            <w:pPr>
              <w:ind w:left="420"/>
              <w:spacing w:after="0"/>
              <w:rPr>
                <w:sz w:val="20"/>
                <w:szCs w:val="20"/>
                <w:color w:val="auto"/>
              </w:rPr>
            </w:pPr>
            <w:r>
              <w:rPr>
                <w:rFonts w:ascii="Arial" w:cs="Arial" w:eastAsia="Arial" w:hAnsi="Arial"/>
                <w:sz w:val="20"/>
                <w:szCs w:val="20"/>
                <w:color w:val="auto"/>
              </w:rPr>
              <w:t>Affirmative Covenants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81</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5.01</w:t>
            </w:r>
          </w:p>
        </w:tc>
        <w:tc>
          <w:tcPr>
            <w:tcW w:w="8300" w:type="dxa"/>
            <w:vAlign w:val="bottom"/>
          </w:tcPr>
          <w:p>
            <w:pPr>
              <w:ind w:left="420"/>
              <w:spacing w:after="0"/>
              <w:rPr>
                <w:sz w:val="20"/>
                <w:szCs w:val="20"/>
                <w:color w:val="auto"/>
              </w:rPr>
            </w:pPr>
            <w:r>
              <w:rPr>
                <w:rFonts w:ascii="Arial" w:cs="Arial" w:eastAsia="Arial" w:hAnsi="Arial"/>
                <w:sz w:val="20"/>
                <w:szCs w:val="20"/>
                <w:color w:val="auto"/>
              </w:rPr>
              <w:t>Financial Statements; Borrowing Base and Other Information</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81</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5.02</w:t>
            </w:r>
          </w:p>
        </w:tc>
        <w:tc>
          <w:tcPr>
            <w:tcW w:w="8300" w:type="dxa"/>
            <w:vAlign w:val="bottom"/>
          </w:tcPr>
          <w:p>
            <w:pPr>
              <w:ind w:left="420"/>
              <w:spacing w:after="0"/>
              <w:rPr>
                <w:sz w:val="20"/>
                <w:szCs w:val="20"/>
                <w:color w:val="auto"/>
              </w:rPr>
            </w:pPr>
            <w:r>
              <w:rPr>
                <w:rFonts w:ascii="Arial" w:cs="Arial" w:eastAsia="Arial" w:hAnsi="Arial"/>
                <w:sz w:val="20"/>
                <w:szCs w:val="20"/>
                <w:color w:val="auto"/>
              </w:rPr>
              <w:t>Notices of Material Events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84</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5.03</w:t>
            </w:r>
          </w:p>
        </w:tc>
        <w:tc>
          <w:tcPr>
            <w:tcW w:w="8300" w:type="dxa"/>
            <w:vAlign w:val="bottom"/>
          </w:tcPr>
          <w:p>
            <w:pPr>
              <w:ind w:left="420"/>
              <w:spacing w:after="0"/>
              <w:rPr>
                <w:sz w:val="20"/>
                <w:szCs w:val="20"/>
                <w:color w:val="auto"/>
              </w:rPr>
            </w:pPr>
            <w:r>
              <w:rPr>
                <w:rFonts w:ascii="Arial" w:cs="Arial" w:eastAsia="Arial" w:hAnsi="Arial"/>
                <w:sz w:val="20"/>
                <w:szCs w:val="20"/>
                <w:color w:val="auto"/>
              </w:rPr>
              <w:t>Existence; Conduct of Business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5.04</w:t>
            </w:r>
          </w:p>
        </w:tc>
        <w:tc>
          <w:tcPr>
            <w:tcW w:w="8300" w:type="dxa"/>
            <w:vAlign w:val="bottom"/>
          </w:tcPr>
          <w:p>
            <w:pPr>
              <w:ind w:left="420"/>
              <w:spacing w:after="0"/>
              <w:rPr>
                <w:sz w:val="20"/>
                <w:szCs w:val="20"/>
                <w:color w:val="auto"/>
              </w:rPr>
            </w:pPr>
            <w:r>
              <w:rPr>
                <w:rFonts w:ascii="Arial" w:cs="Arial" w:eastAsia="Arial" w:hAnsi="Arial"/>
                <w:sz w:val="20"/>
                <w:szCs w:val="20"/>
                <w:color w:val="auto"/>
              </w:rPr>
              <w:t>Payment of Obligations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5.05</w:t>
            </w:r>
          </w:p>
        </w:tc>
        <w:tc>
          <w:tcPr>
            <w:tcW w:w="8300" w:type="dxa"/>
            <w:vAlign w:val="bottom"/>
          </w:tcPr>
          <w:p>
            <w:pPr>
              <w:ind w:left="420"/>
              <w:spacing w:after="0"/>
              <w:rPr>
                <w:sz w:val="20"/>
                <w:szCs w:val="20"/>
                <w:color w:val="auto"/>
              </w:rPr>
            </w:pPr>
            <w:r>
              <w:rPr>
                <w:rFonts w:ascii="Arial" w:cs="Arial" w:eastAsia="Arial" w:hAnsi="Arial"/>
                <w:sz w:val="20"/>
                <w:szCs w:val="20"/>
                <w:color w:val="auto"/>
              </w:rPr>
              <w:t>Maintenance of Properties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5.06</w:t>
            </w:r>
          </w:p>
        </w:tc>
        <w:tc>
          <w:tcPr>
            <w:tcW w:w="8300" w:type="dxa"/>
            <w:vAlign w:val="bottom"/>
          </w:tcPr>
          <w:p>
            <w:pPr>
              <w:ind w:left="420"/>
              <w:spacing w:after="0"/>
              <w:rPr>
                <w:sz w:val="20"/>
                <w:szCs w:val="20"/>
                <w:color w:val="auto"/>
              </w:rPr>
            </w:pPr>
            <w:r>
              <w:rPr>
                <w:rFonts w:ascii="Arial" w:cs="Arial" w:eastAsia="Arial" w:hAnsi="Arial"/>
                <w:sz w:val="20"/>
                <w:szCs w:val="20"/>
                <w:color w:val="auto"/>
              </w:rPr>
              <w:t>Books and Records; Inspection Rights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5.07</w:t>
            </w:r>
          </w:p>
        </w:tc>
        <w:tc>
          <w:tcPr>
            <w:tcW w:w="8300" w:type="dxa"/>
            <w:vAlign w:val="bottom"/>
          </w:tcPr>
          <w:p>
            <w:pPr>
              <w:ind w:left="420"/>
              <w:spacing w:after="0"/>
              <w:rPr>
                <w:sz w:val="20"/>
                <w:szCs w:val="20"/>
                <w:color w:val="auto"/>
              </w:rPr>
            </w:pPr>
            <w:r>
              <w:rPr>
                <w:rFonts w:ascii="Arial" w:cs="Arial" w:eastAsia="Arial" w:hAnsi="Arial"/>
                <w:sz w:val="20"/>
                <w:szCs w:val="20"/>
                <w:color w:val="auto"/>
              </w:rPr>
              <w:t>Compliance with Laws and Material Contractual Obligations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5.08</w:t>
            </w:r>
          </w:p>
        </w:tc>
        <w:tc>
          <w:tcPr>
            <w:tcW w:w="8300" w:type="dxa"/>
            <w:vAlign w:val="bottom"/>
          </w:tcPr>
          <w:p>
            <w:pPr>
              <w:ind w:left="420"/>
              <w:spacing w:after="0"/>
              <w:rPr>
                <w:sz w:val="20"/>
                <w:szCs w:val="20"/>
                <w:color w:val="auto"/>
              </w:rPr>
            </w:pPr>
            <w:r>
              <w:rPr>
                <w:rFonts w:ascii="Arial" w:cs="Arial" w:eastAsia="Arial" w:hAnsi="Arial"/>
                <w:sz w:val="20"/>
                <w:szCs w:val="20"/>
                <w:color w:val="auto"/>
              </w:rPr>
              <w:t>Use of Proceeds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5.09</w:t>
            </w:r>
          </w:p>
        </w:tc>
        <w:tc>
          <w:tcPr>
            <w:tcW w:w="8300" w:type="dxa"/>
            <w:vAlign w:val="bottom"/>
          </w:tcPr>
          <w:p>
            <w:pPr>
              <w:ind w:left="420"/>
              <w:spacing w:after="0"/>
              <w:rPr>
                <w:sz w:val="20"/>
                <w:szCs w:val="20"/>
                <w:color w:val="auto"/>
              </w:rPr>
            </w:pPr>
            <w:r>
              <w:rPr>
                <w:rFonts w:ascii="Arial" w:cs="Arial" w:eastAsia="Arial" w:hAnsi="Arial"/>
                <w:sz w:val="20"/>
                <w:szCs w:val="20"/>
                <w:color w:val="auto"/>
              </w:rPr>
              <w:t>Insurance</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5.10</w:t>
            </w:r>
          </w:p>
        </w:tc>
        <w:tc>
          <w:tcPr>
            <w:tcW w:w="8300" w:type="dxa"/>
            <w:vAlign w:val="bottom"/>
          </w:tcPr>
          <w:p>
            <w:pPr>
              <w:ind w:left="420"/>
              <w:spacing w:after="0"/>
              <w:rPr>
                <w:sz w:val="20"/>
                <w:szCs w:val="20"/>
                <w:color w:val="auto"/>
              </w:rPr>
            </w:pPr>
            <w:r>
              <w:rPr>
                <w:rFonts w:ascii="Arial" w:cs="Arial" w:eastAsia="Arial" w:hAnsi="Arial"/>
                <w:sz w:val="20"/>
                <w:szCs w:val="20"/>
                <w:color w:val="auto"/>
              </w:rPr>
              <w:t>Casualty and Condemnation</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5.11</w:t>
            </w:r>
          </w:p>
        </w:tc>
        <w:tc>
          <w:tcPr>
            <w:tcW w:w="8300" w:type="dxa"/>
            <w:vAlign w:val="bottom"/>
          </w:tcPr>
          <w:p>
            <w:pPr>
              <w:ind w:left="420"/>
              <w:spacing w:after="0"/>
              <w:rPr>
                <w:sz w:val="20"/>
                <w:szCs w:val="20"/>
                <w:color w:val="auto"/>
              </w:rPr>
            </w:pPr>
            <w:r>
              <w:rPr>
                <w:rFonts w:ascii="Arial" w:cs="Arial" w:eastAsia="Arial" w:hAnsi="Arial"/>
                <w:sz w:val="20"/>
                <w:szCs w:val="20"/>
                <w:color w:val="auto"/>
              </w:rPr>
              <w:t>Appraisals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5.12</w:t>
            </w:r>
          </w:p>
        </w:tc>
        <w:tc>
          <w:tcPr>
            <w:tcW w:w="8300" w:type="dxa"/>
            <w:vAlign w:val="bottom"/>
          </w:tcPr>
          <w:p>
            <w:pPr>
              <w:ind w:left="420"/>
              <w:spacing w:after="0"/>
              <w:rPr>
                <w:sz w:val="20"/>
                <w:szCs w:val="20"/>
                <w:color w:val="auto"/>
              </w:rPr>
            </w:pPr>
            <w:r>
              <w:rPr>
                <w:rFonts w:ascii="Arial" w:cs="Arial" w:eastAsia="Arial" w:hAnsi="Arial"/>
                <w:sz w:val="20"/>
                <w:szCs w:val="20"/>
                <w:color w:val="auto"/>
              </w:rPr>
              <w:t>Field Examinations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5.13</w:t>
            </w:r>
          </w:p>
        </w:tc>
        <w:tc>
          <w:tcPr>
            <w:tcW w:w="8300" w:type="dxa"/>
            <w:vAlign w:val="bottom"/>
          </w:tcPr>
          <w:p>
            <w:pPr>
              <w:ind w:left="420"/>
              <w:spacing w:after="0"/>
              <w:rPr>
                <w:sz w:val="20"/>
                <w:szCs w:val="20"/>
                <w:color w:val="auto"/>
              </w:rPr>
            </w:pPr>
            <w:r>
              <w:rPr>
                <w:rFonts w:ascii="Arial" w:cs="Arial" w:eastAsia="Arial" w:hAnsi="Arial"/>
                <w:sz w:val="20"/>
                <w:szCs w:val="20"/>
                <w:color w:val="auto"/>
              </w:rPr>
              <w:t>Accuracy of Information</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87</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5.14</w:t>
            </w:r>
          </w:p>
        </w:tc>
        <w:tc>
          <w:tcPr>
            <w:tcW w:w="8300" w:type="dxa"/>
            <w:vAlign w:val="bottom"/>
          </w:tcPr>
          <w:p>
            <w:pPr>
              <w:ind w:left="420"/>
              <w:spacing w:after="0"/>
              <w:rPr>
                <w:sz w:val="20"/>
                <w:szCs w:val="20"/>
                <w:color w:val="auto"/>
              </w:rPr>
            </w:pPr>
            <w:r>
              <w:rPr>
                <w:rFonts w:ascii="Arial" w:cs="Arial" w:eastAsia="Arial" w:hAnsi="Arial"/>
                <w:sz w:val="20"/>
                <w:szCs w:val="20"/>
                <w:color w:val="auto"/>
              </w:rPr>
              <w:t>Additional Collateral; Further Assurances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87</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ARTICLE VI.</w:t>
            </w:r>
          </w:p>
        </w:tc>
        <w:tc>
          <w:tcPr>
            <w:tcW w:w="8300" w:type="dxa"/>
            <w:vAlign w:val="bottom"/>
          </w:tcPr>
          <w:p>
            <w:pPr>
              <w:ind w:left="420"/>
              <w:spacing w:after="0"/>
              <w:rPr>
                <w:sz w:val="20"/>
                <w:szCs w:val="20"/>
                <w:color w:val="auto"/>
              </w:rPr>
            </w:pPr>
            <w:r>
              <w:rPr>
                <w:rFonts w:ascii="Arial" w:cs="Arial" w:eastAsia="Arial" w:hAnsi="Arial"/>
                <w:sz w:val="20"/>
                <w:szCs w:val="20"/>
                <w:color w:val="auto"/>
              </w:rPr>
              <w:t>Negative Covenants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89</w:t>
            </w:r>
          </w:p>
        </w:tc>
      </w:tr>
      <w:tr>
        <w:trPr>
          <w:trHeight w:val="567"/>
        </w:trPr>
        <w:tc>
          <w:tcPr>
            <w:tcW w:w="1640" w:type="dxa"/>
            <w:vAlign w:val="bottom"/>
          </w:tcPr>
          <w:p>
            <w:pPr>
              <w:spacing w:after="0"/>
              <w:rPr>
                <w:sz w:val="20"/>
                <w:szCs w:val="20"/>
                <w:color w:val="auto"/>
              </w:rPr>
            </w:pPr>
            <w:r>
              <w:rPr>
                <w:rFonts w:ascii="Arial" w:cs="Arial" w:eastAsia="Arial" w:hAnsi="Arial"/>
                <w:sz w:val="20"/>
                <w:szCs w:val="20"/>
                <w:color w:val="auto"/>
              </w:rPr>
              <w:t>SECTION 6.01</w:t>
            </w:r>
          </w:p>
        </w:tc>
        <w:tc>
          <w:tcPr>
            <w:tcW w:w="8300" w:type="dxa"/>
            <w:vAlign w:val="bottom"/>
          </w:tcPr>
          <w:p>
            <w:pPr>
              <w:ind w:left="420"/>
              <w:spacing w:after="0"/>
              <w:rPr>
                <w:sz w:val="20"/>
                <w:szCs w:val="20"/>
                <w:color w:val="auto"/>
              </w:rPr>
            </w:pPr>
            <w:r>
              <w:rPr>
                <w:rFonts w:ascii="Arial" w:cs="Arial" w:eastAsia="Arial" w:hAnsi="Arial"/>
                <w:sz w:val="20"/>
                <w:szCs w:val="20"/>
                <w:color w:val="auto"/>
              </w:rPr>
              <w:t>Indebtedness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89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6.02</w:t>
            </w:r>
          </w:p>
        </w:tc>
        <w:tc>
          <w:tcPr>
            <w:tcW w:w="8300" w:type="dxa"/>
            <w:vAlign w:val="bottom"/>
          </w:tcPr>
          <w:p>
            <w:pPr>
              <w:ind w:left="420"/>
              <w:spacing w:after="0"/>
              <w:rPr>
                <w:sz w:val="20"/>
                <w:szCs w:val="20"/>
                <w:color w:val="auto"/>
              </w:rPr>
            </w:pPr>
            <w:r>
              <w:rPr>
                <w:rFonts w:ascii="Arial" w:cs="Arial" w:eastAsia="Arial" w:hAnsi="Arial"/>
                <w:sz w:val="20"/>
                <w:szCs w:val="20"/>
                <w:color w:val="auto"/>
              </w:rPr>
              <w:t>Liens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92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6.03</w:t>
            </w:r>
          </w:p>
        </w:tc>
        <w:tc>
          <w:tcPr>
            <w:tcW w:w="8300" w:type="dxa"/>
            <w:vAlign w:val="bottom"/>
          </w:tcPr>
          <w:p>
            <w:pPr>
              <w:ind w:left="420"/>
              <w:spacing w:after="0"/>
              <w:rPr>
                <w:sz w:val="20"/>
                <w:szCs w:val="20"/>
                <w:color w:val="auto"/>
              </w:rPr>
            </w:pPr>
            <w:r>
              <w:rPr>
                <w:rFonts w:ascii="Arial" w:cs="Arial" w:eastAsia="Arial" w:hAnsi="Arial"/>
                <w:sz w:val="20"/>
                <w:szCs w:val="20"/>
                <w:color w:val="auto"/>
              </w:rPr>
              <w:t>Fundamental Changes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95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6.04</w:t>
            </w:r>
          </w:p>
        </w:tc>
        <w:tc>
          <w:tcPr>
            <w:tcW w:w="8300" w:type="dxa"/>
            <w:vAlign w:val="bottom"/>
          </w:tcPr>
          <w:p>
            <w:pPr>
              <w:ind w:left="420"/>
              <w:spacing w:after="0"/>
              <w:rPr>
                <w:sz w:val="20"/>
                <w:szCs w:val="20"/>
                <w:color w:val="auto"/>
              </w:rPr>
            </w:pPr>
            <w:r>
              <w:rPr>
                <w:rFonts w:ascii="Arial" w:cs="Arial" w:eastAsia="Arial" w:hAnsi="Arial"/>
                <w:sz w:val="20"/>
                <w:szCs w:val="20"/>
                <w:color w:val="auto"/>
              </w:rPr>
              <w:t>Investments, Loans, Advances, Guarantees and Acquisitions</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96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6.05</w:t>
            </w:r>
          </w:p>
        </w:tc>
        <w:tc>
          <w:tcPr>
            <w:tcW w:w="8300" w:type="dxa"/>
            <w:vAlign w:val="bottom"/>
          </w:tcPr>
          <w:p>
            <w:pPr>
              <w:ind w:left="420"/>
              <w:spacing w:after="0"/>
              <w:rPr>
                <w:sz w:val="20"/>
                <w:szCs w:val="20"/>
                <w:color w:val="auto"/>
              </w:rPr>
            </w:pPr>
            <w:r>
              <w:rPr>
                <w:rFonts w:ascii="Arial" w:cs="Arial" w:eastAsia="Arial" w:hAnsi="Arial"/>
                <w:sz w:val="20"/>
                <w:szCs w:val="20"/>
                <w:color w:val="auto"/>
              </w:rPr>
              <w:t>Asset Sale</w:t>
            </w:r>
          </w:p>
        </w:tc>
        <w:tc>
          <w:tcPr>
            <w:tcW w:w="1260" w:type="dxa"/>
            <w:vAlign w:val="bottom"/>
          </w:tcPr>
          <w:p>
            <w:pPr>
              <w:jc w:val="center"/>
              <w:ind w:left="841"/>
              <w:spacing w:after="0"/>
              <w:rPr>
                <w:sz w:val="20"/>
                <w:szCs w:val="20"/>
                <w:color w:val="auto"/>
              </w:rPr>
            </w:pPr>
            <w:r>
              <w:rPr>
                <w:rFonts w:ascii="Arial" w:cs="Arial" w:eastAsia="Arial" w:hAnsi="Arial"/>
                <w:sz w:val="20"/>
                <w:szCs w:val="20"/>
                <w:color w:val="auto"/>
                <w:w w:val="89"/>
              </w:rPr>
              <w:t>99</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6.06</w:t>
            </w:r>
          </w:p>
        </w:tc>
        <w:tc>
          <w:tcPr>
            <w:tcW w:w="8300" w:type="dxa"/>
            <w:vAlign w:val="bottom"/>
          </w:tcPr>
          <w:p>
            <w:pPr>
              <w:ind w:left="420"/>
              <w:spacing w:after="0"/>
              <w:rPr>
                <w:sz w:val="20"/>
                <w:szCs w:val="20"/>
                <w:color w:val="auto"/>
              </w:rPr>
            </w:pPr>
            <w:r>
              <w:rPr>
                <w:rFonts w:ascii="Arial" w:cs="Arial" w:eastAsia="Arial" w:hAnsi="Arial"/>
                <w:sz w:val="20"/>
                <w:szCs w:val="20"/>
                <w:color w:val="auto"/>
              </w:rPr>
              <w:t>Sale and Leaseback Transactions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6.07</w:t>
            </w:r>
          </w:p>
        </w:tc>
        <w:tc>
          <w:tcPr>
            <w:tcW w:w="8300" w:type="dxa"/>
            <w:vAlign w:val="bottom"/>
          </w:tcPr>
          <w:p>
            <w:pPr>
              <w:ind w:left="420"/>
              <w:spacing w:after="0"/>
              <w:rPr>
                <w:sz w:val="20"/>
                <w:szCs w:val="20"/>
                <w:color w:val="auto"/>
              </w:rPr>
            </w:pPr>
            <w:r>
              <w:rPr>
                <w:rFonts w:ascii="Arial" w:cs="Arial" w:eastAsia="Arial" w:hAnsi="Arial"/>
                <w:sz w:val="20"/>
                <w:szCs w:val="20"/>
                <w:color w:val="auto"/>
              </w:rPr>
              <w:t>Swap Agreements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6.08</w:t>
            </w:r>
          </w:p>
        </w:tc>
        <w:tc>
          <w:tcPr>
            <w:tcW w:w="8300" w:type="dxa"/>
            <w:vAlign w:val="bottom"/>
          </w:tcPr>
          <w:p>
            <w:pPr>
              <w:ind w:left="420"/>
              <w:spacing w:after="0"/>
              <w:rPr>
                <w:sz w:val="20"/>
                <w:szCs w:val="20"/>
                <w:color w:val="auto"/>
              </w:rPr>
            </w:pPr>
            <w:r>
              <w:rPr>
                <w:rFonts w:ascii="Arial" w:cs="Arial" w:eastAsia="Arial" w:hAnsi="Arial"/>
                <w:sz w:val="20"/>
                <w:szCs w:val="20"/>
                <w:color w:val="auto"/>
              </w:rPr>
              <w:t>Transactions with Affiliates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102</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6.09</w:t>
            </w:r>
          </w:p>
        </w:tc>
        <w:tc>
          <w:tcPr>
            <w:tcW w:w="8300" w:type="dxa"/>
            <w:vAlign w:val="bottom"/>
          </w:tcPr>
          <w:p>
            <w:pPr>
              <w:ind w:left="420"/>
              <w:spacing w:after="0"/>
              <w:rPr>
                <w:sz w:val="20"/>
                <w:szCs w:val="20"/>
                <w:color w:val="auto"/>
              </w:rPr>
            </w:pPr>
            <w:r>
              <w:rPr>
                <w:rFonts w:ascii="Arial" w:cs="Arial" w:eastAsia="Arial" w:hAnsi="Arial"/>
                <w:sz w:val="20"/>
                <w:szCs w:val="20"/>
                <w:color w:val="auto"/>
              </w:rPr>
              <w:t>Restricted Payments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103</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6.10</w:t>
            </w:r>
          </w:p>
        </w:tc>
        <w:tc>
          <w:tcPr>
            <w:tcW w:w="8300" w:type="dxa"/>
            <w:vAlign w:val="bottom"/>
          </w:tcPr>
          <w:p>
            <w:pPr>
              <w:ind w:left="420"/>
              <w:spacing w:after="0"/>
              <w:rPr>
                <w:sz w:val="20"/>
                <w:szCs w:val="20"/>
                <w:color w:val="auto"/>
              </w:rPr>
            </w:pPr>
            <w:r>
              <w:rPr>
                <w:rFonts w:ascii="Arial" w:cs="Arial" w:eastAsia="Arial" w:hAnsi="Arial"/>
                <w:sz w:val="20"/>
                <w:szCs w:val="20"/>
                <w:color w:val="auto"/>
                <w:w w:val="99"/>
              </w:rPr>
              <w:t>Subordinated Indebtedness and Amendments to Subordinated Indebtedness Documents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105</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6.11</w:t>
            </w:r>
          </w:p>
        </w:tc>
        <w:tc>
          <w:tcPr>
            <w:tcW w:w="8300" w:type="dxa"/>
            <w:vAlign w:val="bottom"/>
          </w:tcPr>
          <w:p>
            <w:pPr>
              <w:ind w:left="420"/>
              <w:spacing w:after="0"/>
              <w:rPr>
                <w:sz w:val="20"/>
                <w:szCs w:val="20"/>
                <w:color w:val="auto"/>
              </w:rPr>
            </w:pPr>
            <w:r>
              <w:rPr>
                <w:rFonts w:ascii="Arial" w:cs="Arial" w:eastAsia="Arial" w:hAnsi="Arial"/>
                <w:sz w:val="20"/>
                <w:szCs w:val="20"/>
                <w:color w:val="auto"/>
              </w:rPr>
              <w:t>Restrictive Agreements</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106</w:t>
            </w:r>
          </w:p>
        </w:tc>
      </w:tr>
      <w:tr>
        <w:trPr>
          <w:trHeight w:val="284"/>
        </w:trPr>
        <w:tc>
          <w:tcPr>
            <w:tcW w:w="1640" w:type="dxa"/>
            <w:vAlign w:val="bottom"/>
          </w:tcPr>
          <w:p>
            <w:pPr>
              <w:spacing w:after="0"/>
              <w:rPr>
                <w:sz w:val="20"/>
                <w:szCs w:val="20"/>
                <w:color w:val="auto"/>
              </w:rPr>
            </w:pPr>
            <w:r>
              <w:rPr>
                <w:rFonts w:ascii="Arial" w:cs="Arial" w:eastAsia="Arial" w:hAnsi="Arial"/>
                <w:sz w:val="20"/>
                <w:szCs w:val="20"/>
                <w:color w:val="auto"/>
              </w:rPr>
              <w:t>SECTION 6.12</w:t>
            </w:r>
          </w:p>
        </w:tc>
        <w:tc>
          <w:tcPr>
            <w:tcW w:w="8300" w:type="dxa"/>
            <w:vAlign w:val="bottom"/>
          </w:tcPr>
          <w:p>
            <w:pPr>
              <w:ind w:left="420"/>
              <w:spacing w:after="0"/>
              <w:rPr>
                <w:sz w:val="20"/>
                <w:szCs w:val="20"/>
                <w:color w:val="auto"/>
              </w:rPr>
            </w:pPr>
            <w:r>
              <w:rPr>
                <w:rFonts w:ascii="Arial" w:cs="Arial" w:eastAsia="Arial" w:hAnsi="Arial"/>
                <w:sz w:val="20"/>
                <w:szCs w:val="20"/>
                <w:color w:val="auto"/>
              </w:rPr>
              <w:t>Fixed Charge Coverage Ratio</w:t>
            </w:r>
          </w:p>
        </w:tc>
        <w:tc>
          <w:tcPr>
            <w:tcW w:w="1260" w:type="dxa"/>
            <w:vAlign w:val="bottom"/>
          </w:tcPr>
          <w:p>
            <w:pPr>
              <w:jc w:val="center"/>
              <w:ind w:left="861"/>
              <w:spacing w:after="0"/>
              <w:rPr>
                <w:sz w:val="20"/>
                <w:szCs w:val="20"/>
                <w:color w:val="auto"/>
              </w:rPr>
            </w:pPr>
            <w:r>
              <w:rPr>
                <w:rFonts w:ascii="Arial" w:cs="Arial" w:eastAsia="Arial" w:hAnsi="Arial"/>
                <w:sz w:val="20"/>
                <w:szCs w:val="20"/>
                <w:color w:val="auto"/>
                <w:w w:val="89"/>
              </w:rPr>
              <w:t>108</w:t>
            </w:r>
          </w:p>
        </w:tc>
      </w:tr>
    </w:tbl>
    <w:p>
      <w:pPr>
        <w:spacing w:after="0" w:line="249"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ii</w:t>
      </w:r>
    </w:p>
    <w:p>
      <w:pPr>
        <w:sectPr>
          <w:pgSz w:w="11900" w:h="16838" w:orient="portrait"/>
          <w:cols w:equalWidth="0" w:num="1">
            <w:col w:w="11200"/>
          </w:cols>
          <w:pgMar w:left="280" w:top="582" w:right="419" w:bottom="552" w:gutter="0" w:footer="0" w:header="0"/>
        </w:sectPr>
      </w:pPr>
    </w:p>
    <w:bookmarkStart w:id="174" w:name="page175"/>
    <w:bookmarkEnd w:id="174"/>
    <w:p>
      <w:pPr>
        <w:jc w:val="center"/>
        <w:ind w:right="-139"/>
        <w:spacing w:after="0"/>
        <w:rPr>
          <w:sz w:val="20"/>
          <w:szCs w:val="20"/>
          <w:color w:val="auto"/>
        </w:rPr>
      </w:pPr>
      <w:r>
        <w:rPr>
          <w:rFonts w:ascii="Arial" w:cs="Arial" w:eastAsia="Arial" w:hAnsi="Arial"/>
          <w:sz w:val="20"/>
          <w:szCs w:val="20"/>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00" w:type="dxa"/>
            <w:vAlign w:val="bottom"/>
          </w:tcPr>
          <w:p>
            <w:pPr>
              <w:spacing w:after="0"/>
              <w:rPr>
                <w:sz w:val="20"/>
                <w:szCs w:val="20"/>
                <w:color w:val="auto"/>
              </w:rPr>
            </w:pPr>
            <w:r>
              <w:rPr>
                <w:rFonts w:ascii="Arial" w:cs="Arial" w:eastAsia="Arial" w:hAnsi="Arial"/>
                <w:sz w:val="20"/>
                <w:szCs w:val="20"/>
                <w:color w:val="auto"/>
              </w:rPr>
              <w:t>SECTION 6.13</w:t>
            </w:r>
          </w:p>
        </w:tc>
        <w:tc>
          <w:tcPr>
            <w:tcW w:w="7640" w:type="dxa"/>
            <w:vAlign w:val="bottom"/>
          </w:tcPr>
          <w:p>
            <w:pPr>
              <w:ind w:left="360"/>
              <w:spacing w:after="0"/>
              <w:rPr>
                <w:sz w:val="20"/>
                <w:szCs w:val="20"/>
                <w:color w:val="auto"/>
              </w:rPr>
            </w:pPr>
            <w:r>
              <w:rPr>
                <w:rFonts w:ascii="Arial" w:cs="Arial" w:eastAsia="Arial" w:hAnsi="Arial"/>
                <w:sz w:val="20"/>
                <w:szCs w:val="20"/>
                <w:color w:val="auto"/>
              </w:rPr>
              <w:t>Required Swap Agreements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108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6.14</w:t>
            </w:r>
          </w:p>
        </w:tc>
        <w:tc>
          <w:tcPr>
            <w:tcW w:w="7640" w:type="dxa"/>
            <w:vAlign w:val="bottom"/>
          </w:tcPr>
          <w:p>
            <w:pPr>
              <w:ind w:left="360"/>
              <w:spacing w:after="0"/>
              <w:rPr>
                <w:sz w:val="20"/>
                <w:szCs w:val="20"/>
                <w:color w:val="auto"/>
              </w:rPr>
            </w:pPr>
            <w:r>
              <w:rPr>
                <w:rFonts w:ascii="Arial" w:cs="Arial" w:eastAsia="Arial" w:hAnsi="Arial"/>
                <w:sz w:val="20"/>
                <w:szCs w:val="20"/>
                <w:color w:val="auto"/>
              </w:rPr>
              <w:t>Depository Banks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108</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ARTICLE VII.</w:t>
            </w:r>
          </w:p>
        </w:tc>
        <w:tc>
          <w:tcPr>
            <w:tcW w:w="7640" w:type="dxa"/>
            <w:vAlign w:val="bottom"/>
          </w:tcPr>
          <w:p>
            <w:pPr>
              <w:ind w:left="360"/>
              <w:spacing w:after="0"/>
              <w:rPr>
                <w:sz w:val="20"/>
                <w:szCs w:val="20"/>
                <w:color w:val="auto"/>
              </w:rPr>
            </w:pPr>
            <w:r>
              <w:rPr>
                <w:rFonts w:ascii="Arial" w:cs="Arial" w:eastAsia="Arial" w:hAnsi="Arial"/>
                <w:sz w:val="20"/>
                <w:szCs w:val="20"/>
                <w:color w:val="auto"/>
              </w:rPr>
              <w:t>Events of Default</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108</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ARTICLE VIII.</w:t>
            </w:r>
          </w:p>
        </w:tc>
        <w:tc>
          <w:tcPr>
            <w:tcW w:w="7640" w:type="dxa"/>
            <w:vAlign w:val="bottom"/>
          </w:tcPr>
          <w:p>
            <w:pPr>
              <w:ind w:left="360"/>
              <w:spacing w:after="0"/>
              <w:rPr>
                <w:sz w:val="20"/>
                <w:szCs w:val="20"/>
                <w:color w:val="auto"/>
              </w:rPr>
            </w:pPr>
            <w:r>
              <w:rPr>
                <w:rFonts w:ascii="Arial" w:cs="Arial" w:eastAsia="Arial" w:hAnsi="Arial"/>
                <w:sz w:val="20"/>
                <w:szCs w:val="20"/>
                <w:color w:val="auto"/>
              </w:rPr>
              <w:t>The Administrative Agent</w:t>
            </w:r>
          </w:p>
        </w:tc>
        <w:tc>
          <w:tcPr>
            <w:tcW w:w="1860" w:type="dxa"/>
            <w:vAlign w:val="bottom"/>
          </w:tcPr>
          <w:p>
            <w:pPr>
              <w:jc w:val="center"/>
              <w:ind w:left="1441"/>
              <w:spacing w:after="0"/>
              <w:rPr>
                <w:sz w:val="20"/>
                <w:szCs w:val="20"/>
                <w:color w:val="auto"/>
              </w:rPr>
            </w:pPr>
            <w:r>
              <w:rPr>
                <w:rFonts w:ascii="Arial" w:cs="Arial" w:eastAsia="Arial" w:hAnsi="Arial"/>
                <w:sz w:val="20"/>
                <w:szCs w:val="20"/>
                <w:color w:val="auto"/>
                <w:w w:val="83"/>
              </w:rPr>
              <w:t>111</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ARTICLE IX.</w:t>
            </w:r>
          </w:p>
        </w:tc>
        <w:tc>
          <w:tcPr>
            <w:tcW w:w="7640" w:type="dxa"/>
            <w:vAlign w:val="bottom"/>
          </w:tcPr>
          <w:p>
            <w:pPr>
              <w:ind w:left="360"/>
              <w:spacing w:after="0"/>
              <w:rPr>
                <w:sz w:val="20"/>
                <w:szCs w:val="20"/>
                <w:color w:val="auto"/>
              </w:rPr>
            </w:pPr>
            <w:r>
              <w:rPr>
                <w:rFonts w:ascii="Arial" w:cs="Arial" w:eastAsia="Arial" w:hAnsi="Arial"/>
                <w:sz w:val="20"/>
                <w:szCs w:val="20"/>
                <w:color w:val="auto"/>
              </w:rPr>
              <w:t>Miscellaneous</w:t>
            </w:r>
          </w:p>
        </w:tc>
        <w:tc>
          <w:tcPr>
            <w:tcW w:w="1860" w:type="dxa"/>
            <w:vAlign w:val="bottom"/>
          </w:tcPr>
          <w:p>
            <w:pPr>
              <w:jc w:val="center"/>
              <w:ind w:left="1441"/>
              <w:spacing w:after="0"/>
              <w:rPr>
                <w:sz w:val="20"/>
                <w:szCs w:val="20"/>
                <w:color w:val="auto"/>
              </w:rPr>
            </w:pPr>
            <w:r>
              <w:rPr>
                <w:rFonts w:ascii="Arial" w:cs="Arial" w:eastAsia="Arial" w:hAnsi="Arial"/>
                <w:sz w:val="20"/>
                <w:szCs w:val="20"/>
                <w:color w:val="auto"/>
                <w:w w:val="83"/>
              </w:rPr>
              <w:t>117</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SECTION 9.01</w:t>
            </w:r>
          </w:p>
        </w:tc>
        <w:tc>
          <w:tcPr>
            <w:tcW w:w="7640" w:type="dxa"/>
            <w:vAlign w:val="bottom"/>
          </w:tcPr>
          <w:p>
            <w:pPr>
              <w:ind w:left="360"/>
              <w:spacing w:after="0"/>
              <w:rPr>
                <w:sz w:val="20"/>
                <w:szCs w:val="20"/>
                <w:color w:val="auto"/>
              </w:rPr>
            </w:pPr>
            <w:r>
              <w:rPr>
                <w:rFonts w:ascii="Arial" w:cs="Arial" w:eastAsia="Arial" w:hAnsi="Arial"/>
                <w:sz w:val="20"/>
                <w:szCs w:val="20"/>
                <w:color w:val="auto"/>
              </w:rPr>
              <w:t>Notices</w:t>
            </w:r>
          </w:p>
        </w:tc>
        <w:tc>
          <w:tcPr>
            <w:tcW w:w="1860" w:type="dxa"/>
            <w:vAlign w:val="bottom"/>
          </w:tcPr>
          <w:p>
            <w:pPr>
              <w:jc w:val="center"/>
              <w:ind w:left="1441"/>
              <w:spacing w:after="0"/>
              <w:rPr>
                <w:sz w:val="20"/>
                <w:szCs w:val="20"/>
                <w:color w:val="auto"/>
              </w:rPr>
            </w:pPr>
            <w:r>
              <w:rPr>
                <w:rFonts w:ascii="Arial" w:cs="Arial" w:eastAsia="Arial" w:hAnsi="Arial"/>
                <w:sz w:val="20"/>
                <w:szCs w:val="20"/>
                <w:color w:val="auto"/>
                <w:w w:val="83"/>
              </w:rPr>
              <w:t>117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9.02</w:t>
            </w:r>
          </w:p>
        </w:tc>
        <w:tc>
          <w:tcPr>
            <w:tcW w:w="7640" w:type="dxa"/>
            <w:vAlign w:val="bottom"/>
          </w:tcPr>
          <w:p>
            <w:pPr>
              <w:ind w:left="360"/>
              <w:spacing w:after="0"/>
              <w:rPr>
                <w:sz w:val="20"/>
                <w:szCs w:val="20"/>
                <w:color w:val="auto"/>
              </w:rPr>
            </w:pPr>
            <w:r>
              <w:rPr>
                <w:rFonts w:ascii="Arial" w:cs="Arial" w:eastAsia="Arial" w:hAnsi="Arial"/>
                <w:sz w:val="20"/>
                <w:szCs w:val="20"/>
                <w:color w:val="auto"/>
              </w:rPr>
              <w:t>Waivers; Amendments</w:t>
            </w:r>
          </w:p>
        </w:tc>
        <w:tc>
          <w:tcPr>
            <w:tcW w:w="1860" w:type="dxa"/>
            <w:vAlign w:val="bottom"/>
          </w:tcPr>
          <w:p>
            <w:pPr>
              <w:jc w:val="center"/>
              <w:ind w:left="1441"/>
              <w:spacing w:after="0"/>
              <w:rPr>
                <w:sz w:val="20"/>
                <w:szCs w:val="20"/>
                <w:color w:val="auto"/>
              </w:rPr>
            </w:pPr>
            <w:r>
              <w:rPr>
                <w:rFonts w:ascii="Arial" w:cs="Arial" w:eastAsia="Arial" w:hAnsi="Arial"/>
                <w:sz w:val="20"/>
                <w:szCs w:val="20"/>
                <w:color w:val="auto"/>
                <w:w w:val="83"/>
              </w:rPr>
              <w:t>119</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9.03</w:t>
            </w:r>
          </w:p>
        </w:tc>
        <w:tc>
          <w:tcPr>
            <w:tcW w:w="7640" w:type="dxa"/>
            <w:vAlign w:val="bottom"/>
          </w:tcPr>
          <w:p>
            <w:pPr>
              <w:ind w:left="360"/>
              <w:spacing w:after="0"/>
              <w:rPr>
                <w:sz w:val="20"/>
                <w:szCs w:val="20"/>
                <w:color w:val="auto"/>
              </w:rPr>
            </w:pPr>
            <w:r>
              <w:rPr>
                <w:rFonts w:ascii="Arial" w:cs="Arial" w:eastAsia="Arial" w:hAnsi="Arial"/>
                <w:sz w:val="20"/>
                <w:szCs w:val="20"/>
                <w:color w:val="auto"/>
              </w:rPr>
              <w:t>Expenses; Indemnity; Damage Waiver</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122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9.04</w:t>
            </w:r>
          </w:p>
        </w:tc>
        <w:tc>
          <w:tcPr>
            <w:tcW w:w="7640" w:type="dxa"/>
            <w:vAlign w:val="bottom"/>
          </w:tcPr>
          <w:p>
            <w:pPr>
              <w:ind w:left="360"/>
              <w:spacing w:after="0"/>
              <w:rPr>
                <w:sz w:val="20"/>
                <w:szCs w:val="20"/>
                <w:color w:val="auto"/>
              </w:rPr>
            </w:pPr>
            <w:r>
              <w:rPr>
                <w:rFonts w:ascii="Arial" w:cs="Arial" w:eastAsia="Arial" w:hAnsi="Arial"/>
                <w:sz w:val="20"/>
                <w:szCs w:val="20"/>
                <w:color w:val="auto"/>
              </w:rPr>
              <w:t>Successors and Assigns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124</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9.05</w:t>
            </w:r>
          </w:p>
        </w:tc>
        <w:tc>
          <w:tcPr>
            <w:tcW w:w="7640" w:type="dxa"/>
            <w:vAlign w:val="bottom"/>
          </w:tcPr>
          <w:p>
            <w:pPr>
              <w:ind w:left="360"/>
              <w:spacing w:after="0"/>
              <w:rPr>
                <w:sz w:val="20"/>
                <w:szCs w:val="20"/>
                <w:color w:val="auto"/>
              </w:rPr>
            </w:pPr>
            <w:r>
              <w:rPr>
                <w:rFonts w:ascii="Arial" w:cs="Arial" w:eastAsia="Arial" w:hAnsi="Arial"/>
                <w:sz w:val="20"/>
                <w:szCs w:val="20"/>
                <w:color w:val="auto"/>
              </w:rPr>
              <w:t>Survival</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129</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9.06</w:t>
            </w:r>
          </w:p>
        </w:tc>
        <w:tc>
          <w:tcPr>
            <w:tcW w:w="7640" w:type="dxa"/>
            <w:vAlign w:val="bottom"/>
          </w:tcPr>
          <w:p>
            <w:pPr>
              <w:ind w:left="360"/>
              <w:spacing w:after="0"/>
              <w:rPr>
                <w:sz w:val="20"/>
                <w:szCs w:val="20"/>
                <w:color w:val="auto"/>
              </w:rPr>
            </w:pPr>
            <w:r>
              <w:rPr>
                <w:rFonts w:ascii="Arial" w:cs="Arial" w:eastAsia="Arial" w:hAnsi="Arial"/>
                <w:sz w:val="20"/>
                <w:szCs w:val="20"/>
                <w:color w:val="auto"/>
              </w:rPr>
              <w:t>Counterparts; Integration; Effectiveness; Electronic Execution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129</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9.07</w:t>
            </w:r>
          </w:p>
        </w:tc>
        <w:tc>
          <w:tcPr>
            <w:tcW w:w="7640" w:type="dxa"/>
            <w:vAlign w:val="bottom"/>
          </w:tcPr>
          <w:p>
            <w:pPr>
              <w:ind w:left="360"/>
              <w:spacing w:after="0"/>
              <w:rPr>
                <w:sz w:val="20"/>
                <w:szCs w:val="20"/>
                <w:color w:val="auto"/>
              </w:rPr>
            </w:pPr>
            <w:r>
              <w:rPr>
                <w:rFonts w:ascii="Arial" w:cs="Arial" w:eastAsia="Arial" w:hAnsi="Arial"/>
                <w:sz w:val="20"/>
                <w:szCs w:val="20"/>
                <w:color w:val="auto"/>
              </w:rPr>
              <w:t>Severability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129</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9.08</w:t>
            </w:r>
          </w:p>
        </w:tc>
        <w:tc>
          <w:tcPr>
            <w:tcW w:w="7640" w:type="dxa"/>
            <w:vAlign w:val="bottom"/>
          </w:tcPr>
          <w:p>
            <w:pPr>
              <w:ind w:left="360"/>
              <w:spacing w:after="0"/>
              <w:rPr>
                <w:sz w:val="20"/>
                <w:szCs w:val="20"/>
                <w:color w:val="auto"/>
              </w:rPr>
            </w:pPr>
            <w:r>
              <w:rPr>
                <w:rFonts w:ascii="Arial" w:cs="Arial" w:eastAsia="Arial" w:hAnsi="Arial"/>
                <w:sz w:val="20"/>
                <w:szCs w:val="20"/>
                <w:color w:val="auto"/>
              </w:rPr>
              <w:t>Right of Setoff</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130</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9.09</w:t>
            </w:r>
          </w:p>
        </w:tc>
        <w:tc>
          <w:tcPr>
            <w:tcW w:w="7640" w:type="dxa"/>
            <w:vAlign w:val="bottom"/>
          </w:tcPr>
          <w:p>
            <w:pPr>
              <w:ind w:left="360"/>
              <w:spacing w:after="0"/>
              <w:rPr>
                <w:sz w:val="20"/>
                <w:szCs w:val="20"/>
                <w:color w:val="auto"/>
              </w:rPr>
            </w:pPr>
            <w:r>
              <w:rPr>
                <w:rFonts w:ascii="Arial" w:cs="Arial" w:eastAsia="Arial" w:hAnsi="Arial"/>
                <w:sz w:val="20"/>
                <w:szCs w:val="20"/>
                <w:color w:val="auto"/>
              </w:rPr>
              <w:t>Governing Law; Jurisdiction; Consent to Service of Process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130</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9.10</w:t>
            </w:r>
          </w:p>
        </w:tc>
        <w:tc>
          <w:tcPr>
            <w:tcW w:w="7640" w:type="dxa"/>
            <w:vAlign w:val="bottom"/>
          </w:tcPr>
          <w:p>
            <w:pPr>
              <w:ind w:left="360"/>
              <w:spacing w:after="0"/>
              <w:rPr>
                <w:sz w:val="20"/>
                <w:szCs w:val="20"/>
                <w:color w:val="auto"/>
              </w:rPr>
            </w:pPr>
            <w:r>
              <w:rPr>
                <w:rFonts w:ascii="Arial" w:cs="Arial" w:eastAsia="Arial" w:hAnsi="Arial"/>
                <w:sz w:val="20"/>
                <w:szCs w:val="20"/>
                <w:color w:val="auto"/>
              </w:rPr>
              <w:t>WAIVER OF JURY TRIAL</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130</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9.11</w:t>
            </w:r>
          </w:p>
        </w:tc>
        <w:tc>
          <w:tcPr>
            <w:tcW w:w="7640" w:type="dxa"/>
            <w:vAlign w:val="bottom"/>
          </w:tcPr>
          <w:p>
            <w:pPr>
              <w:ind w:left="360"/>
              <w:spacing w:after="0"/>
              <w:rPr>
                <w:sz w:val="20"/>
                <w:szCs w:val="20"/>
                <w:color w:val="auto"/>
              </w:rPr>
            </w:pPr>
            <w:r>
              <w:rPr>
                <w:rFonts w:ascii="Arial" w:cs="Arial" w:eastAsia="Arial" w:hAnsi="Arial"/>
                <w:sz w:val="20"/>
                <w:szCs w:val="20"/>
                <w:color w:val="auto"/>
              </w:rPr>
              <w:t>Headings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131</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9.12</w:t>
            </w:r>
          </w:p>
        </w:tc>
        <w:tc>
          <w:tcPr>
            <w:tcW w:w="7640" w:type="dxa"/>
            <w:vAlign w:val="bottom"/>
          </w:tcPr>
          <w:p>
            <w:pPr>
              <w:ind w:left="360"/>
              <w:spacing w:after="0"/>
              <w:rPr>
                <w:sz w:val="20"/>
                <w:szCs w:val="20"/>
                <w:color w:val="auto"/>
              </w:rPr>
            </w:pPr>
            <w:r>
              <w:rPr>
                <w:rFonts w:ascii="Arial" w:cs="Arial" w:eastAsia="Arial" w:hAnsi="Arial"/>
                <w:sz w:val="20"/>
                <w:szCs w:val="20"/>
                <w:color w:val="auto"/>
              </w:rPr>
              <w:t>Confidentiality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131</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9.13</w:t>
            </w:r>
          </w:p>
        </w:tc>
        <w:tc>
          <w:tcPr>
            <w:tcW w:w="7640" w:type="dxa"/>
            <w:vAlign w:val="bottom"/>
          </w:tcPr>
          <w:p>
            <w:pPr>
              <w:ind w:left="360"/>
              <w:spacing w:after="0"/>
              <w:rPr>
                <w:sz w:val="20"/>
                <w:szCs w:val="20"/>
                <w:color w:val="auto"/>
              </w:rPr>
            </w:pPr>
            <w:r>
              <w:rPr>
                <w:rFonts w:ascii="Arial" w:cs="Arial" w:eastAsia="Arial" w:hAnsi="Arial"/>
                <w:sz w:val="20"/>
                <w:szCs w:val="20"/>
                <w:color w:val="auto"/>
              </w:rPr>
              <w:t>USA PATRIOT Act</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9.14</w:t>
            </w:r>
          </w:p>
        </w:tc>
        <w:tc>
          <w:tcPr>
            <w:tcW w:w="7640" w:type="dxa"/>
            <w:vAlign w:val="bottom"/>
          </w:tcPr>
          <w:p>
            <w:pPr>
              <w:ind w:left="360"/>
              <w:spacing w:after="0"/>
              <w:rPr>
                <w:sz w:val="20"/>
                <w:szCs w:val="20"/>
                <w:color w:val="auto"/>
              </w:rPr>
            </w:pPr>
            <w:r>
              <w:rPr>
                <w:rFonts w:ascii="Arial" w:cs="Arial" w:eastAsia="Arial" w:hAnsi="Arial"/>
                <w:sz w:val="20"/>
                <w:szCs w:val="20"/>
                <w:color w:val="auto"/>
              </w:rPr>
              <w:t>Several Obligations; Nonreliance; Violation of Law</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9.15</w:t>
            </w:r>
          </w:p>
        </w:tc>
        <w:tc>
          <w:tcPr>
            <w:tcW w:w="7640" w:type="dxa"/>
            <w:vAlign w:val="bottom"/>
          </w:tcPr>
          <w:p>
            <w:pPr>
              <w:ind w:left="360"/>
              <w:spacing w:after="0"/>
              <w:rPr>
                <w:sz w:val="20"/>
                <w:szCs w:val="20"/>
                <w:color w:val="auto"/>
              </w:rPr>
            </w:pPr>
            <w:r>
              <w:rPr>
                <w:rFonts w:ascii="Arial" w:cs="Arial" w:eastAsia="Arial" w:hAnsi="Arial"/>
                <w:sz w:val="20"/>
                <w:szCs w:val="20"/>
                <w:color w:val="auto"/>
              </w:rPr>
              <w:t>Disclosure</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9.16</w:t>
            </w:r>
          </w:p>
        </w:tc>
        <w:tc>
          <w:tcPr>
            <w:tcW w:w="7640" w:type="dxa"/>
            <w:vAlign w:val="bottom"/>
          </w:tcPr>
          <w:p>
            <w:pPr>
              <w:ind w:left="360"/>
              <w:spacing w:after="0"/>
              <w:rPr>
                <w:sz w:val="20"/>
                <w:szCs w:val="20"/>
                <w:color w:val="auto"/>
              </w:rPr>
            </w:pPr>
            <w:r>
              <w:rPr>
                <w:rFonts w:ascii="Arial" w:cs="Arial" w:eastAsia="Arial" w:hAnsi="Arial"/>
                <w:sz w:val="20"/>
                <w:szCs w:val="20"/>
                <w:color w:val="auto"/>
              </w:rPr>
              <w:t>Appointment for Perfection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9.17</w:t>
            </w:r>
          </w:p>
        </w:tc>
        <w:tc>
          <w:tcPr>
            <w:tcW w:w="7640" w:type="dxa"/>
            <w:vAlign w:val="bottom"/>
          </w:tcPr>
          <w:p>
            <w:pPr>
              <w:ind w:left="360"/>
              <w:spacing w:after="0"/>
              <w:rPr>
                <w:sz w:val="20"/>
                <w:szCs w:val="20"/>
                <w:color w:val="auto"/>
              </w:rPr>
            </w:pPr>
            <w:r>
              <w:rPr>
                <w:rFonts w:ascii="Arial" w:cs="Arial" w:eastAsia="Arial" w:hAnsi="Arial"/>
                <w:sz w:val="20"/>
                <w:szCs w:val="20"/>
                <w:color w:val="auto"/>
              </w:rPr>
              <w:t>Interest Rate Limitation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132</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9.18</w:t>
            </w:r>
          </w:p>
        </w:tc>
        <w:tc>
          <w:tcPr>
            <w:tcW w:w="7640" w:type="dxa"/>
            <w:vAlign w:val="bottom"/>
          </w:tcPr>
          <w:p>
            <w:pPr>
              <w:ind w:left="360"/>
              <w:spacing w:after="0"/>
              <w:rPr>
                <w:sz w:val="20"/>
                <w:szCs w:val="20"/>
                <w:color w:val="auto"/>
              </w:rPr>
            </w:pPr>
            <w:r>
              <w:rPr>
                <w:rFonts w:ascii="Arial" w:cs="Arial" w:eastAsia="Arial" w:hAnsi="Arial"/>
                <w:sz w:val="20"/>
                <w:szCs w:val="20"/>
                <w:color w:val="auto"/>
              </w:rPr>
              <w:t>No Advisory or Fiduciary Responsibility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133</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9.19</w:t>
            </w:r>
          </w:p>
        </w:tc>
        <w:tc>
          <w:tcPr>
            <w:tcW w:w="7640" w:type="dxa"/>
            <w:vAlign w:val="bottom"/>
          </w:tcPr>
          <w:p>
            <w:pPr>
              <w:ind w:left="360"/>
              <w:spacing w:after="0"/>
              <w:rPr>
                <w:sz w:val="20"/>
                <w:szCs w:val="20"/>
                <w:color w:val="auto"/>
              </w:rPr>
            </w:pPr>
            <w:r>
              <w:rPr>
                <w:rFonts w:ascii="Arial" w:cs="Arial" w:eastAsia="Arial" w:hAnsi="Arial"/>
                <w:sz w:val="20"/>
                <w:szCs w:val="20"/>
                <w:color w:val="auto"/>
              </w:rPr>
              <w:t>Release of Loan Guarantors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133</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9.20</w:t>
            </w:r>
          </w:p>
        </w:tc>
        <w:tc>
          <w:tcPr>
            <w:tcW w:w="7640" w:type="dxa"/>
            <w:vAlign w:val="bottom"/>
          </w:tcPr>
          <w:p>
            <w:pPr>
              <w:ind w:left="360"/>
              <w:spacing w:after="0"/>
              <w:rPr>
                <w:sz w:val="20"/>
                <w:szCs w:val="20"/>
                <w:color w:val="auto"/>
              </w:rPr>
            </w:pPr>
            <w:r>
              <w:rPr>
                <w:rFonts w:ascii="Arial" w:cs="Arial" w:eastAsia="Arial" w:hAnsi="Arial"/>
                <w:sz w:val="20"/>
                <w:szCs w:val="20"/>
                <w:color w:val="auto"/>
              </w:rPr>
              <w:t>Intercreditor Agreements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134</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9.21</w:t>
            </w:r>
          </w:p>
        </w:tc>
        <w:tc>
          <w:tcPr>
            <w:tcW w:w="7640" w:type="dxa"/>
            <w:vAlign w:val="bottom"/>
          </w:tcPr>
          <w:p>
            <w:pPr>
              <w:ind w:left="360"/>
              <w:spacing w:after="0"/>
              <w:rPr>
                <w:sz w:val="20"/>
                <w:szCs w:val="20"/>
                <w:color w:val="auto"/>
              </w:rPr>
            </w:pPr>
            <w:r>
              <w:rPr>
                <w:rFonts w:ascii="Arial" w:cs="Arial" w:eastAsia="Arial" w:hAnsi="Arial"/>
                <w:sz w:val="20"/>
                <w:szCs w:val="20"/>
                <w:color w:val="auto"/>
              </w:rPr>
              <w:t>Marketing Consent</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134</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9.22</w:t>
            </w:r>
          </w:p>
        </w:tc>
        <w:tc>
          <w:tcPr>
            <w:tcW w:w="7640" w:type="dxa"/>
            <w:vAlign w:val="bottom"/>
          </w:tcPr>
          <w:p>
            <w:pPr>
              <w:ind w:left="360"/>
              <w:spacing w:after="0"/>
              <w:rPr>
                <w:sz w:val="20"/>
                <w:szCs w:val="20"/>
                <w:color w:val="auto"/>
              </w:rPr>
            </w:pPr>
            <w:r>
              <w:rPr>
                <w:rFonts w:ascii="Arial" w:cs="Arial" w:eastAsia="Arial" w:hAnsi="Arial"/>
                <w:sz w:val="20"/>
                <w:szCs w:val="20"/>
                <w:color w:val="auto"/>
              </w:rPr>
              <w:t>Acknowledgement and Consent to Bail-In of EEA Financial Institutions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134</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ARTICLE X.</w:t>
            </w:r>
          </w:p>
        </w:tc>
        <w:tc>
          <w:tcPr>
            <w:tcW w:w="7640" w:type="dxa"/>
            <w:vAlign w:val="bottom"/>
          </w:tcPr>
          <w:p>
            <w:pPr>
              <w:ind w:left="360"/>
              <w:spacing w:after="0"/>
              <w:rPr>
                <w:sz w:val="20"/>
                <w:szCs w:val="20"/>
                <w:color w:val="auto"/>
              </w:rPr>
            </w:pPr>
            <w:r>
              <w:rPr>
                <w:rFonts w:ascii="Arial" w:cs="Arial" w:eastAsia="Arial" w:hAnsi="Arial"/>
                <w:sz w:val="20"/>
                <w:szCs w:val="20"/>
                <w:color w:val="auto"/>
              </w:rPr>
              <w:t>Loan Guaranty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134</w:t>
            </w:r>
          </w:p>
        </w:tc>
      </w:tr>
      <w:tr>
        <w:trPr>
          <w:trHeight w:val="567"/>
        </w:trPr>
        <w:tc>
          <w:tcPr>
            <w:tcW w:w="1700" w:type="dxa"/>
            <w:vAlign w:val="bottom"/>
          </w:tcPr>
          <w:p>
            <w:pPr>
              <w:spacing w:after="0"/>
              <w:rPr>
                <w:sz w:val="20"/>
                <w:szCs w:val="20"/>
                <w:color w:val="auto"/>
              </w:rPr>
            </w:pPr>
            <w:r>
              <w:rPr>
                <w:rFonts w:ascii="Arial" w:cs="Arial" w:eastAsia="Arial" w:hAnsi="Arial"/>
                <w:sz w:val="20"/>
                <w:szCs w:val="20"/>
                <w:color w:val="auto"/>
              </w:rPr>
              <w:t>SECTION 10.01</w:t>
            </w:r>
          </w:p>
        </w:tc>
        <w:tc>
          <w:tcPr>
            <w:tcW w:w="7640" w:type="dxa"/>
            <w:vAlign w:val="bottom"/>
          </w:tcPr>
          <w:p>
            <w:pPr>
              <w:ind w:left="360"/>
              <w:spacing w:after="0"/>
              <w:rPr>
                <w:sz w:val="20"/>
                <w:szCs w:val="20"/>
                <w:color w:val="auto"/>
              </w:rPr>
            </w:pPr>
            <w:r>
              <w:rPr>
                <w:rFonts w:ascii="Arial" w:cs="Arial" w:eastAsia="Arial" w:hAnsi="Arial"/>
                <w:sz w:val="20"/>
                <w:szCs w:val="20"/>
                <w:color w:val="auto"/>
              </w:rPr>
              <w:t>Guaranty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134</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10.02</w:t>
            </w:r>
          </w:p>
        </w:tc>
        <w:tc>
          <w:tcPr>
            <w:tcW w:w="7640" w:type="dxa"/>
            <w:vAlign w:val="bottom"/>
          </w:tcPr>
          <w:p>
            <w:pPr>
              <w:ind w:left="360"/>
              <w:spacing w:after="0"/>
              <w:rPr>
                <w:sz w:val="20"/>
                <w:szCs w:val="20"/>
                <w:color w:val="auto"/>
              </w:rPr>
            </w:pPr>
            <w:r>
              <w:rPr>
                <w:rFonts w:ascii="Arial" w:cs="Arial" w:eastAsia="Arial" w:hAnsi="Arial"/>
                <w:sz w:val="20"/>
                <w:szCs w:val="20"/>
                <w:color w:val="auto"/>
              </w:rPr>
              <w:t>Guaranty of Payment</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135</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10.03</w:t>
            </w:r>
          </w:p>
        </w:tc>
        <w:tc>
          <w:tcPr>
            <w:tcW w:w="7640" w:type="dxa"/>
            <w:vAlign w:val="bottom"/>
          </w:tcPr>
          <w:p>
            <w:pPr>
              <w:ind w:left="360"/>
              <w:spacing w:after="0"/>
              <w:rPr>
                <w:sz w:val="20"/>
                <w:szCs w:val="20"/>
                <w:color w:val="auto"/>
              </w:rPr>
            </w:pPr>
            <w:r>
              <w:rPr>
                <w:rFonts w:ascii="Arial" w:cs="Arial" w:eastAsia="Arial" w:hAnsi="Arial"/>
                <w:sz w:val="20"/>
                <w:szCs w:val="20"/>
                <w:color w:val="auto"/>
              </w:rPr>
              <w:t>No Discharge or Diminishment of Loan Guaranty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135</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10.04</w:t>
            </w:r>
          </w:p>
        </w:tc>
        <w:tc>
          <w:tcPr>
            <w:tcW w:w="7640" w:type="dxa"/>
            <w:vAlign w:val="bottom"/>
          </w:tcPr>
          <w:p>
            <w:pPr>
              <w:ind w:left="360"/>
              <w:spacing w:after="0"/>
              <w:rPr>
                <w:sz w:val="20"/>
                <w:szCs w:val="20"/>
                <w:color w:val="auto"/>
              </w:rPr>
            </w:pPr>
            <w:r>
              <w:rPr>
                <w:rFonts w:ascii="Arial" w:cs="Arial" w:eastAsia="Arial" w:hAnsi="Arial"/>
                <w:sz w:val="20"/>
                <w:szCs w:val="20"/>
                <w:color w:val="auto"/>
              </w:rPr>
              <w:t>Defenses Waived</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10.05</w:t>
            </w:r>
          </w:p>
        </w:tc>
        <w:tc>
          <w:tcPr>
            <w:tcW w:w="7640" w:type="dxa"/>
            <w:vAlign w:val="bottom"/>
          </w:tcPr>
          <w:p>
            <w:pPr>
              <w:ind w:left="360"/>
              <w:spacing w:after="0"/>
              <w:rPr>
                <w:sz w:val="20"/>
                <w:szCs w:val="20"/>
                <w:color w:val="auto"/>
              </w:rPr>
            </w:pPr>
            <w:r>
              <w:rPr>
                <w:rFonts w:ascii="Arial" w:cs="Arial" w:eastAsia="Arial" w:hAnsi="Arial"/>
                <w:sz w:val="20"/>
                <w:szCs w:val="20"/>
                <w:color w:val="auto"/>
              </w:rPr>
              <w:t>Rights of Subrogation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10.06</w:t>
            </w:r>
          </w:p>
        </w:tc>
        <w:tc>
          <w:tcPr>
            <w:tcW w:w="7640" w:type="dxa"/>
            <w:vAlign w:val="bottom"/>
          </w:tcPr>
          <w:p>
            <w:pPr>
              <w:ind w:left="360"/>
              <w:spacing w:after="0"/>
              <w:rPr>
                <w:sz w:val="20"/>
                <w:szCs w:val="20"/>
                <w:color w:val="auto"/>
              </w:rPr>
            </w:pPr>
            <w:r>
              <w:rPr>
                <w:rFonts w:ascii="Arial" w:cs="Arial" w:eastAsia="Arial" w:hAnsi="Arial"/>
                <w:sz w:val="20"/>
                <w:szCs w:val="20"/>
                <w:color w:val="auto"/>
              </w:rPr>
              <w:t>Reinstatement; Stay of Acceleration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10.07</w:t>
            </w:r>
          </w:p>
        </w:tc>
        <w:tc>
          <w:tcPr>
            <w:tcW w:w="7640" w:type="dxa"/>
            <w:vAlign w:val="bottom"/>
          </w:tcPr>
          <w:p>
            <w:pPr>
              <w:ind w:left="360"/>
              <w:spacing w:after="0"/>
              <w:rPr>
                <w:sz w:val="20"/>
                <w:szCs w:val="20"/>
                <w:color w:val="auto"/>
              </w:rPr>
            </w:pPr>
            <w:r>
              <w:rPr>
                <w:rFonts w:ascii="Arial" w:cs="Arial" w:eastAsia="Arial" w:hAnsi="Arial"/>
                <w:sz w:val="20"/>
                <w:szCs w:val="20"/>
                <w:color w:val="auto"/>
              </w:rPr>
              <w:t>Information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136</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10.08</w:t>
            </w:r>
          </w:p>
        </w:tc>
        <w:tc>
          <w:tcPr>
            <w:tcW w:w="7640" w:type="dxa"/>
            <w:vAlign w:val="bottom"/>
          </w:tcPr>
          <w:p>
            <w:pPr>
              <w:ind w:left="360"/>
              <w:spacing w:after="0"/>
              <w:rPr>
                <w:sz w:val="20"/>
                <w:szCs w:val="20"/>
                <w:color w:val="auto"/>
              </w:rPr>
            </w:pPr>
            <w:r>
              <w:rPr>
                <w:rFonts w:ascii="Arial" w:cs="Arial" w:eastAsia="Arial" w:hAnsi="Arial"/>
                <w:sz w:val="20"/>
                <w:szCs w:val="20"/>
                <w:color w:val="auto"/>
              </w:rPr>
              <w:t>Termination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10.09</w:t>
            </w:r>
          </w:p>
        </w:tc>
        <w:tc>
          <w:tcPr>
            <w:tcW w:w="7640" w:type="dxa"/>
            <w:vAlign w:val="bottom"/>
          </w:tcPr>
          <w:p>
            <w:pPr>
              <w:ind w:left="360"/>
              <w:spacing w:after="0"/>
              <w:rPr>
                <w:sz w:val="20"/>
                <w:szCs w:val="20"/>
                <w:color w:val="auto"/>
              </w:rPr>
            </w:pPr>
            <w:r>
              <w:rPr>
                <w:rFonts w:ascii="Arial" w:cs="Arial" w:eastAsia="Arial" w:hAnsi="Arial"/>
                <w:sz w:val="20"/>
                <w:szCs w:val="20"/>
                <w:color w:val="auto"/>
              </w:rPr>
              <w:t>Taxes</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10.10</w:t>
            </w:r>
          </w:p>
        </w:tc>
        <w:tc>
          <w:tcPr>
            <w:tcW w:w="7640" w:type="dxa"/>
            <w:vAlign w:val="bottom"/>
          </w:tcPr>
          <w:p>
            <w:pPr>
              <w:ind w:left="360"/>
              <w:spacing w:after="0"/>
              <w:rPr>
                <w:sz w:val="20"/>
                <w:szCs w:val="20"/>
                <w:color w:val="auto"/>
              </w:rPr>
            </w:pPr>
            <w:r>
              <w:rPr>
                <w:rFonts w:ascii="Arial" w:cs="Arial" w:eastAsia="Arial" w:hAnsi="Arial"/>
                <w:sz w:val="20"/>
                <w:szCs w:val="20"/>
                <w:color w:val="auto"/>
              </w:rPr>
              <w:t>Maximum Liability</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10.11</w:t>
            </w:r>
          </w:p>
        </w:tc>
        <w:tc>
          <w:tcPr>
            <w:tcW w:w="7640" w:type="dxa"/>
            <w:vAlign w:val="bottom"/>
          </w:tcPr>
          <w:p>
            <w:pPr>
              <w:ind w:left="360"/>
              <w:spacing w:after="0"/>
              <w:rPr>
                <w:sz w:val="20"/>
                <w:szCs w:val="20"/>
                <w:color w:val="auto"/>
              </w:rPr>
            </w:pPr>
            <w:r>
              <w:rPr>
                <w:rFonts w:ascii="Arial" w:cs="Arial" w:eastAsia="Arial" w:hAnsi="Arial"/>
                <w:sz w:val="20"/>
                <w:szCs w:val="20"/>
                <w:color w:val="auto"/>
              </w:rPr>
              <w:t>Contribution</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137</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10.12</w:t>
            </w:r>
          </w:p>
        </w:tc>
        <w:tc>
          <w:tcPr>
            <w:tcW w:w="7640" w:type="dxa"/>
            <w:vAlign w:val="bottom"/>
          </w:tcPr>
          <w:p>
            <w:pPr>
              <w:ind w:left="360"/>
              <w:spacing w:after="0"/>
              <w:rPr>
                <w:sz w:val="20"/>
                <w:szCs w:val="20"/>
                <w:color w:val="auto"/>
              </w:rPr>
            </w:pPr>
            <w:r>
              <w:rPr>
                <w:rFonts w:ascii="Arial" w:cs="Arial" w:eastAsia="Arial" w:hAnsi="Arial"/>
                <w:sz w:val="20"/>
                <w:szCs w:val="20"/>
                <w:color w:val="auto"/>
              </w:rPr>
              <w:t>Liability Cumulative</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138</w:t>
            </w:r>
          </w:p>
        </w:tc>
      </w:tr>
      <w:tr>
        <w:trPr>
          <w:trHeight w:val="284"/>
        </w:trPr>
        <w:tc>
          <w:tcPr>
            <w:tcW w:w="1700" w:type="dxa"/>
            <w:vAlign w:val="bottom"/>
          </w:tcPr>
          <w:p>
            <w:pPr>
              <w:spacing w:after="0"/>
              <w:rPr>
                <w:sz w:val="20"/>
                <w:szCs w:val="20"/>
                <w:color w:val="auto"/>
              </w:rPr>
            </w:pPr>
            <w:r>
              <w:rPr>
                <w:rFonts w:ascii="Arial" w:cs="Arial" w:eastAsia="Arial" w:hAnsi="Arial"/>
                <w:sz w:val="20"/>
                <w:szCs w:val="20"/>
                <w:color w:val="auto"/>
              </w:rPr>
              <w:t>SECTION 10.13</w:t>
            </w:r>
          </w:p>
        </w:tc>
        <w:tc>
          <w:tcPr>
            <w:tcW w:w="7640" w:type="dxa"/>
            <w:vAlign w:val="bottom"/>
          </w:tcPr>
          <w:p>
            <w:pPr>
              <w:ind w:left="360"/>
              <w:spacing w:after="0"/>
              <w:rPr>
                <w:sz w:val="20"/>
                <w:szCs w:val="20"/>
                <w:color w:val="auto"/>
              </w:rPr>
            </w:pPr>
            <w:r>
              <w:rPr>
                <w:rFonts w:ascii="Arial" w:cs="Arial" w:eastAsia="Arial" w:hAnsi="Arial"/>
                <w:sz w:val="20"/>
                <w:szCs w:val="20"/>
                <w:color w:val="auto"/>
              </w:rPr>
              <w:t>Keepwell</w:t>
            </w:r>
          </w:p>
        </w:tc>
        <w:tc>
          <w:tcPr>
            <w:tcW w:w="1860" w:type="dxa"/>
            <w:vAlign w:val="bottom"/>
          </w:tcPr>
          <w:p>
            <w:pPr>
              <w:jc w:val="center"/>
              <w:ind w:left="1461"/>
              <w:spacing w:after="0"/>
              <w:rPr>
                <w:sz w:val="20"/>
                <w:szCs w:val="20"/>
                <w:color w:val="auto"/>
              </w:rPr>
            </w:pPr>
            <w:r>
              <w:rPr>
                <w:rFonts w:ascii="Arial" w:cs="Arial" w:eastAsia="Arial" w:hAnsi="Arial"/>
                <w:sz w:val="20"/>
                <w:szCs w:val="20"/>
                <w:color w:val="auto"/>
                <w:w w:val="89"/>
              </w:rPr>
              <w:t>138</w:t>
            </w:r>
          </w:p>
        </w:tc>
      </w:tr>
    </w:tbl>
    <w:p>
      <w:pPr>
        <w:spacing w:after="0" w:line="200" w:lineRule="exact"/>
        <w:rPr>
          <w:sz w:val="20"/>
          <w:szCs w:val="20"/>
          <w:color w:val="auto"/>
        </w:rPr>
      </w:pPr>
    </w:p>
    <w:p>
      <w:pPr>
        <w:sectPr>
          <w:pgSz w:w="11900" w:h="16838" w:orient="portrait"/>
          <w:cols w:equalWidth="0" w:num="1">
            <w:col w:w="11200"/>
          </w:cols>
          <w:pgMar w:left="280" w:top="582" w:right="419" w:bottom="2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iii</w:t>
      </w:r>
    </w:p>
    <w:p>
      <w:pPr>
        <w:sectPr>
          <w:pgSz w:w="11900" w:h="16838" w:orient="portrait"/>
          <w:cols w:equalWidth="0" w:num="1">
            <w:col w:w="11200"/>
          </w:cols>
          <w:pgMar w:left="280" w:top="582" w:right="419" w:bottom="268"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50"/>
        </w:trPr>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840" w:type="dxa"/>
            <w:vAlign w:val="bottom"/>
            <w:gridSpan w:val="7"/>
          </w:tcPr>
          <w:p>
            <w:pPr>
              <w:ind w:left="2740"/>
              <w:spacing w:after="0"/>
              <w:rPr>
                <w:sz w:val="20"/>
                <w:szCs w:val="20"/>
                <w:color w:val="auto"/>
              </w:rPr>
            </w:pPr>
            <w:r>
              <w:rPr>
                <w:rFonts w:ascii="Arial" w:cs="Arial" w:eastAsia="Arial" w:hAnsi="Arial"/>
                <w:sz w:val="20"/>
                <w:szCs w:val="20"/>
                <w:color w:val="auto"/>
              </w:rPr>
              <w:t>TABLE OF CONTENTS</w:t>
            </w:r>
          </w:p>
        </w:tc>
        <w:tc>
          <w:tcPr>
            <w:tcW w:w="420" w:type="dxa"/>
            <w:vAlign w:val="bottom"/>
          </w:tcPr>
          <w:p>
            <w:pPr>
              <w:spacing w:after="0"/>
              <w:rPr>
                <w:sz w:val="21"/>
                <w:szCs w:val="21"/>
                <w:color w:val="auto"/>
              </w:rPr>
            </w:pPr>
          </w:p>
        </w:tc>
      </w:tr>
      <w:tr>
        <w:trPr>
          <w:trHeight w:val="1080"/>
        </w:trPr>
        <w:tc>
          <w:tcPr>
            <w:tcW w:w="1940" w:type="dxa"/>
            <w:vAlign w:val="bottom"/>
            <w:gridSpan w:val="3"/>
          </w:tcPr>
          <w:p>
            <w:pPr>
              <w:spacing w:after="0"/>
              <w:rPr>
                <w:sz w:val="20"/>
                <w:szCs w:val="20"/>
                <w:color w:val="auto"/>
              </w:rPr>
            </w:pPr>
            <w:r>
              <w:rPr>
                <w:rFonts w:ascii="Arial" w:cs="Arial" w:eastAsia="Arial" w:hAnsi="Arial"/>
                <w:sz w:val="20"/>
                <w:szCs w:val="20"/>
                <w:color w:val="auto"/>
              </w:rPr>
              <w:t>ARTICLE XI.</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The Borrower Representative</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567"/>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11.01</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Appointment; Nature of Relationship</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11.02</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Powers</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11.03</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Employment of Agents</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11.04</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Notices</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11.05</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Successor Borrower Representative</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11.06</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Execution of Loan Documents; Borrowing Base Certificate</w:t>
            </w:r>
          </w:p>
        </w:tc>
        <w:tc>
          <w:tcPr>
            <w:tcW w:w="420" w:type="dxa"/>
            <w:vAlign w:val="bottom"/>
          </w:tcPr>
          <w:p>
            <w:pPr>
              <w:jc w:val="right"/>
              <w:spacing w:after="0"/>
              <w:rPr>
                <w:sz w:val="20"/>
                <w:szCs w:val="20"/>
                <w:color w:val="auto"/>
              </w:rPr>
            </w:pPr>
            <w:r>
              <w:rPr>
                <w:rFonts w:ascii="Arial" w:cs="Arial" w:eastAsia="Arial" w:hAnsi="Arial"/>
                <w:sz w:val="20"/>
                <w:szCs w:val="20"/>
                <w:color w:val="auto"/>
              </w:rPr>
              <w:t>139</w:t>
            </w: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SECTION 11.07</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Reporting</w:t>
            </w:r>
          </w:p>
        </w:tc>
        <w:tc>
          <w:tcPr>
            <w:tcW w:w="420" w:type="dxa"/>
            <w:vAlign w:val="bottom"/>
          </w:tcPr>
          <w:p>
            <w:pPr>
              <w:jc w:val="right"/>
              <w:spacing w:after="0"/>
              <w:rPr>
                <w:sz w:val="20"/>
                <w:szCs w:val="20"/>
                <w:color w:val="auto"/>
              </w:rPr>
            </w:pPr>
            <w:r>
              <w:rPr>
                <w:rFonts w:ascii="Arial" w:cs="Arial" w:eastAsia="Arial" w:hAnsi="Arial"/>
                <w:sz w:val="20"/>
                <w:szCs w:val="20"/>
                <w:color w:val="auto"/>
              </w:rPr>
              <w:t>140</w:t>
            </w:r>
          </w:p>
        </w:tc>
      </w:tr>
      <w:tr>
        <w:trPr>
          <w:trHeight w:val="806"/>
        </w:trPr>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2"/>
              </w:rPr>
              <w:t>SCHEDULES:</w:t>
            </w:r>
          </w:p>
        </w:tc>
        <w:tc>
          <w:tcPr>
            <w:tcW w:w="7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92"/>
        </w:trPr>
        <w:tc>
          <w:tcPr>
            <w:tcW w:w="1940" w:type="dxa"/>
            <w:vAlign w:val="bottom"/>
            <w:gridSpan w:val="3"/>
          </w:tcPr>
          <w:p>
            <w:pPr>
              <w:spacing w:after="0"/>
              <w:rPr>
                <w:sz w:val="20"/>
                <w:szCs w:val="20"/>
                <w:color w:val="auto"/>
              </w:rPr>
            </w:pPr>
            <w:r>
              <w:rPr>
                <w:rFonts w:ascii="Arial" w:cs="Arial" w:eastAsia="Arial" w:hAnsi="Arial"/>
                <w:sz w:val="20"/>
                <w:szCs w:val="20"/>
                <w:color w:val="auto"/>
                <w:w w:val="94"/>
              </w:rPr>
              <w:t>Commitment Schedule</w:t>
            </w: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3.15</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Capitalizations and Subsidiaries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3.18</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Insurance</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6.01</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Existing Indebtedness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6.02</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Existing Liens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6.04</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Existing Investments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6.05</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Dispositions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6.08</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Transactions with Affiliates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Schedule 6.11</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-Restrictive Agreements</w:t>
            </w:r>
          </w:p>
        </w:tc>
        <w:tc>
          <w:tcPr>
            <w:tcW w:w="420" w:type="dxa"/>
            <w:vAlign w:val="bottom"/>
          </w:tcPr>
          <w:p>
            <w:pPr>
              <w:spacing w:after="0"/>
              <w:rPr>
                <w:sz w:val="24"/>
                <w:szCs w:val="24"/>
                <w:color w:val="auto"/>
              </w:rPr>
            </w:pPr>
          </w:p>
        </w:tc>
      </w:tr>
      <w:tr>
        <w:trPr>
          <w:trHeight w:val="523"/>
        </w:trPr>
        <w:tc>
          <w:tcPr>
            <w:tcW w:w="1940" w:type="dxa"/>
            <w:vAlign w:val="bottom"/>
            <w:gridSpan w:val="3"/>
          </w:tcPr>
          <w:p>
            <w:pPr>
              <w:spacing w:after="0"/>
              <w:rPr>
                <w:sz w:val="20"/>
                <w:szCs w:val="20"/>
                <w:color w:val="auto"/>
              </w:rPr>
            </w:pPr>
            <w:r>
              <w:rPr>
                <w:rFonts w:ascii="Arial" w:cs="Arial" w:eastAsia="Arial" w:hAnsi="Arial"/>
                <w:sz w:val="20"/>
                <w:szCs w:val="20"/>
                <w:color w:val="auto"/>
              </w:rPr>
              <w:t>EXHIBITS:</w:t>
            </w:r>
          </w:p>
        </w:tc>
        <w:tc>
          <w:tcPr>
            <w:tcW w:w="3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592"/>
        </w:trPr>
        <w:tc>
          <w:tcPr>
            <w:tcW w:w="90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Exhibit A</w:t>
            </w:r>
          </w:p>
        </w:tc>
        <w:tc>
          <w:tcPr>
            <w:tcW w:w="1040" w:type="dxa"/>
            <w:vAlign w:val="bottom"/>
            <w:gridSpan w:val="2"/>
          </w:tcPr>
          <w:p>
            <w:pPr>
              <w:spacing w:after="0"/>
              <w:rPr>
                <w:sz w:val="24"/>
                <w:szCs w:val="24"/>
                <w:color w:val="auto"/>
              </w:rPr>
            </w:pP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of Assignment and Assumption</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B-1</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of Borrowing Base Certificate</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B-2</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Aggregate Borrowing Base Certificate</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C</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of Compliance Certificate</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D</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List of Closing Documents</w:t>
            </w: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E</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of Joinder Agreement</w:t>
            </w:r>
          </w:p>
        </w:tc>
        <w:tc>
          <w:tcPr>
            <w:tcW w:w="420" w:type="dxa"/>
            <w:vAlign w:val="bottom"/>
          </w:tcPr>
          <w:p>
            <w:pPr>
              <w:spacing w:after="0"/>
              <w:rPr>
                <w:sz w:val="24"/>
                <w:szCs w:val="24"/>
                <w:color w:val="auto"/>
              </w:rPr>
            </w:pPr>
          </w:p>
        </w:tc>
      </w:tr>
      <w:tr>
        <w:trPr>
          <w:trHeight w:val="239"/>
        </w:trPr>
        <w:tc>
          <w:tcPr>
            <w:tcW w:w="1940" w:type="dxa"/>
            <w:vAlign w:val="bottom"/>
            <w:gridSpan w:val="3"/>
          </w:tcPr>
          <w:p>
            <w:pPr>
              <w:spacing w:after="0"/>
              <w:rPr>
                <w:sz w:val="20"/>
                <w:szCs w:val="20"/>
                <w:color w:val="auto"/>
              </w:rPr>
            </w:pPr>
            <w:r>
              <w:rPr>
                <w:rFonts w:ascii="Arial" w:cs="Arial" w:eastAsia="Arial" w:hAnsi="Arial"/>
                <w:sz w:val="20"/>
                <w:szCs w:val="20"/>
                <w:color w:val="auto"/>
              </w:rPr>
              <w:t>Exhibit F-1</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w w:val="90"/>
              </w:rPr>
              <w:t>- U.S. Tax Certificate (For Foreign Lenders that are not Partnerships for U.S. Federal Income Tax Purposes)</w:t>
            </w:r>
          </w:p>
        </w:tc>
        <w:tc>
          <w:tcPr>
            <w:tcW w:w="420" w:type="dxa"/>
            <w:vAlign w:val="bottom"/>
          </w:tcPr>
          <w:p>
            <w:pPr>
              <w:spacing w:after="0"/>
              <w:rPr>
                <w:sz w:val="20"/>
                <w:szCs w:val="20"/>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w w:val="97"/>
              </w:rPr>
              <w:t>- U.S. Tax Certificate (For Foreign Participants that are not Partnerships for U.S. Federal Income Tax</w:t>
            </w:r>
          </w:p>
        </w:tc>
        <w:tc>
          <w:tcPr>
            <w:tcW w:w="420" w:type="dxa"/>
            <w:vAlign w:val="bottom"/>
          </w:tcPr>
          <w:p>
            <w:pPr>
              <w:spacing w:after="0"/>
              <w:rPr>
                <w:sz w:val="22"/>
                <w:szCs w:val="22"/>
                <w:color w:val="auto"/>
              </w:rPr>
            </w:pPr>
          </w:p>
        </w:tc>
      </w:tr>
      <w:tr>
        <w:trPr>
          <w:trHeight w:val="254"/>
        </w:trPr>
        <w:tc>
          <w:tcPr>
            <w:tcW w:w="1940" w:type="dxa"/>
            <w:vAlign w:val="bottom"/>
            <w:gridSpan w:val="3"/>
          </w:tcPr>
          <w:p>
            <w:pPr>
              <w:spacing w:after="0"/>
              <w:rPr>
                <w:sz w:val="20"/>
                <w:szCs w:val="20"/>
                <w:color w:val="auto"/>
              </w:rPr>
            </w:pPr>
            <w:r>
              <w:rPr>
                <w:rFonts w:ascii="Arial" w:cs="Arial" w:eastAsia="Arial" w:hAnsi="Arial"/>
                <w:sz w:val="20"/>
                <w:szCs w:val="20"/>
                <w:color w:val="auto"/>
              </w:rPr>
              <w:t>Exhibit F-2</w:t>
            </w:r>
          </w:p>
        </w:tc>
        <w:tc>
          <w:tcPr>
            <w:tcW w:w="4900" w:type="dxa"/>
            <w:vAlign w:val="bottom"/>
            <w:gridSpan w:val="5"/>
          </w:tcPr>
          <w:p>
            <w:pPr>
              <w:ind w:left="120"/>
              <w:spacing w:after="0"/>
              <w:rPr>
                <w:sz w:val="20"/>
                <w:szCs w:val="20"/>
                <w:color w:val="auto"/>
              </w:rPr>
            </w:pPr>
            <w:r>
              <w:rPr>
                <w:rFonts w:ascii="Arial" w:cs="Arial" w:eastAsia="Arial" w:hAnsi="Arial"/>
                <w:sz w:val="20"/>
                <w:szCs w:val="20"/>
                <w:color w:val="auto"/>
              </w:rPr>
              <w:t>Purposes)</w:t>
            </w:r>
          </w:p>
        </w:tc>
        <w:tc>
          <w:tcPr>
            <w:tcW w:w="240" w:type="dxa"/>
            <w:vAlign w:val="bottom"/>
            <w:tcBorders>
              <w:top w:val="single" w:sz="8" w:color="auto"/>
            </w:tcBorders>
          </w:tcPr>
          <w:p>
            <w:pPr>
              <w:spacing w:after="0"/>
              <w:rPr>
                <w:sz w:val="22"/>
                <w:szCs w:val="22"/>
                <w:color w:val="auto"/>
              </w:rPr>
            </w:pPr>
          </w:p>
        </w:tc>
        <w:tc>
          <w:tcPr>
            <w:tcW w:w="370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239"/>
        </w:trPr>
        <w:tc>
          <w:tcPr>
            <w:tcW w:w="1940" w:type="dxa"/>
            <w:vAlign w:val="bottom"/>
            <w:gridSpan w:val="3"/>
          </w:tcPr>
          <w:p>
            <w:pPr>
              <w:spacing w:after="0"/>
              <w:rPr>
                <w:sz w:val="20"/>
                <w:szCs w:val="20"/>
                <w:color w:val="auto"/>
              </w:rPr>
            </w:pPr>
            <w:r>
              <w:rPr>
                <w:rFonts w:ascii="Arial" w:cs="Arial" w:eastAsia="Arial" w:hAnsi="Arial"/>
                <w:sz w:val="20"/>
                <w:szCs w:val="20"/>
                <w:color w:val="auto"/>
              </w:rPr>
              <w:t>Exhibit F-3</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w w:val="91"/>
              </w:rPr>
              <w:t>- U.S. Tax Certificate (For Foreign Participants that are Partnerships for U.S. Federal Income Tax Purposes)</w:t>
            </w:r>
          </w:p>
        </w:tc>
        <w:tc>
          <w:tcPr>
            <w:tcW w:w="420" w:type="dxa"/>
            <w:vAlign w:val="bottom"/>
          </w:tcPr>
          <w:p>
            <w:pPr>
              <w:spacing w:after="0"/>
              <w:rPr>
                <w:sz w:val="20"/>
                <w:szCs w:val="20"/>
                <w:color w:val="auto"/>
              </w:rPr>
            </w:pPr>
          </w:p>
        </w:tc>
      </w:tr>
      <w:tr>
        <w:trPr>
          <w:trHeight w:val="20"/>
        </w:trPr>
        <w:tc>
          <w:tcPr>
            <w:tcW w:w="194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64"/>
        </w:trPr>
        <w:tc>
          <w:tcPr>
            <w:tcW w:w="1940" w:type="dxa"/>
            <w:vAlign w:val="bottom"/>
            <w:gridSpan w:val="3"/>
          </w:tcPr>
          <w:p>
            <w:pPr>
              <w:spacing w:after="0"/>
              <w:rPr>
                <w:sz w:val="20"/>
                <w:szCs w:val="20"/>
                <w:color w:val="auto"/>
              </w:rPr>
            </w:pPr>
            <w:r>
              <w:rPr>
                <w:rFonts w:ascii="Arial" w:cs="Arial" w:eastAsia="Arial" w:hAnsi="Arial"/>
                <w:sz w:val="20"/>
                <w:szCs w:val="20"/>
                <w:color w:val="auto"/>
              </w:rPr>
              <w:t>Exhibit F-4</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U.S. Tax Certificate (For Foreign that are Partnerships for U.S. Federal Income Tax Purposes)</w:t>
            </w:r>
          </w:p>
        </w:tc>
        <w:tc>
          <w:tcPr>
            <w:tcW w:w="420" w:type="dxa"/>
            <w:vAlign w:val="bottom"/>
          </w:tcPr>
          <w:p>
            <w:pPr>
              <w:spacing w:after="0"/>
              <w:rPr>
                <w:sz w:val="22"/>
                <w:szCs w:val="22"/>
                <w:color w:val="auto"/>
              </w:rPr>
            </w:pPr>
          </w:p>
        </w:tc>
      </w:tr>
      <w:tr>
        <w:trPr>
          <w:trHeight w:val="308"/>
        </w:trPr>
        <w:tc>
          <w:tcPr>
            <w:tcW w:w="1940" w:type="dxa"/>
            <w:vAlign w:val="bottom"/>
            <w:gridSpan w:val="3"/>
          </w:tcPr>
          <w:p>
            <w:pPr>
              <w:spacing w:after="0"/>
              <w:rPr>
                <w:sz w:val="20"/>
                <w:szCs w:val="20"/>
                <w:color w:val="auto"/>
              </w:rPr>
            </w:pPr>
            <w:r>
              <w:rPr>
                <w:rFonts w:ascii="Arial" w:cs="Arial" w:eastAsia="Arial" w:hAnsi="Arial"/>
                <w:sz w:val="20"/>
                <w:szCs w:val="20"/>
                <w:color w:val="auto"/>
              </w:rPr>
              <w:t>Exhibit G-1</w:t>
            </w:r>
          </w:p>
        </w:tc>
        <w:tc>
          <w:tcPr>
            <w:tcW w:w="3260" w:type="dxa"/>
            <w:vAlign w:val="bottom"/>
          </w:tcPr>
          <w:p>
            <w:pPr>
              <w:ind w:left="120"/>
              <w:spacing w:after="0"/>
              <w:rPr>
                <w:sz w:val="20"/>
                <w:szCs w:val="20"/>
                <w:color w:val="auto"/>
              </w:rPr>
            </w:pPr>
            <w:r>
              <w:rPr>
                <w:rFonts w:ascii="Arial" w:cs="Arial" w:eastAsia="Arial" w:hAnsi="Arial"/>
                <w:sz w:val="20"/>
                <w:szCs w:val="20"/>
                <w:color w:val="auto"/>
              </w:rPr>
              <w:t>- Form of Borrowing Request</w:t>
            </w:r>
          </w:p>
        </w:tc>
        <w:tc>
          <w:tcPr>
            <w:tcW w:w="240" w:type="dxa"/>
            <w:vAlign w:val="bottom"/>
            <w:tcBorders>
              <w:top w:val="single" w:sz="8" w:color="auto"/>
            </w:tcBorders>
          </w:tcPr>
          <w:p>
            <w:pPr>
              <w:spacing w:after="0"/>
              <w:rPr>
                <w:sz w:val="24"/>
                <w:szCs w:val="24"/>
                <w:color w:val="auto"/>
              </w:rPr>
            </w:pPr>
          </w:p>
        </w:tc>
        <w:tc>
          <w:tcPr>
            <w:tcW w:w="5340" w:type="dxa"/>
            <w:vAlign w:val="bottom"/>
            <w:gridSpan w:val="5"/>
          </w:tcPr>
          <w:p>
            <w:pPr>
              <w:spacing w:after="0"/>
              <w:rPr>
                <w:sz w:val="24"/>
                <w:szCs w:val="24"/>
                <w:color w:val="auto"/>
              </w:rPr>
            </w:pPr>
          </w:p>
        </w:tc>
        <w:tc>
          <w:tcPr>
            <w:tcW w:w="420" w:type="dxa"/>
            <w:vAlign w:val="bottom"/>
          </w:tcPr>
          <w:p>
            <w:pPr>
              <w:spacing w:after="0"/>
              <w:rPr>
                <w:sz w:val="24"/>
                <w:szCs w:val="24"/>
                <w:color w:val="auto"/>
              </w:rPr>
            </w:pPr>
          </w:p>
        </w:tc>
      </w:tr>
      <w:tr>
        <w:trPr>
          <w:trHeight w:val="284"/>
        </w:trPr>
        <w:tc>
          <w:tcPr>
            <w:tcW w:w="1940" w:type="dxa"/>
            <w:vAlign w:val="bottom"/>
            <w:gridSpan w:val="3"/>
          </w:tcPr>
          <w:p>
            <w:pPr>
              <w:spacing w:after="0"/>
              <w:rPr>
                <w:sz w:val="20"/>
                <w:szCs w:val="20"/>
                <w:color w:val="auto"/>
              </w:rPr>
            </w:pPr>
            <w:r>
              <w:rPr>
                <w:rFonts w:ascii="Arial" w:cs="Arial" w:eastAsia="Arial" w:hAnsi="Arial"/>
                <w:sz w:val="20"/>
                <w:szCs w:val="20"/>
                <w:color w:val="auto"/>
              </w:rPr>
              <w:t>Exhibit G-2</w:t>
            </w:r>
          </w:p>
        </w:tc>
        <w:tc>
          <w:tcPr>
            <w:tcW w:w="8840" w:type="dxa"/>
            <w:vAlign w:val="bottom"/>
            <w:gridSpan w:val="7"/>
          </w:tcPr>
          <w:p>
            <w:pPr>
              <w:ind w:left="120"/>
              <w:spacing w:after="0"/>
              <w:rPr>
                <w:sz w:val="20"/>
                <w:szCs w:val="20"/>
                <w:color w:val="auto"/>
              </w:rPr>
            </w:pPr>
            <w:r>
              <w:rPr>
                <w:rFonts w:ascii="Arial" w:cs="Arial" w:eastAsia="Arial" w:hAnsi="Arial"/>
                <w:sz w:val="20"/>
                <w:szCs w:val="20"/>
                <w:color w:val="auto"/>
              </w:rPr>
              <w:t>- Form of Interest Election Request</w:t>
            </w:r>
          </w:p>
        </w:tc>
        <w:tc>
          <w:tcPr>
            <w:tcW w:w="4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00"/>
          </w:cols>
          <w:pgMar w:left="280" w:top="58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iv</w:t>
      </w:r>
    </w:p>
    <w:p>
      <w:pPr>
        <w:sectPr>
          <w:pgSz w:w="11900" w:h="16838" w:orient="portrait"/>
          <w:cols w:equalWidth="0" w:num="1">
            <w:col w:w="11200"/>
          </w:cols>
          <w:pgMar w:left="280" w:top="582" w:right="419" w:bottom="1440" w:gutter="0" w:footer="0" w:header="0"/>
          <w:type w:val="continuous"/>
        </w:sectPr>
      </w:pPr>
    </w:p>
    <w:bookmarkStart w:id="176" w:name="page177"/>
    <w:bookmarkEnd w:id="176"/>
    <w:p>
      <w:pPr>
        <w:jc w:val="both"/>
        <w:ind w:firstLine="1297"/>
        <w:spacing w:after="0" w:line="246" w:lineRule="auto"/>
        <w:rPr>
          <w:sz w:val="20"/>
          <w:szCs w:val="20"/>
          <w:color w:val="auto"/>
        </w:rPr>
      </w:pPr>
      <w:r>
        <w:rPr>
          <w:rFonts w:ascii="Arial" w:cs="Arial" w:eastAsia="Arial" w:hAnsi="Arial"/>
          <w:sz w:val="20"/>
          <w:szCs w:val="20"/>
          <w:color w:val="auto"/>
        </w:rPr>
        <w:t>CREDIT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November 8, 2016 among WINNEBAGO INDUSTRIES, INC., WINNEBAGO OF INDIANA, LLC and, after giving effect to the Grand Design Acquisition (as defined below) on the Effective Date, GRAND DESIGN RV, LLC, as Borrowers, the other LOAN PARTIES from time to time party hereto, the LENDERS from time to time party hereto and JPMORGAN CHASE BANK, N.A., as Administrative Agent.</w:t>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parties hereto agree as 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I.</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Definitions</w:t>
      </w:r>
    </w:p>
    <w:p>
      <w:pPr>
        <w:spacing w:after="0" w:line="22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 xml:space="preserve">Defined Terms. </w:t>
      </w:r>
      <w:r>
        <w:rPr>
          <w:rFonts w:ascii="Arial" w:cs="Arial" w:eastAsia="Arial" w:hAnsi="Arial"/>
          <w:sz w:val="18"/>
          <w:szCs w:val="18"/>
          <w:color w:val="auto"/>
        </w:rPr>
        <w:t>As used in this Agreement, the following terms have the meanings specified below:</w:t>
      </w:r>
    </w:p>
    <w:p>
      <w:pPr>
        <w:spacing w:after="0" w:line="22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ABR</w:t>
      </w:r>
      <w:r>
        <w:rPr>
          <w:rFonts w:ascii="Arial" w:cs="Arial" w:eastAsia="Arial" w:hAnsi="Arial"/>
          <w:sz w:val="20"/>
          <w:szCs w:val="20"/>
          <w:color w:val="auto"/>
        </w:rPr>
        <w:t>”, when used in reference to any Loan or Borrowing, refers to a Loan, or the Loans comprising such Borrowing, bearing interest at a rate determined by reference to the Alternate Base Rate.</w:t>
      </w:r>
    </w:p>
    <w:p>
      <w:pPr>
        <w:spacing w:after="0" w:line="177"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ABL Priority Collateral</w:t>
      </w:r>
      <w:r>
        <w:rPr>
          <w:rFonts w:ascii="Arial" w:cs="Arial" w:eastAsia="Arial" w:hAnsi="Arial"/>
          <w:sz w:val="18"/>
          <w:szCs w:val="18"/>
          <w:color w:val="auto"/>
        </w:rPr>
        <w:t>” has the meaning assigned thereto in the ABL/Term Loan Intercreditor Agreement, and is intended to indicate that portion of the Collateral subject to a prior Lien in favor of the Administrative Agent on behalf of the Secured Parties.</w:t>
      </w:r>
    </w:p>
    <w:p>
      <w:pPr>
        <w:spacing w:after="0" w:line="130"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ABL/Term Loan Intercreditor Agreement</w:t>
      </w:r>
      <w:r>
        <w:rPr>
          <w:rFonts w:ascii="Arial" w:cs="Arial" w:eastAsia="Arial" w:hAnsi="Arial"/>
          <w:sz w:val="20"/>
          <w:szCs w:val="20"/>
          <w:color w:val="auto"/>
        </w:rPr>
        <w:t>” means the Intercreditor Agreement, dated as of the Effective Date, by and among the Administrative Agent, as ABL Representative, the Term Loan Agent, as Term Loan Representative, and each of the Loan Parties party thereto.</w:t>
      </w:r>
    </w:p>
    <w:p>
      <w:pPr>
        <w:spacing w:after="0" w:line="18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Field Examination</w:t>
      </w:r>
      <w:r>
        <w:rPr>
          <w:rFonts w:ascii="Arial" w:cs="Arial" w:eastAsia="Arial" w:hAnsi="Arial"/>
          <w:sz w:val="20"/>
          <w:szCs w:val="20"/>
          <w:color w:val="auto"/>
        </w:rPr>
        <w:t>” means a field examination conducted by the Administrative Agent or its designee of the Borrowers’ Accounts, Inventory and related working capital matters and of the Borrowers’ related data processing and other systems, the results of which shall be satisfactory to the Administrative Agent in its Permitted Discretion.</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Acceptable Inventory Appraisal</w:t>
      </w:r>
      <w:r>
        <w:rPr>
          <w:rFonts w:ascii="Arial" w:cs="Arial" w:eastAsia="Arial" w:hAnsi="Arial"/>
          <w:sz w:val="19"/>
          <w:szCs w:val="19"/>
          <w:color w:val="auto"/>
        </w:rPr>
        <w:t>” means an appraisal of the Borrowers’ Inventory from one or more firms satisfactory to the Administrative Agent, which appraisals shall be satisfactory to the Administrative Agent in its Permitted Discretion.</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Debtor</w:t>
      </w:r>
      <w:r>
        <w:rPr>
          <w:rFonts w:ascii="Arial" w:cs="Arial" w:eastAsia="Arial" w:hAnsi="Arial"/>
          <w:sz w:val="20"/>
          <w:szCs w:val="20"/>
          <w:color w:val="auto"/>
        </w:rPr>
        <w:t>” means any Person obligated on an Account.</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any transaction, or any series of related transactions, consummated on or after the Effective Date, by which any Loan Party (a) 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177" w:name="page178"/>
    <w:bookmarkEnd w:id="177"/>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LIBO Rate</w:t>
      </w:r>
      <w:r>
        <w:rPr>
          <w:rFonts w:ascii="Arial" w:cs="Arial" w:eastAsia="Arial" w:hAnsi="Arial"/>
          <w:sz w:val="20"/>
          <w:szCs w:val="20"/>
          <w:color w:val="auto"/>
        </w:rPr>
        <w:t>” means, with respect to any Eurodollar Borrowing for any Interest Period, an interest rate per annum (rounded upwards, if necessary, to the next 1/100 of 1%) equal to (a) the LIBO Rate for such Interest Period multiplied by (b) the Statutory Reserve Rate.</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JPMorgan Chase Bank, N.A. (including its successors, branches and affiliates), in its capacity as administrative agent for the Lenders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2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 Party</w:t>
      </w:r>
      <w:r>
        <w:rPr>
          <w:rFonts w:ascii="Arial" w:cs="Arial" w:eastAsia="Arial" w:hAnsi="Arial"/>
          <w:sz w:val="20"/>
          <w:szCs w:val="20"/>
          <w:color w:val="auto"/>
        </w:rPr>
        <w:t>” has the meaning assigned to such term in Section 9.01(d).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Availability</w:t>
      </w:r>
      <w:r>
        <w:rPr>
          <w:rFonts w:ascii="Arial" w:cs="Arial" w:eastAsia="Arial" w:hAnsi="Arial"/>
          <w:sz w:val="20"/>
          <w:szCs w:val="20"/>
          <w:color w:val="auto"/>
        </w:rPr>
        <w:t>” means, at any time, the aggregate Availability of all the Borrowers.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Borrowing Base</w:t>
      </w:r>
      <w:r>
        <w:rPr>
          <w:rFonts w:ascii="Arial" w:cs="Arial" w:eastAsia="Arial" w:hAnsi="Arial"/>
          <w:sz w:val="20"/>
          <w:szCs w:val="20"/>
          <w:color w:val="auto"/>
        </w:rPr>
        <w:t>” means the aggregate of the Borrowing Bases of all the Borrowers.</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Borrowing Base Certificate</w:t>
      </w:r>
      <w:r>
        <w:rPr>
          <w:rFonts w:ascii="Arial" w:cs="Arial" w:eastAsia="Arial" w:hAnsi="Arial"/>
          <w:sz w:val="20"/>
          <w:szCs w:val="20"/>
          <w:color w:val="auto"/>
        </w:rPr>
        <w:t xml:space="preserve">” means a certificate, signed and certified as accurate and complete by a Financial Officer of the Borrower Representative, in substantially the form of </w:t>
      </w:r>
      <w:r>
        <w:rPr>
          <w:rFonts w:ascii="Arial" w:cs="Arial" w:eastAsia="Arial" w:hAnsi="Arial"/>
          <w:sz w:val="20"/>
          <w:szCs w:val="20"/>
          <w:u w:val="single" w:color="auto"/>
          <w:color w:val="auto"/>
        </w:rPr>
        <w:t>Exhibit B-2</w:t>
      </w:r>
      <w:r>
        <w:rPr>
          <w:rFonts w:ascii="Arial" w:cs="Arial" w:eastAsia="Arial" w:hAnsi="Arial"/>
          <w:sz w:val="20"/>
          <w:szCs w:val="20"/>
          <w:color w:val="auto"/>
        </w:rPr>
        <w:t xml:space="preserve"> or another form which is acceptable to the Administrative Agent in its sole discretion.</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Commitment</w:t>
      </w:r>
      <w:r>
        <w:rPr>
          <w:rFonts w:ascii="Arial" w:cs="Arial" w:eastAsia="Arial" w:hAnsi="Arial"/>
          <w:sz w:val="19"/>
          <w:szCs w:val="19"/>
          <w:color w:val="auto"/>
        </w:rPr>
        <w:t>” means the aggregate of the Commitments of all of the Lenders, as reduced or increased from time to time pursuant to the terms and conditions hereof. As of the Effective Date, the Aggregate Commitment is $125,000,000.</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Exposure</w:t>
      </w:r>
      <w:r>
        <w:rPr>
          <w:rFonts w:ascii="Arial" w:cs="Arial" w:eastAsia="Arial" w:hAnsi="Arial"/>
          <w:sz w:val="18"/>
          <w:szCs w:val="18"/>
          <w:color w:val="auto"/>
        </w:rPr>
        <w:t>” means, at any time, the aggregate Revolving Exposures of all the Lenders at such time.</w:t>
      </w:r>
    </w:p>
    <w:p>
      <w:pPr>
        <w:spacing w:after="0" w:line="23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xml:space="preserve">” means, for any day, a rate per annum equal to the greatest of (a) the Prime Rate in effect on such day, (b) the NYFRB Rate in effect on such day plus ½ of 1% and (c) the Adjusted LIBO Rate for a one month Interest Period in Dollars on such day (or if such day is not a Business Day, the immediately preceding Business Day) plus 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Adjusted LIBO Rate for any day shall be based on the LIBO Rate at approximately 11:00 a.m. London time on such day, subject to the interest rate floors set forth therein.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2.14 hereof, then the Alternate Base Rate shall be the greater of clause (a) and (b) above and shall be determined without reference to clause (c) above.</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all laws, rules, and regulations of any jurisdiction applicable to the Company or its Subsidiaries from time to time concerning or relating to bribery or corruption.</w:t>
      </w:r>
    </w:p>
    <w:p>
      <w:pPr>
        <w:spacing w:after="0" w:line="17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with respect to any Lender, a percentage equal to a fraction the numerator of which is such Lender’s Commitment and the denominator of which is the Aggregate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Commitments have terminated or expired, the Applicable Percentage with respect to any Lender shall be determined based upon such Lender’s share of the Aggregate Revolving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812" w:right="239" w:bottom="1440" w:gutter="0" w:footer="0" w:header="0"/>
        </w:sectPr>
      </w:pPr>
    </w:p>
    <w:bookmarkStart w:id="178" w:name="page179"/>
    <w:bookmarkEnd w:id="178"/>
    <w:p>
      <w:pPr>
        <w:jc w:val="both"/>
        <w:spacing w:after="0" w:line="260" w:lineRule="auto"/>
        <w:rPr>
          <w:sz w:val="20"/>
          <w:szCs w:val="20"/>
          <w:color w:val="auto"/>
        </w:rPr>
      </w:pPr>
      <w:r>
        <w:rPr>
          <w:rFonts w:ascii="Arial" w:cs="Arial" w:eastAsia="Arial" w:hAnsi="Arial"/>
          <w:sz w:val="20"/>
          <w:szCs w:val="20"/>
          <w:color w:val="auto"/>
        </w:rPr>
        <w:t>Exposure at such time. Notwithstanding the foregoing, in accordance with Section 2.20, so long as any Lender shall be a Defaulting Lender, such Defaulting Lender’s Commitment shall be disregarded in the foregoing calculations.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Pledge Percentage</w:t>
      </w:r>
      <w:r>
        <w:rPr>
          <w:rFonts w:ascii="Arial" w:cs="Arial" w:eastAsia="Arial" w:hAnsi="Arial"/>
          <w:sz w:val="20"/>
          <w:szCs w:val="20"/>
          <w:color w:val="auto"/>
        </w:rPr>
        <w:t>” means (a) in the case of a pledge by the Company or any Subsidiary of its voting Equity Interests in an Excluded Domestic Subsidiary or an Excluded Foreign Subsidiary, 65%, and (b) in all other cases, 100%.</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Commitment Fee Rate</w:t>
      </w:r>
      <w:r>
        <w:rPr>
          <w:rFonts w:ascii="Arial" w:cs="Arial" w:eastAsia="Arial" w:hAnsi="Arial"/>
          <w:sz w:val="20"/>
          <w:szCs w:val="20"/>
          <w:color w:val="auto"/>
        </w:rPr>
        <w:t xml:space="preserve">” means, for any day, with respect to the commitment fees payable hereunder, the applicable percentage per annum set forth below, based upon average daily Total Commitment Utilization for the most recent fiscal quarter of the Company, as calculated by the Borrower Representative and confirmed by the Administrative Agent as of the last day of such fiscal quarter;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“Applicable Commitment Fee Rate” shall be 0.375% during the period from the Effective Date to, and including, the last day of the first full fiscal quarter of the Company ending after the Effective Date:</w:t>
      </w:r>
    </w:p>
    <w:p>
      <w:pPr>
        <w:spacing w:after="0" w:line="327" w:lineRule="exact"/>
        <w:rPr>
          <w:sz w:val="20"/>
          <w:szCs w:val="20"/>
          <w:color w:val="auto"/>
        </w:rPr>
      </w:pPr>
    </w:p>
    <w:tbl>
      <w:tblPr>
        <w:tblLayout w:type="fixed"/>
        <w:tblInd w:w="110" w:type="dxa"/>
        <w:tblCellMar>
          <w:top w:w="0" w:type="dxa"/>
          <w:left w:w="0" w:type="dxa"/>
          <w:bottom w:w="0" w:type="dxa"/>
          <w:right w:w="0" w:type="dxa"/>
        </w:tblCellMar>
      </w:tblPr>
      <w:tr>
        <w:trPr>
          <w:trHeight w:val="297"/>
        </w:trPr>
        <w:tc>
          <w:tcPr>
            <w:tcW w:w="1080" w:type="dxa"/>
            <w:vAlign w:val="bottom"/>
            <w:tcBorders>
              <w:top w:val="single" w:sz="8" w:color="auto"/>
              <w:left w:val="single" w:sz="8" w:color="auto"/>
              <w:bottom w:val="single" w:sz="8" w:color="auto"/>
            </w:tcBorders>
            <w:shd w:val="clear" w:color="auto" w:fill="E0E0E0"/>
          </w:tcPr>
          <w:p>
            <w:pPr>
              <w:spacing w:after="0"/>
              <w:rPr>
                <w:sz w:val="24"/>
                <w:szCs w:val="24"/>
                <w:color w:val="auto"/>
              </w:rPr>
            </w:pPr>
          </w:p>
        </w:tc>
        <w:tc>
          <w:tcPr>
            <w:tcW w:w="4680" w:type="dxa"/>
            <w:vAlign w:val="bottom"/>
            <w:tcBorders>
              <w:top w:val="single" w:sz="8" w:color="auto"/>
              <w:bottom w:val="single" w:sz="8" w:color="auto"/>
              <w:right w:val="single" w:sz="8" w:color="auto"/>
            </w:tcBorders>
            <w:gridSpan w:val="4"/>
            <w:shd w:val="clear" w:color="auto" w:fill="E0E0E0"/>
          </w:tcPr>
          <w:p>
            <w:pPr>
              <w:spacing w:after="0"/>
              <w:rPr>
                <w:sz w:val="20"/>
                <w:szCs w:val="20"/>
                <w:color w:val="auto"/>
              </w:rPr>
            </w:pPr>
            <w:r>
              <w:rPr>
                <w:rFonts w:ascii="Arial" w:cs="Arial" w:eastAsia="Arial" w:hAnsi="Arial"/>
                <w:sz w:val="20"/>
                <w:szCs w:val="20"/>
                <w:color w:val="auto"/>
              </w:rPr>
              <w:t>Average Daily Total Commitment Utilization</w:t>
            </w:r>
          </w:p>
        </w:tc>
        <w:tc>
          <w:tcPr>
            <w:tcW w:w="5500" w:type="dxa"/>
            <w:vAlign w:val="bottom"/>
            <w:tcBorders>
              <w:top w:val="single" w:sz="8" w:color="auto"/>
              <w:bottom w:val="single" w:sz="8" w:color="auto"/>
              <w:right w:val="single" w:sz="8" w:color="auto"/>
            </w:tcBorders>
            <w:gridSpan w:val="3"/>
            <w:shd w:val="clear" w:color="auto" w:fill="E0E0E0"/>
          </w:tcPr>
          <w:p>
            <w:pPr>
              <w:jc w:val="center"/>
              <w:ind w:right="40"/>
              <w:spacing w:after="0"/>
              <w:rPr>
                <w:sz w:val="20"/>
                <w:szCs w:val="20"/>
                <w:color w:val="auto"/>
              </w:rPr>
            </w:pPr>
            <w:r>
              <w:rPr>
                <w:rFonts w:ascii="Arial" w:cs="Arial" w:eastAsia="Arial" w:hAnsi="Arial"/>
                <w:sz w:val="20"/>
                <w:szCs w:val="20"/>
                <w:color w:val="auto"/>
                <w:w w:val="90"/>
              </w:rPr>
              <w:t>Applicable Commitment Fee Rate</w:t>
            </w:r>
          </w:p>
        </w:tc>
        <w:tc>
          <w:tcPr>
            <w:tcW w:w="0" w:type="dxa"/>
            <w:vAlign w:val="bottom"/>
          </w:tcPr>
          <w:p>
            <w:pPr>
              <w:spacing w:after="0"/>
              <w:rPr>
                <w:sz w:val="1"/>
                <w:szCs w:val="1"/>
                <w:color w:val="auto"/>
              </w:rPr>
            </w:pPr>
          </w:p>
        </w:tc>
      </w:tr>
      <w:tr>
        <w:trPr>
          <w:trHeight w:val="254"/>
        </w:trPr>
        <w:tc>
          <w:tcPr>
            <w:tcW w:w="4660" w:type="dxa"/>
            <w:vAlign w:val="bottom"/>
            <w:tcBorders>
              <w:left w:val="single" w:sz="8" w:color="auto"/>
            </w:tcBorders>
            <w:gridSpan w:val="4"/>
          </w:tcPr>
          <w:p>
            <w:pPr>
              <w:jc w:val="right"/>
              <w:ind w:right="1560"/>
              <w:spacing w:after="0"/>
              <w:rPr>
                <w:sz w:val="20"/>
                <w:szCs w:val="20"/>
                <w:color w:val="auto"/>
              </w:rPr>
            </w:pPr>
            <w:r>
              <w:rPr>
                <w:rFonts w:ascii="Arial" w:cs="Arial" w:eastAsia="Arial" w:hAnsi="Arial"/>
                <w:sz w:val="20"/>
                <w:szCs w:val="20"/>
                <w:color w:val="auto"/>
              </w:rPr>
              <w:t>&gt; 50%</w:t>
            </w:r>
          </w:p>
        </w:tc>
        <w:tc>
          <w:tcPr>
            <w:tcW w:w="1100" w:type="dxa"/>
            <w:vAlign w:val="bottom"/>
            <w:tcBorders>
              <w:right w:val="single" w:sz="8" w:color="auto"/>
            </w:tcBorders>
          </w:tcPr>
          <w:p>
            <w:pPr>
              <w:spacing w:after="0"/>
              <w:rPr>
                <w:sz w:val="22"/>
                <w:szCs w:val="22"/>
                <w:color w:val="auto"/>
              </w:rPr>
            </w:pPr>
          </w:p>
        </w:tc>
        <w:tc>
          <w:tcPr>
            <w:tcW w:w="4080" w:type="dxa"/>
            <w:vAlign w:val="bottom"/>
            <w:gridSpan w:val="2"/>
          </w:tcPr>
          <w:p>
            <w:pPr>
              <w:jc w:val="center"/>
              <w:ind w:left="1281"/>
              <w:spacing w:after="0"/>
              <w:rPr>
                <w:sz w:val="20"/>
                <w:szCs w:val="20"/>
                <w:color w:val="auto"/>
              </w:rPr>
            </w:pPr>
            <w:r>
              <w:rPr>
                <w:rFonts w:ascii="Arial" w:cs="Arial" w:eastAsia="Arial" w:hAnsi="Arial"/>
                <w:sz w:val="20"/>
                <w:szCs w:val="20"/>
                <w:color w:val="auto"/>
                <w:w w:val="91"/>
              </w:rPr>
              <w:t>0.250%</w:t>
            </w:r>
          </w:p>
        </w:tc>
        <w:tc>
          <w:tcPr>
            <w:tcW w:w="14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108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tcBorders>
              <w:left w:val="single" w:sz="8" w:color="auto"/>
            </w:tcBorders>
            <w:gridSpan w:val="4"/>
          </w:tcPr>
          <w:p>
            <w:pPr>
              <w:jc w:val="right"/>
              <w:ind w:right="1560"/>
              <w:spacing w:after="0" w:line="209" w:lineRule="exact"/>
              <w:rPr>
                <w:sz w:val="20"/>
                <w:szCs w:val="20"/>
                <w:color w:val="auto"/>
              </w:rPr>
            </w:pPr>
            <w:r>
              <w:rPr>
                <w:rFonts w:ascii="Arial" w:cs="Arial" w:eastAsia="Arial" w:hAnsi="Arial"/>
                <w:sz w:val="20"/>
                <w:szCs w:val="20"/>
                <w:color w:val="auto"/>
              </w:rPr>
              <w:t>&lt; 50%</w:t>
            </w:r>
          </w:p>
        </w:tc>
        <w:tc>
          <w:tcPr>
            <w:tcW w:w="1100" w:type="dxa"/>
            <w:vAlign w:val="bottom"/>
            <w:tcBorders>
              <w:right w:val="single" w:sz="8" w:color="auto"/>
            </w:tcBorders>
          </w:tcPr>
          <w:p>
            <w:pPr>
              <w:spacing w:after="0"/>
              <w:rPr>
                <w:sz w:val="18"/>
                <w:szCs w:val="18"/>
                <w:color w:val="auto"/>
              </w:rPr>
            </w:pPr>
          </w:p>
        </w:tc>
        <w:tc>
          <w:tcPr>
            <w:tcW w:w="4080" w:type="dxa"/>
            <w:vAlign w:val="bottom"/>
            <w:gridSpan w:val="2"/>
            <w:vMerge w:val="restart"/>
          </w:tcPr>
          <w:p>
            <w:pPr>
              <w:jc w:val="center"/>
              <w:ind w:left="1281"/>
              <w:spacing w:after="0"/>
              <w:rPr>
                <w:sz w:val="20"/>
                <w:szCs w:val="20"/>
                <w:color w:val="auto"/>
              </w:rPr>
            </w:pPr>
            <w:r>
              <w:rPr>
                <w:rFonts w:ascii="Arial" w:cs="Arial" w:eastAsia="Arial" w:hAnsi="Arial"/>
                <w:sz w:val="20"/>
                <w:szCs w:val="20"/>
                <w:color w:val="auto"/>
                <w:w w:val="91"/>
              </w:rPr>
              <w:t>0.375%</w:t>
            </w:r>
          </w:p>
        </w:tc>
        <w:tc>
          <w:tcPr>
            <w:tcW w:w="14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080" w:type="dxa"/>
            <w:vAlign w:val="bottom"/>
            <w:tcBorders>
              <w:left w:val="single" w:sz="8" w:color="auto"/>
            </w:tcBorders>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8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4080" w:type="dxa"/>
            <w:vAlign w:val="bottom"/>
            <w:gridSpan w:val="2"/>
            <w:vMerge w:val="continue"/>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08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purposes of the foregoing, each change in the Applicable Commitment Fee Rate resulting from a change in average daily Total Commitment Utilization shall be made on a quarterly basis and shall be effective on the first day of each quarter.</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for any day, with respect to any Loan, the applicable rate per annum set forth below under the caption “</w:t>
      </w:r>
      <w:r>
        <w:rPr>
          <w:rFonts w:ascii="Arial" w:cs="Arial" w:eastAsia="Arial" w:hAnsi="Arial"/>
          <w:sz w:val="20"/>
          <w:szCs w:val="20"/>
          <w:u w:val="single" w:color="auto"/>
          <w:color w:val="auto"/>
        </w:rPr>
        <w:t>Eurodollar Spread</w:t>
      </w:r>
      <w:r>
        <w:rPr>
          <w:rFonts w:ascii="Arial" w:cs="Arial" w:eastAsia="Arial" w:hAnsi="Arial"/>
          <w:sz w:val="20"/>
          <w:szCs w:val="20"/>
          <w:color w:val="auto"/>
        </w:rPr>
        <w:t>” or “</w:t>
      </w:r>
      <w:r>
        <w:rPr>
          <w:rFonts w:ascii="Arial" w:cs="Arial" w:eastAsia="Arial" w:hAnsi="Arial"/>
          <w:sz w:val="20"/>
          <w:szCs w:val="20"/>
          <w:u w:val="single" w:color="auto"/>
          <w:color w:val="auto"/>
        </w:rPr>
        <w:t>ABR Spread</w:t>
      </w:r>
      <w:r>
        <w:rPr>
          <w:rFonts w:ascii="Arial" w:cs="Arial" w:eastAsia="Arial" w:hAnsi="Arial"/>
          <w:sz w:val="20"/>
          <w:szCs w:val="20"/>
          <w:color w:val="auto"/>
        </w:rPr>
        <w:t xml:space="preserve">”, as the case may be, based upon the Average Quarterly Availability during the most recently ended fiscal quarter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“Applicable Rate” shall be the applicable rates per annum set forth below in Category 2 during the period from the Effective Date to, but excluding, the first day following the end of the first full fiscal quarter of the Company ending after the Effective Date:</w:t>
      </w:r>
    </w:p>
    <w:p>
      <w:pPr>
        <w:spacing w:after="0" w:line="327" w:lineRule="exact"/>
        <w:rPr>
          <w:sz w:val="20"/>
          <w:szCs w:val="20"/>
          <w:color w:val="auto"/>
        </w:rPr>
      </w:pPr>
    </w:p>
    <w:tbl>
      <w:tblPr>
        <w:tblLayout w:type="fixed"/>
        <w:tblInd w:w="250" w:type="dxa"/>
        <w:tblCellMar>
          <w:top w:w="0" w:type="dxa"/>
          <w:left w:w="0" w:type="dxa"/>
          <w:bottom w:w="0" w:type="dxa"/>
          <w:right w:w="0" w:type="dxa"/>
        </w:tblCellMar>
      </w:tblPr>
      <w:tr>
        <w:trPr>
          <w:trHeight w:val="297"/>
        </w:trPr>
        <w:tc>
          <w:tcPr>
            <w:tcW w:w="920" w:type="dxa"/>
            <w:vAlign w:val="bottom"/>
            <w:tcBorders>
              <w:top w:val="single" w:sz="8" w:color="auto"/>
              <w:left w:val="single" w:sz="8" w:color="auto"/>
              <w:bottom w:val="single" w:sz="8" w:color="auto"/>
            </w:tcBorders>
            <w:shd w:val="clear" w:color="auto" w:fill="E0E0E0"/>
          </w:tcPr>
          <w:p>
            <w:pPr>
              <w:spacing w:after="0"/>
              <w:rPr>
                <w:sz w:val="24"/>
                <w:szCs w:val="24"/>
                <w:color w:val="auto"/>
              </w:rPr>
            </w:pPr>
          </w:p>
        </w:tc>
        <w:tc>
          <w:tcPr>
            <w:tcW w:w="100" w:type="dxa"/>
            <w:vAlign w:val="bottom"/>
            <w:tcBorders>
              <w:top w:val="single" w:sz="8" w:color="auto"/>
              <w:bottom w:val="single" w:sz="8" w:color="auto"/>
            </w:tcBorders>
            <w:shd w:val="clear" w:color="auto" w:fill="E0E0E0"/>
          </w:tcPr>
          <w:p>
            <w:pPr>
              <w:spacing w:after="0"/>
              <w:rPr>
                <w:sz w:val="24"/>
                <w:szCs w:val="24"/>
                <w:color w:val="auto"/>
              </w:rPr>
            </w:pPr>
          </w:p>
        </w:tc>
        <w:tc>
          <w:tcPr>
            <w:tcW w:w="3840" w:type="dxa"/>
            <w:vAlign w:val="bottom"/>
            <w:tcBorders>
              <w:top w:val="single" w:sz="8" w:color="auto"/>
              <w:bottom w:val="single" w:sz="8" w:color="auto"/>
              <w:right w:val="single" w:sz="8" w:color="auto"/>
            </w:tcBorders>
            <w:gridSpan w:val="7"/>
            <w:shd w:val="clear" w:color="auto" w:fill="E0E0E0"/>
          </w:tcPr>
          <w:p>
            <w:pPr>
              <w:jc w:val="center"/>
              <w:ind w:right="1040"/>
              <w:spacing w:after="0"/>
              <w:rPr>
                <w:sz w:val="20"/>
                <w:szCs w:val="20"/>
                <w:color w:val="auto"/>
              </w:rPr>
            </w:pPr>
            <w:r>
              <w:rPr>
                <w:rFonts w:ascii="Arial" w:cs="Arial" w:eastAsia="Arial" w:hAnsi="Arial"/>
                <w:sz w:val="20"/>
                <w:szCs w:val="20"/>
                <w:color w:val="auto"/>
                <w:w w:val="93"/>
              </w:rPr>
              <w:t>Average Quarterly Availability</w:t>
            </w:r>
          </w:p>
        </w:tc>
        <w:tc>
          <w:tcPr>
            <w:tcW w:w="3060" w:type="dxa"/>
            <w:vAlign w:val="bottom"/>
            <w:tcBorders>
              <w:top w:val="single" w:sz="8" w:color="auto"/>
              <w:bottom w:val="single" w:sz="8" w:color="auto"/>
              <w:right w:val="single" w:sz="8" w:color="auto"/>
            </w:tcBorders>
            <w:gridSpan w:val="3"/>
            <w:shd w:val="clear" w:color="auto" w:fill="E0E0E0"/>
          </w:tcPr>
          <w:p>
            <w:pPr>
              <w:jc w:val="center"/>
              <w:ind w:right="60"/>
              <w:spacing w:after="0"/>
              <w:rPr>
                <w:sz w:val="20"/>
                <w:szCs w:val="20"/>
                <w:color w:val="auto"/>
              </w:rPr>
            </w:pPr>
            <w:r>
              <w:rPr>
                <w:rFonts w:ascii="Arial" w:cs="Arial" w:eastAsia="Arial" w:hAnsi="Arial"/>
                <w:sz w:val="20"/>
                <w:szCs w:val="20"/>
                <w:color w:val="auto"/>
                <w:w w:val="89"/>
              </w:rPr>
              <w:t>Eurodollar Spread</w:t>
            </w:r>
          </w:p>
        </w:tc>
        <w:tc>
          <w:tcPr>
            <w:tcW w:w="1000" w:type="dxa"/>
            <w:vAlign w:val="bottom"/>
            <w:tcBorders>
              <w:top w:val="single" w:sz="8" w:color="auto"/>
              <w:bottom w:val="single" w:sz="8" w:color="auto"/>
            </w:tcBorders>
            <w:shd w:val="clear" w:color="auto" w:fill="E0E0E0"/>
          </w:tcPr>
          <w:p>
            <w:pPr>
              <w:spacing w:after="0"/>
              <w:rPr>
                <w:sz w:val="24"/>
                <w:szCs w:val="24"/>
                <w:color w:val="auto"/>
              </w:rPr>
            </w:pPr>
          </w:p>
        </w:tc>
        <w:tc>
          <w:tcPr>
            <w:tcW w:w="2060" w:type="dxa"/>
            <w:vAlign w:val="bottom"/>
            <w:tcBorders>
              <w:top w:val="single" w:sz="8" w:color="auto"/>
              <w:bottom w:val="single" w:sz="8" w:color="auto"/>
              <w:right w:val="single" w:sz="8" w:color="auto"/>
            </w:tcBorders>
            <w:gridSpan w:val="2"/>
            <w:shd w:val="clear" w:color="auto" w:fill="E0E0E0"/>
          </w:tcPr>
          <w:p>
            <w:pPr>
              <w:jc w:val="center"/>
              <w:ind w:right="1040"/>
              <w:spacing w:after="0"/>
              <w:rPr>
                <w:sz w:val="20"/>
                <w:szCs w:val="20"/>
                <w:color w:val="auto"/>
              </w:rPr>
            </w:pPr>
            <w:r>
              <w:rPr>
                <w:rFonts w:ascii="Arial" w:cs="Arial" w:eastAsia="Arial" w:hAnsi="Arial"/>
                <w:sz w:val="20"/>
                <w:szCs w:val="20"/>
                <w:color w:val="auto"/>
                <w:w w:val="91"/>
              </w:rPr>
              <w:t>ABR Spread</w:t>
            </w:r>
          </w:p>
        </w:tc>
      </w:tr>
      <w:tr>
        <w:trPr>
          <w:trHeight w:val="210"/>
        </w:trPr>
        <w:tc>
          <w:tcPr>
            <w:tcW w:w="9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line="209" w:lineRule="exact"/>
              <w:rPr>
                <w:sz w:val="20"/>
                <w:szCs w:val="20"/>
                <w:color w:val="auto"/>
              </w:rPr>
            </w:pPr>
            <w:r>
              <w:rPr>
                <w:rFonts w:ascii="Arial" w:cs="Arial" w:eastAsia="Arial" w:hAnsi="Arial"/>
                <w:sz w:val="20"/>
                <w:szCs w:val="20"/>
                <w:color w:val="auto"/>
                <w:w w:val="89"/>
              </w:rPr>
              <w:t>Category 1</w:t>
            </w:r>
          </w:p>
        </w:tc>
        <w:tc>
          <w:tcPr>
            <w:tcW w:w="1980" w:type="dxa"/>
            <w:vAlign w:val="bottom"/>
            <w:tcBorders>
              <w:right w:val="single" w:sz="8" w:color="auto"/>
            </w:tcBorders>
            <w:gridSpan w:val="2"/>
          </w:tcPr>
          <w:p>
            <w:pPr>
              <w:spacing w:after="0"/>
              <w:rPr>
                <w:sz w:val="18"/>
                <w:szCs w:val="18"/>
                <w:color w:val="auto"/>
              </w:rPr>
            </w:pPr>
          </w:p>
        </w:tc>
        <w:tc>
          <w:tcPr>
            <w:tcW w:w="2220" w:type="dxa"/>
            <w:vAlign w:val="bottom"/>
            <w:gridSpan w:val="2"/>
          </w:tcPr>
          <w:p>
            <w:pPr>
              <w:jc w:val="center"/>
              <w:ind w:left="681"/>
              <w:spacing w:after="0" w:line="209" w:lineRule="exact"/>
              <w:rPr>
                <w:sz w:val="20"/>
                <w:szCs w:val="20"/>
                <w:color w:val="auto"/>
              </w:rPr>
            </w:pPr>
            <w:r>
              <w:rPr>
                <w:rFonts w:ascii="Arial" w:cs="Arial" w:eastAsia="Arial" w:hAnsi="Arial"/>
                <w:sz w:val="20"/>
                <w:szCs w:val="20"/>
                <w:color w:val="auto"/>
                <w:w w:val="91"/>
              </w:rPr>
              <w:t>1.50%</w:t>
            </w:r>
          </w:p>
        </w:tc>
        <w:tc>
          <w:tcPr>
            <w:tcW w:w="840" w:type="dxa"/>
            <w:vAlign w:val="bottom"/>
            <w:tcBorders>
              <w:right w:val="single" w:sz="8" w:color="auto"/>
            </w:tcBorders>
          </w:tcPr>
          <w:p>
            <w:pPr>
              <w:spacing w:after="0"/>
              <w:rPr>
                <w:sz w:val="18"/>
                <w:szCs w:val="18"/>
                <w:color w:val="auto"/>
              </w:rPr>
            </w:pPr>
          </w:p>
        </w:tc>
        <w:tc>
          <w:tcPr>
            <w:tcW w:w="2020" w:type="dxa"/>
            <w:vAlign w:val="bottom"/>
            <w:gridSpan w:val="2"/>
          </w:tcPr>
          <w:p>
            <w:pPr>
              <w:jc w:val="center"/>
              <w:ind w:left="901"/>
              <w:spacing w:after="0" w:line="209" w:lineRule="exact"/>
              <w:rPr>
                <w:sz w:val="20"/>
                <w:szCs w:val="20"/>
                <w:color w:val="auto"/>
              </w:rPr>
            </w:pPr>
            <w:r>
              <w:rPr>
                <w:rFonts w:ascii="Arial" w:cs="Arial" w:eastAsia="Arial" w:hAnsi="Arial"/>
                <w:sz w:val="20"/>
                <w:szCs w:val="20"/>
                <w:color w:val="auto"/>
                <w:w w:val="88"/>
              </w:rPr>
              <w:t>0.50%</w:t>
            </w:r>
          </w:p>
        </w:tc>
        <w:tc>
          <w:tcPr>
            <w:tcW w:w="1040" w:type="dxa"/>
            <w:vAlign w:val="bottom"/>
            <w:tcBorders>
              <w:right w:val="single" w:sz="8" w:color="auto"/>
            </w:tcBorders>
          </w:tcPr>
          <w:p>
            <w:pPr>
              <w:spacing w:after="0"/>
              <w:rPr>
                <w:sz w:val="18"/>
                <w:szCs w:val="18"/>
                <w:color w:val="auto"/>
              </w:rPr>
            </w:pPr>
          </w:p>
        </w:tc>
      </w:tr>
      <w:tr>
        <w:trPr>
          <w:trHeight w:val="254"/>
        </w:trPr>
        <w:tc>
          <w:tcPr>
            <w:tcW w:w="920" w:type="dxa"/>
            <w:vAlign w:val="bottom"/>
            <w:tcBorders>
              <w:left w:val="single" w:sz="8" w:color="auto"/>
            </w:tcBorders>
          </w:tcPr>
          <w:p>
            <w:pPr>
              <w:spacing w:after="0"/>
              <w:rPr>
                <w:sz w:val="22"/>
                <w:szCs w:val="22"/>
                <w:color w:val="auto"/>
              </w:rPr>
            </w:pPr>
          </w:p>
        </w:tc>
        <w:tc>
          <w:tcPr>
            <w:tcW w:w="3940" w:type="dxa"/>
            <w:vAlign w:val="bottom"/>
            <w:tcBorders>
              <w:right w:val="single" w:sz="8" w:color="auto"/>
            </w:tcBorders>
            <w:gridSpan w:val="8"/>
          </w:tcPr>
          <w:p>
            <w:pPr>
              <w:jc w:val="center"/>
              <w:ind w:right="900"/>
              <w:spacing w:after="0"/>
              <w:rPr>
                <w:sz w:val="20"/>
                <w:szCs w:val="20"/>
                <w:color w:val="auto"/>
              </w:rPr>
            </w:pPr>
            <w:r>
              <w:rPr>
                <w:rFonts w:ascii="Arial" w:cs="Arial" w:eastAsia="Arial" w:hAnsi="Arial"/>
                <w:sz w:val="20"/>
                <w:szCs w:val="20"/>
                <w:color w:val="auto"/>
                <w:w w:val="90"/>
              </w:rPr>
              <w:t>66% of the Aggregate Commitment</w:t>
            </w:r>
          </w:p>
        </w:tc>
        <w:tc>
          <w:tcPr>
            <w:tcW w:w="7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0"/>
        </w:trPr>
        <w:tc>
          <w:tcPr>
            <w:tcW w:w="9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Borders>
              <w:bottom w:val="single" w:sz="8" w:color="auto"/>
            </w:tcBorders>
            <w:gridSpan w:val="3"/>
          </w:tcPr>
          <w:p>
            <w:pPr>
              <w:jc w:val="center"/>
              <w:ind w:right="20"/>
              <w:spacing w:after="0" w:line="209" w:lineRule="exact"/>
              <w:rPr>
                <w:sz w:val="20"/>
                <w:szCs w:val="20"/>
                <w:color w:val="auto"/>
              </w:rPr>
            </w:pPr>
            <w:r>
              <w:rPr>
                <w:rFonts w:ascii="Arial" w:cs="Arial" w:eastAsia="Arial" w:hAnsi="Arial"/>
                <w:sz w:val="20"/>
                <w:szCs w:val="20"/>
                <w:color w:val="auto"/>
                <w:w w:val="89"/>
              </w:rPr>
              <w:t>Category 2</w:t>
            </w:r>
          </w:p>
        </w:tc>
        <w:tc>
          <w:tcPr>
            <w:tcW w:w="1980" w:type="dxa"/>
            <w:vAlign w:val="bottom"/>
            <w:tcBorders>
              <w:right w:val="single" w:sz="8" w:color="auto"/>
            </w:tcBorders>
            <w:gridSpan w:val="2"/>
          </w:tcPr>
          <w:p>
            <w:pPr>
              <w:spacing w:after="0"/>
              <w:rPr>
                <w:sz w:val="18"/>
                <w:szCs w:val="18"/>
                <w:color w:val="auto"/>
              </w:rPr>
            </w:pPr>
          </w:p>
        </w:tc>
        <w:tc>
          <w:tcPr>
            <w:tcW w:w="2220" w:type="dxa"/>
            <w:vAlign w:val="bottom"/>
            <w:gridSpan w:val="2"/>
          </w:tcPr>
          <w:p>
            <w:pPr>
              <w:jc w:val="center"/>
              <w:ind w:left="681"/>
              <w:spacing w:after="0" w:line="209" w:lineRule="exact"/>
              <w:rPr>
                <w:sz w:val="20"/>
                <w:szCs w:val="20"/>
                <w:color w:val="auto"/>
              </w:rPr>
            </w:pPr>
            <w:r>
              <w:rPr>
                <w:rFonts w:ascii="Arial" w:cs="Arial" w:eastAsia="Arial" w:hAnsi="Arial"/>
                <w:sz w:val="20"/>
                <w:szCs w:val="20"/>
                <w:color w:val="auto"/>
                <w:w w:val="91"/>
              </w:rPr>
              <w:t>1.75%</w:t>
            </w:r>
          </w:p>
        </w:tc>
        <w:tc>
          <w:tcPr>
            <w:tcW w:w="840" w:type="dxa"/>
            <w:vAlign w:val="bottom"/>
            <w:tcBorders>
              <w:right w:val="single" w:sz="8" w:color="auto"/>
            </w:tcBorders>
          </w:tcPr>
          <w:p>
            <w:pPr>
              <w:spacing w:after="0"/>
              <w:rPr>
                <w:sz w:val="18"/>
                <w:szCs w:val="18"/>
                <w:color w:val="auto"/>
              </w:rPr>
            </w:pPr>
          </w:p>
        </w:tc>
        <w:tc>
          <w:tcPr>
            <w:tcW w:w="2020" w:type="dxa"/>
            <w:vAlign w:val="bottom"/>
            <w:gridSpan w:val="2"/>
          </w:tcPr>
          <w:p>
            <w:pPr>
              <w:jc w:val="center"/>
              <w:ind w:left="901"/>
              <w:spacing w:after="0" w:line="209" w:lineRule="exact"/>
              <w:rPr>
                <w:sz w:val="20"/>
                <w:szCs w:val="20"/>
                <w:color w:val="auto"/>
              </w:rPr>
            </w:pPr>
            <w:r>
              <w:rPr>
                <w:rFonts w:ascii="Arial" w:cs="Arial" w:eastAsia="Arial" w:hAnsi="Arial"/>
                <w:sz w:val="20"/>
                <w:szCs w:val="20"/>
                <w:color w:val="auto"/>
                <w:w w:val="88"/>
              </w:rPr>
              <w:t>0.75%</w:t>
            </w:r>
          </w:p>
        </w:tc>
        <w:tc>
          <w:tcPr>
            <w:tcW w:w="1040" w:type="dxa"/>
            <w:vAlign w:val="bottom"/>
            <w:tcBorders>
              <w:right w:val="single" w:sz="8" w:color="auto"/>
            </w:tcBorders>
          </w:tcPr>
          <w:p>
            <w:pPr>
              <w:spacing w:after="0"/>
              <w:rPr>
                <w:sz w:val="18"/>
                <w:szCs w:val="18"/>
                <w:color w:val="auto"/>
              </w:rPr>
            </w:pPr>
          </w:p>
        </w:tc>
      </w:tr>
      <w:tr>
        <w:trPr>
          <w:trHeight w:val="233"/>
        </w:trPr>
        <w:tc>
          <w:tcPr>
            <w:tcW w:w="4860" w:type="dxa"/>
            <w:vAlign w:val="bottom"/>
            <w:tcBorders>
              <w:left w:val="single" w:sz="8" w:color="auto"/>
              <w:right w:val="single" w:sz="8" w:color="auto"/>
            </w:tcBorders>
            <w:gridSpan w:val="9"/>
          </w:tcPr>
          <w:p>
            <w:pPr>
              <w:jc w:val="center"/>
              <w:ind w:right="40"/>
              <w:spacing w:after="0"/>
              <w:rPr>
                <w:sz w:val="20"/>
                <w:szCs w:val="20"/>
                <w:color w:val="auto"/>
              </w:rPr>
            </w:pPr>
            <w:r>
              <w:rPr>
                <w:rFonts w:ascii="Arial" w:cs="Arial" w:eastAsia="Arial" w:hAnsi="Arial"/>
                <w:sz w:val="20"/>
                <w:szCs w:val="20"/>
                <w:color w:val="auto"/>
                <w:w w:val="90"/>
              </w:rPr>
              <w:t>&lt; 66% of the Aggregate Commitment but</w:t>
            </w:r>
          </w:p>
        </w:tc>
        <w:tc>
          <w:tcPr>
            <w:tcW w:w="7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40" w:type="dxa"/>
            <w:vAlign w:val="bottom"/>
            <w:tcBorders>
              <w:righ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r>
      <w:tr>
        <w:trPr>
          <w:trHeight w:val="206"/>
        </w:trPr>
        <w:tc>
          <w:tcPr>
            <w:tcW w:w="4860" w:type="dxa"/>
            <w:vAlign w:val="bottom"/>
            <w:tcBorders>
              <w:left w:val="single" w:sz="8" w:color="auto"/>
              <w:right w:val="single" w:sz="8" w:color="auto"/>
            </w:tcBorders>
            <w:gridSpan w:val="9"/>
          </w:tcPr>
          <w:p>
            <w:pPr>
              <w:jc w:val="center"/>
              <w:ind w:right="20"/>
              <w:spacing w:after="0" w:line="206" w:lineRule="exact"/>
              <w:rPr>
                <w:sz w:val="20"/>
                <w:szCs w:val="20"/>
                <w:color w:val="auto"/>
              </w:rPr>
            </w:pPr>
            <w:r>
              <w:rPr>
                <w:rFonts w:ascii="Arial" w:cs="Arial" w:eastAsia="Arial" w:hAnsi="Arial"/>
                <w:sz w:val="20"/>
                <w:szCs w:val="20"/>
                <w:color w:val="auto"/>
                <w:w w:val="91"/>
              </w:rPr>
              <w:t>&gt; 33% of the Aggregate Commitment</w:t>
            </w:r>
          </w:p>
        </w:tc>
        <w:tc>
          <w:tcPr>
            <w:tcW w:w="7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r>
      <w:tr>
        <w:trPr>
          <w:trHeight w:val="48"/>
        </w:trPr>
        <w:tc>
          <w:tcPr>
            <w:tcW w:w="920" w:type="dxa"/>
            <w:vAlign w:val="bottom"/>
            <w:tcBorders>
              <w:left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40" w:type="dxa"/>
            <w:vAlign w:val="bottom"/>
            <w:tcBorders>
              <w:bottom w:val="single" w:sz="8" w:color="auto"/>
              <w:right w:val="single" w:sz="8" w:color="auto"/>
            </w:tcBorders>
          </w:tcPr>
          <w:p>
            <w:pPr>
              <w:spacing w:after="0"/>
              <w:rPr>
                <w:sz w:val="4"/>
                <w:szCs w:val="4"/>
                <w:color w:val="auto"/>
              </w:rPr>
            </w:pPr>
          </w:p>
        </w:tc>
      </w:tr>
      <w:tr>
        <w:trPr>
          <w:trHeight w:val="210"/>
        </w:trPr>
        <w:tc>
          <w:tcPr>
            <w:tcW w:w="92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Borders>
              <w:right w:val="single" w:sz="8" w:color="auto"/>
            </w:tcBorders>
            <w:gridSpan w:val="5"/>
          </w:tcPr>
          <w:p>
            <w:pPr>
              <w:jc w:val="center"/>
              <w:ind w:right="2000"/>
              <w:spacing w:after="0" w:line="209" w:lineRule="exact"/>
              <w:rPr>
                <w:sz w:val="20"/>
                <w:szCs w:val="20"/>
                <w:color w:val="auto"/>
              </w:rPr>
            </w:pPr>
            <w:r>
              <w:rPr>
                <w:rFonts w:ascii="Arial" w:cs="Arial" w:eastAsia="Arial" w:hAnsi="Arial"/>
                <w:sz w:val="20"/>
                <w:szCs w:val="20"/>
                <w:color w:val="auto"/>
                <w:w w:val="89"/>
              </w:rPr>
              <w:t>Category 3</w:t>
            </w:r>
          </w:p>
        </w:tc>
        <w:tc>
          <w:tcPr>
            <w:tcW w:w="2220" w:type="dxa"/>
            <w:vAlign w:val="bottom"/>
            <w:gridSpan w:val="2"/>
          </w:tcPr>
          <w:p>
            <w:pPr>
              <w:jc w:val="center"/>
              <w:ind w:left="681"/>
              <w:spacing w:after="0" w:line="209" w:lineRule="exact"/>
              <w:rPr>
                <w:sz w:val="20"/>
                <w:szCs w:val="20"/>
                <w:color w:val="auto"/>
              </w:rPr>
            </w:pPr>
            <w:r>
              <w:rPr>
                <w:rFonts w:ascii="Arial" w:cs="Arial" w:eastAsia="Arial" w:hAnsi="Arial"/>
                <w:sz w:val="20"/>
                <w:szCs w:val="20"/>
                <w:color w:val="auto"/>
                <w:w w:val="91"/>
              </w:rPr>
              <w:t>2.00%</w:t>
            </w:r>
          </w:p>
        </w:tc>
        <w:tc>
          <w:tcPr>
            <w:tcW w:w="840" w:type="dxa"/>
            <w:vAlign w:val="bottom"/>
            <w:tcBorders>
              <w:right w:val="single" w:sz="8" w:color="auto"/>
            </w:tcBorders>
          </w:tcPr>
          <w:p>
            <w:pPr>
              <w:spacing w:after="0"/>
              <w:rPr>
                <w:sz w:val="18"/>
                <w:szCs w:val="18"/>
                <w:color w:val="auto"/>
              </w:rPr>
            </w:pPr>
          </w:p>
        </w:tc>
        <w:tc>
          <w:tcPr>
            <w:tcW w:w="2020" w:type="dxa"/>
            <w:vAlign w:val="bottom"/>
            <w:gridSpan w:val="2"/>
          </w:tcPr>
          <w:p>
            <w:pPr>
              <w:jc w:val="center"/>
              <w:ind w:left="901"/>
              <w:spacing w:after="0" w:line="209" w:lineRule="exact"/>
              <w:rPr>
                <w:sz w:val="20"/>
                <w:szCs w:val="20"/>
                <w:color w:val="auto"/>
              </w:rPr>
            </w:pPr>
            <w:r>
              <w:rPr>
                <w:rFonts w:ascii="Arial" w:cs="Arial" w:eastAsia="Arial" w:hAnsi="Arial"/>
                <w:sz w:val="20"/>
                <w:szCs w:val="20"/>
                <w:color w:val="auto"/>
                <w:w w:val="88"/>
              </w:rPr>
              <w:t>1.00%</w:t>
            </w:r>
          </w:p>
        </w:tc>
        <w:tc>
          <w:tcPr>
            <w:tcW w:w="1040" w:type="dxa"/>
            <w:vAlign w:val="bottom"/>
            <w:tcBorders>
              <w:right w:val="single" w:sz="8" w:color="auto"/>
            </w:tcBorders>
          </w:tcPr>
          <w:p>
            <w:pPr>
              <w:spacing w:after="0"/>
              <w:rPr>
                <w:sz w:val="18"/>
                <w:szCs w:val="18"/>
                <w:color w:val="auto"/>
              </w:rPr>
            </w:pPr>
          </w:p>
        </w:tc>
      </w:tr>
      <w:tr>
        <w:trPr>
          <w:trHeight w:val="20"/>
        </w:trPr>
        <w:tc>
          <w:tcPr>
            <w:tcW w:w="2000" w:type="dxa"/>
            <w:vAlign w:val="bottom"/>
            <w:tcBorders>
              <w:left w:val="single" w:sz="8" w:color="auto"/>
            </w:tcBorders>
            <w:gridSpan w:val="5"/>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0" w:type="dxa"/>
            <w:vAlign w:val="bottom"/>
            <w:tcBorders>
              <w:right w:val="single" w:sz="8" w:color="auto"/>
            </w:tcBorders>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r>
      <w:tr>
        <w:trPr>
          <w:trHeight w:val="254"/>
        </w:trPr>
        <w:tc>
          <w:tcPr>
            <w:tcW w:w="4860" w:type="dxa"/>
            <w:vAlign w:val="bottom"/>
            <w:tcBorders>
              <w:left w:val="single" w:sz="8" w:color="auto"/>
              <w:right w:val="single" w:sz="8" w:color="auto"/>
            </w:tcBorders>
            <w:gridSpan w:val="9"/>
          </w:tcPr>
          <w:p>
            <w:pPr>
              <w:jc w:val="center"/>
              <w:ind w:right="20"/>
              <w:spacing w:after="0"/>
              <w:rPr>
                <w:sz w:val="20"/>
                <w:szCs w:val="20"/>
                <w:color w:val="auto"/>
              </w:rPr>
            </w:pPr>
            <w:r>
              <w:rPr>
                <w:rFonts w:ascii="Arial" w:cs="Arial" w:eastAsia="Arial" w:hAnsi="Arial"/>
                <w:sz w:val="20"/>
                <w:szCs w:val="20"/>
                <w:color w:val="auto"/>
                <w:w w:val="91"/>
              </w:rPr>
              <w:t>&lt; 33% of the Aggregate Commitment</w:t>
            </w:r>
          </w:p>
        </w:tc>
        <w:tc>
          <w:tcPr>
            <w:tcW w:w="7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40" w:type="dxa"/>
            <w:vAlign w:val="bottom"/>
            <w:tcBorders>
              <w:right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40" w:type="dxa"/>
            <w:vAlign w:val="bottom"/>
            <w:tcBorders>
              <w:right w:val="single" w:sz="8" w:color="auto"/>
            </w:tcBorders>
          </w:tcPr>
          <w:p>
            <w:pPr>
              <w:spacing w:after="0"/>
              <w:rPr>
                <w:sz w:val="22"/>
                <w:szCs w:val="22"/>
                <w:color w:val="auto"/>
              </w:rPr>
            </w:pPr>
          </w:p>
        </w:tc>
      </w:tr>
      <w:tr>
        <w:trPr>
          <w:trHeight w:val="23"/>
        </w:trPr>
        <w:tc>
          <w:tcPr>
            <w:tcW w:w="92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purposes of the foregoing, each change in the Applicable Rate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Notwithstanding the foregoing, the Average Quarterly Availability shall be deemed to be in </w:t>
      </w:r>
      <w:r>
        <w:rPr>
          <w:rFonts w:ascii="Arial" w:cs="Arial" w:eastAsia="Arial" w:hAnsi="Arial"/>
          <w:sz w:val="20"/>
          <w:szCs w:val="20"/>
          <w:u w:val="single" w:color="auto"/>
          <w:color w:val="auto"/>
        </w:rPr>
        <w:t>Category 3</w:t>
      </w:r>
      <w:r>
        <w:rPr>
          <w:rFonts w:ascii="Arial" w:cs="Arial" w:eastAsia="Arial" w:hAnsi="Arial"/>
          <w:sz w:val="20"/>
          <w:szCs w:val="20"/>
          <w:color w:val="auto"/>
        </w:rPr>
        <w:t xml:space="preserve"> at the option of the Administrative Agent or at the request of the Required Lenders if the Borrowers fail to</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12" w:right="239" w:bottom="1440" w:gutter="0" w:footer="0" w:header="0"/>
        </w:sectPr>
      </w:pPr>
    </w:p>
    <w:bookmarkStart w:id="179" w:name="page180"/>
    <w:bookmarkEnd w:id="179"/>
    <w:p>
      <w:pPr>
        <w:jc w:val="both"/>
        <w:spacing w:after="0" w:line="250" w:lineRule="auto"/>
        <w:rPr>
          <w:sz w:val="20"/>
          <w:szCs w:val="20"/>
          <w:color w:val="auto"/>
        </w:rPr>
      </w:pPr>
      <w:r>
        <w:rPr>
          <w:rFonts w:ascii="Arial" w:cs="Arial" w:eastAsia="Arial" w:hAnsi="Arial"/>
          <w:sz w:val="20"/>
          <w:szCs w:val="20"/>
          <w:color w:val="auto"/>
        </w:rPr>
        <w:t xml:space="preserve">deliver any Aggregate Borrowing Base Certificate or Borrowing Base Certificate required to be delivered by them pursuant to </w:t>
      </w:r>
      <w:r>
        <w:rPr>
          <w:rFonts w:ascii="Arial" w:cs="Arial" w:eastAsia="Arial" w:hAnsi="Arial"/>
          <w:sz w:val="20"/>
          <w:szCs w:val="20"/>
          <w:u w:val="single" w:color="auto"/>
          <w:color w:val="auto"/>
        </w:rPr>
        <w:t>Section 5.01</w:t>
      </w:r>
      <w:r>
        <w:rPr>
          <w:rFonts w:ascii="Arial" w:cs="Arial" w:eastAsia="Arial" w:hAnsi="Arial"/>
          <w:sz w:val="20"/>
          <w:szCs w:val="20"/>
          <w:color w:val="auto"/>
        </w:rPr>
        <w:t>, during the period from the expiration of the time for delivery thereof until five (5) days after the date each such Aggregate Borrowing Base Certificate or Borrowing Base Certificates, as applicable, are so delivered.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agreement entered into by a Lender and an assignee (with the consent of any party whose consent is required by Section 9.04), and accepted by the Administrative Agent, in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approved by the Administrative Agent.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w:t>
      </w:r>
      <w:r>
        <w:rPr>
          <w:rFonts w:ascii="Arial" w:cs="Arial" w:eastAsia="Arial" w:hAnsi="Arial"/>
          <w:sz w:val="20"/>
          <w:szCs w:val="20"/>
          <w:color w:val="auto"/>
        </w:rPr>
        <w:t>” means, at any time:</w:t>
      </w:r>
    </w:p>
    <w:p>
      <w:pPr>
        <w:spacing w:after="0" w:line="216" w:lineRule="exact"/>
        <w:rPr>
          <w:sz w:val="20"/>
          <w:szCs w:val="20"/>
          <w:color w:val="auto"/>
        </w:rPr>
      </w:pPr>
    </w:p>
    <w:p>
      <w:pPr>
        <w:ind w:left="1580" w:hanging="275"/>
        <w:spacing w:after="0"/>
        <w:tabs>
          <w:tab w:leader="none" w:pos="158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 xml:space="preserve">with respect to the Company, an amount equal to the lesser of (i) an amount equal to (x) the Aggregate Commitment </w:t>
      </w:r>
      <w:r>
        <w:rPr>
          <w:rFonts w:ascii="Arial" w:cs="Arial" w:eastAsia="Arial" w:hAnsi="Arial"/>
          <w:sz w:val="18"/>
          <w:szCs w:val="18"/>
          <w:u w:val="single" w:color="auto"/>
          <w:color w:val="auto"/>
        </w:rPr>
        <w:t>minus</w:t>
      </w:r>
    </w:p>
    <w:p>
      <w:pPr>
        <w:spacing w:after="0" w:line="38" w:lineRule="exact"/>
        <w:rPr>
          <w:rFonts w:ascii="Arial" w:cs="Arial" w:eastAsia="Arial" w:hAnsi="Arial"/>
          <w:sz w:val="18"/>
          <w:szCs w:val="18"/>
          <w:color w:val="auto"/>
        </w:rPr>
      </w:pPr>
    </w:p>
    <w:p>
      <w:pPr>
        <w:ind w:firstLine="8"/>
        <w:spacing w:after="0" w:line="244" w:lineRule="auto"/>
        <w:tabs>
          <w:tab w:leader="none" w:pos="306" w:val="left"/>
        </w:tabs>
        <w:numPr>
          <w:ilvl w:val="0"/>
          <w:numId w:val="204"/>
        </w:numPr>
        <w:rPr>
          <w:rFonts w:ascii="Arial" w:cs="Arial" w:eastAsia="Arial" w:hAnsi="Arial"/>
          <w:sz w:val="20"/>
          <w:szCs w:val="20"/>
          <w:color w:val="auto"/>
        </w:rPr>
      </w:pPr>
      <w:r>
        <w:rPr>
          <w:rFonts w:ascii="Arial" w:cs="Arial" w:eastAsia="Arial" w:hAnsi="Arial"/>
          <w:sz w:val="20"/>
          <w:szCs w:val="20"/>
          <w:color w:val="auto"/>
        </w:rPr>
        <w:t xml:space="preserve">the Aggregate Revolving Exposure and (ii) an amount equal to (x) the Aggregate Borrowing Base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 Aggregate Revolving Exposure;</w:t>
      </w:r>
    </w:p>
    <w:p>
      <w:pPr>
        <w:spacing w:after="0" w:line="191" w:lineRule="exact"/>
        <w:rPr>
          <w:rFonts w:ascii="Arial" w:cs="Arial" w:eastAsia="Arial" w:hAnsi="Arial"/>
          <w:sz w:val="20"/>
          <w:szCs w:val="20"/>
          <w:color w:val="auto"/>
        </w:rPr>
      </w:pPr>
    </w:p>
    <w:p>
      <w:pPr>
        <w:jc w:val="both"/>
        <w:ind w:firstLine="1305"/>
        <w:spacing w:after="0" w:line="244" w:lineRule="auto"/>
        <w:tabs>
          <w:tab w:leader="none" w:pos="1624" w:val="left"/>
        </w:tabs>
        <w:numPr>
          <w:ilvl w:val="1"/>
          <w:numId w:val="204"/>
        </w:numPr>
        <w:rPr>
          <w:rFonts w:ascii="Arial" w:cs="Arial" w:eastAsia="Arial" w:hAnsi="Arial"/>
          <w:sz w:val="20"/>
          <w:szCs w:val="20"/>
          <w:color w:val="auto"/>
        </w:rPr>
      </w:pPr>
      <w:r>
        <w:rPr>
          <w:rFonts w:ascii="Arial" w:cs="Arial" w:eastAsia="Arial" w:hAnsi="Arial"/>
          <w:sz w:val="20"/>
          <w:szCs w:val="20"/>
          <w:color w:val="auto"/>
        </w:rPr>
        <w:t xml:space="preserve">with respect to Winnebago of Indiana, an amount equal to the lesser of (i) an amount equal to (x) the Aggregate Commitment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 Aggregate Revolving Exposure and (ii) an amount equal to (x) the sum of Winnebago of Indiana’s Borrowing Base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Company’s Borrowing Base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 sum of (A) the Winnebago of Indiana Revolving Exposures of all Lenders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excess, if any, of the aggregate Company Revolving Exposures of all Lenders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the Excess Grand Design Borrowing Base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Grand Design Utilization; and</w:t>
      </w:r>
    </w:p>
    <w:p>
      <w:pPr>
        <w:spacing w:after="0" w:line="194" w:lineRule="exact"/>
        <w:rPr>
          <w:rFonts w:ascii="Arial" w:cs="Arial" w:eastAsia="Arial" w:hAnsi="Arial"/>
          <w:sz w:val="20"/>
          <w:szCs w:val="20"/>
          <w:color w:val="auto"/>
        </w:rPr>
      </w:pPr>
    </w:p>
    <w:p>
      <w:pPr>
        <w:ind w:left="1580" w:hanging="275"/>
        <w:spacing w:after="0"/>
        <w:tabs>
          <w:tab w:leader="none" w:pos="15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 xml:space="preserve">with respect to Grand Design, an amount equal to the lesser of (i) an amount equal to (x) the Aggregate Commitment </w:t>
      </w:r>
      <w:r>
        <w:rPr>
          <w:rFonts w:ascii="Arial" w:cs="Arial" w:eastAsia="Arial" w:hAnsi="Arial"/>
          <w:sz w:val="18"/>
          <w:szCs w:val="18"/>
          <w:u w:val="single" w:color="auto"/>
          <w:color w:val="auto"/>
        </w:rPr>
        <w:t>minus</w:t>
      </w:r>
    </w:p>
    <w:p>
      <w:pPr>
        <w:spacing w:after="0" w:line="38" w:lineRule="exact"/>
        <w:rPr>
          <w:rFonts w:ascii="Arial" w:cs="Arial" w:eastAsia="Arial" w:hAnsi="Arial"/>
          <w:sz w:val="18"/>
          <w:szCs w:val="18"/>
          <w:color w:val="auto"/>
        </w:rPr>
      </w:pPr>
    </w:p>
    <w:p>
      <w:pPr>
        <w:jc w:val="both"/>
        <w:ind w:firstLine="8"/>
        <w:spacing w:after="0" w:line="241" w:lineRule="auto"/>
        <w:tabs>
          <w:tab w:leader="none" w:pos="315" w:val="left"/>
        </w:tabs>
        <w:numPr>
          <w:ilvl w:val="0"/>
          <w:numId w:val="205"/>
        </w:numPr>
        <w:rPr>
          <w:rFonts w:ascii="Arial" w:cs="Arial" w:eastAsia="Arial" w:hAnsi="Arial"/>
          <w:sz w:val="20"/>
          <w:szCs w:val="20"/>
          <w:color w:val="auto"/>
        </w:rPr>
      </w:pPr>
      <w:r>
        <w:rPr>
          <w:rFonts w:ascii="Arial" w:cs="Arial" w:eastAsia="Arial" w:hAnsi="Arial"/>
          <w:sz w:val="20"/>
          <w:szCs w:val="20"/>
          <w:color w:val="auto"/>
        </w:rPr>
        <w:t xml:space="preserve">the Aggregate Revolving Exposure and (ii) an amount equal to (x) the sum of Grand Design’s Borrowing Base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Company’s Borrowing Base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(y) the sum of (A) the Grand Design Revolving Exposures of all Lenders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excess, if any, of the aggregate Company Revolving Exposures of all Lenders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the Excess Winnebago of Indiana Borrowing Base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Winnebago of Indiana Utilization.</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means the period from and including the Effective Date to but excluding the earlier of the Maturity Date and the date of termination of the Commitments.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Commitment</w:t>
      </w:r>
      <w:r>
        <w:rPr>
          <w:rFonts w:ascii="Arial" w:cs="Arial" w:eastAsia="Arial" w:hAnsi="Arial"/>
          <w:sz w:val="19"/>
          <w:szCs w:val="19"/>
          <w:color w:val="auto"/>
        </w:rPr>
        <w:t xml:space="preserve">” means, at any time, the Aggregate Commitment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Aggregate Revolving Exposure.</w:t>
      </w:r>
    </w:p>
    <w:p>
      <w:pPr>
        <w:spacing w:after="0" w:line="22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Quarterly Availability</w:t>
      </w:r>
      <w:r>
        <w:rPr>
          <w:rFonts w:ascii="Arial" w:cs="Arial" w:eastAsia="Arial" w:hAnsi="Arial"/>
          <w:sz w:val="20"/>
          <w:szCs w:val="20"/>
          <w:color w:val="auto"/>
        </w:rPr>
        <w:t xml:space="preserve">” means, for any fiscal quarter of the Company, an amount equal to the average daily Aggregate Availability during such fiscal quarter, as determined by the Administrative Agent;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order to determine Aggregate Availability on any day for purposes of this definition, the Aggregate Borrowing Base and each Borrower’s Borrowing Base for such day shall be determined by reference to the most recent Aggregate Borrowing Base Certificate and each other Borrowing Base Certificate delivered to the Administrative Agent pursuant to </w:t>
      </w:r>
      <w:r>
        <w:rPr>
          <w:rFonts w:ascii="Arial" w:cs="Arial" w:eastAsia="Arial" w:hAnsi="Arial"/>
          <w:sz w:val="20"/>
          <w:szCs w:val="20"/>
          <w:u w:val="single" w:color="auto"/>
          <w:color w:val="auto"/>
        </w:rPr>
        <w:t>Section 5.01(f)</w:t>
      </w:r>
      <w:r>
        <w:rPr>
          <w:rFonts w:ascii="Arial" w:cs="Arial" w:eastAsia="Arial" w:hAnsi="Arial"/>
          <w:sz w:val="20"/>
          <w:szCs w:val="20"/>
          <w:color w:val="auto"/>
        </w:rPr>
        <w:t xml:space="preserve"> as of such day.</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EEA Resolution Authority in respect of any liability of an EEA Financial Institution.</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with respect to any EEA Member Country implementing Article 55 of Directive 2014/59/EU of the European Parliament and of the Council of the European Union,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812" w:right="239" w:bottom="1440" w:gutter="0" w:footer="0" w:header="0"/>
        </w:sectPr>
      </w:pPr>
    </w:p>
    <w:bookmarkStart w:id="180" w:name="page181"/>
    <w:bookmarkEnd w:id="180"/>
    <w:p>
      <w:pPr>
        <w:spacing w:after="0"/>
        <w:rPr>
          <w:sz w:val="20"/>
          <w:szCs w:val="20"/>
          <w:color w:val="auto"/>
        </w:rPr>
      </w:pPr>
      <w:r>
        <w:rPr>
          <w:rFonts w:ascii="Arial" w:cs="Arial" w:eastAsia="Arial" w:hAnsi="Arial"/>
          <w:sz w:val="20"/>
          <w:szCs w:val="20"/>
          <w:color w:val="auto"/>
        </w:rPr>
        <w:t>the implementing law for such EEA Member Country from time to time which is described in the EU Bail-In Legislation Schedule.</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w:t>
      </w:r>
      <w:r>
        <w:rPr>
          <w:rFonts w:ascii="Arial" w:cs="Arial" w:eastAsia="Arial" w:hAnsi="Arial"/>
          <w:sz w:val="20"/>
          <w:szCs w:val="20"/>
          <w:color w:val="auto"/>
        </w:rPr>
        <w:t>” means each and any of the following bank services provided to the Company or any Subsidiary by any Lender or any of its Affiliates: (a) credit cards for commercial customers (including, without limitation, commercial credit cards and purchasing cards), (b) stored value cards, (c) merchant processing services, (d) treasury management services (including, without limitation, controlled disbursement, automated clearinghouse transactions, return items, any direct debit scheme or arrangement, overdrafts and interstate depository network services) and (e) Lease Financing.</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Agreement</w:t>
      </w:r>
      <w:r>
        <w:rPr>
          <w:rFonts w:ascii="Arial" w:cs="Arial" w:eastAsia="Arial" w:hAnsi="Arial"/>
          <w:sz w:val="20"/>
          <w:szCs w:val="20"/>
          <w:color w:val="auto"/>
        </w:rPr>
        <w:t>” means any agreement entered into by the Company or any Subsidiary in connection with Banking Services.</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Obligations</w:t>
      </w:r>
      <w:r>
        <w:rPr>
          <w:rFonts w:ascii="Arial" w:cs="Arial" w:eastAsia="Arial" w:hAnsi="Arial"/>
          <w:sz w:val="20"/>
          <w:szCs w:val="20"/>
          <w:color w:val="auto"/>
        </w:rPr>
        <w:t xml:space="preserve">” means any and all obligations of the Company and its Subsidiaries, whether absolute or contingent and howsoever and whensoever created, arising, evidenced or acquired (including all renewals, extensions and modifications thereof and substitutions therefor) in connection with Banking Services;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Banking Services Obligations in respect of Lease Financing shall be limited to Lease Deficiency Obligations.</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Banking Services Reserves</w:t>
      </w:r>
      <w:r>
        <w:rPr>
          <w:rFonts w:ascii="Arial" w:cs="Arial" w:eastAsia="Arial" w:hAnsi="Arial"/>
          <w:sz w:val="20"/>
          <w:szCs w:val="20"/>
          <w:color w:val="auto"/>
        </w:rPr>
        <w:t>” means all Reserves which the Administrative Agent from time to time establishes in its Permitted Discretion for Banking Services then provided or outstanding.</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entitled “Bankruptcy”, as now and hereafter in effect, or any successor statute.</w:t>
      </w:r>
    </w:p>
    <w:p>
      <w:pPr>
        <w:spacing w:after="0" w:line="17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Bankruptcy Event</w:t>
      </w:r>
      <w:r>
        <w:rPr>
          <w:rFonts w:ascii="Arial" w:cs="Arial" w:eastAsia="Arial" w:hAnsi="Arial"/>
          <w:sz w:val="19"/>
          <w:szCs w:val="19"/>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Governors of the Federal Reserve System of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Bond Hedge Transaction</w:t>
      </w:r>
      <w:r>
        <w:rPr>
          <w:rFonts w:ascii="Arial" w:cs="Arial" w:eastAsia="Arial" w:hAnsi="Arial"/>
          <w:sz w:val="19"/>
          <w:szCs w:val="19"/>
          <w:color w:val="auto"/>
        </w:rPr>
        <w:t>” has the meaning assigned to such term in the definition of “Permitted Call Spread Swap</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or “</w:t>
      </w:r>
      <w:r>
        <w:rPr>
          <w:rFonts w:ascii="Arial" w:cs="Arial" w:eastAsia="Arial" w:hAnsi="Arial"/>
          <w:sz w:val="20"/>
          <w:szCs w:val="20"/>
          <w:u w:val="single" w:color="auto"/>
          <w:color w:val="auto"/>
        </w:rPr>
        <w:t>Borrowers</w:t>
      </w:r>
      <w:r>
        <w:rPr>
          <w:rFonts w:ascii="Arial" w:cs="Arial" w:eastAsia="Arial" w:hAnsi="Arial"/>
          <w:sz w:val="20"/>
          <w:szCs w:val="20"/>
          <w:color w:val="auto"/>
        </w:rPr>
        <w:t>” means, individually or collectively, (a) the Company, (b) Winnebago of Indiana and (c) after giving effect to the Grand Design Acquisition, Grand Design.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Representative</w:t>
      </w:r>
      <w:r>
        <w:rPr>
          <w:rFonts w:ascii="Arial" w:cs="Arial" w:eastAsia="Arial" w:hAnsi="Arial"/>
          <w:sz w:val="20"/>
          <w:szCs w:val="20"/>
          <w:color w:val="auto"/>
        </w:rPr>
        <w:t>” has the meaning assigned to such term in Section 11.01.</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Revolving Loans of the same Type, made, converted or continued on the same date and, in the case of Eurodollar Loans, as to which a single Interest Period is in effect, (b)</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811" w:right="239" w:bottom="1440" w:gutter="0" w:footer="0" w:header="0"/>
        </w:sectPr>
      </w:pPr>
    </w:p>
    <w:bookmarkStart w:id="181" w:name="page182"/>
    <w:bookmarkEnd w:id="181"/>
    <w:p>
      <w:pPr>
        <w:jc w:val="both"/>
        <w:spacing w:after="0" w:line="260" w:lineRule="auto"/>
        <w:rPr>
          <w:sz w:val="20"/>
          <w:szCs w:val="20"/>
          <w:color w:val="auto"/>
        </w:rPr>
      </w:pPr>
      <w:r>
        <w:rPr>
          <w:rFonts w:ascii="Arial" w:cs="Arial" w:eastAsia="Arial" w:hAnsi="Arial"/>
          <w:sz w:val="20"/>
          <w:szCs w:val="20"/>
          <w:color w:val="auto"/>
        </w:rPr>
        <w:t>Loans of the same Type, made, converted or continued on the same date and, in the case of Eurodollar Loans, as to which a single Interest Period is in effect, (c) a Swingline Loan, (d) a Protective Advance and (e) an Overadvance.</w:t>
      </w:r>
    </w:p>
    <w:p>
      <w:pPr>
        <w:spacing w:after="0" w:line="17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w:t>
      </w:r>
      <w:r>
        <w:rPr>
          <w:rFonts w:ascii="Arial" w:cs="Arial" w:eastAsia="Arial" w:hAnsi="Arial"/>
          <w:sz w:val="19"/>
          <w:szCs w:val="19"/>
          <w:color w:val="auto"/>
        </w:rPr>
        <w:t xml:space="preserve">” means, at any time, with respect to each Borrower, the sum of (a) 85% of an amount equal to (i) such Borrower’s Eligible Accounts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Specified Reserves with respect to such Borrower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lesser of (i) 75% of such Borrower’s Eligible Inventory (other than any Eligible Non-Perpetual Inventory), at such time, valued at the lower of cost or market value, determined on a first-in-first-out basis and (ii) the product of 85%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most recent inventory appraisal ordered by the Administrative Agent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such Borrower’s Eligible Inventory (other than any Eligible Non-Perpetual Inventory), valued at the lower of cost or market value, determined on a first-in-first-out basis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lesser of (i) 55% of such Borrower’s Eligible Non-Perpetual Inventory, at such time, valued at the lower of cost or market value, determined on a first-in-first-out basis and (ii) the product of 65%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most recent inventory appraisal ordered by the Administrative Agent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such Borrower’s Eligible Non-Perpetual Inventory, valued at the lower of cost or market value, determined on a first-in-first-out basis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Reserves (other than the Specified Reserves) related to such Borrower, such Eligible Accounts or such Eligible Inventory.</w:t>
      </w:r>
    </w:p>
    <w:p>
      <w:pPr>
        <w:spacing w:after="0" w:line="18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9"/>
          <w:szCs w:val="19"/>
          <w:color w:val="auto"/>
        </w:rPr>
        <w:t xml:space="preserve">Notwithstanding the foregoing, until the first date on which the Administrative Agent shall have received an Acceptable Inventory Appraisal and an Acceptable Field Examination shall have been completed, the Borrowing Base with respect to any Borrower shall be deemed to be an amount, at any time, equal to the sum of (A) 75% of an amount equal to (x) the book value of the Eligible Accounts of such Borrower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(y) the Specified Reserves with respect to such Borrower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lesser of (1) 65% of such Borrower’s Eligible Inventory (other than any Eligible Non-Perpetual Inventory), at such time, valued at the lower of cost or market value, determined on a first-in-first-out basis and (2) the product of 75%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most recent Inventory appraisal (the “</w:t>
      </w:r>
      <w:r>
        <w:rPr>
          <w:rFonts w:ascii="Arial" w:cs="Arial" w:eastAsia="Arial" w:hAnsi="Arial"/>
          <w:sz w:val="19"/>
          <w:szCs w:val="19"/>
          <w:u w:val="single" w:color="auto"/>
          <w:color w:val="auto"/>
        </w:rPr>
        <w:t>Specified Appraisal</w:t>
      </w:r>
      <w:r>
        <w:rPr>
          <w:rFonts w:ascii="Arial" w:cs="Arial" w:eastAsia="Arial" w:hAnsi="Arial"/>
          <w:sz w:val="19"/>
          <w:szCs w:val="19"/>
          <w:color w:val="auto"/>
        </w:rPr>
        <w:t xml:space="preserve">”) completed in connection with the Existing Credit Agreement and furnished to the Administrative Agent prior to the Effective Date (or, with respect to Eligible Inventory acquired pursuant to the Grand Design Acquisition, the net orderly liquidation value percentage identified in the most recent draft appraisal of such Inventory provided by the Company to the Administrative Agent prior to the Effective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such Borrower’s Eligible Inventory (other than any Eligible Non-Perpetual Inventory), valued at the lower of cost or market value, determined on a first-in-first-out basis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lesser of (1) 45% of such Borrower’s Eligible Non-Perpetual Inventory, at such time, valued at the lower of cost or market value, determined on a first-in-first-out basis and (2) the product of 55%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Specified Appraisal (or, with respect to Eligible Non-Perpetual Inventory acquired pursuant to the Grand Design Acquisition, the net orderly liquidation value percentage identified in the most recent draft appraisal of such Inventory provided by the Company to the Administrative Agent prior to the Effective Date)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such Borrower’s Eligible Non-Perpetual Inventory, valued at the lower of cost or market value, determined on a first-in-first-out basis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Reserves (other than Specified Reserves).</w:t>
      </w:r>
    </w:p>
    <w:p>
      <w:pPr>
        <w:spacing w:after="0" w:line="188"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xml:space="preserve">” means a certificate, signed and certified as accurate and complete by a Financial Officer of the Borrower Representative, in substantially the form of </w:t>
      </w:r>
      <w:r>
        <w:rPr>
          <w:rFonts w:ascii="Arial" w:cs="Arial" w:eastAsia="Arial" w:hAnsi="Arial"/>
          <w:sz w:val="20"/>
          <w:szCs w:val="20"/>
          <w:u w:val="single" w:color="auto"/>
          <w:color w:val="auto"/>
        </w:rPr>
        <w:t>Exhibit B-1</w:t>
      </w:r>
      <w:r>
        <w:rPr>
          <w:rFonts w:ascii="Arial" w:cs="Arial" w:eastAsia="Arial" w:hAnsi="Arial"/>
          <w:sz w:val="20"/>
          <w:szCs w:val="20"/>
          <w:color w:val="auto"/>
        </w:rPr>
        <w:t xml:space="preserve"> or another form which is acceptable to the Administrative Agent in its sole discretion.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Request</w:t>
      </w:r>
      <w:r>
        <w:rPr>
          <w:rFonts w:ascii="Arial" w:cs="Arial" w:eastAsia="Arial" w:hAnsi="Arial"/>
          <w:sz w:val="19"/>
          <w:szCs w:val="19"/>
          <w:color w:val="auto"/>
        </w:rPr>
        <w:t xml:space="preserve">” means a request by the Borrower Representative for a Borrowing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w:t>
      </w:r>
      <w:r>
        <w:rPr>
          <w:rFonts w:ascii="Arial" w:cs="Arial" w:eastAsia="Arial" w:hAnsi="Arial"/>
          <w:sz w:val="19"/>
          <w:szCs w:val="19"/>
          <w:u w:val="single" w:color="auto"/>
          <w:color w:val="auto"/>
        </w:rPr>
        <w:t>03</w:t>
      </w:r>
      <w:r>
        <w:rPr>
          <w:rFonts w:ascii="Arial" w:cs="Arial" w:eastAsia="Arial" w:hAnsi="Arial"/>
          <w:sz w:val="19"/>
          <w:szCs w:val="19"/>
          <w:color w:val="auto"/>
        </w:rPr>
        <w: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812" w:right="239" w:bottom="1440" w:gutter="0" w:footer="0" w:header="0"/>
        </w:sectPr>
      </w:pPr>
    </w:p>
    <w:bookmarkStart w:id="182" w:name="page183"/>
    <w:bookmarkEnd w:id="182"/>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Burdensome Restrictions</w:t>
      </w:r>
      <w:r>
        <w:rPr>
          <w:rFonts w:ascii="Arial" w:cs="Arial" w:eastAsia="Arial" w:hAnsi="Arial"/>
          <w:sz w:val="20"/>
          <w:szCs w:val="20"/>
          <w:color w:val="auto"/>
        </w:rPr>
        <w:t>” means any consensual encumbrance or restriction of the type described in clause (a) or (b) of Section 6.11 (without giving effect to any exceptions described in clauses (i) and (ii) of the proviso to Section 6.11).</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xml:space="preserve">” means any day that is not a Saturday, Sunday or other day on which commercial banks in New York City are authorized or required by law to remain closed;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when used in connection with a Eurodollar Loan, the term “</w:t>
      </w:r>
      <w:r>
        <w:rPr>
          <w:rFonts w:ascii="Arial" w:cs="Arial" w:eastAsia="Arial" w:hAnsi="Arial"/>
          <w:sz w:val="20"/>
          <w:szCs w:val="20"/>
          <w:u w:val="single" w:color="auto"/>
          <w:color w:val="auto"/>
        </w:rPr>
        <w:t>Business Day</w:t>
      </w:r>
      <w:r>
        <w:rPr>
          <w:rFonts w:ascii="Arial" w:cs="Arial" w:eastAsia="Arial" w:hAnsi="Arial"/>
          <w:sz w:val="20"/>
          <w:szCs w:val="20"/>
          <w:color w:val="auto"/>
        </w:rPr>
        <w:t>” shall also exclude any day on which banks are not open for general business in London.</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Canadian Dollars</w:t>
      </w:r>
      <w:r>
        <w:rPr>
          <w:rFonts w:ascii="Arial" w:cs="Arial" w:eastAsia="Arial" w:hAnsi="Arial"/>
          <w:sz w:val="20"/>
          <w:szCs w:val="20"/>
          <w:color w:val="auto"/>
        </w:rPr>
        <w:t>” and “</w:t>
      </w:r>
      <w:r>
        <w:rPr>
          <w:rFonts w:ascii="Arial" w:cs="Arial" w:eastAsia="Arial" w:hAnsi="Arial"/>
          <w:sz w:val="20"/>
          <w:szCs w:val="20"/>
          <w:u w:val="single" w:color="auto"/>
          <w:color w:val="auto"/>
        </w:rPr>
        <w:t>Cdn</w:t>
      </w: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means dollars in the lawful currency of Canada.</w:t>
      </w:r>
    </w:p>
    <w:p>
      <w:pPr>
        <w:spacing w:after="0" w:line="21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for any period, (a) the additions to property, plant and equipment and other capital expenditures of the Company and its Subsidiaries that are (or should be) set forth in a consolidated statement of cash flows of the Company and its Subsidiaries for such period prepared in accordance with GAAP, excluding (i) any such expenditures made to restore, replace or rebuild assets to the condition of such assets immediately prior to any casualty or other insured damage to, or any taking under power of eminent domain or by condemnation or similar proceeding of, such assets to the extent such expenditures are made with insurance proceeds, condemnation awards or damage recovery proceeds relating to any such casualty, damage, taking, condemnation or similar proceeding, (ii) any such expenditures constituting Permitted Acquisitions or any other acquisition of all the Equity Interests in, or all or substantially all the assets of (or the assets constituting a business unit, division, product line or line of business of), any Person and related costs and expenses and (iii) any such expenditures in the form of a substantially contemporaneous exchange of similar property, plant, equipment or other capital assets, except to the extent of cash or other consideration (other than the assets so exchanged), if any, paid or payable by the Company and its Subsidiaries, and (b) such portion of principal payments on Capital Lease Obligations made by the Company and its Subsidiaries during such period as is attributable to additions to property, plant and equipment that have not otherwise been reflected on the consolidated statement of cash flows as additions to property, plant and equipment for such period.</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 Obligations</w:t>
      </w:r>
      <w:r>
        <w:rPr>
          <w:rFonts w:ascii="Arial" w:cs="Arial" w:eastAsia="Arial" w:hAnsi="Arial"/>
          <w:sz w:val="20"/>
          <w:szCs w:val="20"/>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 obligations on a balance sheet of such Person under GAAP, and the amount of such obligations shall be the capitalized amount thereof determined in accordance with GAAP.</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any Subsidiary organized under the laws of any jurisdiction other than the United States of America, any state thereof or the District of Columbia, that is a “controlled foreign corporation” for purposes of Section 957 of the Code.</w:t>
      </w:r>
    </w:p>
    <w:p>
      <w:pPr>
        <w:spacing w:after="0" w:line="17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(b) occupation at any time of a majority of the seats (other than vacant seats) on the board of directors of the Company by Persons who were neither (i) nominated, appointed or approved for consideration by shareholders for election by the board of directors of the Company nor (ii) appointed by the directors of the Company so nominated, appointed or approved; (c) the acquisition of direct or indirect Control of the Company by any Person or group; (d) the occurrence of a change in control, or other similar provision, as defined in any agreement or instrument evidencing any Material Indebtedness (triggering 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812" w:right="239" w:bottom="1440" w:gutter="0" w:footer="0" w:header="0"/>
        </w:sectPr>
      </w:pPr>
    </w:p>
    <w:bookmarkStart w:id="183" w:name="page184"/>
    <w:bookmarkEnd w:id="183"/>
    <w:p>
      <w:pPr>
        <w:jc w:val="both"/>
        <w:spacing w:after="0" w:line="316" w:lineRule="auto"/>
        <w:rPr>
          <w:sz w:val="20"/>
          <w:szCs w:val="20"/>
          <w:color w:val="auto"/>
        </w:rPr>
      </w:pPr>
      <w:r>
        <w:rPr>
          <w:rFonts w:ascii="Arial" w:cs="Arial" w:eastAsia="Arial" w:hAnsi="Arial"/>
          <w:sz w:val="18"/>
          <w:szCs w:val="18"/>
          <w:color w:val="auto"/>
        </w:rPr>
        <w:t>default or mandatory prepayment, which default or mandatory prepayment has not been waived in writing); or (e) the Company ceases to own, directly or indirectly, and Control 100% (other than directors’ qualifying shares) of the ordinary voting and economic power of any Borrower.</w:t>
      </w:r>
    </w:p>
    <w:p>
      <w:pPr>
        <w:spacing w:after="0" w:line="13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compliance by any Lender or any Issuing Bank (or, for purposes of Section 2.15(b), by any lending office of such Lender or by such Lender's or such Issuing Bank’s holding company, if any) with any request, rules, guideline, requirement or directive (whether or not having the force of law) by any Governmental Authority;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w:t>
      </w:r>
      <w:r>
        <w:rPr>
          <w:rFonts w:ascii="Arial" w:cs="Arial" w:eastAsia="Arial" w:hAnsi="Arial"/>
          <w:sz w:val="20"/>
          <w:szCs w:val="20"/>
          <w:color w:val="auto"/>
        </w:rPr>
        <w:t>” when used in reference to any Loan or Borrowing, refers to whether such Loan, or the Loans comprising such Borrowing, are Revolving Loans, Swingline Loans, Protective Advances or Overadvances.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 from time to time.</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xml:space="preserve">” means any and all property owned by a Person covered by the Collateral Documents and any and all other property of any Loan Party, now existing or hereafter acquired, that may at any time be or become subject to a security interest or Lien in favor of the Administrative Agent, on behalf of itself and the Secured Parties, to secure the Secured Obligations;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no case shall the “Collateral” include any Excluded Assets.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Documents</w:t>
      </w:r>
      <w:r>
        <w:rPr>
          <w:rFonts w:ascii="Arial" w:cs="Arial" w:eastAsia="Arial" w:hAnsi="Arial"/>
          <w:sz w:val="20"/>
          <w:szCs w:val="20"/>
          <w:color w:val="auto"/>
        </w:rPr>
        <w:t>” means, collectively, the Security Agreement, the Mortgages and all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heretofore, now, or hereafter executed by the Company or any of its Subsidiaries and delivered to the Administrative Agent.</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 Account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 LC Exposure</w:t>
      </w:r>
      <w:r>
        <w:rPr>
          <w:rFonts w:ascii="Arial" w:cs="Arial" w:eastAsia="Arial" w:hAnsi="Arial"/>
          <w:sz w:val="20"/>
          <w:szCs w:val="20"/>
          <w:color w:val="auto"/>
        </w:rPr>
        <w:t xml:space="preserve">” means, at any time, the sum of (a) the aggregate undrawn amount of all outstanding commercial Letters of Credit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all LC Disbursements relating to commercial Letters of Credit that have not yet been reimbursed by or on behalf of the Borrowers.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812" w:right="239" w:bottom="1440" w:gutter="0" w:footer="0" w:header="0"/>
        </w:sectPr>
      </w:pPr>
    </w:p>
    <w:bookmarkStart w:id="184" w:name="page185"/>
    <w:bookmarkEnd w:id="184"/>
    <w:p>
      <w:pPr>
        <w:jc w:val="both"/>
        <w:spacing w:after="0" w:line="260" w:lineRule="auto"/>
        <w:rPr>
          <w:sz w:val="20"/>
          <w:szCs w:val="20"/>
          <w:color w:val="auto"/>
        </w:rPr>
      </w:pPr>
      <w:r>
        <w:rPr>
          <w:rFonts w:ascii="Arial" w:cs="Arial" w:eastAsia="Arial" w:hAnsi="Arial"/>
          <w:sz w:val="20"/>
          <w:szCs w:val="20"/>
          <w:color w:val="auto"/>
        </w:rPr>
        <w:t>The Commercial LC Exposure of any Lender at any time shall be its Applicable Percentage of the aggregate Commercial LC Exposure at such time.</w:t>
      </w:r>
    </w:p>
    <w:p>
      <w:pPr>
        <w:spacing w:after="0" w:line="17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the commitment, if any, of such Lender to make Revolving Loans and to acquire participations in Letters of Credit, Overadvances, Protective Advances and Swingline Loans hereunder, expressed as an amount representing the maximum aggregate permitted amount of such Lender’s Revolving Exposure hereunder, as such commitment may be reduced or increased from time to time pursuant to (a) Section 2.09 and (b) assignments by or to such Lender pursuant to Section 9.04. The initial amount of each Lender's Commitment is set forth on the </w:t>
      </w:r>
      <w:r>
        <w:rPr>
          <w:rFonts w:ascii="Arial" w:cs="Arial" w:eastAsia="Arial" w:hAnsi="Arial"/>
          <w:sz w:val="19"/>
          <w:szCs w:val="19"/>
          <w:u w:val="single" w:color="auto"/>
          <w:color w:val="auto"/>
        </w:rPr>
        <w:t>Commitment Schedule</w:t>
      </w:r>
      <w:r>
        <w:rPr>
          <w:rFonts w:ascii="Arial" w:cs="Arial" w:eastAsia="Arial" w:hAnsi="Arial"/>
          <w:sz w:val="19"/>
          <w:szCs w:val="19"/>
          <w:color w:val="auto"/>
        </w:rPr>
        <w:t>, or in the Assignment and Assumption pursuant to which such Lender shall have assumed its Commitment, as applicable.</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Schedule</w:t>
      </w:r>
      <w:r>
        <w:rPr>
          <w:rFonts w:ascii="Arial" w:cs="Arial" w:eastAsia="Arial" w:hAnsi="Arial"/>
          <w:sz w:val="20"/>
          <w:szCs w:val="20"/>
          <w:color w:val="auto"/>
        </w:rPr>
        <w:t>” means the Schedule attached hereto identified as such.</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Letter</w:t>
      </w:r>
      <w:r>
        <w:rPr>
          <w:rFonts w:ascii="Arial" w:cs="Arial" w:eastAsia="Arial" w:hAnsi="Arial"/>
          <w:sz w:val="20"/>
          <w:szCs w:val="20"/>
          <w:color w:val="auto"/>
        </w:rPr>
        <w:t>” means the Commitment Letter, dated October 2, 2016, by and between the Company and JPMorgan Chase Bank, N.A.</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Communications</w:t>
      </w:r>
      <w:r>
        <w:rPr>
          <w:rFonts w:ascii="Arial" w:cs="Arial" w:eastAsia="Arial" w:hAnsi="Arial"/>
          <w:sz w:val="20"/>
          <w:szCs w:val="20"/>
          <w:color w:val="auto"/>
        </w:rPr>
        <w:t>” has the meaning assigned to such term in Section 9.01(d).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means Winnebago Industries, Inc., an Iowa corporation.</w:t>
      </w:r>
    </w:p>
    <w:p>
      <w:pPr>
        <w:spacing w:after="0" w:line="21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Revolving Exposures</w:t>
      </w:r>
      <w:r>
        <w:rPr>
          <w:rFonts w:ascii="Arial" w:cs="Arial" w:eastAsia="Arial" w:hAnsi="Arial"/>
          <w:sz w:val="19"/>
          <w:szCs w:val="19"/>
          <w:color w:val="auto"/>
        </w:rPr>
        <w:t xml:space="preserve">” means, with respect to any Lender at any time, and without duplication, the sum of (a) the outstanding principal amount of the Revolving Loans made by such Lender to the Company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such Lender’s LC Exposure with respect to Letters of Credit issued for the account of the Company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such Lender’s Swingline Exposure with respect to Swingline Loans made to the Company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an amount equal to its Applicable Percentage of the aggregate principal amount of outstanding Protective Advances made to the Company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an amount equal to its Applicable Percentage of the aggregate principal amount of outstanding Protective Advances made to the Company at such time.</w:t>
      </w:r>
    </w:p>
    <w:p>
      <w:pPr>
        <w:spacing w:after="0" w:line="179"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Consolidated Net Income </w:t>
      </w:r>
      <w:r>
        <w:rPr>
          <w:rFonts w:ascii="Arial" w:cs="Arial" w:eastAsia="Arial" w:hAnsi="Arial"/>
          <w:sz w:val="18"/>
          <w:szCs w:val="18"/>
          <w:u w:val="single" w:color="auto"/>
          <w:color w:val="auto"/>
        </w:rPr>
        <w:t>plus</w:t>
      </w:r>
      <w:r>
        <w:rPr>
          <w:rFonts w:ascii="Arial" w:cs="Arial" w:eastAsia="Arial" w:hAnsi="Arial"/>
          <w:sz w:val="18"/>
          <w:szCs w:val="18"/>
          <w:color w:val="auto"/>
        </w:rPr>
        <w:t>, to the extent deducted from revenues in determining Consolidated Net Income, (i) Consolidated Interest Expense, (ii) expense for taxes paid or accrued, (iii) depreciation, (iv) amortization, (v) extraordinary losses incurred other than in the ordinary course of business, (vi) non-cash charges, expenses or losses, (vii) any losses for such period attributable to early extinguishment of Indebtedness or obligations under any Swap Agreement, (viii) any unrealized losses for such period attributable to the application of “mark to market” accounting in respect of Swap Agreements, (ix) the cumulative effect for such period of a change in accounting principles, (x) non-recurring out-of-pocket transactional fees, costs and expenses relating to Permitted Acquisitions (including the Grand Design Acquisition), Investments, Indebtedness, securities offerings and Dispositions, including legal fees, advisory fees and upfront financing fees, (xi) non-recurring out-of-pocket fees, costs and expenses relating to the incurrence, refinancing, amendment or modification of Indebtedness on or prior to the Effective Date, (xii) (A) non-recurring restructuring charges (including, without limitation, relocation costs and costs relating to the opening, closure and/or consolidation of facilities) that are paid or to be paid in cash and (B) with respect to any acquisition or disposition, or issuance, incurrence or assumption of</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812" w:right="239" w:bottom="1440" w:gutter="0" w:footer="0" w:header="0"/>
        </w:sectPr>
      </w:pPr>
    </w:p>
    <w:bookmarkStart w:id="185" w:name="page186"/>
    <w:bookmarkEnd w:id="185"/>
    <w:p>
      <w:pPr>
        <w:jc w:val="both"/>
        <w:spacing w:after="0" w:line="267" w:lineRule="auto"/>
        <w:rPr>
          <w:sz w:val="20"/>
          <w:szCs w:val="20"/>
          <w:color w:val="auto"/>
        </w:rPr>
      </w:pPr>
      <w:r>
        <w:rPr>
          <w:rFonts w:ascii="Arial" w:cs="Arial" w:eastAsia="Arial" w:hAnsi="Arial"/>
          <w:sz w:val="18"/>
          <w:szCs w:val="18"/>
          <w:color w:val="auto"/>
        </w:rPr>
        <w:t xml:space="preserve">Indebtedness, or other transaction occurring during such period, (1) any projected cost savings (net of continuing associated expenses) expected to be realized as a result of such event, to the extent such cost savings would be permitted to be reflected in financial statements prepared in compliance with Article 11 of Regulation S-X under the Securities Act and (2) any other demonstrable cost-savings (net of continuing associated expenses) not included in the foregoing </w:t>
      </w:r>
      <w:r>
        <w:rPr>
          <w:rFonts w:ascii="Arial" w:cs="Arial" w:eastAsia="Arial" w:hAnsi="Arial"/>
          <w:sz w:val="18"/>
          <w:szCs w:val="18"/>
          <w:u w:val="single" w:color="auto"/>
          <w:color w:val="auto"/>
        </w:rPr>
        <w:t>subclause (B)(1)</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that are reasonably projected in good faith by the Borrower Representative to be achieved in connection with any such event within the 18-month period following the consummation of such event, that are reasonably identifiable, quantifiable and factually supportable in the good faith judgment of the Company and that are set forth in reasonable detail in a certificate of a Financial Officer of the Company (in the case of each of the foregoing </w:t>
      </w:r>
      <w:r>
        <w:rPr>
          <w:rFonts w:ascii="Arial" w:cs="Arial" w:eastAsia="Arial" w:hAnsi="Arial"/>
          <w:sz w:val="18"/>
          <w:szCs w:val="18"/>
          <w:u w:val="single" w:color="auto"/>
          <w:color w:val="auto"/>
        </w:rPr>
        <w:t>subclauses (B)(1)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calculated on a pro forma basis as though such cost savings had been realized on the first day of such period, net of the amount of actual benefits realized during such period from such event);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for purposes of determining Consolidated EBITDA for any period of four (4) consecutive fiscal quarters, the aggregate amount added back under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in respect of such period shall not exceed fifteen percent (15%) of Consolidated EBITDA (as calculated without giving effect to </w:t>
      </w:r>
      <w:r>
        <w:rPr>
          <w:rFonts w:ascii="Arial" w:cs="Arial" w:eastAsia="Arial" w:hAnsi="Arial"/>
          <w:sz w:val="18"/>
          <w:szCs w:val="18"/>
          <w:u w:val="single" w:color="auto"/>
          <w:color w:val="auto"/>
        </w:rPr>
        <w:t>subclauses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(y) all adjustments pursuant to the foregoing </w:t>
      </w:r>
      <w:r>
        <w:rPr>
          <w:rFonts w:ascii="Arial" w:cs="Arial" w:eastAsia="Arial" w:hAnsi="Arial"/>
          <w:sz w:val="18"/>
          <w:szCs w:val="18"/>
          <w:u w:val="single" w:color="auto"/>
          <w:color w:val="auto"/>
        </w:rPr>
        <w:t>subclause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will be without duplication of any amounts that are otherwise included or added back in computing Consolidated EBITDA in accordance with this definition and (z) with respect to the foregoing </w:t>
      </w:r>
      <w:r>
        <w:rPr>
          <w:rFonts w:ascii="Arial" w:cs="Arial" w:eastAsia="Arial" w:hAnsi="Arial"/>
          <w:sz w:val="18"/>
          <w:szCs w:val="18"/>
          <w:u w:val="single" w:color="auto"/>
          <w:color w:val="auto"/>
        </w:rPr>
        <w:t>subclause (B)(2)</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if any cost savings included in any pro forma calculations based on the anticipation that such cost savings will be achieved within such 18-month period shall at any time cease to be reasonably anticipated by the Company to be so achieved, then on and after such time, such cost savings shall no longer be added to Consolidated EBITDA pursuant to this </w:t>
      </w:r>
      <w:r>
        <w:rPr>
          <w:rFonts w:ascii="Arial" w:cs="Arial" w:eastAsia="Arial" w:hAnsi="Arial"/>
          <w:sz w:val="18"/>
          <w:szCs w:val="18"/>
          <w:u w:val="single" w:color="auto"/>
          <w:color w:val="auto"/>
        </w:rPr>
        <w:t>clause (xii)</w:t>
      </w:r>
      <w:r>
        <w:rPr>
          <w:rFonts w:ascii="Arial" w:cs="Arial" w:eastAsia="Arial" w:hAnsi="Arial"/>
          <w:sz w:val="18"/>
          <w:szCs w:val="18"/>
          <w:color w:val="auto"/>
        </w:rPr>
        <w:t xml:space="preserve">, (xiii) fees, costs and expenses incurred in connection with the Company’s implementation of enterprise resource planning (ERP);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determining Consolidated EBITDA for any period of four (4) consecutive fiscal quarters of the Company, the aggregate amount added back under this </w:t>
      </w:r>
      <w:r>
        <w:rPr>
          <w:rFonts w:ascii="Arial" w:cs="Arial" w:eastAsia="Arial" w:hAnsi="Arial"/>
          <w:sz w:val="18"/>
          <w:szCs w:val="18"/>
          <w:u w:val="single" w:color="auto"/>
          <w:color w:val="auto"/>
        </w:rPr>
        <w:t>clause (xiii)</w:t>
      </w:r>
      <w:r>
        <w:rPr>
          <w:rFonts w:ascii="Arial" w:cs="Arial" w:eastAsia="Arial" w:hAnsi="Arial"/>
          <w:sz w:val="18"/>
          <w:szCs w:val="18"/>
          <w:color w:val="auto"/>
        </w:rPr>
        <w:t xml:space="preserve"> in respect of such period shall not exceed $8,000,000 and (xiv) fees, costs and expenses incurred by the Company or any of its Subsidiaries in connection with (x) certain personnel-related matters previously disclosed to the Administrative Agent and incurred during the fiscal year of the Company ending August 26, 2017 and (y) the Company’s implementation of its strategic sourcing program and incurred during the fiscal year of the Company ended August 27, 2016;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added back under this </w:t>
      </w:r>
      <w:r>
        <w:rPr>
          <w:rFonts w:ascii="Arial" w:cs="Arial" w:eastAsia="Arial" w:hAnsi="Arial"/>
          <w:sz w:val="18"/>
          <w:szCs w:val="18"/>
          <w:u w:val="single" w:color="auto"/>
          <w:color w:val="auto"/>
        </w:rPr>
        <w:t>clause (xiv)</w:t>
      </w:r>
      <w:r>
        <w:rPr>
          <w:rFonts w:ascii="Arial" w:cs="Arial" w:eastAsia="Arial" w:hAnsi="Arial"/>
          <w:sz w:val="18"/>
          <w:szCs w:val="18"/>
          <w:color w:val="auto"/>
        </w:rPr>
        <w:t xml:space="preserve"> during the term of this Agreement shall not exceed $2,000,000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to the extent included in Consolidated Net Income, (1) interest income, (2) any cash payments made during such period in respect of items described in </w:t>
      </w:r>
      <w:r>
        <w:rPr>
          <w:rFonts w:ascii="Arial" w:cs="Arial" w:eastAsia="Arial" w:hAnsi="Arial"/>
          <w:sz w:val="18"/>
          <w:szCs w:val="18"/>
          <w:u w:val="single" w:color="auto"/>
          <w:color w:val="auto"/>
        </w:rPr>
        <w:t>clause (vi)</w:t>
      </w:r>
      <w:r>
        <w:rPr>
          <w:rFonts w:ascii="Arial" w:cs="Arial" w:eastAsia="Arial" w:hAnsi="Arial"/>
          <w:sz w:val="18"/>
          <w:szCs w:val="18"/>
          <w:color w:val="auto"/>
        </w:rPr>
        <w:t xml:space="preserve"> above subsequent to the fiscal quarter in which the relevant non-cash expenses or losses were incurred, (3) extraordinary gains realized other than in the ordinary course of business, (4) any non-cash gains for such period, including with respect to write-ups of assets or goodwill, determined on a consolidated basis in accordance with GAAP, (5) any gains attributable to the early extinguishment of Indebtedness or obligations under any Swap Agreement, determined on a consolidated basis in accordance with GAAP, (6) the cumulative effect for such period of a change in accounting principles and (7) any unrealized gains for such period attributable to the application of “mark to market” accounting in respect of Swap Agreements, all calculated for the Company and its Subsidiaries in accordance with GAAP on a consolidated basis. For the purposes of calculating Consolidated EBITDA for any period of four consecutive fiscal quarters (each such period, a “</w:t>
      </w:r>
      <w:r>
        <w:rPr>
          <w:rFonts w:ascii="Arial" w:cs="Arial" w:eastAsia="Arial" w:hAnsi="Arial"/>
          <w:sz w:val="18"/>
          <w:szCs w:val="18"/>
          <w:u w:val="single" w:color="auto"/>
          <w:color w:val="auto"/>
        </w:rPr>
        <w:t>Reference Period</w:t>
      </w:r>
      <w:r>
        <w:rPr>
          <w:rFonts w:ascii="Arial" w:cs="Arial" w:eastAsia="Arial" w:hAnsi="Arial"/>
          <w:sz w:val="18"/>
          <w:szCs w:val="18"/>
          <w:color w:val="auto"/>
        </w:rPr>
        <w:t>”), (i) if at any time during such Reference Period the Company or any Subsidiary shall have made any Material Disposition, the Consolidated EBITDA for such Reference Period shall be reduced by an amount equal to the Consolidated EBITDA (if positive) attributable to the property that is the subject of such Material Disposition for such Reference Period or increased by an amount equal to the Consolidated EBITDA (if negative) attributable thereto for such Reference Period, and (ii) if during such Reference Period the Company or any Subsidiary shall have made a Material Acquisition, Consolidated EBITDA for such Reference Period shall be calculated after giving pro forma effect thereto (in the manner described in Section 1.04(b)) as if such Material Acquisition occurred on the first day of such Reference Period. As used in this Agreement, “</w:t>
      </w:r>
      <w:r>
        <w:rPr>
          <w:rFonts w:ascii="Arial" w:cs="Arial" w:eastAsia="Arial" w:hAnsi="Arial"/>
          <w:sz w:val="18"/>
          <w:szCs w:val="18"/>
          <w:u w:val="single" w:color="auto"/>
          <w:color w:val="auto"/>
        </w:rPr>
        <w:t>Material Acquisition</w:t>
      </w:r>
      <w:r>
        <w:rPr>
          <w:rFonts w:ascii="Arial" w:cs="Arial" w:eastAsia="Arial" w:hAnsi="Arial"/>
          <w:sz w:val="18"/>
          <w:szCs w:val="18"/>
          <w:color w:val="auto"/>
        </w:rPr>
        <w:t>” means any acquisition of property or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811" w:right="239" w:bottom="1440" w:gutter="0" w:footer="0" w:header="0"/>
        </w:sectPr>
      </w:pPr>
    </w:p>
    <w:bookmarkStart w:id="186" w:name="page187"/>
    <w:bookmarkEnd w:id="186"/>
    <w:p>
      <w:pPr>
        <w:jc w:val="both"/>
        <w:spacing w:after="0" w:line="257" w:lineRule="auto"/>
        <w:rPr>
          <w:sz w:val="20"/>
          <w:szCs w:val="20"/>
          <w:color w:val="auto"/>
        </w:rPr>
      </w:pPr>
      <w:r>
        <w:rPr>
          <w:rFonts w:ascii="Arial" w:cs="Arial" w:eastAsia="Arial" w:hAnsi="Arial"/>
          <w:sz w:val="19"/>
          <w:szCs w:val="19"/>
          <w:color w:val="auto"/>
        </w:rPr>
        <w:t>series of related acquisitions of property that (a) constitutes (i) assets comprising all or substantially all or any significant portion of a business or operating unit of a business, or (ii) all or substantially all of the common stock or other Equity Interests of a Person, and (b) involves the payment of consideration by the Company and its Subsidiaries in excess of $10,000,000; and “</w:t>
      </w:r>
      <w:r>
        <w:rPr>
          <w:rFonts w:ascii="Arial" w:cs="Arial" w:eastAsia="Arial" w:hAnsi="Arial"/>
          <w:sz w:val="19"/>
          <w:szCs w:val="19"/>
          <w:u w:val="single" w:color="auto"/>
          <w:color w:val="auto"/>
        </w:rPr>
        <w:t>Material Disposition</w:t>
      </w:r>
      <w:r>
        <w:rPr>
          <w:rFonts w:ascii="Arial" w:cs="Arial" w:eastAsia="Arial" w:hAnsi="Arial"/>
          <w:sz w:val="19"/>
          <w:szCs w:val="19"/>
          <w:color w:val="auto"/>
        </w:rPr>
        <w:t xml:space="preserve">” means any Disposition of property or series of related sales, transfers, or dispositions of property that yields gross proceeds to the Company or any of its Subsidiaries in excess of $10,000,000. Notwithstanding the foregoing, but subject to any adjustment set forth above (and in </w:t>
      </w:r>
      <w:r>
        <w:rPr>
          <w:rFonts w:ascii="Arial" w:cs="Arial" w:eastAsia="Arial" w:hAnsi="Arial"/>
          <w:sz w:val="19"/>
          <w:szCs w:val="19"/>
          <w:u w:val="single" w:color="auto"/>
          <w:color w:val="auto"/>
        </w:rPr>
        <w:t>Section 1.04(b)</w:t>
      </w:r>
      <w:r>
        <w:rPr>
          <w:rFonts w:ascii="Arial" w:cs="Arial" w:eastAsia="Arial" w:hAnsi="Arial"/>
          <w:sz w:val="19"/>
          <w:szCs w:val="19"/>
          <w:color w:val="auto"/>
        </w:rPr>
        <w:t>) with respect to any transactions occurring after the Closing Date, for purposes of determining Consolidated EBITDA for any period that includes the fiscal quarters of the Company ended February 27, 2016, May 28, 2016 and August 27, 2016, Consolidated EBITDA for such fiscal quarters shall be deemed to be $14,018,000, $17,300,000 and $21,204,000, respectively.</w:t>
      </w:r>
    </w:p>
    <w:p>
      <w:pPr>
        <w:spacing w:after="0" w:line="18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reference to any period, the interest expense (including without limitation interest expense under Capital Lease Obligations that is treated as interest in accordance with GAAP) of the Company and its Subsidiaries calculated on a consolidated basis for such period with respect to all outstanding Indebtedness of the Company and its Subsidiaries allocable to such period in accordance with GAAP (including, without limitation, all commissions, discounts and other fees and charges owed with respect to letters of credit and bankers acceptance financing and net costs under interest rate Swap Agreements to the extent such net costs are allocable to such period in accordance with GAAP). In the event that the Company or any Subsidiary shall have completed a Material Acquisition or a Material Disposition since the beginning of the relevant period, Consolidated Interest Expense shall be determined for such period on a pro forma basis as if such acquisition or disposition, and any related incurrence or repayment of Indebtedness, had occurred at the beginning of such period.</w:t>
      </w:r>
    </w:p>
    <w:p>
      <w:pPr>
        <w:spacing w:after="0" w:line="185"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Net Income</w:t>
      </w:r>
      <w:r>
        <w:rPr>
          <w:rFonts w:ascii="Arial" w:cs="Arial" w:eastAsia="Arial" w:hAnsi="Arial"/>
          <w:sz w:val="20"/>
          <w:szCs w:val="20"/>
          <w:color w:val="auto"/>
        </w:rPr>
        <w:t xml:space="preserve">” means, with reference to any period, the net income (or loss) of the Company and its Subsidiaries calculated in accordance with GAAP on a consolidated basis (without duplication) for such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there shall be excluded any income (or loss) of any Person other than the Company or a Subsidiary, but any such income so excluded may be included in such period or any later period to the extent of any cash dividends or distributions actually paid in the relevant period to the Company or any Subsidiary of the Company.</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the date of any determination thereof, total assets of the Company and its Subsidiaries calculated in accordance with GAAP on a consolidated basis as of the last day of the most recent Test Period, determined on a pro forma basis.</w:t>
      </w:r>
    </w:p>
    <w:p>
      <w:pPr>
        <w:spacing w:after="0" w:line="18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Indebtedness</w:t>
      </w:r>
      <w:r>
        <w:rPr>
          <w:rFonts w:ascii="Arial" w:cs="Arial" w:eastAsia="Arial" w:hAnsi="Arial"/>
          <w:sz w:val="18"/>
          <w:szCs w:val="18"/>
          <w:color w:val="auto"/>
        </w:rPr>
        <w:t xml:space="preserve">” means at any time the sum, without duplication, of (a) the aggregate Indebtedness of the Company and its Subsidiaries calculated on a consolidated basis as of such time in accordance with GAAP, (b) the aggregate amount of Indebtedness of the Company and its Subsidiaries relating to the maximum drawing amount of all letters of credit outstanding and bankers acceptances and (c) Indebtedness of the type referred to in clauses (a) or (b) hereof of another Person guaranteed by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Total Indebtedness shall exclude the aggregate amount of Indebtedness of the Company and its Subsidiaries in respect of undrawn performance and commercial letters of credit, Guarantees related thereto, obligations with respect to deposits and advances in the ordinary course of business, and obligations in respect of Repurchase Agreements.</w:t>
      </w:r>
    </w:p>
    <w:p>
      <w:pPr>
        <w:spacing w:after="0" w:line="16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Secured Indebtedness</w:t>
      </w:r>
      <w:r>
        <w:rPr>
          <w:rFonts w:ascii="Arial" w:cs="Arial" w:eastAsia="Arial" w:hAnsi="Arial"/>
          <w:sz w:val="20"/>
          <w:szCs w:val="20"/>
          <w:color w:val="auto"/>
        </w:rPr>
        <w:t>” means, as of any date of determination, any Consolidated Total Indebtedness that is secured by Liens on any assets or property of the Company or any of its Subsidiaries.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812" w:right="239" w:bottom="1440" w:gutter="0" w:footer="0" w:header="0"/>
        </w:sectPr>
      </w:pPr>
    </w:p>
    <w:bookmarkStart w:id="187" w:name="page188"/>
    <w:bookmarkEnd w:id="187"/>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Event</w:t>
      </w:r>
      <w:r>
        <w:rPr>
          <w:rFonts w:ascii="Arial" w:cs="Arial" w:eastAsia="Arial" w:hAnsi="Arial"/>
          <w:sz w:val="20"/>
          <w:szCs w:val="20"/>
          <w:color w:val="auto"/>
        </w:rPr>
        <w:t>” means a Borrowing, the issuance, amendment, renewal or extension of a Letter of Credit, an LC Disbursement or any of the foregoing.</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Party</w:t>
      </w:r>
      <w:r>
        <w:rPr>
          <w:rFonts w:ascii="Arial" w:cs="Arial" w:eastAsia="Arial" w:hAnsi="Arial"/>
          <w:sz w:val="20"/>
          <w:szCs w:val="20"/>
          <w:color w:val="auto"/>
        </w:rPr>
        <w:t>” means the Administrative Agent, each Issuing Bank, the Swingline Lender or any other Lender.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Document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which constitutes an Event of Default or which upon notice, lapse of time or both would, unless cured or waived, become an Event of Default.</w:t>
      </w:r>
    </w:p>
    <w:p>
      <w:pPr>
        <w:spacing w:after="0" w:line="177"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that (a) has failed, within two (2)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Company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(3)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a Bankruptcy Event or (B) a Bail-In Action.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Disposition</w:t>
      </w:r>
      <w:r>
        <w:rPr>
          <w:rFonts w:ascii="Arial" w:cs="Arial" w:eastAsia="Arial" w:hAnsi="Arial"/>
          <w:sz w:val="20"/>
          <w:szCs w:val="20"/>
          <w:color w:val="auto"/>
        </w:rPr>
        <w:t>” has the meaning assigned to such term in Section 6.05.</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Equity Interest</w:t>
      </w:r>
      <w:r>
        <w:rPr>
          <w:rFonts w:ascii="Arial" w:cs="Arial" w:eastAsia="Arial" w:hAnsi="Arial"/>
          <w:sz w:val="20"/>
          <w:szCs w:val="20"/>
          <w:color w:val="auto"/>
        </w:rPr>
        <w: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w:t>
      </w:r>
    </w:p>
    <w:p>
      <w:pPr>
        <w:spacing w:after="0" w:line="186" w:lineRule="exact"/>
        <w:rPr>
          <w:sz w:val="20"/>
          <w:szCs w:val="20"/>
          <w:color w:val="auto"/>
        </w:rPr>
      </w:pPr>
    </w:p>
    <w:p>
      <w:pPr>
        <w:jc w:val="both"/>
        <w:ind w:left="660" w:firstLine="645"/>
        <w:spacing w:after="0" w:line="250" w:lineRule="auto"/>
        <w:tabs>
          <w:tab w:leader="none" w:pos="1938" w:val="left"/>
        </w:tabs>
        <w:numPr>
          <w:ilvl w:val="0"/>
          <w:numId w:val="206"/>
        </w:numPr>
        <w:rPr>
          <w:rFonts w:ascii="Arial" w:cs="Arial" w:eastAsia="Arial" w:hAnsi="Arial"/>
          <w:sz w:val="20"/>
          <w:szCs w:val="20"/>
          <w:color w:val="auto"/>
        </w:rPr>
      </w:pPr>
      <w:r>
        <w:rPr>
          <w:rFonts w:ascii="Arial" w:cs="Arial" w:eastAsia="Arial" w:hAnsi="Arial"/>
          <w:sz w:val="20"/>
          <w:szCs w:val="20"/>
          <w:color w:val="auto"/>
        </w:rPr>
        <w:t>matures or is mandatorily redeemable (other than solely for Equity Interests in such Person that do not constitute Disqualified Equity Interests and cash in lieu of fractional shares of such Equity Interests), whether pursuant to a sinking fund obligation or otherwise;</w:t>
      </w:r>
    </w:p>
    <w:p>
      <w:pPr>
        <w:spacing w:after="0" w:line="186" w:lineRule="exact"/>
        <w:rPr>
          <w:rFonts w:ascii="Arial" w:cs="Arial" w:eastAsia="Arial" w:hAnsi="Arial"/>
          <w:sz w:val="20"/>
          <w:szCs w:val="20"/>
          <w:color w:val="auto"/>
        </w:rPr>
      </w:pPr>
    </w:p>
    <w:p>
      <w:pPr>
        <w:jc w:val="both"/>
        <w:ind w:left="660" w:firstLine="645"/>
        <w:spacing w:after="0" w:line="250" w:lineRule="auto"/>
        <w:tabs>
          <w:tab w:leader="none" w:pos="1819" w:val="left"/>
        </w:tabs>
        <w:numPr>
          <w:ilvl w:val="0"/>
          <w:numId w:val="206"/>
        </w:numPr>
        <w:rPr>
          <w:rFonts w:ascii="Arial" w:cs="Arial" w:eastAsia="Arial" w:hAnsi="Arial"/>
          <w:sz w:val="20"/>
          <w:szCs w:val="20"/>
          <w:color w:val="auto"/>
        </w:rPr>
      </w:pPr>
      <w:r>
        <w:rPr>
          <w:rFonts w:ascii="Arial" w:cs="Arial" w:eastAsia="Arial" w:hAnsi="Arial"/>
          <w:sz w:val="20"/>
          <w:szCs w:val="20"/>
          <w:color w:val="auto"/>
        </w:rPr>
        <w:t>is or becomes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20"/>
          </w:cols>
          <w:pgMar w:left="240" w:top="812" w:right="239" w:bottom="1440" w:gutter="0" w:footer="0" w:header="0"/>
        </w:sectPr>
      </w:pPr>
    </w:p>
    <w:bookmarkStart w:id="188" w:name="page189"/>
    <w:bookmarkEnd w:id="188"/>
    <w:p>
      <w:pPr>
        <w:jc w:val="both"/>
        <w:ind w:left="660" w:firstLine="645"/>
        <w:spacing w:after="0" w:line="250" w:lineRule="auto"/>
        <w:tabs>
          <w:tab w:leader="none" w:pos="1843" w:val="left"/>
        </w:tabs>
        <w:numPr>
          <w:ilvl w:val="0"/>
          <w:numId w:val="207"/>
        </w:numPr>
        <w:rPr>
          <w:rFonts w:ascii="Arial" w:cs="Arial" w:eastAsia="Arial" w:hAnsi="Arial"/>
          <w:sz w:val="20"/>
          <w:szCs w:val="20"/>
          <w:color w:val="auto"/>
        </w:rPr>
      </w:pPr>
      <w:r>
        <w:rPr>
          <w:rFonts w:ascii="Arial" w:cs="Arial" w:eastAsia="Arial" w:hAnsi="Arial"/>
          <w:sz w:val="20"/>
          <w:szCs w:val="20"/>
          <w:color w:val="auto"/>
        </w:rPr>
        <w:t>is redeemable (other than solely for Equity Interests in such Person that do not constitute Disqualified Equity Interests and cash in lieu of fractional shares of such Equity Interests) or is required to be repurchased by the Company or any Subsidiary, in whole or in part, at the option of the holder thereof;</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 xml:space="preserve">in each case, on or prior to the date that is ninety one (91) days after the Maturity Date (determined as of the date of issuance thereof or, in the case of any such Equity Interests outstanding on the Effective Date,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an Equity Interest in any Person that would not constitute a Disqualified Equity Interest but for terms thereof giving holders thereof the right to require such Person to redeem or purchase such Equity Interest upon the occurrence of an “asset sale” or a “change of control” (or similar event, however denominated) shall not constitute a Disqualified Equity Interest if any such requirement becomes operative only after repayment in full of all the Loans and all other Secured Obligations that are accrued and payable, the cancellation or expiration of all Letters of Credit and the termination or expiration of the Commitments and (ii) an Equity Interest in any Person that is issued to any employee or to any plan for the benefit of employees or by any such plan to such employees shall not constitute a Disqualified Equity Interest solely because it may be required to be repurchased by such Person or any of its subsidiaries in order to satisfy applicable statutory or regulatory obligations or as a result of such employee’s termination, death or disability.</w:t>
      </w:r>
    </w:p>
    <w:p>
      <w:pPr>
        <w:spacing w:after="0" w:line="18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Lenders</w:t>
      </w:r>
      <w:r>
        <w:rPr>
          <w:rFonts w:ascii="Arial" w:cs="Arial" w:eastAsia="Arial" w:hAnsi="Arial"/>
          <w:sz w:val="18"/>
          <w:szCs w:val="18"/>
          <w:color w:val="auto"/>
        </w:rPr>
        <w:t>” means (a) entities that have been specifically identified by the Company to the Administrative Agent in writing prior to October 2, 2016, or after October 2, 2016 and prior to the Effective Date with the reasonable consent of the Lead Arranger,</w:t>
      </w:r>
    </w:p>
    <w:p>
      <w:pPr>
        <w:spacing w:after="0" w:line="1" w:lineRule="exact"/>
        <w:rPr>
          <w:sz w:val="20"/>
          <w:szCs w:val="20"/>
          <w:color w:val="auto"/>
        </w:rPr>
      </w:pPr>
    </w:p>
    <w:p>
      <w:pPr>
        <w:jc w:val="both"/>
        <w:ind w:firstLine="8"/>
        <w:spacing w:after="0" w:line="266" w:lineRule="auto"/>
        <w:tabs>
          <w:tab w:leader="none" w:pos="28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entities that are reasonably determined by the Company to be competitors of the Company or its subsidiaries (including Grand Design and its subsidiaries) and which are specifically identified by the Company to the Administrative Agent in writing prior to the Effective Date and</w:t>
      </w:r>
    </w:p>
    <w:p>
      <w:pPr>
        <w:jc w:val="both"/>
        <w:ind w:firstLine="8"/>
        <w:spacing w:after="0" w:line="266" w:lineRule="auto"/>
        <w:tabs>
          <w:tab w:leader="none" w:pos="27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in the case of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any of such entities’ Affiliates to the extent such Affiliates (x)(i) are clearly identifiable as Affiliates of such entities based solely on the similarity of such Affiliates’ and such entities’ names and (ii) are not bona fide debt investment funds or (y)(i) upon reasonable notice to the Administrative Agent after the Effective Date, are identified as Affiliates in writing after the Effective Date in a written supplement to the list of “Disqualified Lenders”, which supplement shall become effective three (3) Business Days after delivery to the Administrative Agent and the Lenders, but which shall not apply retroactively to disqualify any parties that have previously acquired an assignment or participation interest in the Loans and (ii) are not bona fide debt investment funds. It is understood and agreed that</w:t>
      </w:r>
    </w:p>
    <w:p>
      <w:pPr>
        <w:spacing w:after="0" w:line="1" w:lineRule="exact"/>
        <w:rPr>
          <w:rFonts w:ascii="Arial" w:cs="Arial" w:eastAsia="Arial" w:hAnsi="Arial"/>
          <w:sz w:val="18"/>
          <w:szCs w:val="18"/>
          <w:color w:val="auto"/>
        </w:rPr>
      </w:pPr>
    </w:p>
    <w:p>
      <w:pPr>
        <w:jc w:val="both"/>
        <w:ind w:firstLine="8"/>
        <w:spacing w:after="0"/>
        <w:tabs>
          <w:tab w:leader="none" w:pos="243" w:val="left"/>
        </w:tabs>
        <w:numPr>
          <w:ilvl w:val="0"/>
          <w:numId w:val="209"/>
        </w:numPr>
        <w:rPr>
          <w:rFonts w:ascii="Arial" w:cs="Arial" w:eastAsia="Arial" w:hAnsi="Arial"/>
          <w:sz w:val="20"/>
          <w:szCs w:val="20"/>
          <w:color w:val="auto"/>
        </w:rPr>
      </w:pPr>
      <w:r>
        <w:rPr>
          <w:rFonts w:ascii="Arial" w:cs="Arial" w:eastAsia="Arial" w:hAnsi="Arial"/>
          <w:sz w:val="20"/>
          <w:szCs w:val="20"/>
          <w:color w:val="auto"/>
        </w:rPr>
        <w:t xml:space="preserve">any supplement to the list of Persons that are Disqualified Lenders contemplated by the foregoing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shall not apply retroactively to disqualify any Persons that have previously acquired an assignment or participation interest in the Loans (but solely with respect to such Loans), (ii) the Administrative Agent shall have no responsibility or liability to determine or monitor whether any Lender or potential Lender is a Disqualified Lender, (iii) the Company’s failure to deliver such list (or supplement thereto) in accordance with Section 9.01 shall render such list (or supplement) not received and not effective and (iv) “Disqualified Lender” shall exclude any Person that the Company has designated as no longer being a “Disqualified Lender” by written notice delivered to the Administrative Agent from time to time in accordance with Section 9.01.</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refers to lawful money of the United States of America.</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Foreign Holdco Subsidiary</w:t>
      </w:r>
      <w:r>
        <w:rPr>
          <w:rFonts w:ascii="Arial" w:cs="Arial" w:eastAsia="Arial" w:hAnsi="Arial"/>
          <w:sz w:val="20"/>
          <w:szCs w:val="20"/>
          <w:color w:val="auto"/>
        </w:rPr>
        <w:t>” means any Domestic Subsidiary substantially all of the assets of which consist of the Equity Interests (or Equity Interests and Indebtedness) of one or more CFCs.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812" w:right="239" w:bottom="1440" w:gutter="0" w:footer="0" w:header="0"/>
        </w:sectPr>
      </w:pPr>
    </w:p>
    <w:bookmarkStart w:id="189" w:name="page190"/>
    <w:bookmarkEnd w:id="18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United States of America.</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DQ List</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Section 9</w:t>
      </w:r>
      <w:r>
        <w:rPr>
          <w:rFonts w:ascii="Arial" w:cs="Arial" w:eastAsia="Arial" w:hAnsi="Arial"/>
          <w:sz w:val="20"/>
          <w:szCs w:val="20"/>
          <w:color w:val="auto"/>
        </w:rPr>
        <w:t>.</w:t>
      </w:r>
      <w:r>
        <w:rPr>
          <w:rFonts w:ascii="Arial" w:cs="Arial" w:eastAsia="Arial" w:hAnsi="Arial"/>
          <w:sz w:val="20"/>
          <w:szCs w:val="20"/>
          <w:u w:val="single" w:color="auto"/>
          <w:color w:val="auto"/>
        </w:rPr>
        <w:t>04(e)(iv)</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ECP</w:t>
      </w:r>
      <w:r>
        <w:rPr>
          <w:rFonts w:ascii="Arial" w:cs="Arial" w:eastAsia="Arial" w:hAnsi="Arial"/>
          <w:sz w:val="19"/>
          <w:szCs w:val="19"/>
          <w:color w:val="auto"/>
        </w:rPr>
        <w:t>” means an “eligible contract participant” as defined in Section 1(a)(18) of the Commodity Exchange Act or any regulations promulgated thereunder and the applicable rules issued by the Commodity Futures Trading Commission and/or the SEC.</w:t>
      </w:r>
    </w:p>
    <w:p>
      <w:pPr>
        <w:spacing w:after="0" w:line="153"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institution established in any EEA Member Country which is subject to the supervision of an EEA Resolution Authority, (b) any entity established in an EEA Member Country which is a parent of an institution described in clause (a) of this definition, or (c) any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4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Section 9.02).</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means an electronic sound, symbol, or process attached to, or associated with, a contract or other record and adopted by a Person with the intent to sign, authenticate or accept such contract or record.</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System</w:t>
      </w:r>
      <w:r>
        <w:rPr>
          <w:rFonts w:ascii="Arial" w:cs="Arial" w:eastAsia="Arial" w:hAnsi="Arial"/>
          <w:sz w:val="20"/>
          <w:szCs w:val="20"/>
          <w:color w:val="auto"/>
        </w:rPr>
        <w:t>” means any electronic system, including e-mail, e-fax, web portal access for any Borrower, Intralinks®, ClearPar®, Debt Domain, Syndtrak and any other Internet or extranet-based site, whether such electronic system is owned, operated or hosted by the Administrative Agent and the Issuing Bank and any of its respective Related Parties or any other Person, providing for access to data protected by passcodes or other security system.</w:t>
      </w:r>
    </w:p>
    <w:p>
      <w:pPr>
        <w:spacing w:after="0" w:line="19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of any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165" w:lineRule="exact"/>
        <w:rPr>
          <w:sz w:val="20"/>
          <w:szCs w:val="20"/>
          <w:color w:val="auto"/>
        </w:rPr>
      </w:pPr>
    </w:p>
    <w:p>
      <w:pPr>
        <w:ind w:left="660" w:firstLine="645"/>
        <w:spacing w:after="0" w:line="260" w:lineRule="auto"/>
        <w:tabs>
          <w:tab w:leader="none" w:pos="1784"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other than to the extent a Reserve is established pursuant to </w:t>
      </w:r>
      <w:r>
        <w:rPr>
          <w:rFonts w:ascii="Arial" w:cs="Arial" w:eastAsia="Arial" w:hAnsi="Arial"/>
          <w:sz w:val="20"/>
          <w:szCs w:val="20"/>
          <w:u w:val="single" w:color="auto"/>
          <w:color w:val="auto"/>
        </w:rPr>
        <w:t>clause (b)</w:t>
      </w:r>
      <w:r>
        <w:rPr>
          <w:rFonts w:ascii="Arial" w:cs="Arial" w:eastAsia="Arial" w:hAnsi="Arial"/>
          <w:sz w:val="20"/>
          <w:szCs w:val="20"/>
          <w:color w:val="auto"/>
        </w:rPr>
        <w:t>, which is not subject to a first priority perfected security interest in favor of the Administrative Agent;</w:t>
      </w:r>
    </w:p>
    <w:p>
      <w:pPr>
        <w:spacing w:after="0" w:line="190" w:lineRule="exact"/>
        <w:rPr>
          <w:rFonts w:ascii="Arial" w:cs="Arial" w:eastAsia="Arial" w:hAnsi="Arial"/>
          <w:sz w:val="20"/>
          <w:szCs w:val="20"/>
          <w:color w:val="auto"/>
        </w:rPr>
      </w:pPr>
    </w:p>
    <w:p>
      <w:pPr>
        <w:jc w:val="both"/>
        <w:ind w:left="660" w:firstLine="645"/>
        <w:spacing w:after="0" w:line="246" w:lineRule="auto"/>
        <w:tabs>
          <w:tab w:leader="none" w:pos="1843" w:val="left"/>
        </w:tabs>
        <w:numPr>
          <w:ilvl w:val="0"/>
          <w:numId w:val="210"/>
        </w:numPr>
        <w:rPr>
          <w:rFonts w:ascii="Arial" w:cs="Arial" w:eastAsia="Arial" w:hAnsi="Arial"/>
          <w:sz w:val="20"/>
          <w:szCs w:val="20"/>
          <w:color w:val="auto"/>
        </w:rPr>
      </w:pPr>
      <w:r>
        <w:rPr>
          <w:rFonts w:ascii="Arial" w:cs="Arial" w:eastAsia="Arial" w:hAnsi="Arial"/>
          <w:sz w:val="20"/>
          <w:szCs w:val="20"/>
          <w:color w:val="auto"/>
        </w:rPr>
        <w:t xml:space="preserve">which is subject to any Lien, unless (i) such Lien constitutes (x) a Lien in favor of the Administrative Agent, (y) a Permitted Encumbrance which does not have priority over the Lien in favor of the Administrative Agent or (z) a Lien permitted under </w:t>
      </w:r>
      <w:r>
        <w:rPr>
          <w:rFonts w:ascii="Arial" w:cs="Arial" w:eastAsia="Arial" w:hAnsi="Arial"/>
          <w:sz w:val="20"/>
          <w:szCs w:val="20"/>
          <w:u w:val="single" w:color="auto"/>
          <w:color w:val="auto"/>
        </w:rPr>
        <w:t>Section 6.02(a)(ii)</w:t>
      </w:r>
      <w:r>
        <w:rPr>
          <w:rFonts w:ascii="Arial" w:cs="Arial" w:eastAsia="Arial" w:hAnsi="Arial"/>
          <w:sz w:val="20"/>
          <w:szCs w:val="20"/>
          <w:color w:val="auto"/>
        </w:rPr>
        <w:t xml:space="preserve"> or (ii) the Administrative Agent shall have established a Reserve in its Permitted Discretion for liabilities of such Borrower that are secured by such Lien;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812" w:right="239" w:bottom="1440" w:gutter="0" w:footer="0" w:header="0"/>
        </w:sectPr>
      </w:pPr>
    </w:p>
    <w:bookmarkStart w:id="190" w:name="page191"/>
    <w:bookmarkEnd w:id="190"/>
    <w:p>
      <w:pPr>
        <w:jc w:val="both"/>
        <w:ind w:left="4" w:firstLine="645"/>
        <w:spacing w:after="0" w:line="244" w:lineRule="auto"/>
        <w:tabs>
          <w:tab w:leader="none" w:pos="1107" w:val="left"/>
        </w:tabs>
        <w:numPr>
          <w:ilvl w:val="1"/>
          <w:numId w:val="211"/>
        </w:numPr>
        <w:rPr>
          <w:rFonts w:ascii="Arial" w:cs="Arial" w:eastAsia="Arial" w:hAnsi="Arial"/>
          <w:sz w:val="20"/>
          <w:szCs w:val="20"/>
          <w:color w:val="auto"/>
        </w:rPr>
      </w:pPr>
      <w:r>
        <w:rPr>
          <w:rFonts w:ascii="Arial" w:cs="Arial" w:eastAsia="Arial" w:hAnsi="Arial"/>
          <w:sz w:val="20"/>
          <w:szCs w:val="20"/>
          <w:color w:val="auto"/>
        </w:rPr>
        <w:t>(i) which is unpaid more than sixty (60) days after the date of the original invoice therefor or more than thirty (30) days after the original due date therefor (“</w:t>
      </w:r>
      <w:r>
        <w:rPr>
          <w:rFonts w:ascii="Arial" w:cs="Arial" w:eastAsia="Arial" w:hAnsi="Arial"/>
          <w:sz w:val="20"/>
          <w:szCs w:val="20"/>
          <w:u w:val="single" w:color="auto"/>
          <w:color w:val="auto"/>
        </w:rPr>
        <w:t>Overage</w:t>
      </w:r>
      <w:r>
        <w:rPr>
          <w:rFonts w:ascii="Arial" w:cs="Arial" w:eastAsia="Arial" w:hAnsi="Arial"/>
          <w:sz w:val="20"/>
          <w:szCs w:val="20"/>
          <w:color w:val="auto"/>
        </w:rPr>
        <w:t>”) (when calculating the amount under this clause (i), for the same Account Debtor, the Administrative Agent shall include the net amount of such Overage and add back any credits, but only to the extent that such credits do not exceed the total gross receivables from such Account Debtor), or (ii) which has been written off the books of such Borrower or otherwise designated as uncollectible;</w:t>
      </w:r>
    </w:p>
    <w:p>
      <w:pPr>
        <w:spacing w:after="0" w:line="208" w:lineRule="exact"/>
        <w:rPr>
          <w:rFonts w:ascii="Arial" w:cs="Arial" w:eastAsia="Arial" w:hAnsi="Arial"/>
          <w:sz w:val="20"/>
          <w:szCs w:val="20"/>
          <w:color w:val="auto"/>
        </w:rPr>
      </w:pPr>
    </w:p>
    <w:p>
      <w:pPr>
        <w:ind w:left="4" w:firstLine="645"/>
        <w:spacing w:after="0" w:line="260" w:lineRule="auto"/>
        <w:tabs>
          <w:tab w:leader="none" w:pos="1083" w:val="left"/>
        </w:tabs>
        <w:numPr>
          <w:ilvl w:val="1"/>
          <w:numId w:val="211"/>
        </w:numPr>
        <w:rPr>
          <w:rFonts w:ascii="Arial" w:cs="Arial" w:eastAsia="Arial" w:hAnsi="Arial"/>
          <w:sz w:val="20"/>
          <w:szCs w:val="20"/>
          <w:color w:val="auto"/>
        </w:rPr>
      </w:pPr>
      <w:r>
        <w:rPr>
          <w:rFonts w:ascii="Arial" w:cs="Arial" w:eastAsia="Arial" w:hAnsi="Arial"/>
          <w:sz w:val="20"/>
          <w:szCs w:val="20"/>
          <w:color w:val="auto"/>
        </w:rPr>
        <w:t xml:space="preserve">which is owing by an Account Debtor for which more than 50% of the Accounts owing from such Account Debtor and its Affiliates are ineligible under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w:t>
      </w:r>
    </w:p>
    <w:p>
      <w:pPr>
        <w:spacing w:after="0" w:line="190" w:lineRule="exact"/>
        <w:rPr>
          <w:rFonts w:ascii="Arial" w:cs="Arial" w:eastAsia="Arial" w:hAnsi="Arial"/>
          <w:sz w:val="20"/>
          <w:szCs w:val="20"/>
          <w:color w:val="auto"/>
        </w:rPr>
      </w:pPr>
    </w:p>
    <w:p>
      <w:pPr>
        <w:jc w:val="both"/>
        <w:ind w:left="4" w:firstLine="645"/>
        <w:spacing w:after="0" w:line="246" w:lineRule="auto"/>
        <w:tabs>
          <w:tab w:leader="none" w:pos="1100" w:val="left"/>
        </w:tabs>
        <w:numPr>
          <w:ilvl w:val="1"/>
          <w:numId w:val="211"/>
        </w:numPr>
        <w:rPr>
          <w:rFonts w:ascii="Arial" w:cs="Arial" w:eastAsia="Arial" w:hAnsi="Arial"/>
          <w:sz w:val="20"/>
          <w:szCs w:val="20"/>
          <w:color w:val="auto"/>
        </w:rPr>
      </w:pPr>
      <w:r>
        <w:rPr>
          <w:rFonts w:ascii="Arial" w:cs="Arial" w:eastAsia="Arial" w:hAnsi="Arial"/>
          <w:sz w:val="20"/>
          <w:szCs w:val="20"/>
          <w:color w:val="auto"/>
        </w:rPr>
        <w:t>which is owing by an Account Debtor to the extent the aggregate amount of Accounts owing from such Account Debtor and its Affiliates to the Borrowers exceeds 20% or such greater percentage as the Administrative Agent may determine from time to time in its Permitted Discretion of the aggregate amount of Eligible Accounts of all Borrowers (but will only be ineligible to the extent of such excess);</w:t>
      </w:r>
    </w:p>
    <w:p>
      <w:pPr>
        <w:spacing w:after="0" w:line="205" w:lineRule="exact"/>
        <w:rPr>
          <w:rFonts w:ascii="Arial" w:cs="Arial" w:eastAsia="Arial" w:hAnsi="Arial"/>
          <w:sz w:val="20"/>
          <w:szCs w:val="20"/>
          <w:color w:val="auto"/>
        </w:rPr>
      </w:pPr>
    </w:p>
    <w:p>
      <w:pPr>
        <w:jc w:val="both"/>
        <w:ind w:left="4" w:firstLine="645"/>
        <w:spacing w:after="0" w:line="250" w:lineRule="auto"/>
        <w:tabs>
          <w:tab w:leader="none" w:pos="1075" w:val="left"/>
        </w:tabs>
        <w:numPr>
          <w:ilvl w:val="1"/>
          <w:numId w:val="211"/>
        </w:numPr>
        <w:rPr>
          <w:rFonts w:ascii="Arial" w:cs="Arial" w:eastAsia="Arial" w:hAnsi="Arial"/>
          <w:sz w:val="20"/>
          <w:szCs w:val="20"/>
          <w:color w:val="auto"/>
        </w:rPr>
      </w:pPr>
      <w:r>
        <w:rPr>
          <w:rFonts w:ascii="Arial" w:cs="Arial" w:eastAsia="Arial" w:hAnsi="Arial"/>
          <w:sz w:val="20"/>
          <w:szCs w:val="20"/>
          <w:color w:val="auto"/>
        </w:rPr>
        <w:t>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w:t>
      </w:r>
    </w:p>
    <w:p>
      <w:pPr>
        <w:spacing w:after="0" w:line="199" w:lineRule="exact"/>
        <w:rPr>
          <w:rFonts w:ascii="Arial" w:cs="Arial" w:eastAsia="Arial" w:hAnsi="Arial"/>
          <w:sz w:val="20"/>
          <w:szCs w:val="20"/>
          <w:color w:val="auto"/>
        </w:rPr>
      </w:pPr>
    </w:p>
    <w:p>
      <w:pPr>
        <w:jc w:val="both"/>
        <w:ind w:left="4" w:firstLine="645"/>
        <w:spacing w:after="0" w:line="272" w:lineRule="auto"/>
        <w:tabs>
          <w:tab w:leader="none" w:pos="1127" w:val="left"/>
        </w:tabs>
        <w:numPr>
          <w:ilvl w:val="1"/>
          <w:numId w:val="211"/>
        </w:numPr>
        <w:rPr>
          <w:rFonts w:ascii="Arial" w:cs="Arial" w:eastAsia="Arial" w:hAnsi="Arial"/>
          <w:sz w:val="18"/>
          <w:szCs w:val="18"/>
          <w:color w:val="auto"/>
        </w:rPr>
      </w:pPr>
      <w:r>
        <w:rPr>
          <w:rFonts w:ascii="Arial" w:cs="Arial" w:eastAsia="Arial" w:hAnsi="Arial"/>
          <w:sz w:val="18"/>
          <w:szCs w:val="18"/>
          <w:color w:val="auto"/>
        </w:rPr>
        <w:t>which (i) does not arise from the sale of goods or performance of services in the ordinary course of business, (ii) is not evidenced by an invoice or other documentation reasonably satisfactory to the Administrative Agent which has been sent to the Account Debtor, (iii) represents a progress billing, (iv) is contingent upon such Borrower’s completion of any further performance,</w:t>
      </w:r>
    </w:p>
    <w:p>
      <w:pPr>
        <w:spacing w:after="0" w:line="1" w:lineRule="exact"/>
        <w:rPr>
          <w:rFonts w:ascii="Arial" w:cs="Arial" w:eastAsia="Arial" w:hAnsi="Arial"/>
          <w:sz w:val="18"/>
          <w:szCs w:val="18"/>
          <w:color w:val="auto"/>
        </w:rPr>
      </w:pPr>
    </w:p>
    <w:p>
      <w:pPr>
        <w:jc w:val="both"/>
        <w:ind w:left="4" w:hanging="4"/>
        <w:spacing w:after="0" w:line="241" w:lineRule="auto"/>
        <w:tabs>
          <w:tab w:leader="none" w:pos="286" w:val="left"/>
        </w:tabs>
        <w:numPr>
          <w:ilvl w:val="0"/>
          <w:numId w:val="212"/>
        </w:numPr>
        <w:rPr>
          <w:rFonts w:ascii="Arial" w:cs="Arial" w:eastAsia="Arial" w:hAnsi="Arial"/>
          <w:sz w:val="20"/>
          <w:szCs w:val="20"/>
          <w:color w:val="auto"/>
        </w:rPr>
      </w:pPr>
      <w:r>
        <w:rPr>
          <w:rFonts w:ascii="Arial" w:cs="Arial" w:eastAsia="Arial" w:hAnsi="Arial"/>
          <w:sz w:val="20"/>
          <w:szCs w:val="20"/>
          <w:color w:val="auto"/>
        </w:rPr>
        <w:t>represents a sale on a bill-and-hold, guaranteed sale, sale-and-return, sale on approval, consignment or cash-on-delivery basis (other than general product warranties given in the ordinary course of business) or (vi) relates to payments of interest (but only to the extent thereof);</w:t>
      </w:r>
    </w:p>
    <w:p>
      <w:pPr>
        <w:spacing w:after="0" w:line="209" w:lineRule="exact"/>
        <w:rPr>
          <w:rFonts w:ascii="Arial" w:cs="Arial" w:eastAsia="Arial" w:hAnsi="Arial"/>
          <w:sz w:val="20"/>
          <w:szCs w:val="20"/>
          <w:color w:val="auto"/>
        </w:rPr>
      </w:pPr>
    </w:p>
    <w:p>
      <w:pPr>
        <w:ind w:left="4" w:firstLine="645"/>
        <w:spacing w:after="0" w:line="316" w:lineRule="auto"/>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43" w:lineRule="exact"/>
        <w:rPr>
          <w:rFonts w:ascii="Arial" w:cs="Arial" w:eastAsia="Arial" w:hAnsi="Arial"/>
          <w:sz w:val="18"/>
          <w:szCs w:val="18"/>
          <w:color w:val="auto"/>
        </w:rPr>
      </w:pPr>
    </w:p>
    <w:p>
      <w:pPr>
        <w:ind w:left="1024" w:hanging="375"/>
        <w:spacing w:after="0"/>
        <w:tabs>
          <w:tab w:leader="none" w:pos="1024" w:val="left"/>
        </w:tabs>
        <w:numPr>
          <w:ilvl w:val="1"/>
          <w:numId w:val="212"/>
        </w:numPr>
        <w:rPr>
          <w:rFonts w:ascii="Arial" w:cs="Arial" w:eastAsia="Arial" w:hAnsi="Arial"/>
          <w:sz w:val="20"/>
          <w:szCs w:val="20"/>
          <w:color w:val="auto"/>
        </w:rPr>
      </w:pPr>
      <w:r>
        <w:rPr>
          <w:rFonts w:ascii="Arial" w:cs="Arial" w:eastAsia="Arial" w:hAnsi="Arial"/>
          <w:sz w:val="20"/>
          <w:szCs w:val="20"/>
          <w:color w:val="auto"/>
        </w:rPr>
        <w:t>with respect to which any check or other instrument of payment has been returned uncollected for any reason;</w:t>
      </w:r>
    </w:p>
    <w:p>
      <w:pPr>
        <w:spacing w:after="0" w:line="229" w:lineRule="exact"/>
        <w:rPr>
          <w:rFonts w:ascii="Arial" w:cs="Arial" w:eastAsia="Arial" w:hAnsi="Arial"/>
          <w:sz w:val="20"/>
          <w:szCs w:val="20"/>
          <w:color w:val="auto"/>
        </w:rPr>
      </w:pPr>
    </w:p>
    <w:p>
      <w:pPr>
        <w:jc w:val="both"/>
        <w:ind w:left="4" w:firstLine="645"/>
        <w:spacing w:after="0" w:line="272" w:lineRule="auto"/>
        <w:tabs>
          <w:tab w:leader="none" w:pos="105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which is owed by an Account Debtor which has (i) applied for, suffered, or consented to the appointment of any receiver, custodian, trustee, administrative receiver, administrator, compulsory manager, liquidator or other similar officer of its assets, (ii) had possession of all or a material part of its property taken by any receiver, custodian, trustee, administrative receiver, administrator, compulsory manager, liquidator or other similar officer, (iii) filed, or had filed against it, any request or petition for liquidation, reorganization, arrangement, adjustment of debts, adjudication as bankrupt, administration, winding-up, or voluntary or involuntary case under any Federal, state or foreign bankruptcy, insolvency, receivership or similar law, (iv) admitted in writing its inability, or is generally unable to, pay its debts as they become due or has had a moratorium declared in respect of it, (v) become insolvent, or (vi) ceased operation of its business (other than, in any such case, post-petition accounts payable of an Account Debtor that is a debtor-in-possession under the United States Bankruptcy Code and reasonably acceptable to the Administrative Agent);</w:t>
      </w:r>
    </w:p>
    <w:p>
      <w:pPr>
        <w:spacing w:after="0" w:line="198"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4"/>
          </w:cols>
          <w:pgMar w:left="896" w:top="1041" w:right="239" w:bottom="1440" w:gutter="0" w:footer="0" w:header="0"/>
        </w:sectPr>
      </w:pPr>
    </w:p>
    <w:bookmarkStart w:id="191" w:name="page192"/>
    <w:bookmarkEnd w:id="191"/>
    <w:p>
      <w:pPr>
        <w:ind w:left="1084" w:hanging="435"/>
        <w:spacing w:after="0"/>
        <w:tabs>
          <w:tab w:leader="none" w:pos="1084" w:val="left"/>
        </w:tabs>
        <w:numPr>
          <w:ilvl w:val="1"/>
          <w:numId w:val="213"/>
        </w:numPr>
        <w:rPr>
          <w:rFonts w:ascii="Arial" w:cs="Arial" w:eastAsia="Arial" w:hAnsi="Arial"/>
          <w:sz w:val="20"/>
          <w:szCs w:val="20"/>
          <w:color w:val="auto"/>
        </w:rPr>
      </w:pPr>
      <w:r>
        <w:rPr>
          <w:rFonts w:ascii="Arial" w:cs="Arial" w:eastAsia="Arial" w:hAnsi="Arial"/>
          <w:sz w:val="20"/>
          <w:szCs w:val="20"/>
          <w:color w:val="auto"/>
        </w:rPr>
        <w:t>which is owed by any Account Debtor which has sold all or substantially all of its assets;</w:t>
      </w:r>
    </w:p>
    <w:p>
      <w:pPr>
        <w:spacing w:after="0" w:line="229" w:lineRule="exact"/>
        <w:rPr>
          <w:rFonts w:ascii="Arial" w:cs="Arial" w:eastAsia="Arial" w:hAnsi="Arial"/>
          <w:sz w:val="20"/>
          <w:szCs w:val="20"/>
          <w:color w:val="auto"/>
        </w:rPr>
      </w:pPr>
    </w:p>
    <w:p>
      <w:pPr>
        <w:jc w:val="both"/>
        <w:ind w:left="4" w:right="20" w:firstLine="645"/>
        <w:spacing w:after="0" w:line="269" w:lineRule="auto"/>
        <w:tabs>
          <w:tab w:leader="none" w:pos="1053" w:val="left"/>
        </w:tabs>
        <w:numPr>
          <w:ilvl w:val="1"/>
          <w:numId w:val="213"/>
        </w:numPr>
        <w:rPr>
          <w:rFonts w:ascii="Arial" w:cs="Arial" w:eastAsia="Arial" w:hAnsi="Arial"/>
          <w:sz w:val="19"/>
          <w:szCs w:val="19"/>
          <w:color w:val="auto"/>
        </w:rPr>
      </w:pPr>
      <w:r>
        <w:rPr>
          <w:rFonts w:ascii="Arial" w:cs="Arial" w:eastAsia="Arial" w:hAnsi="Arial"/>
          <w:sz w:val="19"/>
          <w:szCs w:val="19"/>
          <w:color w:val="auto"/>
        </w:rPr>
        <w:t>which is owed by an Account Debtor which (i) does not maintain its chief executive office in the U.S. or Canada or (ii) is not organized under applicable laws of the U.S., any state of the U.S., Canada or any province of Canada, unless, in any such case, such Account is backed by a letter of credit or bank guarantee reasonably acceptable to the Administrative Agent;</w:t>
      </w:r>
    </w:p>
    <w:p>
      <w:pPr>
        <w:spacing w:after="0" w:line="183" w:lineRule="exact"/>
        <w:rPr>
          <w:rFonts w:ascii="Arial" w:cs="Arial" w:eastAsia="Arial" w:hAnsi="Arial"/>
          <w:sz w:val="19"/>
          <w:szCs w:val="19"/>
          <w:color w:val="auto"/>
        </w:rPr>
      </w:pPr>
    </w:p>
    <w:p>
      <w:pPr>
        <w:ind w:left="1124" w:hanging="475"/>
        <w:spacing w:after="0"/>
        <w:tabs>
          <w:tab w:leader="none" w:pos="1124" w:val="left"/>
        </w:tabs>
        <w:numPr>
          <w:ilvl w:val="1"/>
          <w:numId w:val="213"/>
        </w:numPr>
        <w:rPr>
          <w:rFonts w:ascii="Arial" w:cs="Arial" w:eastAsia="Arial" w:hAnsi="Arial"/>
          <w:sz w:val="20"/>
          <w:szCs w:val="20"/>
          <w:color w:val="auto"/>
        </w:rPr>
      </w:pPr>
      <w:r>
        <w:rPr>
          <w:rFonts w:ascii="Arial" w:cs="Arial" w:eastAsia="Arial" w:hAnsi="Arial"/>
          <w:sz w:val="20"/>
          <w:szCs w:val="20"/>
          <w:color w:val="auto"/>
        </w:rPr>
        <w:t>which is owed in any currency other than U.S. dollars or Canadian Dollars;</w:t>
      </w:r>
    </w:p>
    <w:p>
      <w:pPr>
        <w:spacing w:after="0" w:line="229" w:lineRule="exact"/>
        <w:rPr>
          <w:rFonts w:ascii="Arial" w:cs="Arial" w:eastAsia="Arial" w:hAnsi="Arial"/>
          <w:sz w:val="20"/>
          <w:szCs w:val="20"/>
          <w:color w:val="auto"/>
        </w:rPr>
      </w:pPr>
    </w:p>
    <w:p>
      <w:pPr>
        <w:jc w:val="both"/>
        <w:ind w:left="4" w:firstLine="645"/>
        <w:spacing w:after="0" w:line="275" w:lineRule="auto"/>
        <w:tabs>
          <w:tab w:leader="none" w:pos="1095"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which is owed by (i) any Governmental Authority of any country other than Canada (or any province or territory thereof) or the U.S. unless such Account is backed by a letter of credit or bank guarantee reasonably acceptable to the Administrative Agent or</w:t>
      </w:r>
    </w:p>
    <w:p>
      <w:pPr>
        <w:jc w:val="both"/>
        <w:ind w:left="4" w:hanging="4"/>
        <w:spacing w:after="0" w:line="241" w:lineRule="auto"/>
        <w:tabs>
          <w:tab w:leader="none" w:pos="326"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any Governmental Authority of the U.S., or any department, agency, public corporation, or instrumentality thereof, unless the Federal Assignment of Claims Act of 1940, as amended (31 U.S.C. § 3727 </w:t>
      </w:r>
      <w:r>
        <w:rPr>
          <w:rFonts w:ascii="Arial" w:cs="Arial" w:eastAsia="Arial" w:hAnsi="Arial"/>
          <w:sz w:val="20"/>
          <w:szCs w:val="20"/>
          <w:u w:val="single" w:color="auto"/>
          <w:color w:val="auto"/>
        </w:rPr>
        <w:t>et seq</w:t>
      </w:r>
      <w:r>
        <w:rPr>
          <w:rFonts w:ascii="Arial" w:cs="Arial" w:eastAsia="Arial" w:hAnsi="Arial"/>
          <w:sz w:val="20"/>
          <w:szCs w:val="20"/>
          <w:color w:val="auto"/>
        </w:rPr>
        <w:t xml:space="preserve">. and 41 U.S.C. § 15 </w:t>
      </w:r>
      <w:r>
        <w:rPr>
          <w:rFonts w:ascii="Arial" w:cs="Arial" w:eastAsia="Arial" w:hAnsi="Arial"/>
          <w:sz w:val="20"/>
          <w:szCs w:val="20"/>
          <w:u w:val="single" w:color="auto"/>
          <w:color w:val="auto"/>
        </w:rPr>
        <w:t>et seq</w:t>
      </w:r>
      <w:r>
        <w:rPr>
          <w:rFonts w:ascii="Arial" w:cs="Arial" w:eastAsia="Arial" w:hAnsi="Arial"/>
          <w:sz w:val="20"/>
          <w:szCs w:val="20"/>
          <w:color w:val="auto"/>
        </w:rPr>
        <w:t>.), and any other steps necessary to perfect the Lien of the Administrative Agent in such Account have been complied with to the Administrative Agent’s satisfaction;</w:t>
      </w:r>
    </w:p>
    <w:p>
      <w:pPr>
        <w:spacing w:after="0" w:line="208" w:lineRule="exact"/>
        <w:rPr>
          <w:rFonts w:ascii="Arial" w:cs="Arial" w:eastAsia="Arial" w:hAnsi="Arial"/>
          <w:sz w:val="20"/>
          <w:szCs w:val="20"/>
          <w:color w:val="auto"/>
        </w:rPr>
      </w:pPr>
    </w:p>
    <w:p>
      <w:pPr>
        <w:ind w:left="1124" w:hanging="475"/>
        <w:spacing w:after="0"/>
        <w:tabs>
          <w:tab w:leader="none" w:pos="112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which is owed by any Affiliate of any Loan Party or any employee, officer, or director of any Loan Party or any of its</w:t>
      </w:r>
    </w:p>
    <w:p>
      <w:pPr>
        <w:spacing w:after="0" w:line="27" w:lineRule="exact"/>
        <w:rPr>
          <w:rFonts w:ascii="Arial" w:cs="Arial" w:eastAsia="Arial" w:hAnsi="Arial"/>
          <w:sz w:val="19"/>
          <w:szCs w:val="19"/>
          <w:color w:val="auto"/>
        </w:rPr>
      </w:pPr>
    </w:p>
    <w:p>
      <w:pPr>
        <w:ind w:left="4"/>
        <w:spacing w:after="0"/>
        <w:rPr>
          <w:rFonts w:ascii="Arial" w:cs="Arial" w:eastAsia="Arial" w:hAnsi="Arial"/>
          <w:sz w:val="19"/>
          <w:szCs w:val="19"/>
          <w:color w:val="auto"/>
        </w:rPr>
      </w:pPr>
      <w:r>
        <w:rPr>
          <w:rFonts w:ascii="Arial" w:cs="Arial" w:eastAsia="Arial" w:hAnsi="Arial"/>
          <w:sz w:val="20"/>
          <w:szCs w:val="20"/>
          <w:color w:val="auto"/>
        </w:rPr>
        <w:t>Affiliates;</w:t>
      </w:r>
    </w:p>
    <w:p>
      <w:pPr>
        <w:spacing w:after="0" w:line="213" w:lineRule="exact"/>
        <w:rPr>
          <w:rFonts w:ascii="Arial" w:cs="Arial" w:eastAsia="Arial" w:hAnsi="Arial"/>
          <w:sz w:val="19"/>
          <w:szCs w:val="19"/>
          <w:color w:val="auto"/>
        </w:rPr>
      </w:pPr>
    </w:p>
    <w:p>
      <w:pPr>
        <w:jc w:val="both"/>
        <w:ind w:left="4" w:firstLine="645"/>
        <w:spacing w:after="0" w:line="250" w:lineRule="auto"/>
        <w:tabs>
          <w:tab w:leader="none" w:pos="1122"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99" w:lineRule="exact"/>
        <w:rPr>
          <w:rFonts w:ascii="Arial" w:cs="Arial" w:eastAsia="Arial" w:hAnsi="Arial"/>
          <w:sz w:val="20"/>
          <w:szCs w:val="20"/>
          <w:color w:val="auto"/>
        </w:rPr>
      </w:pPr>
    </w:p>
    <w:p>
      <w:pPr>
        <w:ind w:left="4" w:firstLine="645"/>
        <w:spacing w:after="0" w:line="260" w:lineRule="auto"/>
        <w:tabs>
          <w:tab w:leader="none" w:pos="1277"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which is subject to any counterclaim, deduction, defense, setoff or dispute, but only to the extent of any such counterclaim, deduction, defense, setoff or dispute;</w:t>
      </w:r>
    </w:p>
    <w:p>
      <w:pPr>
        <w:spacing w:after="0" w:line="190" w:lineRule="exact"/>
        <w:rPr>
          <w:rFonts w:ascii="Arial" w:cs="Arial" w:eastAsia="Arial" w:hAnsi="Arial"/>
          <w:sz w:val="20"/>
          <w:szCs w:val="20"/>
          <w:color w:val="auto"/>
        </w:rPr>
      </w:pPr>
    </w:p>
    <w:p>
      <w:pPr>
        <w:ind w:left="1044" w:hanging="395"/>
        <w:spacing w:after="0"/>
        <w:tabs>
          <w:tab w:leader="none" w:pos="1044"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which is evidenced by any promissory note, chattel paper or instrument;</w:t>
      </w:r>
    </w:p>
    <w:p>
      <w:pPr>
        <w:spacing w:after="0" w:line="229" w:lineRule="exact"/>
        <w:rPr>
          <w:rFonts w:ascii="Arial" w:cs="Arial" w:eastAsia="Arial" w:hAnsi="Arial"/>
          <w:sz w:val="20"/>
          <w:szCs w:val="20"/>
          <w:color w:val="auto"/>
        </w:rPr>
      </w:pPr>
    </w:p>
    <w:p>
      <w:pPr>
        <w:jc w:val="both"/>
        <w:ind w:left="4" w:firstLine="645"/>
        <w:spacing w:after="0" w:line="282" w:lineRule="auto"/>
        <w:tabs>
          <w:tab w:leader="none" w:pos="110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which is owed by an Account Debtor (i) located in any State of the U.S. which requires filing of a “Notice of Business Activities Report” or other similar report in order to permit such Borrower to seek judicial enforcement in such jurisdiction of payment of such Account, unless such Borrower has filed such report or qualified to do business in such jurisdiction (or may do so at a later date without material penalty or prejudice and without affecting the collectability of such Account) or (ii) which is a Sanctioned Person;</w:t>
      </w:r>
    </w:p>
    <w:p>
      <w:pPr>
        <w:spacing w:after="0" w:line="175" w:lineRule="exact"/>
        <w:rPr>
          <w:rFonts w:ascii="Arial" w:cs="Arial" w:eastAsia="Arial" w:hAnsi="Arial"/>
          <w:sz w:val="18"/>
          <w:szCs w:val="18"/>
          <w:color w:val="auto"/>
        </w:rPr>
      </w:pPr>
    </w:p>
    <w:p>
      <w:pPr>
        <w:jc w:val="both"/>
        <w:ind w:left="4" w:firstLine="645"/>
        <w:spacing w:after="0" w:line="269" w:lineRule="auto"/>
        <w:tabs>
          <w:tab w:leader="none" w:pos="1086" w:val="left"/>
        </w:tabs>
        <w:numPr>
          <w:ilvl w:val="1"/>
          <w:numId w:val="214"/>
        </w:numPr>
        <w:rPr>
          <w:rFonts w:ascii="Arial" w:cs="Arial" w:eastAsia="Arial" w:hAnsi="Arial"/>
          <w:sz w:val="19"/>
          <w:szCs w:val="19"/>
          <w:color w:val="auto"/>
        </w:rPr>
      </w:pPr>
      <w:r>
        <w:rPr>
          <w:rFonts w:ascii="Arial" w:cs="Arial" w:eastAsia="Arial" w:hAnsi="Arial"/>
          <w:sz w:val="19"/>
          <w:szCs w:val="19"/>
          <w:color w:val="auto"/>
        </w:rPr>
        <w:t>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spacing w:after="0" w:line="183" w:lineRule="exact"/>
        <w:rPr>
          <w:rFonts w:ascii="Arial" w:cs="Arial" w:eastAsia="Arial" w:hAnsi="Arial"/>
          <w:sz w:val="19"/>
          <w:szCs w:val="19"/>
          <w:color w:val="auto"/>
        </w:rPr>
      </w:pPr>
    </w:p>
    <w:p>
      <w:pPr>
        <w:jc w:val="both"/>
        <w:ind w:left="4" w:right="20" w:firstLine="645"/>
        <w:spacing w:after="0" w:line="250" w:lineRule="auto"/>
        <w:tabs>
          <w:tab w:leader="none" w:pos="1173" w:val="left"/>
        </w:tabs>
        <w:numPr>
          <w:ilvl w:val="1"/>
          <w:numId w:val="214"/>
        </w:numPr>
        <w:rPr>
          <w:rFonts w:ascii="Arial" w:cs="Arial" w:eastAsia="Arial" w:hAnsi="Arial"/>
          <w:sz w:val="20"/>
          <w:szCs w:val="20"/>
          <w:color w:val="auto"/>
        </w:rPr>
      </w:pPr>
      <w:r>
        <w:rPr>
          <w:rFonts w:ascii="Arial" w:cs="Arial" w:eastAsia="Arial" w:hAnsi="Arial"/>
          <w:sz w:val="20"/>
          <w:szCs w:val="20"/>
          <w:color w:val="auto"/>
        </w:rPr>
        <w:t>which does not comply in all material respects with the requirements of all applicable laws and regulations, whether Federal, state, foreign, provincial or local, including without limitation the Federal Consumer Credit Protection Act, the Federal Truth in Lending Act and Regulation Z of the Board;</w:t>
      </w:r>
    </w:p>
    <w:p>
      <w:pPr>
        <w:spacing w:after="0" w:line="200" w:lineRule="exact"/>
        <w:rPr>
          <w:sz w:val="20"/>
          <w:szCs w:val="20"/>
          <w:color w:val="auto"/>
        </w:rPr>
      </w:pPr>
    </w:p>
    <w:p>
      <w:pPr>
        <w:spacing w:after="0" w:line="243"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0764"/>
          </w:cols>
          <w:pgMar w:left="896" w:top="1041" w:right="239" w:bottom="1440" w:gutter="0" w:footer="0" w:header="0"/>
        </w:sectPr>
      </w:pPr>
    </w:p>
    <w:bookmarkStart w:id="192" w:name="page193"/>
    <w:bookmarkEnd w:id="192"/>
    <w:p>
      <w:pPr>
        <w:jc w:val="both"/>
        <w:ind w:left="660" w:firstLine="645"/>
        <w:spacing w:after="0" w:line="282" w:lineRule="auto"/>
        <w:tabs>
          <w:tab w:leader="none" w:pos="1767"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unless the Administrative Agent has established a Reserve in its Permitted Discretion, which is for goods that have been sold under a purchase order or pursuant to the terms of a contract or other agreement or understanding (written or oral) that indicates or purports that any Person other than such Borrower has or has had an ownership interest in such goods (including but not limited to by way of retention of title), or which indicates any party other than such Borrower as payee or remittance party;</w:t>
      </w:r>
    </w:p>
    <w:p>
      <w:pPr>
        <w:spacing w:after="0" w:line="175" w:lineRule="exact"/>
        <w:rPr>
          <w:rFonts w:ascii="Arial" w:cs="Arial" w:eastAsia="Arial" w:hAnsi="Arial"/>
          <w:sz w:val="18"/>
          <w:szCs w:val="18"/>
          <w:color w:val="auto"/>
        </w:rPr>
      </w:pPr>
    </w:p>
    <w:p>
      <w:pPr>
        <w:ind w:left="1780" w:hanging="475"/>
        <w:spacing w:after="0"/>
        <w:tabs>
          <w:tab w:leader="none" w:pos="1780" w:val="left"/>
        </w:tabs>
        <w:numPr>
          <w:ilvl w:val="0"/>
          <w:numId w:val="215"/>
        </w:numPr>
        <w:rPr>
          <w:rFonts w:ascii="Arial" w:cs="Arial" w:eastAsia="Arial" w:hAnsi="Arial"/>
          <w:sz w:val="20"/>
          <w:szCs w:val="20"/>
          <w:color w:val="auto"/>
        </w:rPr>
      </w:pPr>
      <w:r>
        <w:rPr>
          <w:rFonts w:ascii="Arial" w:cs="Arial" w:eastAsia="Arial" w:hAnsi="Arial"/>
          <w:sz w:val="20"/>
          <w:szCs w:val="20"/>
          <w:color w:val="auto"/>
        </w:rPr>
        <w:t>which was created on cash on delivery terms; or</w:t>
      </w:r>
    </w:p>
    <w:p>
      <w:pPr>
        <w:spacing w:after="0" w:line="229" w:lineRule="exact"/>
        <w:rPr>
          <w:rFonts w:ascii="Arial" w:cs="Arial" w:eastAsia="Arial" w:hAnsi="Arial"/>
          <w:sz w:val="20"/>
          <w:szCs w:val="20"/>
          <w:color w:val="auto"/>
        </w:rPr>
      </w:pPr>
    </w:p>
    <w:p>
      <w:pPr>
        <w:jc w:val="both"/>
        <w:ind w:left="660" w:firstLine="645"/>
        <w:spacing w:after="0" w:line="342" w:lineRule="auto"/>
        <w:tabs>
          <w:tab w:leader="none" w:pos="174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which is subject to any limitation on assignment or other restriction (whether arising by operation of law, by agreement or otherwise) which would under the local governing law of the contract have the effect of restricting the assignment for or by way of security or the creation of security, in each case, unless the Administrative Agent has determined that such limitation is not enforceable.</w:t>
      </w:r>
    </w:p>
    <w:p>
      <w:pPr>
        <w:spacing w:after="0" w:line="132"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Aggregate Borrowing Base Certificate and the Borrowing Base Certificate of such Borrower. In determining the amount of an Eligible Account of a Borrower, the face amount of an Account may, in the Administrative Agent’s Permitted Discretion, be reduced by, without duplication and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w:t>
      </w:r>
    </w:p>
    <w:p>
      <w:pPr>
        <w:spacing w:after="0" w:line="5" w:lineRule="exact"/>
        <w:rPr>
          <w:sz w:val="20"/>
          <w:szCs w:val="20"/>
          <w:color w:val="auto"/>
        </w:rPr>
      </w:pPr>
    </w:p>
    <w:p>
      <w:pPr>
        <w:jc w:val="both"/>
        <w:ind w:firstLine="8"/>
        <w:spacing w:after="0" w:line="255" w:lineRule="auto"/>
        <w:tabs>
          <w:tab w:leader="none" w:pos="304" w:val="left"/>
        </w:tabs>
        <w:numPr>
          <w:ilvl w:val="0"/>
          <w:numId w:val="216"/>
        </w:numPr>
        <w:rPr>
          <w:rFonts w:ascii="Arial" w:cs="Arial" w:eastAsia="Arial" w:hAnsi="Arial"/>
          <w:sz w:val="19"/>
          <w:szCs w:val="19"/>
          <w:color w:val="auto"/>
        </w:rPr>
      </w:pPr>
      <w:r>
        <w:rPr>
          <w:rFonts w:ascii="Arial" w:cs="Arial" w:eastAsia="Arial" w:hAnsi="Arial"/>
          <w:sz w:val="19"/>
          <w:szCs w:val="19"/>
          <w:color w:val="auto"/>
        </w:rPr>
        <w:t xml:space="preserve">the aggregate amount of all cash received in respect of such Account but not yet applied by such Borrower to reduce the amount of such Account. Notwithstanding the foregoing, the eligibility criteria for “Eligible Accounts”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limitation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shall not apply in the event of a material change in the scope or magnitude of any such circumstances or events.</w:t>
      </w:r>
    </w:p>
    <w:p>
      <w:pPr>
        <w:spacing w:after="0" w:line="18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any time, the Inventory of any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65" w:lineRule="exact"/>
        <w:rPr>
          <w:sz w:val="20"/>
          <w:szCs w:val="20"/>
          <w:color w:val="auto"/>
        </w:rPr>
      </w:pPr>
    </w:p>
    <w:p>
      <w:pPr>
        <w:ind w:firstLine="656"/>
        <w:spacing w:after="0" w:line="289" w:lineRule="auto"/>
        <w:tabs>
          <w:tab w:leader="none" w:pos="1516" w:val="left"/>
        </w:tabs>
        <w:numPr>
          <w:ilvl w:val="0"/>
          <w:numId w:val="217"/>
        </w:numPr>
        <w:rPr>
          <w:rFonts w:ascii="Arial" w:cs="Arial" w:eastAsia="Arial" w:hAnsi="Arial"/>
          <w:sz w:val="20"/>
          <w:szCs w:val="20"/>
          <w:color w:val="auto"/>
        </w:rPr>
      </w:pPr>
      <w:r>
        <w:rPr>
          <w:rFonts w:ascii="Arial" w:cs="Arial" w:eastAsia="Arial" w:hAnsi="Arial"/>
          <w:sz w:val="20"/>
          <w:szCs w:val="20"/>
          <w:color w:val="auto"/>
        </w:rPr>
        <w:t>other than to the extent a Reserve is established pursuant to clause (b), which is not subject to a first priority perfected security interest in favor of the Administrative Agent;</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217"/>
        </w:numPr>
        <w:rPr>
          <w:rFonts w:ascii="Arial" w:cs="Arial" w:eastAsia="Arial" w:hAnsi="Arial"/>
          <w:sz w:val="20"/>
          <w:szCs w:val="20"/>
          <w:color w:val="auto"/>
        </w:rPr>
      </w:pPr>
      <w:r>
        <w:rPr>
          <w:rFonts w:ascii="Arial" w:cs="Arial" w:eastAsia="Arial" w:hAnsi="Arial"/>
          <w:sz w:val="20"/>
          <w:szCs w:val="20"/>
          <w:color w:val="auto"/>
        </w:rPr>
        <w:t xml:space="preserve">which is subject to any Lien, unless (i) such Lien constitutes (x) a Lien in favor of the Administrative Agent, (y) a Permitted Encumbrance which does not have priority over the Lien in favor of the Administrative Agent or (z) a Lien permitted under </w:t>
      </w:r>
      <w:r>
        <w:rPr>
          <w:rFonts w:ascii="Arial" w:cs="Arial" w:eastAsia="Arial" w:hAnsi="Arial"/>
          <w:sz w:val="20"/>
          <w:szCs w:val="20"/>
          <w:u w:val="single" w:color="auto"/>
          <w:color w:val="auto"/>
        </w:rPr>
        <w:t>Section 6.02(a)(ii)</w:t>
      </w:r>
      <w:r>
        <w:rPr>
          <w:rFonts w:ascii="Arial" w:cs="Arial" w:eastAsia="Arial" w:hAnsi="Arial"/>
          <w:sz w:val="20"/>
          <w:szCs w:val="20"/>
          <w:color w:val="auto"/>
        </w:rPr>
        <w:t xml:space="preserve"> or (ii) the Administrative Agent shall have established a Reserve in its Permitted Discretion for liabilities of such Borrower that are secured by such Lien;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812" w:right="239" w:bottom="1440" w:gutter="0" w:footer="0" w:header="0"/>
        </w:sectPr>
      </w:pPr>
    </w:p>
    <w:bookmarkStart w:id="193" w:name="page194"/>
    <w:bookmarkEnd w:id="193"/>
    <w:p>
      <w:pPr>
        <w:jc w:val="both"/>
        <w:ind w:firstLine="656"/>
        <w:spacing w:after="0" w:line="278" w:lineRule="auto"/>
        <w:tabs>
          <w:tab w:leader="none" w:pos="151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in the Administrative Agent’s Permitted Discretion, slow moving, obsolete, unmerchantable, defective, used, unfit for sale, not salable at prices approximating at least the cost of such Inventory in the ordinary course of business or unacceptable due to age, type, category and/or quantity;</w:t>
      </w:r>
    </w:p>
    <w:p>
      <w:pPr>
        <w:spacing w:after="0" w:line="186" w:lineRule="exact"/>
        <w:rPr>
          <w:rFonts w:ascii="Arial" w:cs="Arial" w:eastAsia="Arial" w:hAnsi="Arial"/>
          <w:sz w:val="20"/>
          <w:szCs w:val="20"/>
          <w:color w:val="auto"/>
        </w:rPr>
      </w:pPr>
    </w:p>
    <w:p>
      <w:pPr>
        <w:jc w:val="both"/>
        <w:ind w:firstLine="656"/>
        <w:spacing w:after="0" w:line="322" w:lineRule="auto"/>
        <w:tabs>
          <w:tab w:leader="none" w:pos="152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any Loan Document has been breached or is not true in any material respect (or, with respect to any covenant, representation or warranty which is subject to any materiality qualifier, has been breached or is not true in any respect) and which does not conform to all applicable standards imposed by any Governmental Authority;</w:t>
      </w:r>
    </w:p>
    <w:p>
      <w:pPr>
        <w:spacing w:after="0" w:line="152" w:lineRule="exact"/>
        <w:rPr>
          <w:rFonts w:ascii="Arial" w:cs="Arial" w:eastAsia="Arial" w:hAnsi="Arial"/>
          <w:sz w:val="18"/>
          <w:szCs w:val="18"/>
          <w:color w:val="auto"/>
        </w:rPr>
      </w:pPr>
    </w:p>
    <w:p>
      <w:pPr>
        <w:jc w:val="both"/>
        <w:ind w:firstLine="656"/>
        <w:spacing w:after="0" w:line="274" w:lineRule="auto"/>
        <w:tabs>
          <w:tab w:leader="none" w:pos="1516" w:val="left"/>
        </w:tabs>
        <w:numPr>
          <w:ilvl w:val="0"/>
          <w:numId w:val="218"/>
        </w:numPr>
        <w:rPr>
          <w:rFonts w:ascii="Arial" w:cs="Arial" w:eastAsia="Arial" w:hAnsi="Arial"/>
          <w:sz w:val="20"/>
          <w:szCs w:val="20"/>
          <w:color w:val="auto"/>
        </w:rPr>
      </w:pPr>
      <w:r>
        <w:rPr>
          <w:rFonts w:ascii="Arial" w:cs="Arial" w:eastAsia="Arial" w:hAnsi="Arial"/>
          <w:sz w:val="20"/>
          <w:szCs w:val="20"/>
          <w:color w:val="auto"/>
        </w:rPr>
        <w:t>in which any Person other than such Borrower shall (i) have any direct or indirect ownership, interest or title (including, without limitation, any interest that a customer may have in any chassis included in such Inventory that were acquired by such customer using financing provided by any Loan Party) or (ii) be indicated on any purchase order or invoice with respect to such Inventory as having or purporting to have an interest therein;</w:t>
      </w:r>
    </w:p>
    <w:p>
      <w:pPr>
        <w:spacing w:after="0" w:line="192" w:lineRule="exact"/>
        <w:rPr>
          <w:rFonts w:ascii="Arial" w:cs="Arial" w:eastAsia="Arial" w:hAnsi="Arial"/>
          <w:sz w:val="20"/>
          <w:szCs w:val="20"/>
          <w:color w:val="auto"/>
        </w:rPr>
      </w:pPr>
    </w:p>
    <w:p>
      <w:pPr>
        <w:jc w:val="both"/>
        <w:ind w:firstLine="656"/>
        <w:spacing w:after="0" w:line="273" w:lineRule="auto"/>
        <w:tabs>
          <w:tab w:leader="none" w:pos="1494"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constitutes work-in-process (other than Eligible U16 Inventory), spare or replacement parts, subassemblies, packaging and shipping material, manufacturing supplies, samples, prototypes, displays or display items, bill-and-hold or ship-in-place goods, goods that are returned or marked for return (unless undamaged and able to be resold in the ordinary course of business), repossessed goods, repurchased goods, defective or damaged goods, goods held by such Borrower on consignment, or goods which are not of a type held for sale in the ordinary course of business;</w:t>
      </w:r>
    </w:p>
    <w:p>
      <w:pPr>
        <w:spacing w:after="0" w:line="191" w:lineRule="exact"/>
        <w:rPr>
          <w:rFonts w:ascii="Arial" w:cs="Arial" w:eastAsia="Arial" w:hAnsi="Arial"/>
          <w:sz w:val="20"/>
          <w:szCs w:val="20"/>
          <w:color w:val="auto"/>
        </w:rPr>
      </w:pPr>
    </w:p>
    <w:p>
      <w:pPr>
        <w:ind w:left="1540" w:hanging="884"/>
        <w:spacing w:after="0"/>
        <w:tabs>
          <w:tab w:leader="none" w:pos="154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not located in the U.S. or Canada;</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located in any location leased by such Borrower unless (i) the lessor has delivered to the Administrative Agent a Collateral Access Agreement or (ii) a Reserve for rent, charges and other amounts due or to become due with respect to such facility has been established by the Administrative Agent in its Permitted Discretion;</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48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located in any third party warehouse or is in the possession of a bailee (other than a third party processor) and is not evidenced by a Document, unless (i) such warehouseman or bailee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92" w:lineRule="exact"/>
        <w:rPr>
          <w:rFonts w:ascii="Arial" w:cs="Arial" w:eastAsia="Arial" w:hAnsi="Arial"/>
          <w:sz w:val="20"/>
          <w:szCs w:val="20"/>
          <w:color w:val="auto"/>
        </w:rPr>
      </w:pPr>
    </w:p>
    <w:p>
      <w:pPr>
        <w:jc w:val="both"/>
        <w:ind w:firstLine="656"/>
        <w:spacing w:after="0" w:line="274" w:lineRule="auto"/>
        <w:tabs>
          <w:tab w:leader="none" w:pos="148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being processed offsite at a third party location or outside processor, or is in-transit to or from such third party location or outside processor, unless (i) such processor has delivered to the Administrative Agent a Collateral Access Agreement and such other documentation as the Administrative Agent may require or (ii) an appropriate Reserve has been established by the Administrative Agent in its Permitted Discretion;</w:t>
      </w:r>
    </w:p>
    <w:p>
      <w:pPr>
        <w:spacing w:after="0" w:line="192" w:lineRule="exact"/>
        <w:rPr>
          <w:rFonts w:ascii="Arial" w:cs="Arial" w:eastAsia="Arial" w:hAnsi="Arial"/>
          <w:sz w:val="20"/>
          <w:szCs w:val="20"/>
          <w:color w:val="auto"/>
        </w:rPr>
      </w:pPr>
    </w:p>
    <w:p>
      <w:pPr>
        <w:ind w:firstLine="656"/>
        <w:spacing w:after="0" w:line="289" w:lineRule="auto"/>
        <w:tabs>
          <w:tab w:leader="none" w:pos="1527"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which is a discontinued product or component thereof (unless such discontinuance does not adversely impact the salability of the remaining Inventory);</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483" w:val="left"/>
        </w:tabs>
        <w:numPr>
          <w:ilvl w:val="0"/>
          <w:numId w:val="218"/>
        </w:numPr>
        <w:rPr>
          <w:rFonts w:ascii="Arial" w:cs="Arial" w:eastAsia="Arial" w:hAnsi="Arial"/>
          <w:sz w:val="20"/>
          <w:szCs w:val="20"/>
          <w:color w:val="auto"/>
        </w:rPr>
      </w:pPr>
      <w:r>
        <w:rPr>
          <w:rFonts w:ascii="Arial" w:cs="Arial" w:eastAsia="Arial" w:hAnsi="Arial"/>
          <w:sz w:val="20"/>
          <w:szCs w:val="20"/>
          <w:color w:val="auto"/>
        </w:rPr>
        <w:t xml:space="preserve">which is the subject of a consignment by such Borrower as consignor;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consigned Inventory may be eligible if the applicable consignee has delivered to the Administrative Agent a Collateral Access Agreement and such other documentation and the Administrative Agent may reasonably require;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825" w:right="239" w:bottom="1440" w:gutter="0" w:footer="0" w:header="0"/>
        </w:sectPr>
      </w:pPr>
    </w:p>
    <w:bookmarkStart w:id="194" w:name="page195"/>
    <w:bookmarkEnd w:id="194"/>
    <w:p>
      <w:pPr>
        <w:jc w:val="both"/>
        <w:ind w:firstLine="656"/>
        <w:spacing w:after="0" w:line="274" w:lineRule="auto"/>
        <w:tabs>
          <w:tab w:leader="none" w:pos="1582"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192" w:lineRule="exact"/>
        <w:rPr>
          <w:rFonts w:ascii="Arial" w:cs="Arial" w:eastAsia="Arial" w:hAnsi="Arial"/>
          <w:sz w:val="20"/>
          <w:szCs w:val="20"/>
          <w:color w:val="auto"/>
        </w:rPr>
      </w:pPr>
    </w:p>
    <w:p>
      <w:pPr>
        <w:jc w:val="both"/>
        <w:ind w:firstLine="656"/>
        <w:spacing w:after="0" w:line="274" w:lineRule="auto"/>
        <w:tabs>
          <w:tab w:leader="none" w:pos="1527" w:val="left"/>
        </w:tabs>
        <w:numPr>
          <w:ilvl w:val="0"/>
          <w:numId w:val="219"/>
        </w:numPr>
        <w:rPr>
          <w:rFonts w:ascii="Arial" w:cs="Arial" w:eastAsia="Arial" w:hAnsi="Arial"/>
          <w:sz w:val="20"/>
          <w:szCs w:val="20"/>
          <w:color w:val="auto"/>
        </w:rPr>
      </w:pPr>
      <w:r>
        <w:rPr>
          <w:rFonts w:ascii="Arial" w:cs="Arial" w:eastAsia="Arial" w:hAnsi="Arial"/>
          <w:sz w:val="20"/>
          <w:szCs w:val="20"/>
          <w:color w:val="auto"/>
        </w:rPr>
        <w:t xml:space="preserve">which is not reflected in a current perpetual inventory report of such Borrower (unless in transit);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notwithstanding the foregoing provisions of this </w:t>
      </w:r>
      <w:r>
        <w:rPr>
          <w:rFonts w:ascii="Arial" w:cs="Arial" w:eastAsia="Arial" w:hAnsi="Arial"/>
          <w:sz w:val="20"/>
          <w:szCs w:val="20"/>
          <w:u w:val="single" w:color="auto"/>
          <w:color w:val="auto"/>
        </w:rPr>
        <w:t>clause (n)</w:t>
      </w:r>
      <w:r>
        <w:rPr>
          <w:rFonts w:ascii="Arial" w:cs="Arial" w:eastAsia="Arial" w:hAnsi="Arial"/>
          <w:sz w:val="20"/>
          <w:szCs w:val="20"/>
          <w:color w:val="auto"/>
        </w:rPr>
        <w:t>, up to $20,000,000 of Inventory of the Borrowers not reflected in a current perpetual inventory report and otherwise constituting “Eligible Inventory” may be included as Eligible Inventory (such Inventory (subject to such cap), “</w:t>
      </w:r>
      <w:r>
        <w:rPr>
          <w:rFonts w:ascii="Arial" w:cs="Arial" w:eastAsia="Arial" w:hAnsi="Arial"/>
          <w:sz w:val="20"/>
          <w:szCs w:val="20"/>
          <w:u w:val="single" w:color="auto"/>
          <w:color w:val="auto"/>
        </w:rPr>
        <w:t>Eligible Non-Perpetual Inventory</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ind w:left="1540" w:hanging="884"/>
        <w:spacing w:after="0"/>
        <w:tabs>
          <w:tab w:leader="none" w:pos="15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for which reclamation rights have been asserted by the seller;</w:t>
      </w:r>
    </w:p>
    <w:p>
      <w:pPr>
        <w:spacing w:after="0" w:line="242" w:lineRule="exact"/>
        <w:rPr>
          <w:rFonts w:ascii="Arial" w:cs="Arial" w:eastAsia="Arial" w:hAnsi="Arial"/>
          <w:sz w:val="20"/>
          <w:szCs w:val="20"/>
          <w:color w:val="auto"/>
        </w:rPr>
      </w:pPr>
    </w:p>
    <w:p>
      <w:pPr>
        <w:jc w:val="both"/>
        <w:ind w:firstLine="656"/>
        <w:spacing w:after="0" w:line="310" w:lineRule="auto"/>
        <w:tabs>
          <w:tab w:leader="none" w:pos="152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for which any contract or related documentation (such as invoices or purchase orders) relating to such Inventory includes retention of title rights in favor of the vendor or supplier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Inventory of a Borrower which may be subject to any rights of retention of title shall not be excluded from Eligible Inventory solely pursuant to this clause (q) in the event that (A) the Administrative Agent shall have received evidence satisfactory to it that the full purchase price of such Inventory has or will have been paid or (B) a Letter of Credit has been issued under and in accordance with the terms of this Agreement for the purchase of such Inventory;</w:t>
      </w:r>
    </w:p>
    <w:p>
      <w:pPr>
        <w:spacing w:after="0" w:line="162" w:lineRule="exact"/>
        <w:rPr>
          <w:rFonts w:ascii="Arial" w:cs="Arial" w:eastAsia="Arial" w:hAnsi="Arial"/>
          <w:sz w:val="18"/>
          <w:szCs w:val="18"/>
          <w:color w:val="auto"/>
        </w:rPr>
      </w:pPr>
    </w:p>
    <w:p>
      <w:pPr>
        <w:ind w:left="1540" w:hanging="884"/>
        <w:spacing w:after="0"/>
        <w:tabs>
          <w:tab w:leader="none" w:pos="15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which has been acquired from a Sanctioned Person; or</w:t>
      </w:r>
    </w:p>
    <w:p>
      <w:pPr>
        <w:spacing w:after="0" w:line="242" w:lineRule="exact"/>
        <w:rPr>
          <w:rFonts w:ascii="Arial" w:cs="Arial" w:eastAsia="Arial" w:hAnsi="Arial"/>
          <w:sz w:val="20"/>
          <w:szCs w:val="20"/>
          <w:color w:val="auto"/>
        </w:rPr>
      </w:pPr>
    </w:p>
    <w:p>
      <w:pPr>
        <w:ind w:firstLine="656"/>
        <w:spacing w:after="0" w:line="289" w:lineRule="auto"/>
        <w:tabs>
          <w:tab w:leader="none" w:pos="1494" w:val="left"/>
        </w:tabs>
        <w:numPr>
          <w:ilvl w:val="0"/>
          <w:numId w:val="219"/>
        </w:numPr>
        <w:rPr>
          <w:rFonts w:ascii="Arial" w:cs="Arial" w:eastAsia="Arial" w:hAnsi="Arial"/>
          <w:sz w:val="20"/>
          <w:szCs w:val="20"/>
          <w:color w:val="auto"/>
        </w:rPr>
      </w:pPr>
      <w:r>
        <w:rPr>
          <w:rFonts w:ascii="Arial" w:cs="Arial" w:eastAsia="Arial" w:hAnsi="Arial"/>
          <w:sz w:val="20"/>
          <w:szCs w:val="20"/>
          <w:color w:val="auto"/>
        </w:rPr>
        <w:t>other than to the extent permitted by the Administrative Agent in its Permitted Discretion, which constitutes raw materials of Winnebago of Indiana.</w:t>
      </w:r>
    </w:p>
    <w:p>
      <w:pPr>
        <w:spacing w:after="0" w:line="16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In the event that Inventory of any Borrower which was previously Eligible Inventory ceases to be Eligible Inventory hereunder, such Borrower or the Borrower Representative shall notify the Administrative Agent thereof on and at the time of submission to the Administrative Agent of the next Aggregate Borrowing Base Certificate and the Borrowing Base Certificate of such Borrower. Notwithstanding the foregoing, the eligibility criteria for “Eligible Inventory” may not be made more restrictive or newly established after the Effective Date (i) without at least three (3) Business Days’ prior notice to the Borrower Representative and (ii) in response to circumstances or events in existence on the Effective Date and disclosed to the Administrative Agent prior to the Effective Date (including under any field examinations or appraisals conducted prior to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limitation in clause (ii) shall not apply in the event of a material change in the scope or magnitude of any such circumstances or events.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Non-Perpetual Inventory</w:t>
      </w:r>
      <w:r>
        <w:rPr>
          <w:rFonts w:ascii="Arial" w:cs="Arial" w:eastAsia="Arial" w:hAnsi="Arial"/>
          <w:sz w:val="20"/>
          <w:szCs w:val="20"/>
          <w:color w:val="auto"/>
        </w:rPr>
        <w:t xml:space="preserve">” has the meaning assigned to such term in </w:t>
      </w:r>
      <w:r>
        <w:rPr>
          <w:rFonts w:ascii="Arial" w:cs="Arial" w:eastAsia="Arial" w:hAnsi="Arial"/>
          <w:sz w:val="20"/>
          <w:szCs w:val="20"/>
          <w:u w:val="single" w:color="auto"/>
          <w:color w:val="auto"/>
        </w:rPr>
        <w:t>clause (n)</w:t>
      </w:r>
      <w:r>
        <w:rPr>
          <w:rFonts w:ascii="Arial" w:cs="Arial" w:eastAsia="Arial" w:hAnsi="Arial"/>
          <w:sz w:val="20"/>
          <w:szCs w:val="20"/>
          <w:color w:val="auto"/>
        </w:rPr>
        <w:t xml:space="preserve"> of the definition of “Eligible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Inventory”.</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U16 Inventory</w:t>
      </w:r>
      <w:r>
        <w:rPr>
          <w:rFonts w:ascii="Arial" w:cs="Arial" w:eastAsia="Arial" w:hAnsi="Arial"/>
          <w:sz w:val="20"/>
          <w:szCs w:val="20"/>
          <w:color w:val="auto"/>
        </w:rPr>
        <w:t>” means any Inventory of a Borrower that constitutes U16 Inventory for not more than sixty (60) days in the aggregate.</w:t>
      </w:r>
    </w:p>
    <w:p>
      <w:pPr>
        <w:spacing w:after="0" w:line="177"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Material or to health and safety matters.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825" w:right="239" w:bottom="1440" w:gutter="0" w:footer="0" w:header="0"/>
        </w:sectPr>
      </w:pPr>
    </w:p>
    <w:bookmarkStart w:id="195" w:name="page196"/>
    <w:bookmarkEnd w:id="195"/>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3" w:lineRule="exact"/>
        <w:rPr>
          <w:sz w:val="20"/>
          <w:szCs w:val="20"/>
          <w:color w:val="auto"/>
        </w:rPr>
      </w:pPr>
    </w:p>
    <w:p>
      <w:pPr>
        <w:ind w:firstLine="8"/>
        <w:spacing w:after="0" w:line="244" w:lineRule="auto"/>
        <w:tabs>
          <w:tab w:leader="none" w:pos="297"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any contract, agreement or other consensual arrangement pursuant to which liability is assumed or imposed with respect to any of the foregoing.</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whether or not waived; (c) the filing pursuant to Section 412(c) of the Code or Section 302(c) of ERISA of an application for a waiver of the minimum funding standard with respect to any Plan; (d) the incurrence by the Company or any of its ERISA Affiliates of any liability under Title IV of ERISA with respect to the termination of any Plan;</w:t>
      </w:r>
    </w:p>
    <w:p>
      <w:pPr>
        <w:spacing w:after="0" w:line="4" w:lineRule="exact"/>
        <w:rPr>
          <w:sz w:val="20"/>
          <w:szCs w:val="20"/>
          <w:color w:val="auto"/>
        </w:rPr>
      </w:pPr>
    </w:p>
    <w:p>
      <w:pPr>
        <w:jc w:val="both"/>
        <w:ind w:firstLine="8"/>
        <w:spacing w:after="0" w:line="272" w:lineRule="auto"/>
        <w:tabs>
          <w:tab w:leader="none" w:pos="302"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receipt by the Company or any ERISA Affiliate from the PBGC or a plan administrator of any notice relating to an intention to terminate any Plan or Plans or to appoint a trustee to administer any Plan; (f) the incurrence by the Company or any of its ERISA Affiliates of any liability with respect to the withdrawal or partial withdrawal of the Company or any of its ERISA Affiliates from any Plan or Multiemployer Plan; or (g) the receipt by the Company or any ERISA Affiliate of any notice, or the receipt by any Multiemployer Plan from the Company or any ERISA Affiliate of any notice, concerning the imposition upon the Company or any of its ERISA Affiliates of Withdrawal Liability or a determination that a Multiemployer Plan is, or is expected to be, insolvent, within the meaning of Title IV of ERISA.</w:t>
      </w:r>
    </w:p>
    <w:p>
      <w:pPr>
        <w:spacing w:after="0" w:line="170"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Eurodollar</w:t>
      </w:r>
      <w:r>
        <w:rPr>
          <w:rFonts w:ascii="Arial" w:cs="Arial" w:eastAsia="Arial" w:hAnsi="Arial"/>
          <w:sz w:val="20"/>
          <w:szCs w:val="20"/>
          <w:color w:val="auto"/>
        </w:rPr>
        <w:t>” when used in reference to any Loan or Borrowing, means that such Loan, or the Loans comprising such Borrowing, bears interest at a rate determined by reference to the Adjusted LIBO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has the meaning assigned to such term in Article VII.</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812" w:right="239" w:bottom="1440" w:gutter="0" w:footer="0" w:header="0"/>
        </w:sectPr>
      </w:pPr>
    </w:p>
    <w:bookmarkStart w:id="196" w:name="page197"/>
    <w:bookmarkEnd w:id="196"/>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Excess Grand Design Borrowing Base</w:t>
      </w:r>
      <w:r>
        <w:rPr>
          <w:rFonts w:ascii="Arial" w:cs="Arial" w:eastAsia="Arial" w:hAnsi="Arial"/>
          <w:sz w:val="20"/>
          <w:szCs w:val="20"/>
          <w:color w:val="auto"/>
        </w:rPr>
        <w:t xml:space="preserve">” means, at any time, the excess, if any, of (a) Grand Design’s Borrowing Base at such time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the aggregate Grand Design Revolving Exposures of all Lenders at such time.</w:t>
      </w:r>
    </w:p>
    <w:p>
      <w:pPr>
        <w:spacing w:after="0" w:line="177"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Winnebago of Indiana Borrowing Base</w:t>
      </w:r>
      <w:r>
        <w:rPr>
          <w:rFonts w:ascii="Arial" w:cs="Arial" w:eastAsia="Arial" w:hAnsi="Arial"/>
          <w:sz w:val="19"/>
          <w:szCs w:val="19"/>
          <w:color w:val="auto"/>
        </w:rPr>
        <w:t xml:space="preserve">” means, at any time, the excess, if any, of (a) Winnebago of Indiana’s Borrowing Base at such time </w:t>
      </w:r>
      <w:r>
        <w:rPr>
          <w:rFonts w:ascii="Arial" w:cs="Arial" w:eastAsia="Arial" w:hAnsi="Arial"/>
          <w:sz w:val="19"/>
          <w:szCs w:val="19"/>
          <w:u w:val="single" w:color="auto"/>
          <w:color w:val="auto"/>
        </w:rPr>
        <w:t>over</w:t>
      </w:r>
      <w:r>
        <w:rPr>
          <w:rFonts w:ascii="Arial" w:cs="Arial" w:eastAsia="Arial" w:hAnsi="Arial"/>
          <w:sz w:val="19"/>
          <w:szCs w:val="19"/>
          <w:color w:val="auto"/>
        </w:rPr>
        <w:t xml:space="preserve"> (b) the aggregate Winnebago of Indiana Revolving Exposures of all Lenders at such time.</w:t>
      </w:r>
    </w:p>
    <w:p>
      <w:pPr>
        <w:spacing w:after="0" w:line="153"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Accounts</w:t>
      </w:r>
      <w:r>
        <w:rPr>
          <w:rFonts w:ascii="Arial" w:cs="Arial" w:eastAsia="Arial" w:hAnsi="Arial"/>
          <w:sz w:val="20"/>
          <w:szCs w:val="20"/>
          <w:color w:val="auto"/>
        </w:rPr>
        <w:t>” means, collectively, (a) payroll accounts, trust accounts, employee benefit accounts and zero-balance disbursement accounts (that are not collection accounts) and (b) deposit accounts that have balances of no more than $250,000 individually or $1,000,000 in the aggregate for any period of thirty (30) consecutive days.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collectively:</w:t>
      </w:r>
    </w:p>
    <w:p>
      <w:pPr>
        <w:spacing w:after="0" w:line="216" w:lineRule="exact"/>
        <w:rPr>
          <w:sz w:val="20"/>
          <w:szCs w:val="20"/>
          <w:color w:val="auto"/>
        </w:rPr>
      </w:pPr>
    </w:p>
    <w:p>
      <w:pPr>
        <w:ind w:left="1580" w:hanging="275"/>
        <w:spacing w:after="0"/>
        <w:tabs>
          <w:tab w:leader="none" w:pos="15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fee-owned real property that does not constitute Material Real Property and all leasehold interests in real property;</w:t>
      </w:r>
    </w:p>
    <w:p>
      <w:pPr>
        <w:spacing w:after="0" w:line="238" w:lineRule="exact"/>
        <w:rPr>
          <w:rFonts w:ascii="Arial" w:cs="Arial" w:eastAsia="Arial" w:hAnsi="Arial"/>
          <w:sz w:val="18"/>
          <w:szCs w:val="18"/>
          <w:color w:val="auto"/>
        </w:rPr>
      </w:pPr>
    </w:p>
    <w:p>
      <w:pPr>
        <w:jc w:val="both"/>
        <w:ind w:firstLine="1305"/>
        <w:spacing w:after="0" w:line="244" w:lineRule="auto"/>
        <w:tabs>
          <w:tab w:leader="none" w:pos="1577"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“intent-to-use” application for registration of a trademark filed pursuant to Section 1(b) of the Lanham Act, 15 U.S.C. §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194" w:lineRule="exact"/>
        <w:rPr>
          <w:rFonts w:ascii="Arial" w:cs="Arial" w:eastAsia="Arial" w:hAnsi="Arial"/>
          <w:sz w:val="20"/>
          <w:szCs w:val="20"/>
          <w:color w:val="auto"/>
        </w:rPr>
      </w:pPr>
    </w:p>
    <w:p>
      <w:pPr>
        <w:jc w:val="both"/>
        <w:ind w:firstLine="1305"/>
        <w:spacing w:after="0" w:line="244" w:lineRule="auto"/>
        <w:tabs>
          <w:tab w:leader="none" w:pos="1606" w:val="left"/>
        </w:tabs>
        <w:numPr>
          <w:ilvl w:val="0"/>
          <w:numId w:val="222"/>
        </w:numPr>
        <w:rPr>
          <w:rFonts w:ascii="Arial" w:cs="Arial" w:eastAsia="Arial" w:hAnsi="Arial"/>
          <w:sz w:val="20"/>
          <w:szCs w:val="20"/>
          <w:color w:val="auto"/>
        </w:rPr>
      </w:pPr>
      <w:r>
        <w:rPr>
          <w:rFonts w:ascii="Arial" w:cs="Arial" w:eastAsia="Arial" w:hAnsi="Arial"/>
          <w:sz w:val="20"/>
          <w:szCs w:val="20"/>
          <w:color w:val="auto"/>
        </w:rPr>
        <w:t xml:space="preserve">assets in respect of which pledges and security interests are prohibited by applicable U.S. law, rule or regulation or agreements with any U.S. governmental authority (other than to the extent that such prohibition would be rendered ineffective pursuant to Sections 9-406, 9-407, 9-408, 9-409 or other applicable provisions of the UCC of any relevant jurisdiction or any other 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upon the ineffectiveness, lapse or termination of any such prohibitions, such assets shall automatically cease to constitute Excluded Assets;</w:t>
      </w:r>
    </w:p>
    <w:p>
      <w:pPr>
        <w:spacing w:after="0" w:line="194" w:lineRule="exact"/>
        <w:rPr>
          <w:rFonts w:ascii="Arial" w:cs="Arial" w:eastAsia="Arial" w:hAnsi="Arial"/>
          <w:sz w:val="20"/>
          <w:szCs w:val="20"/>
          <w:color w:val="auto"/>
        </w:rPr>
      </w:pPr>
    </w:p>
    <w:p>
      <w:pPr>
        <w:ind w:left="1580" w:hanging="275"/>
        <w:spacing w:after="0"/>
        <w:tabs>
          <w:tab w:leader="none" w:pos="15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margin stock (within the meaning of Regulation U issued by the Board);</w:t>
      </w:r>
    </w:p>
    <w:p>
      <w:pPr>
        <w:spacing w:after="0" w:line="215" w:lineRule="exact"/>
        <w:rPr>
          <w:rFonts w:ascii="Arial" w:cs="Arial" w:eastAsia="Arial" w:hAnsi="Arial"/>
          <w:sz w:val="20"/>
          <w:szCs w:val="20"/>
          <w:color w:val="auto"/>
        </w:rPr>
      </w:pPr>
    </w:p>
    <w:p>
      <w:pPr>
        <w:jc w:val="both"/>
        <w:ind w:right="20" w:firstLine="1305"/>
        <w:spacing w:after="0" w:line="250" w:lineRule="auto"/>
        <w:tabs>
          <w:tab w:leader="none" w:pos="1572" w:val="left"/>
        </w:tabs>
        <w:numPr>
          <w:ilvl w:val="0"/>
          <w:numId w:val="222"/>
        </w:numPr>
        <w:rPr>
          <w:rFonts w:ascii="Arial" w:cs="Arial" w:eastAsia="Arial" w:hAnsi="Arial"/>
          <w:sz w:val="20"/>
          <w:szCs w:val="20"/>
          <w:color w:val="auto"/>
        </w:rPr>
      </w:pPr>
      <w:r>
        <w:rPr>
          <w:rFonts w:ascii="Arial" w:cs="Arial" w:eastAsia="Arial" w:hAnsi="Arial"/>
          <w:sz w:val="20"/>
          <w:szCs w:val="20"/>
          <w:color w:val="auto"/>
        </w:rPr>
        <w:t>Equity Interests in any entity other than wholly-owned Material Subsidiaries and, to the extent not requiring the consent of one or more unaffiliated third parties or prohibited by the terms of any applicable organizational documents, joint venture agreement or shareholders’ agreement, other Material Subsidiaries and joint ventures;</w:t>
      </w:r>
    </w:p>
    <w:p>
      <w:pPr>
        <w:spacing w:after="0" w:line="186" w:lineRule="exact"/>
        <w:rPr>
          <w:rFonts w:ascii="Arial" w:cs="Arial" w:eastAsia="Arial" w:hAnsi="Arial"/>
          <w:sz w:val="20"/>
          <w:szCs w:val="20"/>
          <w:color w:val="auto"/>
        </w:rPr>
      </w:pPr>
    </w:p>
    <w:p>
      <w:pPr>
        <w:ind w:right="20" w:firstLine="1305"/>
        <w:spacing w:after="0" w:line="316" w:lineRule="auto"/>
        <w:tabs>
          <w:tab w:leader="none" w:pos="154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letter of credit rights with a value of less than $5,000,000 (other than to the extent the security interest in such letter of credit right may be perfected by the filing of UCC financing statements) and commercial tort claims with a value of less than $5,000,000;</w:t>
      </w:r>
    </w:p>
    <w:p>
      <w:pPr>
        <w:spacing w:after="0" w:line="130" w:lineRule="exact"/>
        <w:rPr>
          <w:rFonts w:ascii="Arial" w:cs="Arial" w:eastAsia="Arial" w:hAnsi="Arial"/>
          <w:sz w:val="18"/>
          <w:szCs w:val="18"/>
          <w:color w:val="auto"/>
        </w:rPr>
      </w:pPr>
    </w:p>
    <w:p>
      <w:pPr>
        <w:jc w:val="both"/>
        <w:ind w:firstLine="1305"/>
        <w:spacing w:after="0" w:line="243" w:lineRule="auto"/>
        <w:tabs>
          <w:tab w:leader="none" w:pos="158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any lease, license, capital lease obligation or other agreement or any property subject to a purchase money security interest, similar agreement or other contractual restriction to the extent that a grant of a security interest therein would violate or invalidate such lease, license, capital lease obligation or agreement or purchase money arrangement or other contraction restriction or create a right of termination in favor of any other party thereto (other than a Loan Party) (other than (x) proceeds and receivables thereof, the assignment of which is expressly deemed effective under the UCC notwithstanding such prohibition, (y) to the extent that any such term has been waived or (z) to the extent that any such term would be rendered</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811" w:right="239" w:bottom="1440" w:gutter="0" w:footer="0" w:header="0"/>
        </w:sectPr>
      </w:pPr>
    </w:p>
    <w:bookmarkStart w:id="197" w:name="page198"/>
    <w:bookmarkEnd w:id="197"/>
    <w:p>
      <w:pPr>
        <w:jc w:val="both"/>
        <w:spacing w:after="0" w:line="250" w:lineRule="auto"/>
        <w:rPr>
          <w:sz w:val="20"/>
          <w:szCs w:val="20"/>
          <w:color w:val="auto"/>
        </w:rPr>
      </w:pPr>
      <w:r>
        <w:rPr>
          <w:rFonts w:ascii="Arial" w:cs="Arial" w:eastAsia="Arial" w:hAnsi="Arial"/>
          <w:sz w:val="20"/>
          <w:szCs w:val="20"/>
          <w:color w:val="auto"/>
        </w:rPr>
        <w:t xml:space="preserve">ineffective pursuant to Sections 9-406, 9-407, 9-408, 9-409 or other applicable provisions of the UCC of any relevant jurisdiction or any other 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immediately upon the ineffectiveness, lapse or termination of any such term, such assets shall automatically cease to constitute Excluded Assets;</w:t>
      </w:r>
    </w:p>
    <w:p>
      <w:pPr>
        <w:spacing w:after="0" w:line="186" w:lineRule="exact"/>
        <w:rPr>
          <w:sz w:val="20"/>
          <w:szCs w:val="20"/>
          <w:color w:val="auto"/>
        </w:rPr>
      </w:pPr>
    </w:p>
    <w:p>
      <w:pPr>
        <w:jc w:val="both"/>
        <w:ind w:firstLine="1305"/>
        <w:spacing w:after="0" w:line="250" w:lineRule="auto"/>
        <w:tabs>
          <w:tab w:leader="none" w:pos="159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any foreign assets (including foreign intellectual property) (other than pledges of the Applicable Pledge Percentage of the issued and outstanding Equity Interests in any First Tier Foreign Subsidiary which is a Material Foreign Subsidiary as contemplated by this Agreement) or credit support;</w:t>
      </w:r>
    </w:p>
    <w:p>
      <w:pPr>
        <w:spacing w:after="0" w:line="186" w:lineRule="exact"/>
        <w:rPr>
          <w:rFonts w:ascii="Arial" w:cs="Arial" w:eastAsia="Arial" w:hAnsi="Arial"/>
          <w:sz w:val="20"/>
          <w:szCs w:val="20"/>
          <w:color w:val="auto"/>
        </w:rPr>
      </w:pPr>
    </w:p>
    <w:p>
      <w:pPr>
        <w:ind w:right="20" w:firstLine="1305"/>
        <w:spacing w:after="0" w:line="287" w:lineRule="auto"/>
        <w:tabs>
          <w:tab w:leader="none" w:pos="1559"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those assets as to which the Administrative Agent and the Company reasonably agree that the cost of obtaining such a security interest or perfection thereof are excessive in relation to the benefit to the Lenders of the security to be afforded thereby;</w:t>
      </w:r>
    </w:p>
    <w:p>
      <w:pPr>
        <w:spacing w:after="0" w:line="152" w:lineRule="exact"/>
        <w:rPr>
          <w:rFonts w:ascii="Arial" w:cs="Arial" w:eastAsia="Arial" w:hAnsi="Arial"/>
          <w:sz w:val="19"/>
          <w:szCs w:val="19"/>
          <w:color w:val="auto"/>
        </w:rPr>
      </w:pPr>
    </w:p>
    <w:p>
      <w:pPr>
        <w:ind w:left="1540" w:hanging="235"/>
        <w:spacing w:after="0"/>
        <w:tabs>
          <w:tab w:leader="none" w:pos="154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any aircrafts and aircraft engines; and</w:t>
      </w:r>
    </w:p>
    <w:p>
      <w:pPr>
        <w:spacing w:after="0" w:line="215" w:lineRule="exact"/>
        <w:rPr>
          <w:rFonts w:ascii="Arial" w:cs="Arial" w:eastAsia="Arial" w:hAnsi="Arial"/>
          <w:sz w:val="20"/>
          <w:szCs w:val="20"/>
          <w:color w:val="auto"/>
        </w:rPr>
      </w:pPr>
    </w:p>
    <w:p>
      <w:pPr>
        <w:ind w:left="1580" w:hanging="275"/>
        <w:spacing w:after="0"/>
        <w:tabs>
          <w:tab w:leader="none" w:pos="158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Excluded Accounts.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Notwithstanding the foregoing, “Excluded Assets” shall not include any proceeds, products, substitutions or replacements of Excluded Assets (unless such proceeds, products, substitutions or replacements would otherwise constitute Excluded Assets).</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Domestic Subsidiary</w:t>
      </w:r>
      <w:r>
        <w:rPr>
          <w:rFonts w:ascii="Arial" w:cs="Arial" w:eastAsia="Arial" w:hAnsi="Arial"/>
          <w:sz w:val="20"/>
          <w:szCs w:val="20"/>
          <w:color w:val="auto"/>
        </w:rPr>
        <w:t>” means (a) any Domestic Subsidiary whose Equity Interests are owned directly or indirectly by a CFC and (b) any Domestic Foreign Holdco Subsidiary.</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Foreign Subsidiary</w:t>
      </w:r>
      <w:r>
        <w:rPr>
          <w:rFonts w:ascii="Arial" w:cs="Arial" w:eastAsia="Arial" w:hAnsi="Arial"/>
          <w:sz w:val="20"/>
          <w:szCs w:val="20"/>
          <w:color w:val="auto"/>
        </w:rPr>
        <w:t>” means a Foreign Subsidiary which is (a) a CFC or (b) a direct or indirect Foreign Subsidiary owned by a CFC or Domestic Foreign Holdco Subsidiary.</w:t>
      </w:r>
    </w:p>
    <w:p>
      <w:pPr>
        <w:spacing w:after="0" w:line="177"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Swap Obligation</w:t>
      </w:r>
      <w:r>
        <w:rPr>
          <w:rFonts w:ascii="Arial" w:cs="Arial" w:eastAsia="Arial" w:hAnsi="Arial"/>
          <w:sz w:val="20"/>
          <w:szCs w:val="20"/>
          <w:color w:val="auto"/>
        </w:rPr>
        <w:t>” means, with respect to any Loan Party, any Specified Swap Obligation if, and to the extent that, all or a portion of the Guarantee of such Loan Party of, or the grant by such Loan Party of a security interest to secure, such Specified Swap Obligation (or any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ECP at the time the Guarantee of such Loan Party or the grant of such security interest becomes effective with respect to such Specified Swap Obligation. If a Specified Swap Obligation arises under a master agreement governing more than one swap, such exclusion shall apply only to the portion of such Specified Swap Obligation that is attributable to swaps for which such Guarantee or security interest is or becomes illegal.</w:t>
      </w:r>
    </w:p>
    <w:p>
      <w:pPr>
        <w:spacing w:after="0" w:line="19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w:t>
      </w:r>
    </w:p>
    <w:p>
      <w:pPr>
        <w:spacing w:after="0" w:line="4" w:lineRule="exact"/>
        <w:rPr>
          <w:sz w:val="20"/>
          <w:szCs w:val="20"/>
          <w:color w:val="auto"/>
        </w:rPr>
      </w:pPr>
    </w:p>
    <w:p>
      <w:pPr>
        <w:jc w:val="both"/>
        <w:ind w:right="20" w:firstLine="8"/>
        <w:spacing w:after="0" w:line="276" w:lineRule="auto"/>
        <w:tabs>
          <w:tab w:leader="none" w:pos="26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such Lender acquires such interest in the Loan, Letter of Credit or Commitment (other than pursuant to an assignment request by any Borrower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Commitment or to such Lender immediately before it changed its lending office,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812" w:right="239" w:bottom="1440" w:gutter="0" w:footer="0" w:header="0"/>
        </w:sectPr>
      </w:pPr>
    </w:p>
    <w:bookmarkStart w:id="198" w:name="page199"/>
    <w:bookmarkEnd w:id="198"/>
    <w:p>
      <w:pPr>
        <w:ind w:left="300" w:hanging="292"/>
        <w:spacing w:after="0"/>
        <w:tabs>
          <w:tab w:leader="none" w:pos="3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Taxes attributable to such Recipient’s failure to comply with Section 2.17(f) and (d) any U.S. Federal withholding Taxes imposed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FATCA.</w:t>
      </w:r>
    </w:p>
    <w:p>
      <w:pPr>
        <w:spacing w:after="0" w:line="20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Credit Agreement</w:t>
      </w:r>
      <w:r>
        <w:rPr>
          <w:rFonts w:ascii="Arial" w:cs="Arial" w:eastAsia="Arial" w:hAnsi="Arial"/>
          <w:sz w:val="19"/>
          <w:szCs w:val="19"/>
          <w:color w:val="auto"/>
        </w:rPr>
        <w:t>” means that certain Credit Agreement, dated as of October 31, 2012 by and among the Company and Winnebago of Indiana, as borrowers, the other credit parties from time to time party thereto, the lenders party thereto and Wells Fargo Bank, N.A., as agent, as amended, restated, supplemented or otherwise modified prior to the Effective Date.</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(or any amended or successor version that is substantively comparable and not materially more onerous to comply with), any intergovernmental agreement between a non-U.S. jurisdiction and the United States of America with respect to the foregoing and any law, regulation, fiscal or regulatory legislation, or official rule, guidance note or practice adopted pursuant to any such intergovernmental agreement.</w:t>
      </w:r>
    </w:p>
    <w:p>
      <w:pPr>
        <w:spacing w:after="0" w:line="17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FCCR Test Period</w:t>
      </w:r>
      <w:r>
        <w:rPr>
          <w:rFonts w:ascii="Arial" w:cs="Arial" w:eastAsia="Arial" w:hAnsi="Arial"/>
          <w:sz w:val="20"/>
          <w:szCs w:val="20"/>
          <w:color w:val="auto"/>
        </w:rPr>
        <w:t>” means any period (a) commencing on the last day of the most recently ended Test Period on or prior to the date Aggregate Availability is less than the greater of $12,500,000 and 10% of the Aggregate Commitment at any time and (b) ending on the day after Aggregate Availability has exceeded the greater of $12,500,000 and 10% of the Aggregate Commitment for thirty (30) consecutive days.</w:t>
      </w:r>
    </w:p>
    <w:p>
      <w:pPr>
        <w:spacing w:after="0" w:line="19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Effective Rate</w:t>
      </w:r>
      <w:r>
        <w:rPr>
          <w:rFonts w:ascii="Arial" w:cs="Arial" w:eastAsia="Arial" w:hAnsi="Arial"/>
          <w:sz w:val="20"/>
          <w:szCs w:val="20"/>
          <w:color w:val="auto"/>
        </w:rPr>
        <w:t>”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Release Conditions</w:t>
      </w:r>
      <w:r>
        <w:rPr>
          <w:rFonts w:ascii="Arial" w:cs="Arial" w:eastAsia="Arial" w:hAnsi="Arial"/>
          <w:sz w:val="20"/>
          <w:szCs w:val="20"/>
          <w:color w:val="auto"/>
        </w:rPr>
        <w:t>” has the meaning assigned to such term in Section 9.19(c).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controller of the Company.</w:t>
      </w:r>
    </w:p>
    <w:p>
      <w:pPr>
        <w:spacing w:after="0" w:line="227"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First Lien Net Leverage Ratio</w:t>
      </w:r>
      <w:r>
        <w:rPr>
          <w:rFonts w:ascii="Arial" w:cs="Arial" w:eastAsia="Arial" w:hAnsi="Arial"/>
          <w:sz w:val="16"/>
          <w:szCs w:val="16"/>
          <w:color w:val="auto"/>
        </w:rPr>
        <w:t xml:space="preserve">” means, as of any date of determination, the ratio of (a) an amount equal to (i) Consolidated Total Secured Indebtedness, but excluding any secured indebtedness to the extent the Liens with respect thereto are subordinated to the Liens securing the Secured Obligations or the Term Loan Obligations, as of the last day of the most recent Test Period on or prior to such date of determination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amount of unrestricted and unencumbered cash and Permitted Investments included in the consolidated balance sheet of the Company and its Subsidiaries as of such date, which aggregate amount shall be determined without giving pro forma effect to the proceeds of Indebtedness incurred on such date to (ii) Consolidated EBITDA of the Company and its Subsidiaries for such Test Period.</w:t>
      </w:r>
    </w:p>
    <w:p>
      <w:pPr>
        <w:spacing w:after="0" w:line="140"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Tier Foreign Subsidiary</w:t>
      </w:r>
      <w:r>
        <w:rPr>
          <w:rFonts w:ascii="Arial" w:cs="Arial" w:eastAsia="Arial" w:hAnsi="Arial"/>
          <w:sz w:val="19"/>
          <w:szCs w:val="19"/>
          <w:color w:val="auto"/>
        </w:rPr>
        <w:t>” means each Foreign Subsidiary with respect to which any one or more of the Company and its Domestic Subsidiaries directly owns more than 50% of such Foreign Subsidiary’s issued and outstanding Equity Interests.</w:t>
      </w:r>
    </w:p>
    <w:p>
      <w:pPr>
        <w:spacing w:after="0" w:line="153"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xml:space="preserve">” means, for any period, the ratio of (a) Consolidated EBITDA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Capital Expenditures (other than Capital Expenditures (i) financed with Indebtedness (other than Revolving Loans), (ii) made to restore, replace or rebuild assets subject to casualty or condemnation events to the extent made with the cash proceeds of insurance or condemnation awards, (iii) to the extent made with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812" w:right="239" w:bottom="1440" w:gutter="0" w:footer="0" w:header="0"/>
        </w:sectPr>
      </w:pPr>
    </w:p>
    <w:bookmarkStart w:id="199" w:name="page200"/>
    <w:bookmarkEnd w:id="199"/>
    <w:p>
      <w:pPr>
        <w:jc w:val="both"/>
        <w:ind w:right="20"/>
        <w:spacing w:after="0" w:line="260" w:lineRule="auto"/>
        <w:rPr>
          <w:sz w:val="20"/>
          <w:szCs w:val="20"/>
          <w:color w:val="auto"/>
        </w:rPr>
      </w:pPr>
      <w:r>
        <w:rPr>
          <w:rFonts w:ascii="Arial" w:cs="Arial" w:eastAsia="Arial" w:hAnsi="Arial"/>
          <w:sz w:val="20"/>
          <w:szCs w:val="20"/>
          <w:color w:val="auto"/>
        </w:rPr>
        <w:t>the cash proceeds of permitted asset dispositions and/or (iv) constituting capital assets acquired in a Permitted Acquisition) to (b) Fixed Charges, all calculated for the Company and its Subsidiaries on a consolidated basis in accordance with GAAP.</w:t>
      </w:r>
    </w:p>
    <w:p>
      <w:pPr>
        <w:spacing w:after="0" w:line="17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Charges</w:t>
      </w:r>
      <w:r>
        <w:rPr>
          <w:rFonts w:ascii="Arial" w:cs="Arial" w:eastAsia="Arial" w:hAnsi="Arial"/>
          <w:sz w:val="19"/>
          <w:szCs w:val="19"/>
          <w:color w:val="auto"/>
        </w:rPr>
        <w:t xml:space="preserve">” means, for any period, without duplication, (a) cash Consolidated Interest Expense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to the extent positive, expenses for income taxes paid in cash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scheduled cash principal payments made on Indebtedness for borrowed money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cash dividends paid by the Company,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cash contributions to any Plan (to the extent not accounted for in the calculation of Consolidated EBITDA), all calculated for the Company and its Subsidiaries (except as provided in clause (d)) on a consolidated basis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determining satisfaction of the Payment Condition, “Fixed Charges” shall also include, without duplication (i) all Restricted Payments paid in cash by the Company and its Subsidiaries on a consolidated basis during such period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09(g)</w:t>
      </w:r>
      <w:r>
        <w:rPr>
          <w:rFonts w:ascii="Arial" w:cs="Arial" w:eastAsia="Arial" w:hAnsi="Arial"/>
          <w:sz w:val="19"/>
          <w:szCs w:val="19"/>
          <w:color w:val="auto"/>
        </w:rPr>
        <w:t xml:space="preserve"> and (ii) cash payments of earn-out obligations.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has the meaning assigned to such term in Article VIII.</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applicable Borrower is a U.S. Person, a Lender, with respect to such Borrower, that is not a U.S. Person, and (b) if the applicable Borrower is not a U.S. Person, a Lender, with respect to such Borrower, that is resident or organized under the laws of a jurisdiction other than that in which such Borrower is resident for tax purposes.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which is not a Domestic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Account</w:t>
      </w:r>
      <w:r>
        <w:rPr>
          <w:rFonts w:ascii="Arial" w:cs="Arial" w:eastAsia="Arial" w:hAnsi="Arial"/>
          <w:sz w:val="20"/>
          <w:szCs w:val="20"/>
          <w:color w:val="auto"/>
        </w:rPr>
        <w:t>” has the meaning assigned to such term in Section 4.01(f).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of America.</w:t>
      </w:r>
    </w:p>
    <w:p>
      <w:pPr>
        <w:spacing w:after="0" w:line="21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w:t>
      </w:r>
      <w:r>
        <w:rPr>
          <w:rFonts w:ascii="Arial" w:cs="Arial" w:eastAsia="Arial" w:hAnsi="Arial"/>
          <w:sz w:val="20"/>
          <w:szCs w:val="20"/>
          <w:color w:val="auto"/>
        </w:rPr>
        <w:t>” means Grand Design RV, LLC, an Indiana limited liability company.</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Acquisition</w:t>
      </w:r>
      <w:r>
        <w:rPr>
          <w:rFonts w:ascii="Arial" w:cs="Arial" w:eastAsia="Arial" w:hAnsi="Arial"/>
          <w:sz w:val="20"/>
          <w:szCs w:val="20"/>
          <w:color w:val="auto"/>
        </w:rPr>
        <w:t>” means the acquisition of all of the outstanding Equity Interests of Grand Design by the Company pursuant to the Grand Design Purchase Agreement.</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Purchase Agreement</w:t>
      </w:r>
      <w:r>
        <w:rPr>
          <w:rFonts w:ascii="Arial" w:cs="Arial" w:eastAsia="Arial" w:hAnsi="Arial"/>
          <w:sz w:val="20"/>
          <w:szCs w:val="20"/>
          <w:color w:val="auto"/>
        </w:rPr>
        <w:t>” means the Securities Purchase Agreement, dated as of October 2, 2016, by and among Grand Design, as the company, Summit Partners Growth Equity Fund VIII-B, L.P., Summit Partners Growth Equity Fund VIII-A, L.P., Summit Partners Entrepreneur Advisors Fund I, L.P., Summit Investors I, LLC, Summit Investors I (UK), L.P., SP GE VIII-B GD RV Holdings, L.P. and RDB III, Inc., as sellers, Donald Clark, Ronald Fenech and William Fenech, as RDB shareholders, SP GE VIII-B GD RV Holdings, L.P., as sellers’ representative, Octavius Corporation, as buyer, and the Company.</w:t>
      </w:r>
    </w:p>
    <w:p>
      <w:pPr>
        <w:spacing w:after="0" w:line="19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 Design Purchase Agreement Representations</w:t>
      </w:r>
      <w:r>
        <w:rPr>
          <w:rFonts w:ascii="Arial" w:cs="Arial" w:eastAsia="Arial" w:hAnsi="Arial"/>
          <w:sz w:val="18"/>
          <w:szCs w:val="18"/>
          <w:color w:val="auto"/>
        </w:rPr>
        <w:t>” means such of the representations made by or on behalf of Grand Design in the Grand Design Merger Agreement as are material to the interests of the Lenders, but only to the extent that the accuracy of any such representation is a condition to the Company’s (or any of its affiliates’) obligations to close the Grand Design Acquisition under the Grand Design Merger Agreement or the Company (or any of its affiliates) has the right to terminate the Company’s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811" w:right="239" w:bottom="1440" w:gutter="0" w:footer="0" w:header="0"/>
        </w:sectPr>
      </w:pPr>
    </w:p>
    <w:bookmarkStart w:id="200" w:name="page201"/>
    <w:bookmarkEnd w:id="200"/>
    <w:p>
      <w:pPr>
        <w:jc w:val="both"/>
        <w:spacing w:after="0" w:line="260" w:lineRule="auto"/>
        <w:rPr>
          <w:sz w:val="20"/>
          <w:szCs w:val="20"/>
          <w:color w:val="auto"/>
        </w:rPr>
      </w:pPr>
      <w:r>
        <w:rPr>
          <w:rFonts w:ascii="Arial" w:cs="Arial" w:eastAsia="Arial" w:hAnsi="Arial"/>
          <w:sz w:val="20"/>
          <w:szCs w:val="20"/>
          <w:color w:val="auto"/>
        </w:rPr>
        <w:t>(or any of its affiliates’) obligations under the Grand Design Purchase Agreement or decline to consummate the Grand Design Acquisition as a result of a breach of such representations in the Grand Design Purchase Agreement.</w:t>
      </w:r>
    </w:p>
    <w:p>
      <w:pPr>
        <w:spacing w:after="0" w:line="17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Grand Design Revolving Exposures</w:t>
      </w:r>
      <w:r>
        <w:rPr>
          <w:rFonts w:ascii="Arial" w:cs="Arial" w:eastAsia="Arial" w:hAnsi="Arial"/>
          <w:sz w:val="19"/>
          <w:szCs w:val="19"/>
          <w:color w:val="auto"/>
        </w:rPr>
        <w:t xml:space="preserve">” means, with respect to any Lender at any time, and without duplication, the sum of (a) the outstanding principal amount of the Revolving Loans made by such Lender to Grand Design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such Lender’s LC Exposure with respect to Letters of Credit issued for the account of Grand Design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such Lender’s Swingline Exposure with respect to Swingline Loans made to Grand Design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an amount equal to its Applicable Percentage of the aggregate principal amount of outstanding Protective Advances made to Grand Design at such time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an amount equal to its Applicable Percentage of the aggregate principal amount of outstanding Protective Advances made to Grand Design at such time.</w:t>
      </w:r>
    </w:p>
    <w:p>
      <w:pPr>
        <w:spacing w:after="0" w:line="179"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Grand Design Utilization</w:t>
      </w:r>
      <w:r>
        <w:rPr>
          <w:rFonts w:ascii="Arial" w:cs="Arial" w:eastAsia="Arial" w:hAnsi="Arial"/>
          <w:sz w:val="20"/>
          <w:szCs w:val="20"/>
          <w:color w:val="auto"/>
        </w:rPr>
        <w:t xml:space="preserve">” means, at any time, the excess, if any, of (a) the aggregate Grand Design Revolving Exposures of all Lenders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the Grand Design Borrowing Base.</w:t>
      </w:r>
    </w:p>
    <w:p>
      <w:pPr>
        <w:spacing w:after="0" w:line="177"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that the term Guarantee shall not include endorsements for collection or deposit in the ordinary course of business.</w:t>
      </w:r>
    </w:p>
    <w:p>
      <w:pPr>
        <w:spacing w:after="0" w:line="171"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5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Hostile Acquisition</w:t>
      </w:r>
      <w:r>
        <w:rPr>
          <w:rFonts w:ascii="Arial" w:cs="Arial" w:eastAsia="Arial" w:hAnsi="Arial"/>
          <w:sz w:val="20"/>
          <w:szCs w:val="20"/>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Impacted Interest Period</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 Amount</w:t>
      </w:r>
      <w:r>
        <w:rPr>
          <w:rFonts w:ascii="Arial" w:cs="Arial" w:eastAsia="Arial" w:hAnsi="Arial"/>
          <w:sz w:val="20"/>
          <w:szCs w:val="20"/>
          <w:color w:val="auto"/>
        </w:rPr>
        <w:t>” means, at any time, an amount of Indebtedness such that, as of the most recently completed Test Period ending prior to the date of the incurrence of such Indebtedness, after giving pro forma effect to such incurrence, as if such incurrence (and the use of proceeds therefrom) or other event, as applicable, had been made as of the first day of such Test Period, the First Lien Net Leverage Ratio calculated is less than or equal to 2.50 to 1.00.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812" w:right="239" w:bottom="1440" w:gutter="0" w:footer="0" w:header="0"/>
        </w:sectPr>
      </w:pPr>
    </w:p>
    <w:bookmarkStart w:id="201" w:name="page202"/>
    <w:bookmarkEnd w:id="201"/>
    <w:p>
      <w:pPr>
        <w:jc w:val="both"/>
        <w:ind w:firstLine="1297"/>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of any Person means, without duplication, (a) all obligations of such Person for borrowed money or with respect to deposits or advances of any kind, (b) all obligations of such Person evidenced by bonds, debentures, notes or similar instruments,</w:t>
      </w:r>
    </w:p>
    <w:p>
      <w:pPr>
        <w:spacing w:after="0" w:line="1" w:lineRule="exact"/>
        <w:rPr>
          <w:sz w:val="20"/>
          <w:szCs w:val="20"/>
          <w:color w:val="auto"/>
        </w:rPr>
      </w:pPr>
    </w:p>
    <w:p>
      <w:pPr>
        <w:jc w:val="both"/>
        <w:ind w:firstLine="8"/>
        <w:spacing w:after="0" w:line="268" w:lineRule="auto"/>
        <w:tabs>
          <w:tab w:leader="none" w:pos="27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and (k) obligations of such Person under Sale and Leaseback Transactions (other than such obligations constituting operating lease obligations).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the term “Indebtedness” shall not include (i) purchase price adjustments, earnouts, holdbacks or deferred payments of a similar nature (including deferred compensation representing consideration or other contingent obligations incurred in connection with an acquisition), except in each case to the extent that such amount payable is, or becomes, reasonably determinable and contingencies have been resolved or such amount would otherwise be required to be reflected on a balance sheet prepared in accordance with GAAP; (ii) current accounts payable incurred in the ordinary course of business; (iii) obligations in respect of non-competes and similar agreements; (iv) Swap Obligations; (v) Banking Services Obligations; (vi) licenses and operating leases; or (vii) Permitted Call Spread Swap Agreements, and any obligations thereunder.</w:t>
      </w:r>
    </w:p>
    <w:p>
      <w:pPr>
        <w:spacing w:after="0" w:line="172" w:lineRule="exact"/>
        <w:rPr>
          <w:sz w:val="20"/>
          <w:szCs w:val="20"/>
          <w:color w:val="auto"/>
        </w:rPr>
      </w:pPr>
    </w:p>
    <w:p>
      <w:pPr>
        <w:jc w:val="both"/>
        <w:ind w:firstLine="1297"/>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has the meaning assigned to such term in Section 9.03(b).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has the meaning assigned to such term in Section 9.04(b).</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has the meaning assigned to such term in Section 9.12.</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 Memorandum</w:t>
      </w:r>
      <w:r>
        <w:rPr>
          <w:rFonts w:ascii="Arial" w:cs="Arial" w:eastAsia="Arial" w:hAnsi="Arial"/>
          <w:sz w:val="20"/>
          <w:szCs w:val="20"/>
          <w:color w:val="auto"/>
        </w:rPr>
        <w:t>” means the Confidential Information Memorandum dated October 2016 relating to the Company and the Transactions.</w:t>
      </w:r>
    </w:p>
    <w:p>
      <w:pPr>
        <w:spacing w:after="0" w:line="177"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means (a) in respect of the Term Loan Facility, the ABL/Term Loan Intercreditor Agreement (b) in respect of any other Indebtedness intended to be secured by some or all of the Collateral on a pari passu basis with the Obligations, an intercreditor agreement reasonably acceptable to the Administrative Agent, the terms of which are consistent with market terms governing security arrangements for the sharing of Liens on a pari passu basis at the time such intercreditor agreement is proposed to be established in light of the type of Indebtedness to be secured by such Liens, as reasonably determined by the Administrative Agent and the Borrower Representative and (c) in respect of any other Indebtedness intended to be secured by some or all of the Collateral on a junior priority basis with the Obligations, an intercreditor agreement reasonably acceptable to the Administrative Agent the terms of which are consistent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811" w:right="239" w:bottom="1440" w:gutter="0" w:footer="0" w:header="0"/>
        </w:sectPr>
      </w:pPr>
    </w:p>
    <w:bookmarkStart w:id="202" w:name="page203"/>
    <w:bookmarkEnd w:id="202"/>
    <w:p>
      <w:pPr>
        <w:jc w:val="both"/>
        <w:spacing w:after="0" w:line="250" w:lineRule="auto"/>
        <w:rPr>
          <w:sz w:val="20"/>
          <w:szCs w:val="20"/>
          <w:color w:val="auto"/>
        </w:rPr>
      </w:pPr>
      <w:r>
        <w:rPr>
          <w:rFonts w:ascii="Arial" w:cs="Arial" w:eastAsia="Arial" w:hAnsi="Arial"/>
          <w:sz w:val="20"/>
          <w:szCs w:val="20"/>
          <w:color w:val="auto"/>
        </w:rPr>
        <w:t>with market terms governing security arrangements for the sharing of Liens on a junior basis at the time such intercreditor agreement is proposed to be established in light of the type of Indebtedness to be secured by such Liens, as reasonably determined by the Administrative Agent and the Borrower Representative.</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Election Request</w:t>
      </w:r>
      <w:r>
        <w:rPr>
          <w:rFonts w:ascii="Arial" w:cs="Arial" w:eastAsia="Arial" w:hAnsi="Arial"/>
          <w:sz w:val="20"/>
          <w:szCs w:val="20"/>
          <w:color w:val="auto"/>
        </w:rPr>
        <w:t>” means a request by the Borrower Representative to convert or continue a Revolving Borrowing in accordance with Section 2.08.</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means (a) with respect to any ABR Loan (other than a Swingline Loan), the first Business Day of January, April, July and October and the Maturity Date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 of the Facility under which such Eurodollar Loan was made.</w:t>
      </w:r>
    </w:p>
    <w:p>
      <w:pPr>
        <w:spacing w:after="0" w:line="181"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with respect to any Eurodollar Borrowing, the period commencing on the date of such Borrowing and ending on the numerically corresponding day in the calendar month that is one, two, three or six months thereafter, as the Borrower Representative may elect; </w:t>
      </w:r>
      <w:r>
        <w:rPr>
          <w:rFonts w:ascii="Arial" w:cs="Arial" w:eastAsia="Arial" w:hAnsi="Arial"/>
          <w:sz w:val="20"/>
          <w:szCs w:val="20"/>
          <w:u w:val="single" w:color="auto"/>
          <w:color w:val="auto"/>
        </w:rPr>
        <w:t>provided</w:t>
      </w:r>
      <w:r>
        <w:rPr>
          <w:rFonts w:ascii="Arial" w:cs="Arial" w:eastAsia="Arial" w:hAnsi="Arial"/>
          <w:sz w:val="20"/>
          <w:szCs w:val="20"/>
          <w:color w:val="auto"/>
        </w:rPr>
        <w:t>,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9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Interpolated Rate</w:t>
      </w:r>
      <w:r>
        <w:rPr>
          <w:rFonts w:ascii="Arial" w:cs="Arial" w:eastAsia="Arial" w:hAnsi="Arial"/>
          <w:sz w:val="18"/>
          <w:szCs w:val="18"/>
          <w:color w:val="auto"/>
        </w:rPr>
        <w:t>” means, at any time,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Interest Period and (b) the LIBO Screen Rate for the shortest period (for which the LIBO Screen Rate is available) that exceeds the Impacted Interest Period, in each case, at such time. Notwithstanding the foregoing, if any Interpolated Rate shall be less than zero, such rate shall be deemed to be zero for purposes of this Agreement.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has the meaning assigned to such term in the Security Agreement.</w:t>
      </w:r>
    </w:p>
    <w:p>
      <w:pPr>
        <w:spacing w:after="0" w:line="216"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means, with respect to a specified Person, (a) any direct or indirect acquisition of or investment by such Person in any Equity Interests, evidences of Indebtedness or other securities (including any option, warrant or other right to acquire any of the foregoing) of, or any capital contribution or loans or advances (other than advances made in the ordinary course of business that would be recorded as accounts receivable on the balance sheet of the specified Person prepared in accordance with GAAP) to, Guarantees of any Indebtedness or other obligations of, or any other investment in, any other Person that are held or made by the specified Person and (b) the purchase or acquisition (in one transaction or a series of related transactions) of all or substantially all the property and assets or business of another Person or assets constituting a business unit, line of business, division or product line of such other Person. The amount, as of any date of determination, of (i) any Investment in the form of a loan or an advance shall be the principal amount thereof outstanding on such date (excluding any portion thereof representing paid-in-kind interest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812" w:right="239" w:bottom="1440" w:gutter="0" w:footer="0" w:header="0"/>
        </w:sectPr>
      </w:pPr>
    </w:p>
    <w:bookmarkStart w:id="203" w:name="page204"/>
    <w:bookmarkEnd w:id="203"/>
    <w:p>
      <w:pPr>
        <w:jc w:val="both"/>
        <w:spacing w:after="0" w:line="268" w:lineRule="auto"/>
        <w:rPr>
          <w:sz w:val="20"/>
          <w:szCs w:val="20"/>
          <w:color w:val="auto"/>
        </w:rPr>
      </w:pPr>
      <w:r>
        <w:rPr>
          <w:rFonts w:ascii="Arial" w:cs="Arial" w:eastAsia="Arial" w:hAnsi="Arial"/>
          <w:sz w:val="18"/>
          <w:szCs w:val="18"/>
          <w:color w:val="auto"/>
        </w:rPr>
        <w:t xml:space="preserve">or principal accretion), without any adjustment for write-downs or write-offs (including as a result of forgiveness of any portion thereof) with respect to such loan or advance after the date thereof, (ii) any Investment in the form of a Guarantee shall be determined in accordance with the definition of the term “Guarantee”, (iii) any Investment in the form of a transfer of Equity Interests or other non-cash property by the investor to the investee, including any such transfer in the form of a capital contribution, shall be the fair value (as determined reasonably and in good faith by the Company in accordance with GAAP) of such Equity Interests or other property as of the time of the transfer, minus any payments actually received in cash, or other property that has been converted into cash or is readily marketable for cash, by such specified Person representing a return of capital of, or dividends or other distributions in respect of, such Investment, but without any adjustment for increases or decreases in value of, or write-ups, write-downs or write-offs with respect to, such Investment after the date of such transfer, (iv) any Investment (other than any Investment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by the specified Person in the form of a purchase or other acquisition for value of any Equity Interests, evidences of Indebtedness, other securities or assets of any other Person shall be the original cost of such Investment (including any Indebtedness assumed in connection therewith), plus the cost of all additions, as of such date, thereto, and minus the amount, as of such date, of any portion of such Investment repaid to the investor in cash as a repayment of principal or a return of capital, and of any payments or other amounts actually received by such investor representing dividends, returns, interest, profits, distributions, income or similar amount, in respect of such Investment, as the case may be, but without any other adjustment for increases or decreases in value of, or write-ups, write-downs or write-offs with respect to, such Investment after the date of such Investment, and (v) any Investment (other than any Investment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by the specified Person in any other Person resulting from the issuance by such other Person of its Equity Interests to the specified Person shall be the fair value (as determined reasonably and in good faith by a Financial Officer of the Company) of such Equity Interests at the time of the issuance thereof. For purposes of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04</w:t>
      </w:r>
      <w:r>
        <w:rPr>
          <w:rFonts w:ascii="Arial" w:cs="Arial" w:eastAsia="Arial" w:hAnsi="Arial"/>
          <w:sz w:val="18"/>
          <w:szCs w:val="18"/>
          <w:color w:val="auto"/>
        </w:rPr>
        <w:t xml:space="preserve">, if an Investment involves the acquisition of more than one Person, the amount of such Investment shall be allocated among the acquired Persons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pending the final determination of the amounts to be so allocated in accordance with GAAP, such allocation shall be as reasonably determined by a Financial Officer of the Company.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Issuing Bank</w:t>
      </w:r>
      <w:r>
        <w:rPr>
          <w:rFonts w:ascii="Arial" w:cs="Arial" w:eastAsia="Arial" w:hAnsi="Arial"/>
          <w:sz w:val="19"/>
          <w:szCs w:val="19"/>
          <w:color w:val="auto"/>
        </w:rPr>
        <w:t>” means, individually and collectively, each of JPMCB, in its capacity as the issuer of Letters of Credit hereunder, and any other Lender from time to time designated by the Borrower Representative as an Issuing Bank, with the consent of such Lender and the Administrative Agent, and their respective successors in such capacity as provided in Section 2.06(i). Any Issuing Bank may, in its discretion, arrange for one or more Letters of Credit to be issued by its Affiliates, in which case the term “Issuing Bank”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81"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 Sublimits</w:t>
      </w:r>
      <w:r>
        <w:rPr>
          <w:rFonts w:ascii="Arial" w:cs="Arial" w:eastAsia="Arial" w:hAnsi="Arial"/>
          <w:sz w:val="20"/>
          <w:szCs w:val="20"/>
          <w:color w:val="auto"/>
        </w:rPr>
        <w:t xml:space="preserve">” means, as of the Effective Date, (i) in the case of JPMCB, $5,000,000 and (ii) in the case of any other Issuing Bank, such amount as shall be designated to the Administrative Agent and the Borrower Representative in writing by such Issuing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Issuing Bank shall be permitted at any time, with the consent of the Borrower Representative and the Administrative Agent, to increase or reduce its Issuing Bank Sublimit in its discretion (it being understood and agreed that any such increase may be limited to the issuance of a particular Letter of Credit).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812" w:right="239" w:bottom="1440" w:gutter="0" w:footer="0" w:header="0"/>
        </w:sectPr>
      </w:pPr>
    </w:p>
    <w:bookmarkStart w:id="204" w:name="page205"/>
    <w:bookmarkEnd w:id="204"/>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in substantially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 national banking association, in its individual capacity, and its successors.</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Collateral Account</w:t>
      </w:r>
      <w:r>
        <w:rPr>
          <w:rFonts w:ascii="Arial" w:cs="Arial" w:eastAsia="Arial" w:hAnsi="Arial"/>
          <w:sz w:val="20"/>
          <w:szCs w:val="20"/>
          <w:color w:val="auto"/>
        </w:rPr>
        <w:t>” has the meaning assigned to such term in Section 2.06(j).</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 payment made by an Issuing Bank pursuant to a Letter of Credit.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Exposure</w:t>
      </w:r>
      <w:r>
        <w:rPr>
          <w:rFonts w:ascii="Arial" w:cs="Arial" w:eastAsia="Arial" w:hAnsi="Arial"/>
          <w:sz w:val="20"/>
          <w:szCs w:val="20"/>
          <w:color w:val="auto"/>
        </w:rPr>
        <w:t>” means, at any time, the sum of the Commercial LC Exposure and the Standby LC Exposure at such time. The LC Exposure of any Lender at any time shall be its Applicable Percentage of the total LC Exposure at such time.</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Arranger</w:t>
      </w:r>
      <w:r>
        <w:rPr>
          <w:rFonts w:ascii="Arial" w:cs="Arial" w:eastAsia="Arial" w:hAnsi="Arial"/>
          <w:sz w:val="20"/>
          <w:szCs w:val="20"/>
          <w:color w:val="auto"/>
        </w:rPr>
        <w:t>” means JPMorgan Chase Bank, N.A. in its capacity as the sole lead arranger and bookrunner for the credit facility evidenced by this Agreement.</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 Deficiency Obligation</w:t>
      </w:r>
      <w:r>
        <w:rPr>
          <w:rFonts w:ascii="Arial" w:cs="Arial" w:eastAsia="Arial" w:hAnsi="Arial"/>
          <w:sz w:val="20"/>
          <w:szCs w:val="20"/>
          <w:color w:val="auto"/>
        </w:rPr>
        <w:t>” means after default, repossession and disposition of the Equipment which is the subject of or which secures a Lease Financing, the amount, if any, by which (i) any and all obligations of the Loan Parties or their Subsidiaries to a Lessor, arising, evidenced or acquired (including all renewals, extensions and modifications thereof and substitutions therefor) in connection with a specific Lease Financing, exceeds (ii) the Net Proceeds realized by the Lessor upon the disposition of the Equipment which is the subject of or which secures the specific Lease Financing.</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 Financing</w:t>
      </w:r>
      <w:r>
        <w:rPr>
          <w:rFonts w:ascii="Arial" w:cs="Arial" w:eastAsia="Arial" w:hAnsi="Arial"/>
          <w:sz w:val="20"/>
          <w:szCs w:val="20"/>
          <w:color w:val="auto"/>
        </w:rPr>
        <w:t>” means (i) a lease of specific Equipment as defined in Article 2-A of the UCC, and (ii) a secured financing transaction secured by specific Equipment, whether that transaction is called a lease or a loan, entered into by any Loan Party or its Subsidiaries with any Lender or any of its Affiliates (in this context, the “</w:t>
      </w:r>
      <w:r>
        <w:rPr>
          <w:rFonts w:ascii="Arial" w:cs="Arial" w:eastAsia="Arial" w:hAnsi="Arial"/>
          <w:sz w:val="20"/>
          <w:szCs w:val="20"/>
          <w:u w:val="single" w:color="auto"/>
          <w:color w:val="auto"/>
        </w:rPr>
        <w:t>Lessor</w:t>
      </w:r>
      <w:r>
        <w:rPr>
          <w:rFonts w:ascii="Arial" w:cs="Arial" w:eastAsia="Arial" w:hAnsi="Arial"/>
          <w:sz w:val="20"/>
          <w:szCs w:val="20"/>
          <w:color w:val="auto"/>
        </w:rPr>
        <w: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3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xml:space="preserve">” means the Persons listed on the </w:t>
      </w:r>
      <w:r>
        <w:rPr>
          <w:rFonts w:ascii="Arial" w:cs="Arial" w:eastAsia="Arial" w:hAnsi="Arial"/>
          <w:sz w:val="19"/>
          <w:szCs w:val="19"/>
          <w:u w:val="single" w:color="auto"/>
          <w:color w:val="auto"/>
        </w:rPr>
        <w:t>Commitment Schedule</w:t>
      </w:r>
      <w:r>
        <w:rPr>
          <w:rFonts w:ascii="Arial" w:cs="Arial" w:eastAsia="Arial" w:hAnsi="Arial"/>
          <w:sz w:val="19"/>
          <w:szCs w:val="19"/>
          <w:color w:val="auto"/>
        </w:rPr>
        <w:t xml:space="preserve"> and any other Person that shall have become a Lender hereunder pursuant to Section 2.09 or Assignment and Assumption or other documentation contemplated hereby, other than any such Person that ceases to be a party hereto pursuant to an Assignment and Assumption or other documentation contemplated hereby. Unless the context otherwise requires, the term “Lenders” includes the Swingline Lender and each Issuing Bank.</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Lessor</w:t>
      </w:r>
      <w:r>
        <w:rPr>
          <w:rFonts w:ascii="Arial" w:cs="Arial" w:eastAsia="Arial" w:hAnsi="Arial"/>
          <w:sz w:val="20"/>
          <w:szCs w:val="20"/>
          <w:color w:val="auto"/>
        </w:rPr>
        <w:t>” has the meaning assigned to such term in the definition of “Lease Financing”.</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pursuant to this Agreement.</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Rate</w:t>
      </w:r>
      <w:r>
        <w:rPr>
          <w:rFonts w:ascii="Arial" w:cs="Arial" w:eastAsia="Arial" w:hAnsi="Arial"/>
          <w:sz w:val="20"/>
          <w:szCs w:val="20"/>
          <w:color w:val="auto"/>
        </w:rPr>
        <w:t>” means, with respect to any Eurodollar Borrowing for any applicable Interest Period or for any ABR Borrowing, the London interbank offered rate as administered by ICE Benchmark Administration (or any other Person that takes over the administration of such rate for Dollars) for a period equal in length to such Interest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w:t>
      </w:r>
      <w:r>
        <w:rPr>
          <w:rFonts w:ascii="Arial" w:cs="Arial" w:eastAsia="Arial" w:hAnsi="Arial"/>
          <w:sz w:val="20"/>
          <w:szCs w:val="20"/>
          <w:u w:val="single" w:color="auto"/>
          <w:color w:val="auto"/>
        </w:rPr>
        <w:t>LIBO Screen Rate</w:t>
      </w:r>
      <w:r>
        <w:rPr>
          <w:rFonts w:ascii="Arial" w:cs="Arial" w:eastAsia="Arial" w:hAnsi="Arial"/>
          <w:sz w:val="20"/>
          <w:szCs w:val="20"/>
          <w:color w:val="auto"/>
        </w:rPr>
        <w:t>”) at approximately 11:00 a.m., London time,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1420"/>
          </w:cols>
          <w:pgMar w:left="240" w:top="811" w:right="239" w:bottom="1440" w:gutter="0" w:footer="0" w:header="0"/>
        </w:sectPr>
      </w:pPr>
    </w:p>
    <w:bookmarkStart w:id="205" w:name="page206"/>
    <w:bookmarkEnd w:id="205"/>
    <w:p>
      <w:pPr>
        <w:jc w:val="both"/>
        <w:spacing w:after="0" w:line="313" w:lineRule="auto"/>
        <w:rPr>
          <w:sz w:val="20"/>
          <w:szCs w:val="20"/>
          <w:color w:val="auto"/>
        </w:rPr>
      </w:pPr>
      <w:r>
        <w:rPr>
          <w:rFonts w:ascii="Arial" w:cs="Arial" w:eastAsia="Arial" w:hAnsi="Arial"/>
          <w:sz w:val="16"/>
          <w:szCs w:val="16"/>
          <w:color w:val="auto"/>
        </w:rPr>
        <w:t xml:space="preserve">two (2) Business Days prior to the commencement of such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the LIBO Screen Rate shall be less than zero, such rate shall be deemed to be zero for the purposes of this Agreement and (y) if the LIBO Screen Rate shall not be available at such time for a period equal in length to such Interest Period (an “</w:t>
      </w:r>
      <w:r>
        <w:rPr>
          <w:rFonts w:ascii="Arial" w:cs="Arial" w:eastAsia="Arial" w:hAnsi="Arial"/>
          <w:sz w:val="16"/>
          <w:szCs w:val="16"/>
          <w:u w:val="single" w:color="auto"/>
          <w:color w:val="auto"/>
        </w:rPr>
        <w:t>Impacted Interest Period</w:t>
      </w:r>
      <w:r>
        <w:rPr>
          <w:rFonts w:ascii="Arial" w:cs="Arial" w:eastAsia="Arial" w:hAnsi="Arial"/>
          <w:sz w:val="16"/>
          <w:szCs w:val="16"/>
          <w:color w:val="auto"/>
        </w:rPr>
        <w:t xml:space="preserve">”), then the LIBO Rate shall be the Interpolated Rate at such time, subject to Section 2.14 in the event that the Administrative Agent shall conclude that it shall not be possible to determine such Interpolated Rate (which conclusion shall be conclusive and binding absent manifest error);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if any Interpolated Rate shall be less than zero, such rate shall be deemed to be zero for purposes of this Agreement. Notwithstanding the above, to the extent that “</w:t>
      </w:r>
      <w:r>
        <w:rPr>
          <w:rFonts w:ascii="Arial" w:cs="Arial" w:eastAsia="Arial" w:hAnsi="Arial"/>
          <w:sz w:val="16"/>
          <w:szCs w:val="16"/>
          <w:u w:val="single" w:color="auto"/>
          <w:color w:val="auto"/>
        </w:rPr>
        <w:t>LIBO Rate</w:t>
      </w:r>
      <w:r>
        <w:rPr>
          <w:rFonts w:ascii="Arial" w:cs="Arial" w:eastAsia="Arial" w:hAnsi="Arial"/>
          <w:sz w:val="16"/>
          <w:szCs w:val="16"/>
          <w:color w:val="auto"/>
        </w:rPr>
        <w:t>” or “</w:t>
      </w:r>
      <w:r>
        <w:rPr>
          <w:rFonts w:ascii="Arial" w:cs="Arial" w:eastAsia="Arial" w:hAnsi="Arial"/>
          <w:sz w:val="16"/>
          <w:szCs w:val="16"/>
          <w:u w:val="single" w:color="auto"/>
          <w:color w:val="auto"/>
        </w:rPr>
        <w:t>Adjusted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LIBO Rate</w:t>
      </w:r>
      <w:r>
        <w:rPr>
          <w:rFonts w:ascii="Arial" w:cs="Arial" w:eastAsia="Arial" w:hAnsi="Arial"/>
          <w:sz w:val="16"/>
          <w:szCs w:val="16"/>
          <w:color w:val="auto"/>
        </w:rPr>
        <w:t>” is used in connection with an ABR Borrowing, such rate shall be determined as modified by the definition of Alternate Base Rate.</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LIBO Screen Rate</w:t>
      </w:r>
      <w:r>
        <w:rPr>
          <w:rFonts w:ascii="Arial" w:cs="Arial" w:eastAsia="Arial" w:hAnsi="Arial"/>
          <w:sz w:val="20"/>
          <w:szCs w:val="20"/>
          <w:color w:val="auto"/>
        </w:rPr>
        <w:t>” has the meaning assigned to such term in the definition of “LIBO Rate”.</w:t>
      </w:r>
    </w:p>
    <w:p>
      <w:pPr>
        <w:spacing w:after="0" w:line="216" w:lineRule="exact"/>
        <w:rPr>
          <w:sz w:val="20"/>
          <w:szCs w:val="20"/>
          <w:color w:val="auto"/>
        </w:rPr>
      </w:pPr>
    </w:p>
    <w:p>
      <w:pPr>
        <w:jc w:val="both"/>
        <w:ind w:right="20"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7" w:lineRule="exact"/>
        <w:rPr>
          <w:sz w:val="20"/>
          <w:szCs w:val="20"/>
          <w:color w:val="auto"/>
        </w:rPr>
      </w:pPr>
    </w:p>
    <w:p>
      <w:pPr>
        <w:jc w:val="both"/>
        <w:ind w:firstLine="1297"/>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Limited Conditionality Provision</w:t>
      </w:r>
      <w:r>
        <w:rPr>
          <w:rFonts w:ascii="Arial" w:cs="Arial" w:eastAsia="Arial" w:hAnsi="Arial"/>
          <w:sz w:val="19"/>
          <w:szCs w:val="19"/>
          <w:color w:val="auto"/>
        </w:rPr>
        <w:t>” means that, to the extent any Collateral (including the grant or perfection of any security interest therein) is not or cannot be provided on the Effective Date (other than the grant and perfection of security interests in (x) assets of the Company and any other Loan Party with respect to which a Lien may be perfected solely by the filing of a financing statement under the UCC or (y) Equity Interests, if any, of Grand Design or any wholly-owned Pledge Subsidiary of Grand Design with respect to which a Lien may be perfected by the delivery of certificates representing such Equity Interests (to the extent required to be pledged hereunder and received from the Company after its use of commercially reasonable efforts to do so)) after the Company’s use of commercially reasonable efforts to do so or without undue burden or expense, then the provision of such Collateral (including the grant or perfection of any security interest therein) shall not constitute a condition precedent to the effectiveness of this Agreement on the Effective Date and, notwithstanding any provisions set forth in Section 5.14 to the contrary, such Collateral shall not be required to be provided (including the grant and perfection of any security interest therein) until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Effective Date (or such later date as may be agreed upon by the Administrative Agent in its reasonable discretion).</w:t>
      </w:r>
    </w:p>
    <w:p>
      <w:pPr>
        <w:spacing w:after="0" w:line="18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collectively, this Agreement, the Collateral Documents, the Loan Guaranty, the Intercreditor Agreements, any promissory notes executed and delivered pursuant to Section 2.10(e), any Letter of Credit applications and any agreements between the Borrower Representative and the Issuing Bank regarding the Issuing Bank’s Issuing Bank Sublimit or the respective rights and obligations between any Borrower and the Issuing Bank in connection with the issuance of Letters of Credit, and any and all other instruments and documents executed and delivered in connection with any of the foregoing.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Guarantor</w:t>
      </w:r>
      <w:r>
        <w:rPr>
          <w:rFonts w:ascii="Arial" w:cs="Arial" w:eastAsia="Arial" w:hAnsi="Arial"/>
          <w:sz w:val="20"/>
          <w:szCs w:val="20"/>
          <w:color w:val="auto"/>
        </w:rPr>
        <w:t>” means each Loan Party.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Guaranty</w:t>
      </w:r>
      <w:r>
        <w:rPr>
          <w:rFonts w:ascii="Arial" w:cs="Arial" w:eastAsia="Arial" w:hAnsi="Arial"/>
          <w:sz w:val="20"/>
          <w:szCs w:val="20"/>
          <w:color w:val="auto"/>
        </w:rPr>
        <w:t xml:space="preserve">” means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Parties</w:t>
      </w:r>
      <w:r>
        <w:rPr>
          <w:rFonts w:ascii="Arial" w:cs="Arial" w:eastAsia="Arial" w:hAnsi="Arial"/>
          <w:sz w:val="20"/>
          <w:szCs w:val="20"/>
          <w:color w:val="auto"/>
        </w:rPr>
        <w:t>” means, collectively, the Borrowers, the Company’s Material Domestic Subsidiaries and any other Person who becomes a party to this Agreement pursuant to a Joinder Agreement and their successors and assigns, and the term “Loan Party” shall mean any one of them or all of them individually, as the context may require.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812" w:right="239" w:bottom="1440" w:gutter="0" w:footer="0" w:header="0"/>
        </w:sectPr>
      </w:pPr>
    </w:p>
    <w:bookmarkStart w:id="206" w:name="page207"/>
    <w:bookmarkEnd w:id="206"/>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Loans</w:t>
      </w:r>
      <w:r>
        <w:rPr>
          <w:rFonts w:ascii="Arial" w:cs="Arial" w:eastAsia="Arial" w:hAnsi="Arial"/>
          <w:sz w:val="20"/>
          <w:szCs w:val="20"/>
          <w:color w:val="auto"/>
        </w:rPr>
        <w:t>” means the loans and advances made by the Lenders pursuant to this Agreement, including Swingline Loans, Overadvances and Protective Advances.</w:t>
      </w:r>
    </w:p>
    <w:p>
      <w:pPr>
        <w:spacing w:after="0" w:line="1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material adverse effect on (a) the business, assets, operations, or financial condition of the Company and the Subsidiaries taken as a whole, (b) the ability of the Loan Parties, taken as a whole, to perform any of their respective payment obligations under this Agreement, (c) the validity or enforceability of this Agreement or any and all other Loan Documents, or (d) the material rights or remedies of the Administrative Agent or the Lenders under the Loan Documents.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Domestic Subsidiary</w:t>
      </w:r>
      <w:r>
        <w:rPr>
          <w:rFonts w:ascii="Arial" w:cs="Arial" w:eastAsia="Arial" w:hAnsi="Arial"/>
          <w:sz w:val="20"/>
          <w:szCs w:val="20"/>
          <w:color w:val="auto"/>
        </w:rPr>
        <w:t>” means each Domestic Subsidiary (other than an Excluded Domestic Subsidiary) that constitutes a Material Subsidiary.</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Foreign Subsidiary</w:t>
      </w:r>
      <w:r>
        <w:rPr>
          <w:rFonts w:ascii="Arial" w:cs="Arial" w:eastAsia="Arial" w:hAnsi="Arial"/>
          <w:sz w:val="20"/>
          <w:szCs w:val="20"/>
          <w:color w:val="auto"/>
        </w:rPr>
        <w:t>” means each Foreign Subsidiary that constitutes a Material Subsidiary.</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any Indebtedness (other than the Loans and Letters of Credit), or obligations in respect of one or more Swap Agreements, of any one or more of the Company and its Subsidiaries in an aggregate principal amount exceeding $15,000,000. For purposes of determining Material Indebtedness, the “principal amount” of the obligations of the Company or any Subsidiary in respect of any Swap Agreement at any time shall be the maximum aggregate amount (giving effect to any netting agreements) that the Company or such Subsidiary would be required to pay if such Swap Agreement were terminated at such time.</w:t>
      </w:r>
    </w:p>
    <w:p>
      <w:pPr>
        <w:spacing w:after="0" w:line="18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means real property located in the United States with a book value (as reflected in the financial statements delivered pursuant to Section 5.01(a), 5.01(b) or 5.01(c) (or, prior to the delivery of any such financial statements, the financial statements referred to in Section 3.04)) of more than $7,500,000 that is owned by the Company or any Domestic Subsidiary that is a Loan Party.</w:t>
      </w:r>
    </w:p>
    <w:p>
      <w:pPr>
        <w:spacing w:after="0" w:line="192"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Subsidiary</w:t>
      </w:r>
      <w:r>
        <w:rPr>
          <w:rFonts w:ascii="Arial" w:cs="Arial" w:eastAsia="Arial" w:hAnsi="Arial"/>
          <w:sz w:val="20"/>
          <w:szCs w:val="20"/>
          <w:color w:val="auto"/>
        </w:rPr>
        <w:t xml:space="preserve">” means each Subsidiary (i) which, as of the most recent fiscal quarter of the Company during the Test Period, contributed greater than five percent (5%) of the Company’s Consolidated EBITDA for such period or (ii) which contributed greater than five percent (5%) of Consolidated Total Assets as of such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at any time the aggregate amount of Consolidated EBITDA or Consolidated Total Assets attributable to all Subsidiaries that are not Material Subsidiaries exceeds twenty percent (20%) of Consolidated EBITDA for any such period or twenty percent (20%) of Consolidated Total Assets as of the end of any such fiscal quarter, the Company (or, in the event the Company has failed to do so within ten days, the Administrative Agent) shall designate sufficient Subsidiaries as “Material Subsidiaries” to eliminate such excess, and such designated Subsidiaries shall for all purposes of this Agreement constitute Material Subsidiaries.</w:t>
      </w:r>
    </w:p>
    <w:p>
      <w:pPr>
        <w:spacing w:after="0" w:line="198"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November 8, 2021 or any earlier date on which the Commitments are reduced to zero or otherwise terminated pursuant to the terms 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has the meaning assigned to such term in Section 9.17.</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MNPI</w:t>
      </w:r>
      <w:r>
        <w:rPr>
          <w:rFonts w:ascii="Arial" w:cs="Arial" w:eastAsia="Arial" w:hAnsi="Arial"/>
          <w:sz w:val="20"/>
          <w:szCs w:val="20"/>
          <w:color w:val="auto"/>
        </w:rPr>
        <w:t>” means material information concerning the Company and the Subsidiaries and their securities that has not been disseminated in a manner making it available to investors generally, within the meaning of Regulation FD under the Securities Act and the Securities Exchange Act of 1934.</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811" w:right="239" w:bottom="1440" w:gutter="0" w:footer="0" w:header="0"/>
        </w:sectPr>
      </w:pPr>
    </w:p>
    <w:bookmarkStart w:id="207" w:name="page208"/>
    <w:bookmarkEnd w:id="207"/>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w:t>
      </w:r>
      <w:r>
        <w:rPr>
          <w:rFonts w:ascii="Arial" w:cs="Arial" w:eastAsia="Arial" w:hAnsi="Arial"/>
          <w:sz w:val="19"/>
          <w:szCs w:val="19"/>
          <w:color w:val="auto"/>
        </w:rPr>
        <w:t xml:space="preserve">” means each mortgage, deed of trust or other agreement which conveys or evidences a Lien in favor of the Administrative Agent, for the benefit of the Administrative Agent and the Secured Parties, on real property of a Loan Party, including any amendment, restatement, modification or supplement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Mortgage shall contain any defaults other than by reference to the defaults set forth in this Agreement; and further provided, in the event the Mortgage shall be recorded in a jurisdiction which charges mortgage recording taxes, intangible taxes or documentary taxes or other similar taxes and/or charges, such Mortgage shall only secure such an amount not to exceed the fair market value (as reasonably determined by Borrower Representative and as reasonably acceptable to the Administrative Agent) of the Material Real Property secured by such Mortgage.</w:t>
      </w:r>
    </w:p>
    <w:p>
      <w:pPr>
        <w:spacing w:after="0" w:line="17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 Instruments</w:t>
      </w:r>
      <w:r>
        <w:rPr>
          <w:rFonts w:ascii="Arial" w:cs="Arial" w:eastAsia="Arial" w:hAnsi="Arial"/>
          <w:sz w:val="18"/>
          <w:szCs w:val="18"/>
          <w:color w:val="auto"/>
        </w:rPr>
        <w:t>” means with respect to any Material Real Property for which a Mortgage is being recorded, (a) such title reports and ALTA title insurance policies (or unconditional commitment to issue such policy or policies) reasonably acceptable to Administrative Agent, in an amount not to exceed 110% of the fair market value (as reasonably acceptable to the Administrative Agent) of such Material Real Property (with endorsements reasonably requested by Administrative Agent and as are available in the applicable jurisdiction) and with all premiums fully paid, (b) either (i) an ALTA survey reasonably acceptable to Administrative Agent or (ii) previously obtained ALTA survey and affidavits of “no-change” with respect to each such survey, such survey and affidavit to be in form and substance reasonably acceptable to the Administrative Agent and to be sufficient to issue title insurance policies to the Administrative Agent providing all reasonably required survey coverage and survey endorsements and zoning endorsements, (c) acquisition of FEMA standard life-of-loan flood hazard determinations for such Material Real Property, and if any building located on such Material Real Property is determined to be in a special hazard area, delivery of (i) a notice with respect to such flood insurance and (ii) evidence of flood insurance, (d) a local counsel opinion as to the enforceability of each Mortgage in the state in which the Material Real Property described in such Mortgage is located and other matters customarily covered in real estate enforceability opinions in form and substance reasonably acceptable to Administrative Agent, (e) mortgage tax affidavits and declarations and other similar information and related certifications that are required in the jurisdiction in which a Mortgage is being filed in order to permit such filing and such affidavits and certificates as are required to issue the title insurance policies, provided, appraisals shall not be required to be delivered in connection with any Mortgage (in each case, other than such documentation already in the possession of any Loan Party) and (f) environmental assessments and reports and zoning reports in form and substance reasonably acceptable to the Administrative Agent.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 multiemployer plan as defined in Section 4001(a)(3) of ERISA.</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Orderly Liquidation Value</w:t>
      </w:r>
      <w:r>
        <w:rPr>
          <w:rFonts w:ascii="Arial" w:cs="Arial" w:eastAsia="Arial" w:hAnsi="Arial"/>
          <w:sz w:val="20"/>
          <w:szCs w:val="20"/>
          <w:color w:val="auto"/>
        </w:rPr>
        <w:t>” means, with respect to Inventory of any Person, the orderly liquidation value thereof as determined in a manner reasonably acceptable to the Administrative Agent by an appraiser acceptable to the Administrative Agent, net of all costs of liquidation thereof.</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has the meaning assigned to such term in Section 9.02(e).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NYFRB</w:t>
      </w:r>
      <w:r>
        <w:rPr>
          <w:rFonts w:ascii="Arial" w:cs="Arial" w:eastAsia="Arial" w:hAnsi="Arial"/>
          <w:sz w:val="20"/>
          <w:szCs w:val="20"/>
          <w:color w:val="auto"/>
        </w:rPr>
        <w:t>” means the Federal Reserve Bank of New York.</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none of such rates are published for any day that is a Business Day, the term “NYFRB Rate” means the rate for a federal funds transaction quoted at 11:00 a.m., New York City time, on such day received by the Administrative Agent from a Federal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812" w:right="239" w:bottom="1440" w:gutter="0" w:footer="0" w:header="0"/>
        </w:sectPr>
      </w:pPr>
    </w:p>
    <w:bookmarkStart w:id="208" w:name="page209"/>
    <w:bookmarkEnd w:id="208"/>
    <w:p>
      <w:pPr>
        <w:jc w:val="both"/>
        <w:spacing w:after="0" w:line="260" w:lineRule="auto"/>
        <w:rPr>
          <w:sz w:val="20"/>
          <w:szCs w:val="20"/>
          <w:color w:val="auto"/>
        </w:rPr>
      </w:pPr>
      <w:r>
        <w:rPr>
          <w:rFonts w:ascii="Arial" w:cs="Arial" w:eastAsia="Arial" w:hAnsi="Arial"/>
          <w:sz w:val="20"/>
          <w:szCs w:val="20"/>
          <w:color w:val="auto"/>
        </w:rPr>
        <w:t xml:space="preserve">funds broker of recognized standing selected by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if any of the aforesaid rates shall be less than zero, such rate shall be deemed to be zero for purposes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Obligated Party</w:t>
      </w:r>
      <w:r>
        <w:rPr>
          <w:rFonts w:ascii="Arial" w:cs="Arial" w:eastAsia="Arial" w:hAnsi="Arial"/>
          <w:sz w:val="20"/>
          <w:szCs w:val="20"/>
          <w:color w:val="auto"/>
        </w:rPr>
        <w:t>” has the meaning assigned to such term in Section 10.02.</w:t>
      </w:r>
    </w:p>
    <w:p>
      <w:pPr>
        <w:spacing w:after="0" w:line="229"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any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Treasury.</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spacing w:after="0" w:line="16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Overadvance</w:t>
      </w:r>
      <w:r>
        <w:rPr>
          <w:rFonts w:ascii="Arial" w:cs="Arial" w:eastAsia="Arial" w:hAnsi="Arial"/>
          <w:sz w:val="20"/>
          <w:szCs w:val="20"/>
          <w:color w:val="auto"/>
        </w:rPr>
        <w:t>” has the meaning assigned to such term in Section 2.05(b).</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Overnight Bank Funding Rate</w:t>
      </w:r>
      <w:r>
        <w:rPr>
          <w:rFonts w:ascii="Arial" w:cs="Arial" w:eastAsia="Arial" w:hAnsi="Arial"/>
          <w:sz w:val="19"/>
          <w:szCs w:val="19"/>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has the meaning set forth in Section 9.04.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has the meaning set forth in Section 9.04(c).</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means the USA PATRIOT Act (Title III of Pub. L. 107-56 (signed into law October 26, 2001)).</w:t>
      </w:r>
    </w:p>
    <w:p>
      <w:pPr>
        <w:spacing w:after="0" w:line="216"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Condition</w:t>
      </w:r>
      <w:r>
        <w:rPr>
          <w:rFonts w:ascii="Arial" w:cs="Arial" w:eastAsia="Arial" w:hAnsi="Arial"/>
          <w:sz w:val="20"/>
          <w:szCs w:val="20"/>
          <w:color w:val="auto"/>
        </w:rPr>
        <w:t>” means, with respect to any proposed designated action on any date, a condition that is satisfied if (a) after giving effect to such proposed designated action as if it occurred on the first day of the applicable Pro Forma Period, the pro forma Aggregate Availability shall be greater than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812" w:right="239" w:bottom="1440" w:gutter="0" w:footer="0" w:header="0"/>
        </w:sectPr>
      </w:pPr>
    </w:p>
    <w:bookmarkStart w:id="209" w:name="page210"/>
    <w:bookmarkEnd w:id="209"/>
    <w:p>
      <w:pPr>
        <w:jc w:val="both"/>
        <w:spacing w:after="0" w:line="278" w:lineRule="auto"/>
        <w:rPr>
          <w:sz w:val="20"/>
          <w:szCs w:val="20"/>
          <w:color w:val="auto"/>
        </w:rPr>
      </w:pPr>
      <w:r>
        <w:rPr>
          <w:rFonts w:ascii="Arial" w:cs="Arial" w:eastAsia="Arial" w:hAnsi="Arial"/>
          <w:sz w:val="18"/>
          <w:szCs w:val="18"/>
          <w:color w:val="auto"/>
        </w:rPr>
        <w:t>the greater of $25,000,000 and 20% of the Aggregate Commitment at all times during such Pro Forma Period or (b) both (i) after giving effect to such proposed designated action as if it occurred on the first day of such Pro Forma Period, the pro forma Aggregate Availability shall be greater than the greater of $18,750,000 and 15% of the Aggregate Commitment at all times during such Pro Forma Period and (ii) the Fixed Charge Coverage Ratio, computed on a pro forma basis for the period of four consecutive fiscal quarters ending on the most recent fiscal quarter of the Company for which financial statements have been delivered pursuant to Section 5.01, shall be greater than 1.10 to 1.00.</w:t>
      </w:r>
    </w:p>
    <w:p>
      <w:pPr>
        <w:spacing w:after="0" w:line="16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 referred to and defined in ERISA and any successor entity performing similar functions.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by any Loan Party or Subsidiary in a transaction that satisfies each of the following requirements:</w:t>
      </w:r>
    </w:p>
    <w:p>
      <w:pPr>
        <w:spacing w:after="0" w:line="177" w:lineRule="exact"/>
        <w:rPr>
          <w:sz w:val="20"/>
          <w:szCs w:val="20"/>
          <w:color w:val="auto"/>
        </w:rPr>
      </w:pPr>
    </w:p>
    <w:p>
      <w:pPr>
        <w:ind w:left="1720" w:hanging="415"/>
        <w:spacing w:after="0"/>
        <w:tabs>
          <w:tab w:leader="none" w:pos="17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such Acquisition is not a Hostile Acquisition;</w:t>
      </w:r>
    </w:p>
    <w:p>
      <w:pPr>
        <w:spacing w:after="0" w:line="215" w:lineRule="exact"/>
        <w:rPr>
          <w:rFonts w:ascii="Arial" w:cs="Arial" w:eastAsia="Arial" w:hAnsi="Arial"/>
          <w:sz w:val="20"/>
          <w:szCs w:val="20"/>
          <w:color w:val="auto"/>
        </w:rPr>
      </w:pPr>
    </w:p>
    <w:p>
      <w:pPr>
        <w:ind w:firstLine="1305"/>
        <w:spacing w:after="0" w:line="260" w:lineRule="auto"/>
        <w:tabs>
          <w:tab w:leader="none" w:pos="175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such Person or division or line of business is engaged in the same or a similar line of business as the Company or any of its Subsidiaries or any business activities reasonably related or ancillary thereto;</w:t>
      </w:r>
    </w:p>
    <w:p>
      <w:pPr>
        <w:spacing w:after="0" w:line="176" w:lineRule="exact"/>
        <w:rPr>
          <w:rFonts w:ascii="Arial" w:cs="Arial" w:eastAsia="Arial" w:hAnsi="Arial"/>
          <w:sz w:val="20"/>
          <w:szCs w:val="20"/>
          <w:color w:val="auto"/>
        </w:rPr>
      </w:pPr>
    </w:p>
    <w:p>
      <w:pPr>
        <w:ind w:left="1720" w:hanging="415"/>
        <w:spacing w:after="0"/>
        <w:tabs>
          <w:tab w:leader="none" w:pos="17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no Default exists at the time of such Acquisition or would result therefrom;</w:t>
      </w:r>
    </w:p>
    <w:p>
      <w:pPr>
        <w:spacing w:after="0" w:line="215" w:lineRule="exact"/>
        <w:rPr>
          <w:rFonts w:ascii="Arial" w:cs="Arial" w:eastAsia="Arial" w:hAnsi="Arial"/>
          <w:sz w:val="20"/>
          <w:szCs w:val="20"/>
          <w:color w:val="auto"/>
        </w:rPr>
      </w:pPr>
    </w:p>
    <w:p>
      <w:pPr>
        <w:jc w:val="both"/>
        <w:ind w:firstLine="1305"/>
        <w:spacing w:after="0" w:line="246" w:lineRule="auto"/>
        <w:tabs>
          <w:tab w:leader="none" w:pos="1766"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if such Acquisition constitutes a Material Acquisition, the Administrative Agent shall have received a description of the material terms of such Acquisition and the audited financial statements (or, if unavailable, management-prepared financial statements) of such Person or division or line of business of such Person for its two most recently ended fiscal years and for any fiscal quarters ended within the fiscal year to-date for which such financial statements are available;</w:t>
      </w:r>
    </w:p>
    <w:p>
      <w:pPr>
        <w:spacing w:after="0" w:line="191" w:lineRule="exact"/>
        <w:rPr>
          <w:rFonts w:ascii="Arial" w:cs="Arial" w:eastAsia="Arial" w:hAnsi="Arial"/>
          <w:sz w:val="20"/>
          <w:szCs w:val="20"/>
          <w:color w:val="auto"/>
        </w:rPr>
      </w:pPr>
    </w:p>
    <w:p>
      <w:pPr>
        <w:jc w:val="both"/>
        <w:ind w:firstLine="1305"/>
        <w:spacing w:after="0" w:line="250" w:lineRule="auto"/>
        <w:tabs>
          <w:tab w:leader="none" w:pos="174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if such Acquisition involves a merger, amalgamation or a consolidation involving the Company or any other Loan Party, the Company or a Loan Party, as applicable, shall be the surviving entity in compliance with Section 6.03 (subject to any grace periods specified in Section 5.14); and</w:t>
      </w:r>
    </w:p>
    <w:p>
      <w:pPr>
        <w:spacing w:after="0" w:line="186" w:lineRule="exact"/>
        <w:rPr>
          <w:rFonts w:ascii="Arial" w:cs="Arial" w:eastAsia="Arial" w:hAnsi="Arial"/>
          <w:sz w:val="20"/>
          <w:szCs w:val="20"/>
          <w:color w:val="auto"/>
        </w:rPr>
      </w:pPr>
    </w:p>
    <w:p>
      <w:pPr>
        <w:ind w:right="20" w:firstLine="1305"/>
        <w:spacing w:after="0" w:line="260" w:lineRule="auto"/>
        <w:tabs>
          <w:tab w:leader="none" w:pos="1775"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Company shall have delivered to the Administrative Agent final executed material documentation relating to such Acquisition promptly after request therefor by the Administrative Agent.</w:t>
      </w:r>
    </w:p>
    <w:p>
      <w:pPr>
        <w:spacing w:after="0" w:line="177"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Call Spread Swap Agreements</w:t>
      </w:r>
      <w:r>
        <w:rPr>
          <w:rFonts w:ascii="Arial" w:cs="Arial" w:eastAsia="Arial" w:hAnsi="Arial"/>
          <w:sz w:val="18"/>
          <w:szCs w:val="18"/>
          <w:color w:val="auto"/>
        </w:rPr>
        <w:t>” means (a) any Swap Agreement (including, but not limited to, any bond hedge transaction or capped call transaction) pursuant to which the Company acquires an option requiring the counterparty thereto to deliver to the Company shares of common stock of the Company (or other securities or property following a merger event or other change of the common stock of the Company), the cash value thereof or a combination thereof from time to time upon exercise of such option entered into by the Company in connection with the issuance of Permitted Convertible Notes (such transaction, a “</w:t>
      </w:r>
      <w:r>
        <w:rPr>
          <w:rFonts w:ascii="Arial" w:cs="Arial" w:eastAsia="Arial" w:hAnsi="Arial"/>
          <w:sz w:val="18"/>
          <w:szCs w:val="18"/>
          <w:u w:val="single" w:color="auto"/>
          <w:color w:val="auto"/>
        </w:rPr>
        <w:t>Bond Hedge Transaction</w:t>
      </w:r>
      <w:r>
        <w:rPr>
          <w:rFonts w:ascii="Arial" w:cs="Arial" w:eastAsia="Arial" w:hAnsi="Arial"/>
          <w:sz w:val="18"/>
          <w:szCs w:val="18"/>
          <w:color w:val="auto"/>
        </w:rPr>
        <w:t>”) and (b) any Swap Agreement pursuant to which the Company issues to the counterparty thereto warrants to acquire common stock of the Company (or other securities or property following a merger event or other change of the common stock of the Company) (whether such warrant is settled in shares, cash or a combination thereof) entered into by the Company in connection with the issuance of Permitted Convertible Notes (such transaction, a “</w:t>
      </w:r>
      <w:r>
        <w:rPr>
          <w:rFonts w:ascii="Arial" w:cs="Arial" w:eastAsia="Arial" w:hAnsi="Arial"/>
          <w:sz w:val="18"/>
          <w:szCs w:val="18"/>
          <w:u w:val="single" w:color="auto"/>
          <w:color w:val="auto"/>
        </w:rPr>
        <w:t>Warrant Transaction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terms, conditions and covenants of each such Swap Agreement shall be acceptable to the Administrative Agent in its Permitted Discretion), (ii) the purchase price for such Bond Hedge Transaction, less the proceeds received by the Company from the sale of any related Warrant Transaction, does not exceed the net proceeds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812" w:right="239" w:bottom="1440" w:gutter="0" w:footer="0" w:header="0"/>
        </w:sectPr>
      </w:pPr>
    </w:p>
    <w:bookmarkStart w:id="210" w:name="page211"/>
    <w:bookmarkEnd w:id="210"/>
    <w:p>
      <w:pPr>
        <w:jc w:val="both"/>
        <w:spacing w:after="0" w:line="260" w:lineRule="auto"/>
        <w:rPr>
          <w:sz w:val="20"/>
          <w:szCs w:val="20"/>
          <w:color w:val="auto"/>
        </w:rPr>
      </w:pPr>
      <w:r>
        <w:rPr>
          <w:rFonts w:ascii="Arial" w:cs="Arial" w:eastAsia="Arial" w:hAnsi="Arial"/>
          <w:sz w:val="20"/>
          <w:szCs w:val="20"/>
          <w:color w:val="auto"/>
        </w:rPr>
        <w:t xml:space="preserve">received by the Company from the issuance of the related Permitted Convertible Notes and (iii) in the case of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above, such Swap Agreement would be classified as an equity instrument in accordance with GAAP.</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Convertible Notes</w:t>
      </w:r>
      <w:r>
        <w:rPr>
          <w:rFonts w:ascii="Arial" w:cs="Arial" w:eastAsia="Arial" w:hAnsi="Arial"/>
          <w:sz w:val="18"/>
          <w:szCs w:val="18"/>
          <w:color w:val="auto"/>
        </w:rPr>
        <w:t xml:space="preserve">” means any unsecured notes issued by the Company that are convertible into a fixed number (subject to customary anti-dilution adjustments, “make-whole” increases and other customary changes thereto) of shares of common stock of the Company (or other securities or property following a merger event or other change of the common stock of the Company), cash or any combination thereof (with the amount of such cash or such combination determined by reference to the market price of such common stock or such other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thereunder must satisfy each of the following conditions: (i) both immediately prior to and after giving effect (including pro forma effect) thereto, no Default or Event of Default shall exist or result therefrom, (ii) such Indebtedness matures after, and does not require any scheduled amortization or other scheduled or otherwise required payments of principal prior to, and does not permit any Loan Party to elect optional redemption or optional acceleration that would be settled on a date prior to, the date that is ninety-one (91) days after the Maturity Date (it being understood that neither (x) any provision requiring an offer to purchase such Indebtedness as a result of change of control or other fundamental change nor (y) any early conversion of any Permitted Convertible Notes in accordance with the terms thereof, in either case, shall violate the foregoing restriction), (iii) such Indebtedness is not guaranteed by any Subsidiary of the Company other than a Loan Party (which guarantees, if such Indebtedness is subordinated, shall be expressly subordinated to the Secured Obligations on terms not less favorable to the Lenders than the subordination terms of such Subordinated Indebtedness) and (iv) the terms, conditions and covenants of such Indebtedness must be customary for convertible Indebtedness of such type (as determined by the board of directors of the Company, or a committee thereof, in good faith).</w:t>
      </w:r>
    </w:p>
    <w:p>
      <w:pPr>
        <w:spacing w:after="0" w:line="18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Discretion</w:t>
      </w:r>
      <w:r>
        <w:rPr>
          <w:rFonts w:ascii="Arial" w:cs="Arial" w:eastAsia="Arial" w:hAnsi="Arial"/>
          <w:sz w:val="20"/>
          <w:szCs w:val="20"/>
          <w:color w:val="auto"/>
        </w:rPr>
        <w:t>” means a determination made in good faith and in the exercise of reasonable (from the perspective of a secured asset-based lender) business judgment.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Encumbrances</w:t>
      </w:r>
      <w:r>
        <w:rPr>
          <w:rFonts w:ascii="Arial" w:cs="Arial" w:eastAsia="Arial" w:hAnsi="Arial"/>
          <w:sz w:val="20"/>
          <w:szCs w:val="20"/>
          <w:color w:val="auto"/>
        </w:rPr>
        <w:t>” means:</w:t>
      </w:r>
    </w:p>
    <w:p>
      <w:pPr>
        <w:spacing w:after="0" w:line="216" w:lineRule="exact"/>
        <w:rPr>
          <w:sz w:val="20"/>
          <w:szCs w:val="20"/>
          <w:color w:val="auto"/>
        </w:rPr>
      </w:pPr>
    </w:p>
    <w:p>
      <w:pPr>
        <w:ind w:left="1580" w:hanging="275"/>
        <w:spacing w:after="0"/>
        <w:tabs>
          <w:tab w:leader="none" w:pos="158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Liens imposed by law for Taxes that are not yet delinquent or are being contested in compliance with Section 5.04;</w:t>
      </w:r>
    </w:p>
    <w:p>
      <w:pPr>
        <w:spacing w:after="0" w:line="227" w:lineRule="exact"/>
        <w:rPr>
          <w:rFonts w:ascii="Arial" w:cs="Arial" w:eastAsia="Arial" w:hAnsi="Arial"/>
          <w:sz w:val="19"/>
          <w:szCs w:val="19"/>
          <w:color w:val="auto"/>
        </w:rPr>
      </w:pPr>
    </w:p>
    <w:p>
      <w:pPr>
        <w:jc w:val="both"/>
        <w:ind w:left="660" w:firstLine="645"/>
        <w:spacing w:after="0" w:line="250" w:lineRule="auto"/>
        <w:tabs>
          <w:tab w:leader="none" w:pos="1618" w:val="left"/>
        </w:tabs>
        <w:numPr>
          <w:ilvl w:val="0"/>
          <w:numId w:val="228"/>
        </w:numPr>
        <w:rPr>
          <w:rFonts w:ascii="Arial" w:cs="Arial" w:eastAsia="Arial" w:hAnsi="Arial"/>
          <w:sz w:val="20"/>
          <w:szCs w:val="20"/>
          <w:color w:val="auto"/>
        </w:rPr>
      </w:pPr>
      <w:r>
        <w:rPr>
          <w:rFonts w:ascii="Arial" w:cs="Arial" w:eastAsia="Arial" w:hAnsi="Arial"/>
          <w:sz w:val="20"/>
          <w:szCs w:val="20"/>
          <w:color w:val="auto"/>
        </w:rPr>
        <w:t>carriers’, warehousemen’s, mechanics’, materialmen’s, repairmen’s and other like Liens imposed by law, arising in the ordinary course of business and securing obligations that are not overdue by more than sixty (60) days or are being contested in compliance with Section 5.04;</w:t>
      </w:r>
    </w:p>
    <w:p>
      <w:pPr>
        <w:spacing w:after="0" w:line="199" w:lineRule="exact"/>
        <w:rPr>
          <w:rFonts w:ascii="Arial" w:cs="Arial" w:eastAsia="Arial" w:hAnsi="Arial"/>
          <w:sz w:val="20"/>
          <w:szCs w:val="20"/>
          <w:color w:val="auto"/>
        </w:rPr>
      </w:pPr>
    </w:p>
    <w:p>
      <w:pPr>
        <w:ind w:left="1580" w:hanging="275"/>
        <w:spacing w:after="0"/>
        <w:tabs>
          <w:tab w:leader="none" w:pos="15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 pledges and deposits made in the ordinary course of business in compliance with workers’ compensation, unemployment</w:t>
      </w:r>
    </w:p>
    <w:p>
      <w:pPr>
        <w:spacing w:after="0" w:line="86" w:lineRule="exact"/>
        <w:rPr>
          <w:rFonts w:ascii="Arial" w:cs="Arial" w:eastAsia="Arial" w:hAnsi="Arial"/>
          <w:sz w:val="16"/>
          <w:szCs w:val="16"/>
          <w:color w:val="auto"/>
        </w:rPr>
      </w:pPr>
    </w:p>
    <w:p>
      <w:pPr>
        <w:jc w:val="both"/>
        <w:ind w:left="660"/>
        <w:spacing w:after="0" w:line="322" w:lineRule="auto"/>
        <w:rPr>
          <w:rFonts w:ascii="Arial" w:cs="Arial" w:eastAsia="Arial" w:hAnsi="Arial"/>
          <w:sz w:val="16"/>
          <w:szCs w:val="16"/>
          <w:color w:val="auto"/>
        </w:rPr>
      </w:pPr>
      <w:r>
        <w:rPr>
          <w:rFonts w:ascii="Arial" w:cs="Arial" w:eastAsia="Arial" w:hAnsi="Arial"/>
          <w:sz w:val="18"/>
          <w:szCs w:val="18"/>
          <w:color w:val="auto"/>
        </w:rPr>
        <w:t>insurance and other social security laws or regulations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Company or any Subsidiary;</w:t>
      </w:r>
    </w:p>
    <w:p>
      <w:pPr>
        <w:spacing w:after="0" w:line="139" w:lineRule="exact"/>
        <w:rPr>
          <w:rFonts w:ascii="Arial" w:cs="Arial" w:eastAsia="Arial" w:hAnsi="Arial"/>
          <w:sz w:val="16"/>
          <w:szCs w:val="16"/>
          <w:color w:val="auto"/>
        </w:rPr>
      </w:pPr>
    </w:p>
    <w:p>
      <w:pPr>
        <w:jc w:val="both"/>
        <w:ind w:left="660" w:firstLine="645"/>
        <w:spacing w:after="0" w:line="246" w:lineRule="auto"/>
        <w:tabs>
          <w:tab w:leader="none" w:pos="1607" w:val="left"/>
        </w:tabs>
        <w:numPr>
          <w:ilvl w:val="0"/>
          <w:numId w:val="228"/>
        </w:numPr>
        <w:rPr>
          <w:rFonts w:ascii="Arial" w:cs="Arial" w:eastAsia="Arial" w:hAnsi="Arial"/>
          <w:sz w:val="20"/>
          <w:szCs w:val="20"/>
          <w:color w:val="auto"/>
        </w:rPr>
      </w:pPr>
      <w:r>
        <w:rPr>
          <w:rFonts w:ascii="Arial" w:cs="Arial" w:eastAsia="Arial" w:hAnsi="Arial"/>
          <w:sz w:val="20"/>
          <w:szCs w:val="20"/>
          <w:color w:val="auto"/>
        </w:rPr>
        <w:t>deposits to secure the performance of bids, trade contracts, leases, statutory obligations, surety, stay, customs and appeal bonds, performance bonds and other obligations of a like nature (including (i) those to secure health, safety and environmental obligations and (ii) letters of credit and bank guarantees required or requested by any Governmental Authority in connection with any contract or law), in each case in the ordinary course of business;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812" w:right="239" w:bottom="1440" w:gutter="0" w:footer="0" w:header="0"/>
        </w:sectPr>
      </w:pPr>
    </w:p>
    <w:bookmarkStart w:id="211" w:name="page212"/>
    <w:bookmarkEnd w:id="211"/>
    <w:p>
      <w:pPr>
        <w:ind w:left="380" w:hanging="275"/>
        <w:spacing w:after="0"/>
        <w:tabs>
          <w:tab w:leader="none" w:pos="38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judgment Liens in respect of judgments that do not constitute an Event of Default under clause (k) of Article VII;</w:t>
      </w:r>
    </w:p>
    <w:p>
      <w:pPr>
        <w:spacing w:after="0" w:line="215" w:lineRule="exact"/>
        <w:rPr>
          <w:rFonts w:ascii="Arial" w:cs="Arial" w:eastAsia="Arial" w:hAnsi="Arial"/>
          <w:sz w:val="20"/>
          <w:szCs w:val="20"/>
          <w:color w:val="auto"/>
        </w:rPr>
      </w:pPr>
    </w:p>
    <w:p>
      <w:pPr>
        <w:jc w:val="both"/>
        <w:ind w:left="-540" w:firstLine="645"/>
        <w:spacing w:after="0" w:line="260" w:lineRule="auto"/>
        <w:tabs>
          <w:tab w:leader="none" w:pos="359" w:val="left"/>
        </w:tabs>
        <w:numPr>
          <w:ilvl w:val="0"/>
          <w:numId w:val="229"/>
        </w:numPr>
        <w:rPr>
          <w:rFonts w:ascii="Arial" w:cs="Arial" w:eastAsia="Arial" w:hAnsi="Arial"/>
          <w:sz w:val="19"/>
          <w:szCs w:val="19"/>
          <w:color w:val="auto"/>
        </w:rPr>
      </w:pPr>
      <w:r>
        <w:rPr>
          <w:rFonts w:ascii="Arial" w:cs="Arial" w:eastAsia="Arial" w:hAnsi="Arial"/>
          <w:sz w:val="19"/>
          <w:szCs w:val="19"/>
          <w:color w:val="auto"/>
        </w:rPr>
        <w:t>matters of record affecting title to any real or leased property and any survey exceptions, encroachments, rights of parties in possession under written leases or occupancy agreements, title defects, easements, zoning restrictions, rights-of-way and similar encumbrances on real property imposed by law or arising in the ordinary course of business that do not secure any monetary obligations that are substantial in amount and do not materially detract from the value of the affected property or interfere in any material respect with the ordinary conduct of business of the Company or any Subsidiary;</w:t>
      </w:r>
    </w:p>
    <w:p>
      <w:pPr>
        <w:spacing w:after="0" w:line="180" w:lineRule="exact"/>
        <w:rPr>
          <w:rFonts w:ascii="Arial" w:cs="Arial" w:eastAsia="Arial" w:hAnsi="Arial"/>
          <w:sz w:val="19"/>
          <w:szCs w:val="19"/>
          <w:color w:val="auto"/>
        </w:rPr>
      </w:pPr>
    </w:p>
    <w:p>
      <w:pPr>
        <w:jc w:val="both"/>
        <w:ind w:left="-540" w:firstLine="645"/>
        <w:spacing w:after="0" w:line="246" w:lineRule="auto"/>
        <w:tabs>
          <w:tab w:leader="none" w:pos="58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Liens in favor of a banking or other financial institution arising as a matter of law or in the ordinary course of business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191" w:lineRule="exact"/>
        <w:rPr>
          <w:rFonts w:ascii="Arial" w:cs="Arial" w:eastAsia="Arial" w:hAnsi="Arial"/>
          <w:sz w:val="20"/>
          <w:szCs w:val="20"/>
          <w:color w:val="auto"/>
        </w:rPr>
      </w:pPr>
    </w:p>
    <w:p>
      <w:pPr>
        <w:jc w:val="both"/>
        <w:ind w:left="-540" w:firstLine="645"/>
        <w:spacing w:after="0" w:line="250" w:lineRule="auto"/>
        <w:tabs>
          <w:tab w:leader="none" w:pos="5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w:t>
      </w:r>
    </w:p>
    <w:p>
      <w:pPr>
        <w:spacing w:after="0" w:line="186" w:lineRule="exact"/>
        <w:rPr>
          <w:rFonts w:ascii="Arial" w:cs="Arial" w:eastAsia="Arial" w:hAnsi="Arial"/>
          <w:sz w:val="20"/>
          <w:szCs w:val="20"/>
          <w:color w:val="auto"/>
        </w:rPr>
      </w:pPr>
    </w:p>
    <w:p>
      <w:pPr>
        <w:ind w:left="-540" w:firstLine="645"/>
        <w:spacing w:after="0" w:line="316" w:lineRule="auto"/>
        <w:tabs>
          <w:tab w:leader="none" w:pos="544" w:val="left"/>
        </w:tabs>
        <w:numPr>
          <w:ilvl w:val="0"/>
          <w:numId w:val="229"/>
        </w:numPr>
        <w:rPr>
          <w:rFonts w:ascii="Arial" w:cs="Arial" w:eastAsia="Arial" w:hAnsi="Arial"/>
          <w:sz w:val="18"/>
          <w:szCs w:val="18"/>
          <w:color w:val="auto"/>
        </w:rPr>
      </w:pPr>
      <w:r>
        <w:rPr>
          <w:rFonts w:ascii="Arial" w:cs="Arial" w:eastAsia="Arial" w:hAnsi="Arial"/>
          <w:sz w:val="18"/>
          <w:szCs w:val="18"/>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30" w:lineRule="exact"/>
        <w:rPr>
          <w:rFonts w:ascii="Arial" w:cs="Arial" w:eastAsia="Arial" w:hAnsi="Arial"/>
          <w:sz w:val="18"/>
          <w:szCs w:val="18"/>
          <w:color w:val="auto"/>
        </w:rPr>
      </w:pPr>
    </w:p>
    <w:p>
      <w:pPr>
        <w:jc w:val="both"/>
        <w:ind w:left="-540" w:firstLine="645"/>
        <w:spacing w:after="0" w:line="278" w:lineRule="auto"/>
        <w:tabs>
          <w:tab w:leader="none" w:pos="5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leases, licenses, subleases or sublicenses granted to others in the ordinary course of business that do not (A) interfere in any material respect with the business of the Company and its Subsidiaries, taken as a whole or (B) secure any Indebtedness or (ii) the rights reserved or vested in any Person (including any Governmental Authority) by the terms of any lease, license, franchise, grant or permit held by the Company or any of its Subsidiaries or by a statutory provision, to terminate any such lease, license, franchise, grant or permit, or to require annual or periodic payments as a condition to the continuance thereof;</w:t>
      </w:r>
    </w:p>
    <w:p>
      <w:pPr>
        <w:spacing w:after="0" w:line="165" w:lineRule="exact"/>
        <w:rPr>
          <w:rFonts w:ascii="Arial" w:cs="Arial" w:eastAsia="Arial" w:hAnsi="Arial"/>
          <w:sz w:val="18"/>
          <w:szCs w:val="18"/>
          <w:color w:val="auto"/>
        </w:rPr>
      </w:pPr>
    </w:p>
    <w:p>
      <w:pPr>
        <w:ind w:left="-540" w:firstLine="645"/>
        <w:spacing w:after="0" w:line="260" w:lineRule="auto"/>
        <w:tabs>
          <w:tab w:leader="none" w:pos="575" w:val="left"/>
        </w:tabs>
        <w:numPr>
          <w:ilvl w:val="0"/>
          <w:numId w:val="229"/>
        </w:numPr>
        <w:rPr>
          <w:rFonts w:ascii="Arial" w:cs="Arial" w:eastAsia="Arial" w:hAnsi="Arial"/>
          <w:sz w:val="20"/>
          <w:szCs w:val="20"/>
          <w:color w:val="auto"/>
        </w:rPr>
      </w:pPr>
      <w:r>
        <w:rPr>
          <w:rFonts w:ascii="Arial" w:cs="Arial" w:eastAsia="Arial" w:hAnsi="Arial"/>
          <w:sz w:val="20"/>
          <w:szCs w:val="20"/>
          <w:color w:val="auto"/>
        </w:rPr>
        <w:t>ground leases or subleases, licenses or sublicenses in respect of real property on which facilities owned or leased by the Company or any Subsidiary are located;</w:t>
      </w:r>
    </w:p>
    <w:p>
      <w:pPr>
        <w:spacing w:after="0" w:line="176" w:lineRule="exact"/>
        <w:rPr>
          <w:rFonts w:ascii="Arial" w:cs="Arial" w:eastAsia="Arial" w:hAnsi="Arial"/>
          <w:sz w:val="20"/>
          <w:szCs w:val="20"/>
          <w:color w:val="auto"/>
        </w:rPr>
      </w:pPr>
    </w:p>
    <w:p>
      <w:pPr>
        <w:jc w:val="both"/>
        <w:ind w:left="-540" w:firstLine="645"/>
        <w:spacing w:after="0" w:line="246" w:lineRule="auto"/>
        <w:tabs>
          <w:tab w:leader="none" w:pos="613" w:val="left"/>
        </w:tabs>
        <w:numPr>
          <w:ilvl w:val="0"/>
          <w:numId w:val="229"/>
        </w:numPr>
        <w:rPr>
          <w:rFonts w:ascii="Arial" w:cs="Arial" w:eastAsia="Arial" w:hAnsi="Arial"/>
          <w:sz w:val="20"/>
          <w:szCs w:val="20"/>
          <w:color w:val="auto"/>
        </w:rPr>
      </w:pPr>
      <w:r>
        <w:rPr>
          <w:rFonts w:ascii="Arial" w:cs="Arial" w:eastAsia="Arial" w:hAnsi="Arial"/>
          <w:sz w:val="20"/>
          <w:szCs w:val="20"/>
          <w:color w:val="auto"/>
        </w:rPr>
        <w:t>(i) zoning, building, entitlement and other land use regulations by Governmental Authorities with which the normal operation of the business complies, and (ii) any zoning or similar law or right reserved to or vested in any Governmental Authority to control or regulate the use of any real property that does not materially interfere with the ordinary conduct of the business of the Company and its Subsidiaries, taken as a whole;</w:t>
      </w:r>
    </w:p>
    <w:p>
      <w:pPr>
        <w:spacing w:after="0" w:line="191" w:lineRule="exact"/>
        <w:rPr>
          <w:rFonts w:ascii="Arial" w:cs="Arial" w:eastAsia="Arial" w:hAnsi="Arial"/>
          <w:sz w:val="20"/>
          <w:szCs w:val="20"/>
          <w:color w:val="auto"/>
        </w:rPr>
      </w:pPr>
    </w:p>
    <w:p>
      <w:pPr>
        <w:ind w:left="580" w:hanging="475"/>
        <w:spacing w:after="0"/>
        <w:tabs>
          <w:tab w:leader="none" w:pos="58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Liens arising from precautionary UCC financing statement or similar filings;</w:t>
      </w:r>
    </w:p>
    <w:p>
      <w:pPr>
        <w:spacing w:after="0" w:line="215" w:lineRule="exact"/>
        <w:rPr>
          <w:rFonts w:ascii="Arial" w:cs="Arial" w:eastAsia="Arial" w:hAnsi="Arial"/>
          <w:sz w:val="20"/>
          <w:szCs w:val="20"/>
          <w:color w:val="auto"/>
        </w:rPr>
      </w:pPr>
    </w:p>
    <w:p>
      <w:pPr>
        <w:ind w:left="540" w:hanging="435"/>
        <w:spacing w:after="0"/>
        <w:tabs>
          <w:tab w:leader="none" w:pos="54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licenses, sublicenses and cross-licenses of Intellectual Property in the ordinary course of business; and</w:t>
      </w:r>
    </w:p>
    <w:p>
      <w:pPr>
        <w:spacing w:after="0" w:line="215" w:lineRule="exact"/>
        <w:rPr>
          <w:rFonts w:ascii="Arial" w:cs="Arial" w:eastAsia="Arial" w:hAnsi="Arial"/>
          <w:sz w:val="20"/>
          <w:szCs w:val="20"/>
          <w:color w:val="auto"/>
        </w:rPr>
      </w:pPr>
    </w:p>
    <w:p>
      <w:pPr>
        <w:ind w:left="-540" w:firstLine="645"/>
        <w:spacing w:after="0" w:line="260" w:lineRule="auto"/>
        <w:tabs>
          <w:tab w:leader="none" w:pos="569" w:val="left"/>
        </w:tabs>
        <w:numPr>
          <w:ilvl w:val="0"/>
          <w:numId w:val="229"/>
        </w:numPr>
        <w:rPr>
          <w:rFonts w:ascii="Arial" w:cs="Arial" w:eastAsia="Arial" w:hAnsi="Arial"/>
          <w:sz w:val="20"/>
          <w:szCs w:val="20"/>
          <w:color w:val="auto"/>
        </w:rPr>
      </w:pPr>
      <w:r>
        <w:rPr>
          <w:rFonts w:ascii="Arial" w:cs="Arial" w:eastAsia="Arial" w:hAnsi="Arial"/>
          <w:sz w:val="20"/>
          <w:szCs w:val="20"/>
          <w:color w:val="auto"/>
        </w:rPr>
        <w:t>any interest or title of a lessor, sublessor, lessee or sublessee under any lease in existence on the day hereof or permitted by this Agreement and the Collateral Documents.</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0220"/>
          </w:cols>
          <w:pgMar w:left="1440" w:top="811" w:right="239" w:bottom="1440" w:gutter="0" w:footer="0" w:header="0"/>
        </w:sectPr>
      </w:pPr>
    </w:p>
    <w:bookmarkStart w:id="212" w:name="page213"/>
    <w:bookmarkEnd w:id="212"/>
    <w:p>
      <w:pPr>
        <w:ind w:left="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16" w:lineRule="exact"/>
        <w:rPr>
          <w:sz w:val="20"/>
          <w:szCs w:val="20"/>
          <w:color w:val="auto"/>
        </w:rPr>
      </w:pPr>
    </w:p>
    <w:p>
      <w:pPr>
        <w:jc w:val="both"/>
        <w:ind w:left="-540" w:right="20" w:firstLine="645"/>
        <w:spacing w:after="0" w:line="250" w:lineRule="auto"/>
        <w:tabs>
          <w:tab w:leader="none" w:pos="39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86" w:lineRule="exact"/>
        <w:rPr>
          <w:rFonts w:ascii="Arial" w:cs="Arial" w:eastAsia="Arial" w:hAnsi="Arial"/>
          <w:sz w:val="20"/>
          <w:szCs w:val="20"/>
          <w:color w:val="auto"/>
        </w:rPr>
      </w:pPr>
    </w:p>
    <w:p>
      <w:pPr>
        <w:ind w:left="-540" w:firstLine="645"/>
        <w:spacing w:after="0" w:line="260" w:lineRule="auto"/>
        <w:tabs>
          <w:tab w:leader="none" w:pos="394"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the highest credit rating obtainable from S&amp;P or from Moody’s;</w:t>
      </w:r>
    </w:p>
    <w:p>
      <w:pPr>
        <w:spacing w:after="0" w:line="176" w:lineRule="exact"/>
        <w:rPr>
          <w:rFonts w:ascii="Arial" w:cs="Arial" w:eastAsia="Arial" w:hAnsi="Arial"/>
          <w:sz w:val="20"/>
          <w:szCs w:val="20"/>
          <w:color w:val="auto"/>
        </w:rPr>
      </w:pPr>
    </w:p>
    <w:p>
      <w:pPr>
        <w:jc w:val="both"/>
        <w:ind w:left="-540" w:firstLine="645"/>
        <w:spacing w:after="0" w:line="246" w:lineRule="auto"/>
        <w:tabs>
          <w:tab w:leader="none" w:pos="396"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United States of America or any State thereof which has a combined capital and surplus and undivided profits of not less than $500,000,000;</w:t>
      </w:r>
    </w:p>
    <w:p>
      <w:pPr>
        <w:spacing w:after="0" w:line="191" w:lineRule="exact"/>
        <w:rPr>
          <w:rFonts w:ascii="Arial" w:cs="Arial" w:eastAsia="Arial" w:hAnsi="Arial"/>
          <w:sz w:val="20"/>
          <w:szCs w:val="20"/>
          <w:color w:val="auto"/>
        </w:rPr>
      </w:pPr>
    </w:p>
    <w:p>
      <w:pPr>
        <w:ind w:left="-540" w:firstLine="645"/>
        <w:spacing w:after="0" w:line="260" w:lineRule="auto"/>
        <w:tabs>
          <w:tab w:leader="none" w:pos="38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thirty (30) days for securities described in clause (a) above and entered into with a financial institution satisfying the criteria described in clause (c) above;</w:t>
      </w:r>
    </w:p>
    <w:p>
      <w:pPr>
        <w:spacing w:after="0" w:line="176" w:lineRule="exact"/>
        <w:rPr>
          <w:rFonts w:ascii="Arial" w:cs="Arial" w:eastAsia="Arial" w:hAnsi="Arial"/>
          <w:sz w:val="20"/>
          <w:szCs w:val="20"/>
          <w:color w:val="auto"/>
        </w:rPr>
      </w:pPr>
    </w:p>
    <w:p>
      <w:pPr>
        <w:ind w:left="-540" w:right="20" w:firstLine="645"/>
        <w:spacing w:after="0" w:line="260" w:lineRule="auto"/>
        <w:tabs>
          <w:tab w:leader="none" w:pos="39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 Rule 2a-7 under the Investment Company Act of 1940, (ii) are rated AAA by S&amp;P and Aaa by Moody’s and (iii) have portfolio assets of at least $5,000,000,000;</w:t>
      </w:r>
    </w:p>
    <w:p>
      <w:pPr>
        <w:spacing w:after="0" w:line="176" w:lineRule="exact"/>
        <w:rPr>
          <w:rFonts w:ascii="Arial" w:cs="Arial" w:eastAsia="Arial" w:hAnsi="Arial"/>
          <w:sz w:val="20"/>
          <w:szCs w:val="20"/>
          <w:color w:val="auto"/>
        </w:rPr>
      </w:pPr>
    </w:p>
    <w:p>
      <w:pPr>
        <w:jc w:val="both"/>
        <w:ind w:left="-540" w:firstLine="645"/>
        <w:spacing w:after="0" w:line="250" w:lineRule="auto"/>
        <w:tabs>
          <w:tab w:leader="none" w:pos="35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other investments made in accordance with the Company’s investment policy as disclosed to the Administrative Agent prior to the Effective Date and with such amendments or modifications thereto as are from time to time approved by the Administrative Agent;</w:t>
      </w:r>
    </w:p>
    <w:p>
      <w:pPr>
        <w:spacing w:after="0" w:line="186" w:lineRule="exact"/>
        <w:rPr>
          <w:rFonts w:ascii="Arial" w:cs="Arial" w:eastAsia="Arial" w:hAnsi="Arial"/>
          <w:sz w:val="20"/>
          <w:szCs w:val="20"/>
          <w:color w:val="auto"/>
        </w:rPr>
      </w:pPr>
    </w:p>
    <w:p>
      <w:pPr>
        <w:jc w:val="both"/>
        <w:ind w:left="-540" w:firstLine="645"/>
        <w:spacing w:after="0" w:line="246" w:lineRule="auto"/>
        <w:tabs>
          <w:tab w:leader="none" w:pos="389"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investments in Indebtedness that is (x) issued by Persons with (i) a short term credit rating of “P-1” or higher from Moody’s or “A-1” or higher from S&amp;P or (ii) a long term rating of “A2” or higher from Moody’s or “A” or higher from S&amp;P, in each case for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with maturities not more than twelve (12) months after the date of acquisition and (y) of a type customarily used by companies for cash management purposes;</w:t>
      </w:r>
    </w:p>
    <w:p>
      <w:pPr>
        <w:spacing w:after="0" w:line="191" w:lineRule="exact"/>
        <w:rPr>
          <w:rFonts w:ascii="Arial" w:cs="Arial" w:eastAsia="Arial" w:hAnsi="Arial"/>
          <w:sz w:val="20"/>
          <w:szCs w:val="20"/>
          <w:color w:val="auto"/>
        </w:rPr>
      </w:pPr>
    </w:p>
    <w:p>
      <w:pPr>
        <w:jc w:val="both"/>
        <w:ind w:left="-540" w:firstLine="645"/>
        <w:spacing w:after="0" w:line="278" w:lineRule="auto"/>
        <w:tabs>
          <w:tab w:leader="none" w:pos="437" w:val="left"/>
        </w:tabs>
        <w:numPr>
          <w:ilvl w:val="0"/>
          <w:numId w:val="230"/>
        </w:numPr>
        <w:rPr>
          <w:rFonts w:ascii="Arial" w:cs="Arial" w:eastAsia="Arial" w:hAnsi="Arial"/>
          <w:sz w:val="18"/>
          <w:szCs w:val="18"/>
          <w:color w:val="auto"/>
        </w:rPr>
      </w:pPr>
      <w:r>
        <w:rPr>
          <w:rFonts w:ascii="Arial" w:cs="Arial" w:eastAsia="Arial" w:hAnsi="Arial"/>
          <w:sz w:val="18"/>
          <w:szCs w:val="18"/>
          <w:color w:val="auto"/>
        </w:rPr>
        <w:t>securities with maturities of one year or less from the date of acquisition issued or fully guaranteed by any state, commonwealth or territory of the United States of America, by any political subdivision or taxing authority of any such state, commonwealth or territory or by any foreign government, the securities of which state, commonwealth, territory, political subdivision, taxing authority or foreign government (as the case may be) receive at least (i) a short term credit rating of “P-1” or higher from Moody’s or “A-1” or higher from S&amp;P or (ii) a long term rating of “A2” or higher from Moody’s or “A” or higher from S&amp;P;</w:t>
      </w:r>
    </w:p>
    <w:p>
      <w:pPr>
        <w:spacing w:after="0" w:line="165" w:lineRule="exact"/>
        <w:rPr>
          <w:rFonts w:ascii="Arial" w:cs="Arial" w:eastAsia="Arial" w:hAnsi="Arial"/>
          <w:sz w:val="18"/>
          <w:szCs w:val="18"/>
          <w:color w:val="auto"/>
        </w:rPr>
      </w:pPr>
    </w:p>
    <w:p>
      <w:pPr>
        <w:ind w:left="-540" w:firstLine="645"/>
        <w:spacing w:after="0" w:line="260" w:lineRule="auto"/>
        <w:tabs>
          <w:tab w:leader="none" w:pos="34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investments in money market funds substantially all the assets of which are comprised of securities of the types described in clauses (a) through (h) above;</w:t>
      </w:r>
    </w:p>
    <w:p>
      <w:pPr>
        <w:spacing w:after="0" w:line="176" w:lineRule="exact"/>
        <w:rPr>
          <w:rFonts w:ascii="Arial" w:cs="Arial" w:eastAsia="Arial" w:hAnsi="Arial"/>
          <w:sz w:val="20"/>
          <w:szCs w:val="20"/>
          <w:color w:val="auto"/>
        </w:rPr>
      </w:pPr>
    </w:p>
    <w:p>
      <w:pPr>
        <w:ind w:left="-540" w:right="20" w:firstLine="645"/>
        <w:spacing w:after="0" w:line="260" w:lineRule="auto"/>
        <w:tabs>
          <w:tab w:leader="none" w:pos="347" w:val="left"/>
        </w:tabs>
        <w:numPr>
          <w:ilvl w:val="0"/>
          <w:numId w:val="230"/>
        </w:numPr>
        <w:rPr>
          <w:rFonts w:ascii="Arial" w:cs="Arial" w:eastAsia="Arial" w:hAnsi="Arial"/>
          <w:sz w:val="20"/>
          <w:szCs w:val="20"/>
          <w:color w:val="auto"/>
        </w:rPr>
      </w:pPr>
      <w:r>
        <w:rPr>
          <w:rFonts w:ascii="Arial" w:cs="Arial" w:eastAsia="Arial" w:hAnsi="Arial"/>
          <w:sz w:val="20"/>
          <w:szCs w:val="20"/>
          <w:color w:val="auto"/>
        </w:rPr>
        <w:t xml:space="preserve">securities with maturities of six months or less from the date of acquisition backed by standby letters of credit issued by any Lender or any commercial bank satisfying the requirements of </w:t>
      </w:r>
      <w:r>
        <w:rPr>
          <w:rFonts w:ascii="Arial" w:cs="Arial" w:eastAsia="Arial" w:hAnsi="Arial"/>
          <w:sz w:val="20"/>
          <w:szCs w:val="20"/>
          <w:u w:val="single" w:color="auto"/>
          <w:color w:val="auto"/>
        </w:rPr>
        <w:t>clause (c)</w:t>
      </w:r>
      <w:r>
        <w:rPr>
          <w:rFonts w:ascii="Arial" w:cs="Arial" w:eastAsia="Arial" w:hAnsi="Arial"/>
          <w:sz w:val="20"/>
          <w:szCs w:val="20"/>
          <w:color w:val="auto"/>
        </w:rPr>
        <w:t xml:space="preserve"> above; and</w:t>
      </w:r>
    </w:p>
    <w:p>
      <w:pPr>
        <w:spacing w:after="0" w:line="200" w:lineRule="exact"/>
        <w:rPr>
          <w:sz w:val="20"/>
          <w:szCs w:val="20"/>
          <w:color w:val="auto"/>
        </w:rPr>
      </w:pP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220"/>
          </w:cols>
          <w:pgMar w:left="1440" w:top="812" w:right="239" w:bottom="1440" w:gutter="0" w:footer="0" w:header="0"/>
        </w:sectPr>
      </w:pPr>
    </w:p>
    <w:bookmarkStart w:id="213" w:name="page214"/>
    <w:bookmarkEnd w:id="213"/>
    <w:p>
      <w:pPr>
        <w:ind w:left="660" w:firstLine="645"/>
        <w:spacing w:after="0" w:line="316" w:lineRule="auto"/>
        <w:tabs>
          <w:tab w:leader="none" w:pos="159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3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Surviving Debt</w:t>
      </w:r>
      <w:r>
        <w:rPr>
          <w:rFonts w:ascii="Arial" w:cs="Arial" w:eastAsia="Arial" w:hAnsi="Arial"/>
          <w:sz w:val="20"/>
          <w:szCs w:val="20"/>
          <w:color w:val="auto"/>
        </w:rPr>
        <w:t>” means (i) purchase money Indebtedness, capital leases and equipment financings of Grand Design and its subsidiaries that will remain outstanding following the Effective Date, (ii) intercompany Indebtedness among Grand Design and its subsidiaries, (iii) any Indebtedness specifically contemplated by the Grand Design Purchase Agreement, as in effect on October 2, 2016, to remain outstanding following the Effective Date and (iv) other Indebtedness that is permitted to be outstanding following the Effective Date by the terms hereof.</w:t>
      </w:r>
    </w:p>
    <w:p>
      <w:pPr>
        <w:spacing w:after="0" w:line="195"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Unsecured Indebtedness</w:t>
      </w:r>
      <w:r>
        <w:rPr>
          <w:rFonts w:ascii="Arial" w:cs="Arial" w:eastAsia="Arial" w:hAnsi="Arial"/>
          <w:sz w:val="16"/>
          <w:szCs w:val="16"/>
          <w:color w:val="auto"/>
        </w:rPr>
        <w:t xml:space="preserve">” means Indebtedness of the Company or any Subsidiary (a) that is not (and any Guarantees thereof by the Company or Subsidiaries are not) secured by any collateral (including the Collateral), (b) that does not mature earlier than the date that is ninety-one (91) days after the Maturity Date, and has a Weighted Average Life to Maturity no shorter than the Maturity Date in effect at the time of incurrence of such Indebtedness, (c) that, in the case of such Indebtedness in the form of bonds, debentures, notes or similar instrument,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Maturity Date, (d) that contains covenants, events of default, guarantees and other terms that are customary for similar Indebtedness in light of then-prevailing market conditions (it being understood and agreed that such Indebtedness shall not include any financial maintenance covenants and that applicable negative covenants shall be incurrence-based to the extent customary for similar Indebtedness) and, when taken as a whole (other than interest rates, rate floors, fees and optional prepayment or redemption terms), are not more favorable (as reasonably determined by the Company in good faith) to the lenders or investors providing such Permitted Unsecured Indebtedness, as the case may be, than those set forth in the Loan Documents are with respect to the Lenders (other than covenants or other provisions applicable only to periods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certificate of a Financial Officer of the Company delivered to the Administrative Agent at least five (5) Business Days prior to the incurrence of such Indebtedness or the modification, refinancing, refunding, renewal or extension thereof (or such shorter period of time as may reasonably be agreed by the Administrative Agent), together with a reasonably detailed description of the material terms and conditions of such resulting Indebtedness or drafts of the material definitive documentation relating thereto, stating that the Company has determined in good faith that such terms and conditions satisfy the foregoing requirements shall be conclusive, and (e) that is not guaranteed by any Person other than on an unsecured basis by the Company and/or Subsidiaries that are Loan Parties.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means Debt Domain, Intralinks, Syndtrak or a substantially similar electronic transmission system.</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Subsidiary</w:t>
      </w:r>
      <w:r>
        <w:rPr>
          <w:rFonts w:ascii="Arial" w:cs="Arial" w:eastAsia="Arial" w:hAnsi="Arial"/>
          <w:sz w:val="20"/>
          <w:szCs w:val="20"/>
          <w:color w:val="auto"/>
        </w:rPr>
        <w:t>” means (i) each Domestic Subsidiary and (ii) each First Tier Foreign</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812" w:right="2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color w:val="auto"/>
        </w:rPr>
        <w:t>Subsidiary which is a Material Subsidiary.</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Prime Rate</w:t>
      </w:r>
      <w:r>
        <w:rPr>
          <w:rFonts w:ascii="Arial" w:cs="Arial" w:eastAsia="Arial" w:hAnsi="Arial"/>
          <w:sz w:val="20"/>
          <w:szCs w:val="20"/>
          <w:color w:val="auto"/>
        </w:rPr>
        <w:t>” means the rate of interest per annum publicly announced from time to time by JPMCB as its prime rate in effect at its principal offices in New York City; each change in the Prime Rate shall be effective from and including the date such change is publicly announced as being effective.</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Period</w:t>
      </w:r>
      <w:r>
        <w:rPr>
          <w:rFonts w:ascii="Arial" w:cs="Arial" w:eastAsia="Arial" w:hAnsi="Arial"/>
          <w:sz w:val="20"/>
          <w:szCs w:val="20"/>
          <w:color w:val="auto"/>
        </w:rPr>
        <w:t>” means the period commencing thirty (30) days prior to the date of any proposed designated action and ending on the date of such proposed designated action.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has the meaning assigned to such term in Section 3.11.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Protective Advance</w:t>
      </w:r>
      <w:r>
        <w:rPr>
          <w:rFonts w:ascii="Arial" w:cs="Arial" w:eastAsia="Arial" w:hAnsi="Arial"/>
          <w:sz w:val="20"/>
          <w:szCs w:val="20"/>
          <w:color w:val="auto"/>
        </w:rPr>
        <w:t>” has the meaning assigned to such term in Section 2.04.</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means Equity Interests of the Company other than Disqualified Equity Interests.</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ECP Guarantor</w:t>
      </w:r>
      <w:r>
        <w:rPr>
          <w:rFonts w:ascii="Arial" w:cs="Arial" w:eastAsia="Arial" w:hAnsi="Arial"/>
          <w:sz w:val="20"/>
          <w:szCs w:val="20"/>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as applicable, (a) the Administrative Agent, (b) any Lender and (c) any Issuing Bank.</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Refinancing Convertible Notes</w:t>
      </w:r>
      <w:r>
        <w:rPr>
          <w:rFonts w:ascii="Arial" w:cs="Arial" w:eastAsia="Arial" w:hAnsi="Arial"/>
          <w:sz w:val="20"/>
          <w:szCs w:val="20"/>
          <w:color w:val="auto"/>
        </w:rPr>
        <w:t>” has the meaning assigned to such term in Section 6.09.</w:t>
      </w:r>
    </w:p>
    <w:p>
      <w:pPr>
        <w:spacing w:after="0" w:line="216"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u w:val="single" w:color="auto"/>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Refinancing Indebtedness shall not exceed the principal amount (or accreted value, if applicable) of such Original Indebtedness except by an amount no greater than accrued and unpaid interest with respect to such Original Indebtedness and any reasonable fees, premium and expenses relating to such extension, renewal or refinancing; (b) the stated final maturity of such Refinancing Indebtedness shall not be earlier than that of such Original Indebtedness, and such stated final maturity shall not be subject to any conditions that could result in such stated final maturity occurring on a date that precedes the stated final maturity of such Original Indebtedness; (c) such Refinancing Indebtedness shall not be required to be repaid, prepaid, redeemed, repurchased or defeased, whether on one or more fixed dates, upon the occurrence of one or more events or at the option of any holder thereof (except, in each case, upon the occurrence of an event of default or a change in control, fundamental change, or upon conversion or exchange in the case of convertible or exchangeable Indebtedness or as and to the extent such repayment, prepayment, redemption, repurchase or defeasance would have been required pursuant to the terms of such Original Indebtedness) prior to (i) if such Refinancing Indebtedness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Revolving Loans, the maturity of such Original Indebtedness or (ii) otherwise, the date that is ninety one (91) days after the Maturity Date;</w:t>
      </w:r>
    </w:p>
    <w:p>
      <w:pPr>
        <w:spacing w:after="0" w:line="186" w:lineRule="exact"/>
        <w:rPr>
          <w:sz w:val="20"/>
          <w:szCs w:val="20"/>
          <w:color w:val="auto"/>
        </w:rPr>
      </w:pPr>
    </w:p>
    <w:p>
      <w:pPr>
        <w:jc w:val="both"/>
        <w:ind w:firstLine="8"/>
        <w:spacing w:after="0" w:line="258" w:lineRule="auto"/>
        <w:tabs>
          <w:tab w:leader="none" w:pos="298"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Weighted Average Life to Maturity of such Refinancing Indebtedness shall be longer than the Weighted Average Life to Maturity of such Original Indebtedness remaining as of the date of such extension, renewal or refinancing; (e) such Refinancing Indebtedness shall not constitute an obligation (including pursuant to a Guarantee) of any Subsidiary, in each case that shall not have been (or, in the case of after-acquired Subsidiaries, shall not have been required to become pursuant to the terms of the Original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812" w:right="239" w:bottom="1440" w:gutter="0" w:footer="0" w:header="0"/>
        </w:sectPr>
      </w:pPr>
    </w:p>
    <w:bookmarkStart w:id="215" w:name="page216"/>
    <w:bookmarkEnd w:id="215"/>
    <w:p>
      <w:pPr>
        <w:jc w:val="both"/>
        <w:spacing w:after="0" w:line="268" w:lineRule="auto"/>
        <w:rPr>
          <w:sz w:val="20"/>
          <w:szCs w:val="20"/>
          <w:color w:val="auto"/>
        </w:rPr>
      </w:pPr>
      <w:r>
        <w:rPr>
          <w:rFonts w:ascii="Arial" w:cs="Arial" w:eastAsia="Arial" w:hAnsi="Arial"/>
          <w:sz w:val="18"/>
          <w:szCs w:val="18"/>
          <w:color w:val="auto"/>
        </w:rPr>
        <w:t xml:space="preserve">Indebtedness) an obligor in respect of such Original Indebtedness, and shall not constitute an obligation of any Borrower if such Borrower shall not have been an obligor in respect of such Original Indebtedness, and, in each case, shall constitute an obligation of such Subsidiary or of such Borrower only to the extent of their obligations in respect of such Original Indebtedness; (f) if such Original Indebtedness shall have been subordinated to the Obligations, such Refinancing Indebtedness shall also be subordinated to the Obligations on terms not less favorable in any material respect to the Lenders; (g) if secured by the Collateral on a junior lien basis or if unsecured, such Refinancing Indebtedness does not provide for any amortization, mandatory prepayment, redemption or repurchase (other than upon a change of control, fundamental change, customary asset sale or event of loss mandatory offers to purchase and customary acceleration rights after an event of default and, for the avoidance of doubt, rights to convert or exchange in the case of convertible or exchangeable Indebtedness) prior to the latest maturity date of the Indebtedness being refinanced, (h) such Refinancing Indebtedness does not contain covenants, events of default and other terms customary for similar Indebtedness in light of then-prevailing market conditions that, when taken as a whole (other than interest rates, rate floors, fees and optional prepayment or redemption terms), are more favorable (as reasonably determined by the Borrower Representative in good faith) to the lenders, holders or investors, as the case may be, providing such Refinancing Indebtedness than those applicable to the relevant Original Indebtedness (provided that a certificate of a Financial Officer delivered to the Administrative Agent at least five (5) Business Days prior to the incurrence of such Refinancing Indebtedness, together with a reasonably detailed description of the material terms and conditions of such Refinancing Indebtedness or drafts of the material definitive documentation relating thereto, stating that the Borrower Representative has determined in good faith that such terms and conditions satisfy the requirement of this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shall be conclusive evidence that such terms and conditions satisfy such requirement unless the Administrative Agent notifies the Borrower Representative within such five (5) Business Day period that it disagrees with such determination (including a description of the basis upon which it disagrees)), and (i) such Refinancing Indebtedness shall not be secured by any Lien on any asset other than the assets that secured such Original Indebtedness (or would have been required to secure such Original Indebtedness pursuant to the terms thereof) or, in the event Liens securing such Original Indebtedness shall have been contractually subordinated to any Lien securing the Obligations, by any Lien that shall not have been contractually subordinated to at least the same extent (and, if such Original Indebtedness is subject to an Intercreditor Agreement, such Refinancing Indebtedness shall, if secured, be subject to an Intercreditor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has the meaning set forth in Section 9.04.</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specified Person, such Person’s Affiliates and the respective directors, officers, employees, agents, advisors and representatives of such Person and such Person’s Affiliates.</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means reports prepared by the Administrative Agent or another Person showing the results of appraisals, field examinations or audits pertaining to the assets of the Borrowers from information furnished by or on behalf of the Borrowers, after the Administrative Agent has exercised its rights of inspection pursuant to this Agreement, which Reports may be distributed to the Lenders by the Administrative Agent.</w:t>
      </w:r>
    </w:p>
    <w:p>
      <w:pPr>
        <w:spacing w:after="0" w:line="19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Repurchase Agreements</w:t>
      </w:r>
      <w:r>
        <w:rPr>
          <w:rFonts w:ascii="Arial" w:cs="Arial" w:eastAsia="Arial" w:hAnsi="Arial"/>
          <w:sz w:val="19"/>
          <w:szCs w:val="19"/>
          <w:color w:val="auto"/>
        </w:rPr>
        <w:t>” means, collectively, repurchase agreements, by and among one or more Loan Parties and a financial institution that provides financing to a dealer who purchases vehicles from one or more Loan Parties, which repurchase agreements (i) provide that, in the event of default by a dealer in its obligation to such financial institution, such Loan Party or Loan Parties will repurchase vehicles sold to the dealer that have not been purchased by customers and (ii) are entered into by the applicable Loan Parties in the ordinary course of business consistent with past practices (or are otherwise customarily entered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811" w:right="239" w:bottom="1440" w:gutter="0" w:footer="0" w:header="0"/>
        </w:sectPr>
      </w:pPr>
    </w:p>
    <w:bookmarkStart w:id="216" w:name="page217"/>
    <w:bookmarkEnd w:id="216"/>
    <w:p>
      <w:pPr>
        <w:spacing w:after="0"/>
        <w:rPr>
          <w:sz w:val="20"/>
          <w:szCs w:val="20"/>
          <w:color w:val="auto"/>
        </w:rPr>
      </w:pPr>
      <w:r>
        <w:rPr>
          <w:rFonts w:ascii="Arial" w:cs="Arial" w:eastAsia="Arial" w:hAnsi="Arial"/>
          <w:sz w:val="20"/>
          <w:szCs w:val="20"/>
          <w:color w:val="auto"/>
        </w:rPr>
        <w:t>into in the ordinary course of business generally by manufacturers of recreational vehicles).</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subject to Section 2.20, at any time, Lenders having Revolving Exposures and unused Commitments representing more than 66 2/3% of the sum of the total Revolving Exposures and unused Commitments at such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at any time that there are two (2) or more Lenders, “Required Lenders” must include at least two (2) Lenders (that are not Affiliates of one another).</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Requirement of Law</w:t>
      </w:r>
      <w:r>
        <w:rPr>
          <w:rFonts w:ascii="Arial" w:cs="Arial" w:eastAsia="Arial" w:hAnsi="Arial"/>
          <w:sz w:val="20"/>
          <w:szCs w:val="20"/>
          <w:color w:val="auto"/>
        </w:rPr>
        <w:t>” means, with respect to any Person,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9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Reserves</w:t>
      </w:r>
      <w:r>
        <w:rPr>
          <w:rFonts w:ascii="Arial" w:cs="Arial" w:eastAsia="Arial" w:hAnsi="Arial"/>
          <w:sz w:val="19"/>
          <w:szCs w:val="19"/>
          <w:color w:val="auto"/>
        </w:rPr>
        <w:t xml:space="preserve">” means any and all reserves which the Administrative Agent deems necessary, in its Permitted Discretion, to maintain (including, without limitation, reserves for accrued and unpaid interest on the Secured Obligations, Banking Services Reserves, Specified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foregoing, (i) the Administrative Agent may not implement any new reserves or increase the amount of any existing Reserves without at least three (3) Business Days’ prior notice to the Borrower Representative and (ii) Reserves shall not be in duplication of eligibility criteria.</w:t>
      </w:r>
    </w:p>
    <w:p>
      <w:pPr>
        <w:spacing w:after="0" w:line="18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means the chief executive officer, president, a Financial Officer or a member of the senior management team of the Company or any other Person designated by any such Person in writing to the Administrative Agent and reasonably acceptable to the Administrative Agent.</w:t>
      </w:r>
    </w:p>
    <w:p>
      <w:pPr>
        <w:spacing w:after="0" w:line="18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Payment</w:t>
      </w:r>
      <w:r>
        <w:rPr>
          <w:rFonts w:ascii="Arial" w:cs="Arial" w:eastAsia="Arial" w:hAnsi="Arial"/>
          <w:sz w:val="19"/>
          <w:szCs w:val="19"/>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xml:space="preserve">” means, with respect to any Lender at any time, the sum of (a) the outstanding principal amount of such Lender’s Revolving Loans, its LC Exposure and its Swingline Exposure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an amount equal to its Applicable Percentage of the aggregate principal amount of Protective Advances outstanding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an amount equal to its Applicable Percentage of the aggregate principal amount of Overadvances outstanding at such time.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 Limitations</w:t>
      </w:r>
      <w:r>
        <w:rPr>
          <w:rFonts w:ascii="Arial" w:cs="Arial" w:eastAsia="Arial" w:hAnsi="Arial"/>
          <w:sz w:val="20"/>
          <w:szCs w:val="20"/>
          <w:color w:val="auto"/>
        </w:rPr>
        <w:t>” has the meaning set forth in Section 2.01.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means a Loan made pursuant to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01(a)</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and Leaseback Transaction</w:t>
      </w:r>
      <w:r>
        <w:rPr>
          <w:rFonts w:ascii="Arial" w:cs="Arial" w:eastAsia="Arial" w:hAnsi="Arial"/>
          <w:sz w:val="20"/>
          <w:szCs w:val="20"/>
          <w:color w:val="auto"/>
        </w:rPr>
        <w:t>” means any sale or other transfer of any property or asset by any Person with the intent to lease such property or asset as lessee.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means S&amp;P Global Ratings, a Standard and Poor's Financial Services LLC business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812" w:right="239" w:bottom="1440" w:gutter="0" w:footer="0" w:header="0"/>
        </w:sectPr>
      </w:pPr>
    </w:p>
    <w:bookmarkStart w:id="217" w:name="page218"/>
    <w:bookmarkEnd w:id="217"/>
    <w:p>
      <w:pPr>
        <w:spacing w:after="0"/>
        <w:rPr>
          <w:sz w:val="20"/>
          <w:szCs w:val="20"/>
          <w:color w:val="auto"/>
        </w:rPr>
      </w:pPr>
      <w:r>
        <w:rPr>
          <w:rFonts w:ascii="Arial" w:cs="Arial" w:eastAsia="Arial" w:hAnsi="Arial"/>
          <w:sz w:val="20"/>
          <w:szCs w:val="20"/>
          <w:color w:val="auto"/>
        </w:rPr>
        <w:t>or any successor thereto.</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Country</w:t>
      </w:r>
      <w:r>
        <w:rPr>
          <w:rFonts w:ascii="Arial" w:cs="Arial" w:eastAsia="Arial" w:hAnsi="Arial"/>
          <w:sz w:val="20"/>
          <w:szCs w:val="20"/>
          <w:color w:val="auto"/>
        </w:rPr>
        <w:t>” means, at any time, a country, region or territory which is itself the subject or target of any Sanctions (at the time of this Agreement, Crimea, Cuba, Iran, North Korea, Sudan and Syria).</w:t>
      </w:r>
    </w:p>
    <w:p>
      <w:pPr>
        <w:spacing w:after="0" w:line="17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OFAC, the U.S. Department of State, the United Nations Security Council, the European Union, any European Union member state, Her Majesty’s Treasury of the United Kingdom or other relevant sanctions authority, (b) any Person operating, organized or resident in a Sanctioned Country or (c) any Person owned or controlled by any such Person or Persons described in the foregoing clauses (a) or (b).</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Her Majesty’s Treasury of the United Kingdom or other relevant sanctions authority.</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United States Securities and Exchange Commission.</w:t>
      </w:r>
    </w:p>
    <w:p>
      <w:pPr>
        <w:spacing w:after="0" w:line="21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Obligations</w:t>
      </w:r>
      <w:r>
        <w:rPr>
          <w:rFonts w:ascii="Arial" w:cs="Arial" w:eastAsia="Arial" w:hAnsi="Arial"/>
          <w:sz w:val="19"/>
          <w:szCs w:val="19"/>
          <w:color w:val="auto"/>
        </w:rPr>
        <w:t xml:space="preserve">” means all Obligations, together with all (i) Banking Services Obligations and (ii) Swap Agreement Obligations owing to one or more Lenders or their respective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definition of “Secured Obligations”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77"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Administrative Agent, (b) the Lenders, (c) the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United States Securities Act of 1933, as amended from time to time.</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Pledge and Security Agreement (including any and all supplements thereto), dated as of the date hereof, between the Loan Parties and the Administrative Agent, for the benefit of the Administrative Agent and the other Secured Parties, as the same may be amended, restated or otherwise modified from time to time.</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w:t>
      </w:r>
      <w:r>
        <w:rPr>
          <w:rFonts w:ascii="Arial" w:cs="Arial" w:eastAsia="Arial" w:hAnsi="Arial"/>
          <w:sz w:val="20"/>
          <w:szCs w:val="20"/>
          <w:color w:val="auto"/>
        </w:rPr>
        <w:t>” has the meaning assigned to such term in Section 2.05(d).</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has the meaning assigned to such term in Section 2.05(d).</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Representations</w:t>
      </w:r>
      <w:r>
        <w:rPr>
          <w:rFonts w:ascii="Arial" w:cs="Arial" w:eastAsia="Arial" w:hAnsi="Arial"/>
          <w:sz w:val="20"/>
          <w:szCs w:val="20"/>
          <w:color w:val="auto"/>
        </w:rPr>
        <w:t>” means the representations and warranties set forth in Sections 3.01(a), 3.02, 3.03(b) (with respect to no violation of the charter, by-laws or other organizational documents of the Company or any other Loan Party), 3.08, 3.12, 3.16(a), 3.18 (subject to the Limited Conditionality Provision) and 3.19 of this Agreement.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812" w:right="239" w:bottom="1440" w:gutter="0" w:footer="0" w:header="0"/>
        </w:sectPr>
      </w:pPr>
    </w:p>
    <w:bookmarkStart w:id="218" w:name="page219"/>
    <w:bookmarkEnd w:id="218"/>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Reserves</w:t>
      </w:r>
      <w:r>
        <w:rPr>
          <w:rFonts w:ascii="Arial" w:cs="Arial" w:eastAsia="Arial" w:hAnsi="Arial"/>
          <w:sz w:val="19"/>
          <w:szCs w:val="19"/>
          <w:color w:val="auto"/>
        </w:rPr>
        <w:t>” means, with respect to any Borrower, Reserves established by the Administrative Agent in its Permitted Discretion from time to time for (a) repurchase obligations of such Borrower, (b) warranty obligations of such Borrower, (c) accrued sales rebates provided by such Borrower and (d) free on board (FOB) destination delivery terms provided by such Borrower.</w:t>
      </w:r>
    </w:p>
    <w:p>
      <w:pPr>
        <w:spacing w:after="0" w:line="17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Standby LC Exposure</w:t>
      </w:r>
      <w:r>
        <w:rPr>
          <w:rFonts w:ascii="Arial" w:cs="Arial" w:eastAsia="Arial" w:hAnsi="Arial"/>
          <w:sz w:val="20"/>
          <w:szCs w:val="20"/>
          <w:color w:val="auto"/>
        </w:rPr>
        <w:t xml:space="preserve">” means, at any time, the sum of (a) the aggregate undrawn amount of all standby Letters of Credit outstanding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amount of all LC Disbursements relating to standby Letters of Credit that have not yet been reimbursed by or on behalf of the Borrowers at such time. The Standby LC Exposure of any Lender at any time shall be its Applicable Percentage of the aggregate Standby LC Exposure at such time.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Statements</w:t>
      </w:r>
      <w:r>
        <w:rPr>
          <w:rFonts w:ascii="Arial" w:cs="Arial" w:eastAsia="Arial" w:hAnsi="Arial"/>
          <w:sz w:val="20"/>
          <w:szCs w:val="20"/>
          <w:color w:val="auto"/>
        </w:rPr>
        <w:t>” has the meaning assigned to such term in Section 2.18(g).</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 (including any marginal, special, emergency or supplemental reserves)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of the Board. Eurodollar Loans shall be deemed to constitute eurocurrency funding and to be subject to such reserve requirements without benefit of or credit for proration, exemptions or offsets that may be available from time to time to any Lender under such Regulation D of the Board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the Company or any Subsidiary the payment of which is subordinated to payment of the obligations under the Loan Documents.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 Documents</w:t>
      </w:r>
      <w:r>
        <w:rPr>
          <w:rFonts w:ascii="Arial" w:cs="Arial" w:eastAsia="Arial" w:hAnsi="Arial"/>
          <w:sz w:val="20"/>
          <w:szCs w:val="20"/>
          <w:color w:val="auto"/>
        </w:rPr>
        <w:t>” means any document, agreement or instrument evidencing any Subordinated Indebtedness or entered into in connection with any Subordinated Indebtedness.</w:t>
      </w:r>
    </w:p>
    <w:p>
      <w:pPr>
        <w:spacing w:after="0" w:line="17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(the “</w:t>
      </w:r>
      <w:r>
        <w:rPr>
          <w:rFonts w:ascii="Arial" w:cs="Arial" w:eastAsia="Arial" w:hAnsi="Arial"/>
          <w:sz w:val="19"/>
          <w:szCs w:val="19"/>
          <w:u w:val="single" w:color="auto"/>
          <w:color w:val="auto"/>
        </w:rPr>
        <w:t>parent</w:t>
      </w:r>
      <w:r>
        <w:rPr>
          <w:rFonts w:ascii="Arial" w:cs="Arial" w:eastAsia="Arial" w:hAnsi="Arial"/>
          <w:sz w:val="19"/>
          <w:szCs w:val="19"/>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means any subsidiary of the Company.</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Agreement</w:t>
      </w:r>
      <w:r>
        <w:rPr>
          <w:rFonts w:ascii="Arial" w:cs="Arial" w:eastAsia="Arial" w:hAnsi="Arial"/>
          <w:sz w:val="20"/>
          <w:szCs w:val="20"/>
          <w:color w:val="auto"/>
        </w:rPr>
        <w: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811" w:right="239" w:bottom="1440" w:gutter="0" w:footer="0" w:header="0"/>
        </w:sectPr>
      </w:pPr>
    </w:p>
    <w:bookmarkStart w:id="219" w:name="page220"/>
    <w:bookmarkEnd w:id="219"/>
    <w:p>
      <w:pPr>
        <w:jc w:val="both"/>
        <w:ind w:right="20"/>
        <w:spacing w:after="0" w:line="316" w:lineRule="auto"/>
        <w:rPr>
          <w:sz w:val="20"/>
          <w:szCs w:val="20"/>
          <w:color w:val="auto"/>
        </w:rPr>
      </w:pPr>
      <w:r>
        <w:rPr>
          <w:rFonts w:ascii="Arial" w:cs="Arial" w:eastAsia="Arial" w:hAnsi="Arial"/>
          <w:sz w:val="18"/>
          <w:szCs w:val="18"/>
          <w:color w:val="auto"/>
        </w:rPr>
        <w:t xml:space="preserve">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14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 Obligations</w:t>
      </w:r>
      <w:r>
        <w:rPr>
          <w:rFonts w:ascii="Arial" w:cs="Arial" w:eastAsia="Arial" w:hAnsi="Arial"/>
          <w:sz w:val="18"/>
          <w:szCs w:val="18"/>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such Swap Agreement transaction.</w:t>
      </w:r>
    </w:p>
    <w:p>
      <w:pPr>
        <w:spacing w:after="0" w:line="17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 or any rules or regulations promulgated thereunder.</w:t>
      </w:r>
    </w:p>
    <w:p>
      <w:pPr>
        <w:spacing w:after="0" w:line="186"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means, at any time, the sum of the aggregate principal amount of all outstanding Swingline Loans. The Swingline Exposure of any Lender at any time shall be its Applicable Percentage of the aggregate Swingline Exposure.</w:t>
      </w:r>
    </w:p>
    <w:p>
      <w:pPr>
        <w:spacing w:after="0" w:line="153"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Lender</w:t>
      </w:r>
      <w:r>
        <w:rPr>
          <w:rFonts w:ascii="Arial" w:cs="Arial" w:eastAsia="Arial" w:hAnsi="Arial"/>
          <w:sz w:val="19"/>
          <w:szCs w:val="19"/>
          <w:color w:val="auto"/>
        </w:rPr>
        <w:t>” means JPMCB,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has the meaning assigned to such term in Section 2.05(a).</w:t>
      </w:r>
    </w:p>
    <w:p>
      <w:pPr>
        <w:spacing w:after="0" w:line="216"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Agent</w:t>
      </w:r>
      <w:r>
        <w:rPr>
          <w:rFonts w:ascii="Arial" w:cs="Arial" w:eastAsia="Arial" w:hAnsi="Arial"/>
          <w:sz w:val="20"/>
          <w:szCs w:val="20"/>
          <w:color w:val="auto"/>
        </w:rPr>
        <w:t>” means JPMCB, in its capacity as administrative agent under the Term Loan Agreement (or any successor agent thereunder or under any replacement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Loans</w:t>
      </w:r>
      <w:r>
        <w:rPr>
          <w:rFonts w:ascii="Arial" w:cs="Arial" w:eastAsia="Arial" w:hAnsi="Arial"/>
          <w:sz w:val="20"/>
          <w:szCs w:val="20"/>
          <w:color w:val="auto"/>
        </w:rPr>
        <w:t>” has the meaning assigned to it in the Term Loan Agreement (as in effect on the Effective Date).</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Agreement</w:t>
      </w:r>
      <w:r>
        <w:rPr>
          <w:rFonts w:ascii="Arial" w:cs="Arial" w:eastAsia="Arial" w:hAnsi="Arial"/>
          <w:sz w:val="20"/>
          <w:szCs w:val="20"/>
          <w:color w:val="auto"/>
        </w:rPr>
        <w:t>” means that certain Loan Agreement, dated as of the Effective Date, among Octavius Corporation, as borrower, the other Loan Parties from time to time party thereto, the Term Loan Agent and the lenders from time to time party thereto, as the same may be amended, restated, supplemented or otherwise modified from time to time and as replaced or refinanced in whole or in part (whether with the same group of lenders or a different group of lenders) in accordance with the terms hereof and of the ABL/Term Loan Intercreditor Agreement.</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Documents</w:t>
      </w:r>
      <w:r>
        <w:rPr>
          <w:rFonts w:ascii="Arial" w:cs="Arial" w:eastAsia="Arial" w:hAnsi="Arial"/>
          <w:sz w:val="19"/>
          <w:szCs w:val="19"/>
          <w:color w:val="auto"/>
        </w:rPr>
        <w:t>” means, collectively, the Term Loan Agreement and all other agreements, instruments, documents and certificates executed and/or delivered in connection therewith, as the same may be amended, restated, supplemented or otherwise modified from time to time in accordance with the terms hereof and of the ABL/Term Loan Intercreditor Agreement.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812" w:right="239" w:bottom="1440" w:gutter="0" w:footer="0" w:header="0"/>
        </w:sectPr>
      </w:pPr>
    </w:p>
    <w:bookmarkStart w:id="220" w:name="page221"/>
    <w:bookmarkEnd w:id="220"/>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Facility</w:t>
      </w:r>
      <w:r>
        <w:rPr>
          <w:rFonts w:ascii="Arial" w:cs="Arial" w:eastAsia="Arial" w:hAnsi="Arial"/>
          <w:sz w:val="20"/>
          <w:szCs w:val="20"/>
          <w:color w:val="auto"/>
        </w:rPr>
        <w:t>” means the term loan facility incurred pursuant to the terms of the Term Loan Agreement.</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 Obligations</w:t>
      </w:r>
      <w:r>
        <w:rPr>
          <w:rFonts w:ascii="Arial" w:cs="Arial" w:eastAsia="Arial" w:hAnsi="Arial"/>
          <w:sz w:val="20"/>
          <w:szCs w:val="20"/>
          <w:color w:val="auto"/>
        </w:rPr>
        <w:t>” means the Indebtedness and other obligations of the Company and its Subsidiaries under the Term Loan Documents.</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Test Period</w:t>
      </w:r>
      <w:r>
        <w:rPr>
          <w:rFonts w:ascii="Arial" w:cs="Arial" w:eastAsia="Arial" w:hAnsi="Arial"/>
          <w:sz w:val="20"/>
          <w:szCs w:val="20"/>
          <w:color w:val="auto"/>
        </w:rPr>
        <w:t>” means, for any date of determination under this Agreement, a single period consisting of the most recent four consecutive fiscal quarters of the Company for which financial statements have been required to be delivered pursuant to Section 5.01(a) or Section 5.01(b), as applicable (or, if prior to the date of the delivery of the first financial statements to be delivered pursuant to Section 5.01(a) or (b), the most recent financial statements referred to in Section 3.04(a)).</w:t>
      </w:r>
    </w:p>
    <w:p>
      <w:pPr>
        <w:spacing w:after="0" w:line="192"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Commitment Utilization</w:t>
      </w:r>
      <w:r>
        <w:rPr>
          <w:rFonts w:ascii="Arial" w:cs="Arial" w:eastAsia="Arial" w:hAnsi="Arial"/>
          <w:sz w:val="20"/>
          <w:szCs w:val="20"/>
          <w:color w:val="auto"/>
        </w:rPr>
        <w:t>” means, at any time, a percentage equal to a fraction the numerator of which is the Aggregate Revolving Exposure at such time and the denominator of which is the Aggregate Commitment at such time.</w:t>
      </w:r>
    </w:p>
    <w:p>
      <w:pPr>
        <w:spacing w:after="0" w:line="177" w:lineRule="exact"/>
        <w:rPr>
          <w:sz w:val="20"/>
          <w:szCs w:val="20"/>
          <w:color w:val="auto"/>
        </w:rPr>
      </w:pPr>
    </w:p>
    <w:p>
      <w:pPr>
        <w:jc w:val="both"/>
        <w:ind w:firstLine="1297"/>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means, as of any date of determination, the ratio of (a) an amount equal to (i) Consolidated Total Indebtedness as of the last day of the most recently ended Test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aggregate amount of unrestricted and unencumbered cash and Permitted Investments included in the consolidated balance sheet of the Company and its Subsidiaries as of such date of determination to</w:t>
      </w:r>
    </w:p>
    <w:p>
      <w:pPr>
        <w:spacing w:after="0" w:line="1" w:lineRule="exact"/>
        <w:rPr>
          <w:sz w:val="20"/>
          <w:szCs w:val="20"/>
          <w:color w:val="auto"/>
        </w:rPr>
      </w:pPr>
    </w:p>
    <w:p>
      <w:pPr>
        <w:ind w:firstLine="8"/>
        <w:spacing w:after="0" w:line="244" w:lineRule="auto"/>
        <w:tabs>
          <w:tab w:leader="none" w:pos="286" w:val="left"/>
        </w:tabs>
        <w:numPr>
          <w:ilvl w:val="0"/>
          <w:numId w:val="233"/>
        </w:numPr>
        <w:rPr>
          <w:rFonts w:ascii="Arial" w:cs="Arial" w:eastAsia="Arial" w:hAnsi="Arial"/>
          <w:sz w:val="20"/>
          <w:szCs w:val="20"/>
          <w:color w:val="auto"/>
        </w:rPr>
      </w:pPr>
      <w:r>
        <w:rPr>
          <w:rFonts w:ascii="Arial" w:cs="Arial" w:eastAsia="Arial" w:hAnsi="Arial"/>
          <w:sz w:val="20"/>
          <w:szCs w:val="20"/>
          <w:color w:val="auto"/>
        </w:rPr>
        <w:t>Consolidated EBITDA for such Test Period, all calculated for the Company and its Subsidiaries on a consolidated basis in accordance with GAAP.</w:t>
      </w:r>
    </w:p>
    <w:p>
      <w:pPr>
        <w:spacing w:after="0" w:line="192"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Costs</w:t>
      </w:r>
      <w:r>
        <w:rPr>
          <w:rFonts w:ascii="Arial" w:cs="Arial" w:eastAsia="Arial" w:hAnsi="Arial"/>
          <w:sz w:val="19"/>
          <w:szCs w:val="19"/>
          <w:color w:val="auto"/>
        </w:rPr>
        <w:t>” means any fees or expenses incurred or paid by the Company or any Subsidiary in connection with the Transactions, this Agreement and the other Loan Documents and the transactions contemplated hereby and thereby.</w:t>
      </w:r>
    </w:p>
    <w:p>
      <w:pPr>
        <w:spacing w:after="0" w:line="153"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collectively, (a) the execution, delivery and performance by the Loan Parties of this Agreement, the borrowing of Loans, the use of the proceeds thereof and the granting of Liens by the Loan Parties under the Loan Documents, (b) the execution, delivery and performance by the Loan Parties of the Term Loan Documents to which they are a party, the borrowing of loans thereunder, the use of the proceeds thereof and the granting of Liens by the Loan Parties under the Term Loan Documents, (c) the consummation of the Grand Design Acquisition and the other transactions contemplated by the Grand Design Purchase Agreement, (d) the termination and cancellation of the Existing Credit Agreement and the repayment of Indebtedness thereunder, (e) the refinancing of certain Indebtedness of Grand Design on the Effective Date, (f) the consummation of any other transactions in connection with the foregoing and (g) the payment of the fees and expenses incurred in connection with any of the foregoing.</w:t>
      </w:r>
    </w:p>
    <w:p>
      <w:pPr>
        <w:spacing w:after="0" w:line="18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Type</w:t>
      </w:r>
      <w:r>
        <w:rPr>
          <w:rFonts w:ascii="Arial" w:cs="Arial" w:eastAsia="Arial" w:hAnsi="Arial"/>
          <w:sz w:val="20"/>
          <w:szCs w:val="20"/>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U16 Inventory</w:t>
      </w:r>
      <w:r>
        <w:rPr>
          <w:rFonts w:ascii="Arial" w:cs="Arial" w:eastAsia="Arial" w:hAnsi="Arial"/>
          <w:sz w:val="20"/>
          <w:szCs w:val="20"/>
          <w:color w:val="auto"/>
        </w:rPr>
        <w:t>” mean work-in-process Inventory of a Borrower constituting near-complete finished units that are categorized as “U16” (or such other designation assigned to such near-complete finished units with notice to the Administrative Agent after completion of the Company’s ERP implementation) in accordance with the Company’s accounting practices in the ordinary course of business consistent with past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811" w:right="239" w:bottom="1440" w:gutter="0" w:footer="0" w:header="0"/>
        </w:sectPr>
      </w:pPr>
    </w:p>
    <w:bookmarkStart w:id="221" w:name="page222"/>
    <w:bookmarkEnd w:id="221"/>
    <w:p>
      <w:pPr>
        <w:spacing w:after="0"/>
        <w:rPr>
          <w:sz w:val="20"/>
          <w:szCs w:val="20"/>
          <w:color w:val="auto"/>
        </w:rPr>
      </w:pPr>
      <w:r>
        <w:rPr>
          <w:rFonts w:ascii="Arial" w:cs="Arial" w:eastAsia="Arial" w:hAnsi="Arial"/>
          <w:sz w:val="20"/>
          <w:szCs w:val="20"/>
          <w:color w:val="auto"/>
        </w:rPr>
        <w:t>practice prior to the Effective Date or otherwise acceptable to the Administrative Agent in its Permitted Discretion.</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Unliquidated Obligations</w:t>
      </w:r>
      <w:r>
        <w:rPr>
          <w:rFonts w:ascii="Arial" w:cs="Arial" w:eastAsia="Arial" w:hAnsi="Arial"/>
          <w:sz w:val="20"/>
          <w:szCs w:val="20"/>
          <w:color w:val="auto"/>
        </w:rPr>
        <w:t>” means, at any time, any Secured Obligations (or portion thereof) that are contingent in nature or unliquidated at such time, including any Secured Obligation that is: (i) an obligation to reimburse a bank for drawings not yet made under a letter of credit issued by it; (ii) any other obligation (including any guarantee) that is contingent in nature at such time; or (iii) an obligation to provide collateral to secure any of the foregoing types of obligations.</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Person</w:t>
      </w:r>
      <w:r>
        <w:rPr>
          <w:rFonts w:ascii="Arial" w:cs="Arial" w:eastAsia="Arial" w:hAnsi="Arial"/>
          <w:sz w:val="20"/>
          <w:szCs w:val="20"/>
          <w:color w:val="auto"/>
        </w:rPr>
        <w:t>” means a “United States person” within the meaning of Section 7701(a)(30) of the Code.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has the meaning assigned to such term in Section 2.17(f)(ii)(B)(3).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Transaction</w:t>
      </w:r>
      <w:r>
        <w:rPr>
          <w:rFonts w:ascii="Arial" w:cs="Arial" w:eastAsia="Arial" w:hAnsi="Arial"/>
          <w:sz w:val="18"/>
          <w:szCs w:val="18"/>
          <w:color w:val="auto"/>
        </w:rPr>
        <w:t>” has the meaning assigned to such term in the definition of “Permitted Call Spread Swap Agreement”.</w:t>
      </w:r>
    </w:p>
    <w:p>
      <w:pPr>
        <w:spacing w:after="0" w:line="23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means, when applied to any Indebtedness at any date, the number of years obtained by dividing: (i) the sum of the products obtained by multiplying (a) the amount of each then remaining installment, sinking fund, serial maturity or other required payments of principal, including payment at final maturity, in respect thereof, by (b) the number of years (calculated to the nearest one-twelfth) that will elapse between such date and the making of such payment; by (ii) the then outstanding principal amount of such Indebtedness.</w:t>
      </w:r>
    </w:p>
    <w:p>
      <w:pPr>
        <w:spacing w:after="0" w:line="19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Winnebago of Indiana</w:t>
      </w:r>
      <w:r>
        <w:rPr>
          <w:rFonts w:ascii="Arial" w:cs="Arial" w:eastAsia="Arial" w:hAnsi="Arial"/>
          <w:sz w:val="20"/>
          <w:szCs w:val="20"/>
          <w:color w:val="auto"/>
        </w:rPr>
        <w:t>” means Winnebago of Indiana, LLC, an Iowa limited liability company.</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Winnebago of Indiana Revolving Exposures</w:t>
      </w:r>
      <w:r>
        <w:rPr>
          <w:rFonts w:ascii="Arial" w:cs="Arial" w:eastAsia="Arial" w:hAnsi="Arial"/>
          <w:sz w:val="20"/>
          <w:szCs w:val="20"/>
          <w:color w:val="auto"/>
        </w:rPr>
        <w:t xml:space="preserve">” means, with respect to any Lender at any time, and without duplication, the sum of (a) the outstanding principal amount of the Revolving Loans made by such Lender to Winnebago of Indiana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such Lender’s LC Exposure with respect to Letters of Credit issued for the account of Winnebago of Indiana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such Lender’s Swingline Exposure with respect to Swingline Loans made to Winnebago of Indiana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(d) an amount equal to its Applicable Percentage of the aggregate principal amount of outstanding Protective Advances made to Winnebago of Indiana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(e) an amount equal to its Applicable Percentage of the aggregate principal amount of outstanding Protective Advances made to Winnebago of Indiana at such time.</w:t>
      </w:r>
    </w:p>
    <w:p>
      <w:pPr>
        <w:spacing w:after="0" w:line="19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Winnebago of Indiana Utilization</w:t>
      </w:r>
      <w:r>
        <w:rPr>
          <w:rFonts w:ascii="Arial" w:cs="Arial" w:eastAsia="Arial" w:hAnsi="Arial"/>
          <w:sz w:val="20"/>
          <w:szCs w:val="20"/>
          <w:color w:val="auto"/>
        </w:rPr>
        <w:t xml:space="preserve">” means, at any time, the excess, if any, of (a) the aggregate Winnebago of Indiana Revolving Exposures of all Lenders </w:t>
      </w:r>
      <w:r>
        <w:rPr>
          <w:rFonts w:ascii="Arial" w:cs="Arial" w:eastAsia="Arial" w:hAnsi="Arial"/>
          <w:sz w:val="20"/>
          <w:szCs w:val="20"/>
          <w:u w:val="single" w:color="auto"/>
          <w:color w:val="auto"/>
        </w:rPr>
        <w:t>over</w:t>
      </w:r>
      <w:r>
        <w:rPr>
          <w:rFonts w:ascii="Arial" w:cs="Arial" w:eastAsia="Arial" w:hAnsi="Arial"/>
          <w:sz w:val="20"/>
          <w:szCs w:val="20"/>
          <w:color w:val="auto"/>
        </w:rPr>
        <w:t xml:space="preserve"> (b) the Borrowing Base of Winnebago of Indiana.</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Withdrawal Liability</w:t>
      </w:r>
      <w:r>
        <w:rPr>
          <w:rFonts w:ascii="Arial" w:cs="Arial" w:eastAsia="Arial" w:hAnsi="Arial"/>
          <w:sz w:val="20"/>
          <w:szCs w:val="20"/>
          <w:color w:val="auto"/>
        </w:rPr>
        <w:t>” means liability to a Multiemployer Plan as a result of a complete or partial withdrawal from such Multiemployer Plan, as such terms are defined in Part I of Subtitle E of Title IV of ERISA.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any Loan Party or the Administrative Agent.</w:t>
      </w:r>
    </w:p>
    <w:p>
      <w:pPr>
        <w:spacing w:after="0" w:line="216"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Write-Down and Conversion Powers</w:t>
      </w:r>
      <w:r>
        <w:rPr>
          <w:rFonts w:ascii="Arial" w:cs="Arial" w:eastAsia="Arial" w:hAnsi="Arial"/>
          <w:sz w:val="20"/>
          <w:szCs w:val="20"/>
          <w:color w:val="auto"/>
        </w:rPr>
        <w:t>” means, with respect to any EEA Resolution Authority, the write-down and conversion powers of such EEA Resolution Authority from time to time under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812" w:right="239" w:bottom="1440" w:gutter="0" w:footer="0" w:header="0"/>
        </w:sectPr>
      </w:pPr>
    </w:p>
    <w:bookmarkStart w:id="222" w:name="page223"/>
    <w:bookmarkEnd w:id="222"/>
    <w:p>
      <w:pPr>
        <w:jc w:val="both"/>
        <w:spacing w:after="0" w:line="260" w:lineRule="auto"/>
        <w:rPr>
          <w:sz w:val="20"/>
          <w:szCs w:val="20"/>
          <w:color w:val="auto"/>
        </w:rPr>
      </w:pPr>
      <w:r>
        <w:rPr>
          <w:rFonts w:ascii="Arial" w:cs="Arial" w:eastAsia="Arial" w:hAnsi="Arial"/>
          <w:sz w:val="20"/>
          <w:szCs w:val="20"/>
          <w:color w:val="auto"/>
        </w:rPr>
        <w:t>the Bail-In Legislation for the applicable EEA Member Country, which write-down and conversion powers are described in the EU Bail-In Legislation Schedule.</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u w:val="single" w:color="auto"/>
          <w:color w:val="auto"/>
        </w:rPr>
        <w:t>Classification of Loans and Borrowings.</w:t>
      </w:r>
      <w:r>
        <w:rPr>
          <w:rFonts w:ascii="Arial" w:cs="Arial" w:eastAsia="Arial" w:hAnsi="Arial"/>
          <w:sz w:val="20"/>
          <w:szCs w:val="20"/>
          <w:color w:val="auto"/>
        </w:rPr>
        <w:t xml:space="preserve"> For purposes of this Agreement, Loans may be classified and referred to by Class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“Revolving Loan”) or by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“Eurodollar Loan”) or by Class and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“Eurodollar Revolving Loan”). Borrowings also may be classified and referred to by Class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“Revolving Borrowing”) or by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“Eurodollar Borrowing”) or by Class and Type (</w:t>
      </w:r>
      <w:r>
        <w:rPr>
          <w:rFonts w:ascii="Arial" w:cs="Arial" w:eastAsia="Arial" w:hAnsi="Arial"/>
          <w:sz w:val="20"/>
          <w:szCs w:val="20"/>
          <w:u w:val="single" w:color="auto"/>
          <w:color w:val="auto"/>
        </w:rPr>
        <w:t>e</w:t>
      </w:r>
      <w:r>
        <w:rPr>
          <w:rFonts w:ascii="Arial" w:cs="Arial" w:eastAsia="Arial" w:hAnsi="Arial"/>
          <w:sz w:val="20"/>
          <w:szCs w:val="20"/>
          <w:color w:val="auto"/>
        </w:rPr>
        <w:t>.</w:t>
      </w:r>
      <w:r>
        <w:rPr>
          <w:rFonts w:ascii="Arial" w:cs="Arial" w:eastAsia="Arial" w:hAnsi="Arial"/>
          <w:sz w:val="20"/>
          <w:szCs w:val="20"/>
          <w:u w:val="single" w:color="auto"/>
          <w:color w:val="auto"/>
        </w:rPr>
        <w:t>g</w:t>
      </w:r>
      <w:r>
        <w:rPr>
          <w:rFonts w:ascii="Arial" w:cs="Arial" w:eastAsia="Arial" w:hAnsi="Arial"/>
          <w:sz w:val="20"/>
          <w:szCs w:val="20"/>
          <w:color w:val="auto"/>
        </w:rPr>
        <w:t>., a “Eurodollar Revolving Borrowing”).</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Unless the context requires otherwise</w:t>
      </w:r>
    </w:p>
    <w:p>
      <w:pPr>
        <w:spacing w:after="0" w:line="3" w:lineRule="exact"/>
        <w:rPr>
          <w:sz w:val="20"/>
          <w:szCs w:val="20"/>
          <w:color w:val="auto"/>
        </w:rPr>
      </w:pPr>
    </w:p>
    <w:p>
      <w:pPr>
        <w:jc w:val="both"/>
        <w:ind w:firstLine="8"/>
        <w:spacing w:after="0" w:line="302" w:lineRule="auto"/>
        <w:tabs>
          <w:tab w:leader="none" w:pos="29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 Pro Forma Calculations.</w:t>
      </w:r>
      <w:r>
        <w:rPr>
          <w:rFonts w:ascii="Arial" w:cs="Arial" w:eastAsia="Arial" w:hAnsi="Arial"/>
          <w:sz w:val="18"/>
          <w:szCs w:val="18"/>
          <w:color w:val="auto"/>
        </w:rPr>
        <w:t xml:space="preserve"> (a)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Representative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(i) all terms of an accounting or financial nature used herein shall be construed, and all computations of amounts and ratios referred to herein shall be made</w:t>
      </w:r>
    </w:p>
    <w:p>
      <w:pPr>
        <w:spacing w:after="0" w:line="4" w:lineRule="exact"/>
        <w:rPr>
          <w:sz w:val="20"/>
          <w:szCs w:val="20"/>
          <w:color w:val="auto"/>
        </w:rPr>
      </w:pPr>
    </w:p>
    <w:p>
      <w:pPr>
        <w:jc w:val="both"/>
        <w:ind w:firstLine="8"/>
        <w:spacing w:after="0" w:line="278" w:lineRule="auto"/>
        <w:tabs>
          <w:tab w:leader="none" w:pos="287" w:val="left"/>
        </w:tabs>
        <w:numPr>
          <w:ilvl w:val="0"/>
          <w:numId w:val="235"/>
        </w:numPr>
        <w:rPr>
          <w:rFonts w:ascii="Arial" w:cs="Arial" w:eastAsia="Arial" w:hAnsi="Arial"/>
          <w:sz w:val="20"/>
          <w:szCs w:val="20"/>
          <w:color w:val="auto"/>
        </w:rPr>
      </w:pPr>
      <w:r>
        <w:rPr>
          <w:rFonts w:ascii="Arial" w:cs="Arial" w:eastAsia="Arial" w:hAnsi="Arial"/>
          <w:sz w:val="20"/>
          <w:szCs w:val="20"/>
          <w:color w:val="auto"/>
        </w:rPr>
        <w:t>without giving effect to any election under Accounting Standards Codification 825-10-25 (or any other Accounting Standards Codification or Financial Accounting Standard having a similar result or effect) to value any Indebtedness or other liabilities of the Company or any Subsidiary at “fair value”, as defined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812" w:right="239" w:bottom="1440" w:gutter="0" w:footer="0" w:header="0"/>
        </w:sectPr>
      </w:pPr>
    </w:p>
    <w:bookmarkStart w:id="223" w:name="page224"/>
    <w:bookmarkEnd w:id="223"/>
    <w:p>
      <w:pPr>
        <w:jc w:val="both"/>
        <w:spacing w:after="0" w:line="304" w:lineRule="auto"/>
        <w:rPr>
          <w:sz w:val="20"/>
          <w:szCs w:val="20"/>
          <w:color w:val="auto"/>
        </w:rPr>
      </w:pPr>
      <w:r>
        <w:rPr>
          <w:rFonts w:ascii="Arial" w:cs="Arial" w:eastAsia="Arial" w:hAnsi="Arial"/>
          <w:sz w:val="18"/>
          <w:szCs w:val="18"/>
          <w:color w:val="auto"/>
        </w:rPr>
        <w:t>therein and (y)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(ii) any obligations relating to a lease that was accounted for by such Person as an operating lease as of the Effective Date and any similar lease entered into after the Effective Date by such Person (or any of Subsidiary or Affiliate of such Person) shall be accounted for as obligations relating to an operating lease and not as Capital Lease Obligations. For the avoidance of doubt, and without limitation of the foregoing, Permitted Convertible Notes shall at all times be valued at the full stated principal amount thereof and shall not include any reduction or appreciation in value of the shares deliverable upon conversion thereof.</w:t>
      </w:r>
    </w:p>
    <w:p>
      <w:pPr>
        <w:spacing w:after="0" w:line="171" w:lineRule="exact"/>
        <w:rPr>
          <w:sz w:val="20"/>
          <w:szCs w:val="20"/>
          <w:color w:val="auto"/>
        </w:rPr>
      </w:pPr>
    </w:p>
    <w:p>
      <w:pPr>
        <w:jc w:val="both"/>
        <w:ind w:firstLine="656"/>
        <w:spacing w:after="0" w:line="302" w:lineRule="auto"/>
        <w:tabs>
          <w:tab w:leader="none" w:pos="152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pro forma computations required to be made hereunder giving effect to any acquisition or disposition, or issuance, incurrence or assumption of Indebtedness, or other transaction shall in each case be calculated after giving pro forma effect thereto (and, in the case of any pro forma computation made hereunder, to determine whether such acquisition, disposition, issuance, incurrence or assumption of Indebtedness or other transaction is permitted to be consummated hereunder) immediately after giving effect to such acquisition, disposition, issuance, incurrence or assumption of Indebtedness or other transaction consummated since the first day of the period for which such pro forma computation is being made and on or prior to the date of such computation, as if such transaction had occurred on the first day of the most recent Test Period, and, to the extent applicable, to the historical earnings and cash flows associated with the assets acquired or disposed of (but without giving effect to any synergies or cost savings, except as set forth in the definition of “Consolidated EBITDA”)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for which such pro forma computation is being made (taking into account any Swap Agreement applicable to such Indebtedness).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Status of Obligations</w:t>
      </w:r>
      <w:r>
        <w:rPr>
          <w:rFonts w:ascii="Arial" w:cs="Arial" w:eastAsia="Arial" w:hAnsi="Arial"/>
          <w:sz w:val="19"/>
          <w:szCs w:val="19"/>
          <w:color w:val="auto"/>
        </w:rPr>
        <w:t>. In the event that the Company or any other Loan Party shall at any time issue or have outstanding any Subordinated Indebtedness, the Company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Credits</w:t>
      </w:r>
    </w:p>
    <w:p>
      <w:pPr>
        <w:spacing w:after="0" w:line="200" w:lineRule="exact"/>
        <w:rPr>
          <w:sz w:val="20"/>
          <w:szCs w:val="20"/>
          <w:color w:val="auto"/>
        </w:rPr>
      </w:pPr>
    </w:p>
    <w:p>
      <w:pPr>
        <w:spacing w:after="0" w:line="205"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20"/>
          <w:szCs w:val="20"/>
          <w:color w:val="auto"/>
        </w:rPr>
        <w:t>SECTION 2.01</w:t>
      </w:r>
      <w:r>
        <w:rPr>
          <w:sz w:val="20"/>
          <w:szCs w:val="20"/>
          <w:color w:val="auto"/>
        </w:rPr>
        <w:tab/>
      </w:r>
      <w:r>
        <w:rPr>
          <w:rFonts w:ascii="Arial" w:cs="Arial" w:eastAsia="Arial" w:hAnsi="Arial"/>
          <w:sz w:val="18"/>
          <w:szCs w:val="18"/>
          <w:u w:val="single" w:color="auto"/>
          <w:color w:val="auto"/>
        </w:rPr>
        <w:t xml:space="preserve">Commitments. </w:t>
      </w:r>
      <w:r>
        <w:rPr>
          <w:rFonts w:ascii="Arial" w:cs="Arial" w:eastAsia="Arial" w:hAnsi="Arial"/>
          <w:sz w:val="18"/>
          <w:szCs w:val="18"/>
          <w:color w:val="auto"/>
        </w:rPr>
        <w:t>Subject to the terms and conditions set forth herein, each Lender (severally and not</w:t>
      </w:r>
    </w:p>
    <w:p>
      <w:pPr>
        <w:spacing w:after="0" w:line="27"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jointly) agrees to make Revolving Loans to the Borrowers in Dollars from time to time during the Availability Period if, after giving effect thereto: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825" w:right="239" w:bottom="1440" w:gutter="0" w:footer="0" w:header="0"/>
        </w:sectPr>
      </w:pPr>
    </w:p>
    <w:bookmarkStart w:id="224" w:name="page225"/>
    <w:bookmarkEnd w:id="224"/>
    <w:p>
      <w:pPr>
        <w:ind w:left="1600" w:hanging="295"/>
        <w:spacing w:after="0"/>
        <w:tabs>
          <w:tab w:leader="none" w:pos="1600" w:val="left"/>
        </w:tabs>
        <w:numPr>
          <w:ilvl w:val="0"/>
          <w:numId w:val="237"/>
        </w:numPr>
        <w:rPr>
          <w:rFonts w:ascii="Arial" w:cs="Arial" w:eastAsia="Arial" w:hAnsi="Arial"/>
          <w:sz w:val="20"/>
          <w:szCs w:val="20"/>
          <w:color w:val="auto"/>
        </w:rPr>
      </w:pPr>
      <w:r>
        <w:rPr>
          <w:rFonts w:ascii="Arial" w:cs="Arial" w:eastAsia="Arial" w:hAnsi="Arial"/>
          <w:sz w:val="20"/>
          <w:szCs w:val="20"/>
          <w:color w:val="auto"/>
        </w:rPr>
        <w:t>such Lender’s Revolving Exposure would not exceed such Lender’s Commitment;</w:t>
      </w:r>
    </w:p>
    <w:p>
      <w:pPr>
        <w:spacing w:after="0" w:line="215" w:lineRule="exact"/>
        <w:rPr>
          <w:rFonts w:ascii="Arial" w:cs="Arial" w:eastAsia="Arial" w:hAnsi="Arial"/>
          <w:sz w:val="20"/>
          <w:szCs w:val="20"/>
          <w:color w:val="auto"/>
        </w:rPr>
      </w:pPr>
    </w:p>
    <w:p>
      <w:pPr>
        <w:jc w:val="both"/>
        <w:ind w:right="20" w:firstLine="1305"/>
        <w:spacing w:after="0" w:line="316" w:lineRule="auto"/>
        <w:tabs>
          <w:tab w:leader="none" w:pos="16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aggregate Company Revolving Exposures would not exceed an amount equal to (x) the Aggregate Borrowing Base minus (y) the sum of the Winnebago of Indiana Revolving Exposures of all Lenders plus the Grand Design Revolving Exposure of all Lenders;</w:t>
      </w:r>
    </w:p>
    <w:p>
      <w:pPr>
        <w:spacing w:after="0" w:line="130" w:lineRule="exact"/>
        <w:rPr>
          <w:rFonts w:ascii="Arial" w:cs="Arial" w:eastAsia="Arial" w:hAnsi="Arial"/>
          <w:sz w:val="18"/>
          <w:szCs w:val="18"/>
          <w:color w:val="auto"/>
        </w:rPr>
      </w:pPr>
    </w:p>
    <w:p>
      <w:pPr>
        <w:jc w:val="both"/>
        <w:ind w:firstLine="1305"/>
        <w:spacing w:after="0" w:line="291" w:lineRule="auto"/>
        <w:tabs>
          <w:tab w:leader="none" w:pos="1644"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aggregate Winnebago of Indiana Revolving Exposures would not exceed an amount equal to (x) the sum of Winnebago of Indiana’s Borrowing Base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Company’s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sum of (A) the excess, if any, of the aggregate Company Revolving Exposures of all Lenders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the Excess Grand Design Borrowing Base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Grand Design Utilization; and</w:t>
      </w:r>
    </w:p>
    <w:p>
      <w:pPr>
        <w:spacing w:after="0" w:line="151" w:lineRule="exact"/>
        <w:rPr>
          <w:rFonts w:ascii="Arial" w:cs="Arial" w:eastAsia="Arial" w:hAnsi="Arial"/>
          <w:sz w:val="18"/>
          <w:szCs w:val="18"/>
          <w:color w:val="auto"/>
        </w:rPr>
      </w:pPr>
    </w:p>
    <w:p>
      <w:pPr>
        <w:jc w:val="both"/>
        <w:ind w:firstLine="1305"/>
        <w:spacing w:after="0" w:line="291" w:lineRule="auto"/>
        <w:tabs>
          <w:tab w:leader="none" w:pos="165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the aggregate Grand Design Revolving Exposures would not exceed an amount equal to (x) the sum of Grand Design’s Borrowing Base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Company’s Borrowing Base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(y) the sum of (A) the excess, if any, of the aggregate Company Revolving Exposures of all Lenders </w:t>
      </w:r>
      <w:r>
        <w:rPr>
          <w:rFonts w:ascii="Arial" w:cs="Arial" w:eastAsia="Arial" w:hAnsi="Arial"/>
          <w:sz w:val="18"/>
          <w:szCs w:val="18"/>
          <w:u w:val="single" w:color="auto"/>
          <w:color w:val="auto"/>
        </w:rPr>
        <w:t>over</w:t>
      </w:r>
      <w:r>
        <w:rPr>
          <w:rFonts w:ascii="Arial" w:cs="Arial" w:eastAsia="Arial" w:hAnsi="Arial"/>
          <w:sz w:val="18"/>
          <w:szCs w:val="18"/>
          <w:color w:val="auto"/>
        </w:rPr>
        <w:t xml:space="preserve"> the Excess Winnebago of Indiana Borrowing Base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Winnebago of Indiana Utilization;</w:t>
      </w:r>
    </w:p>
    <w:p>
      <w:pPr>
        <w:spacing w:after="0" w:line="152"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 xml:space="preserve">subject, in each case, to the Administrative Agent’s authority, in its sole discretion, to make Protective Advances and Overadvances pursuant to the terms of Sections 2.04 and 2.05. Within the foregoing limits and subject to the terms and conditions set forth herein, the Borrowers may borrow, prepay and reborrow Revolving Loans. The limitations on Borrowings referred to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(iv)</w:t>
      </w:r>
      <w:r>
        <w:rPr>
          <w:rFonts w:ascii="Arial" w:cs="Arial" w:eastAsia="Arial" w:hAnsi="Arial"/>
          <w:sz w:val="20"/>
          <w:szCs w:val="20"/>
          <w:color w:val="auto"/>
        </w:rPr>
        <w:t xml:space="preserve"> above are referred to collectively as the “</w:t>
      </w:r>
      <w:r>
        <w:rPr>
          <w:rFonts w:ascii="Arial" w:cs="Arial" w:eastAsia="Arial" w:hAnsi="Arial"/>
          <w:sz w:val="20"/>
          <w:szCs w:val="20"/>
          <w:u w:val="single" w:color="auto"/>
          <w:color w:val="auto"/>
        </w:rPr>
        <w:t>Revolving Exposure Limitations</w:t>
      </w:r>
      <w:r>
        <w:rPr>
          <w:rFonts w:ascii="Arial" w:cs="Arial" w:eastAsia="Arial" w:hAnsi="Arial"/>
          <w:sz w:val="20"/>
          <w:szCs w:val="20"/>
          <w:color w:val="auto"/>
        </w:rPr>
        <w:t>”.</w:t>
      </w:r>
    </w:p>
    <w:p>
      <w:pPr>
        <w:spacing w:after="0" w:line="205"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2.02</w:t>
      </w:r>
      <w:r>
        <w:rPr>
          <w:sz w:val="20"/>
          <w:szCs w:val="20"/>
          <w:color w:val="auto"/>
        </w:rPr>
        <w:tab/>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272" w:lineRule="auto"/>
        <w:tabs>
          <w:tab w:leader="none" w:pos="1516" w:val="left"/>
        </w:tabs>
        <w:numPr>
          <w:ilvl w:val="1"/>
          <w:numId w:val="238"/>
        </w:numPr>
        <w:rPr>
          <w:rFonts w:ascii="Arial" w:cs="Arial" w:eastAsia="Arial" w:hAnsi="Arial"/>
          <w:sz w:val="20"/>
          <w:szCs w:val="20"/>
          <w:color w:val="auto"/>
        </w:rPr>
      </w:pPr>
      <w:r>
        <w:rPr>
          <w:rFonts w:ascii="Arial" w:cs="Arial" w:eastAsia="Arial" w:hAnsi="Arial"/>
          <w:sz w:val="20"/>
          <w:szCs w:val="20"/>
          <w:color w:val="auto"/>
        </w:rPr>
        <w:t>Each Loan (other than a Swingline Loan) shall be made as part of a Borrowing consisting of Loans of the same Class and Type made by the applicable Lenders ratably in accordance with their respective Commitments of the applicable Class.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 Any Protective Advance, any Overadvance and any Swingline Loan shall be made in accordance with the procedures set forth in Sections 2.04 and 2.05.</w:t>
      </w:r>
    </w:p>
    <w:p>
      <w:pPr>
        <w:spacing w:after="0" w:line="191" w:lineRule="exact"/>
        <w:rPr>
          <w:rFonts w:ascii="Arial" w:cs="Arial" w:eastAsia="Arial" w:hAnsi="Arial"/>
          <w:sz w:val="20"/>
          <w:szCs w:val="20"/>
          <w:color w:val="auto"/>
        </w:rPr>
      </w:pPr>
    </w:p>
    <w:p>
      <w:pPr>
        <w:jc w:val="both"/>
        <w:ind w:firstLine="656"/>
        <w:spacing w:after="0" w:line="272" w:lineRule="auto"/>
        <w:tabs>
          <w:tab w:leader="none" w:pos="1527" w:val="left"/>
        </w:tabs>
        <w:numPr>
          <w:ilvl w:val="1"/>
          <w:numId w:val="238"/>
        </w:numPr>
        <w:rPr>
          <w:rFonts w:ascii="Arial" w:cs="Arial" w:eastAsia="Arial" w:hAnsi="Arial"/>
          <w:sz w:val="20"/>
          <w:szCs w:val="20"/>
          <w:color w:val="auto"/>
        </w:rPr>
      </w:pPr>
      <w:r>
        <w:rPr>
          <w:rFonts w:ascii="Arial" w:cs="Arial" w:eastAsia="Arial" w:hAnsi="Arial"/>
          <w:sz w:val="20"/>
          <w:szCs w:val="20"/>
          <w:color w:val="auto"/>
        </w:rPr>
        <w:t xml:space="preserve">Subject to Section 2.14, each Revolving Borrowing shall be comprised entirely of ABR Loans or Eurodollar Loans as the Borrower Representative may request in accordance herewith. Each Swingline Loan shall be an ABR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exercise of such option shall not affect the obligation of the relevant Borrower to repay such Loan in accordance with the terms of this Agreement.</w:t>
      </w:r>
    </w:p>
    <w:p>
      <w:pPr>
        <w:spacing w:after="0" w:line="191" w:lineRule="exact"/>
        <w:rPr>
          <w:rFonts w:ascii="Arial" w:cs="Arial" w:eastAsia="Arial" w:hAnsi="Arial"/>
          <w:sz w:val="20"/>
          <w:szCs w:val="20"/>
          <w:color w:val="auto"/>
        </w:rPr>
      </w:pPr>
    </w:p>
    <w:p>
      <w:pPr>
        <w:jc w:val="both"/>
        <w:ind w:firstLine="656"/>
        <w:spacing w:after="0" w:line="297" w:lineRule="auto"/>
        <w:tabs>
          <w:tab w:leader="none" w:pos="151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At the commencement of each Interest Period for any Eurodollar Revolving Borrowing, such Borrowing shall be in an aggregate amount that is an integral multiple of $100,000 and not less than $1,000,000. ABR Borrowings may be in any amount. Borrowings of more than one Type and Class may be outstanding at the same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shall not at any time be more than a total of six</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Eurodollar Borrowings outstanding.</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527" w:val="left"/>
        </w:tabs>
        <w:numPr>
          <w:ilvl w:val="1"/>
          <w:numId w:val="239"/>
        </w:numPr>
        <w:rPr>
          <w:rFonts w:ascii="Arial" w:cs="Arial" w:eastAsia="Arial" w:hAnsi="Arial"/>
          <w:sz w:val="20"/>
          <w:szCs w:val="20"/>
          <w:color w:val="auto"/>
        </w:rPr>
      </w:pPr>
      <w:r>
        <w:rPr>
          <w:rFonts w:ascii="Arial" w:cs="Arial" w:eastAsia="Arial" w:hAnsi="Arial"/>
          <w:sz w:val="20"/>
          <w:szCs w:val="20"/>
          <w:color w:val="auto"/>
        </w:rPr>
        <w:t>Notwithstanding any other provision of this Agreement, (i) the Borrower Representative shall not be entitled to request, or to elect to convert or continue, any Borrowing if the Interest Period requested with respect thereto would end after the Maturity Date and (ii) no Loans shall be made, and no Letters of Credit shall be issued, to Grand Design on the Effective Date.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420"/>
          </w:cols>
          <w:pgMar w:left="240" w:top="812" w:right="239" w:bottom="1440" w:gutter="0" w:footer="0" w:header="0"/>
        </w:sectPr>
      </w:pPr>
    </w:p>
    <w:bookmarkStart w:id="225" w:name="page226"/>
    <w:bookmarkEnd w:id="225"/>
    <w:p>
      <w:pPr>
        <w:jc w:val="both"/>
        <w:ind w:firstLine="648"/>
        <w:spacing w:after="0" w:line="302"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xml:space="preserve"> To request a Revolving Borrowing, the Borrower Representative shall notify the Administrative Agent of such request either in writing (delivered by hand or facsimile) in the form attached hereto as Exhibit G-1 or such other form approved by the Administrative Agent and signed by the Borrower Representative or by telephone or through Electronic System, if arrangements for doing so have been approved by the Administrative Agent, not later than (a) in the case of a Eurodollar Borrowing, 10:00 a.m., Chicago time, three (3) Business Days before the date of the proposed Borrowing or (b) in the case of an ABR Borrowing, 10:00 a.m., Chicago time, on the date of the proposed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notice of an ABR Revolving Borrowing to finance the reimbursement of an LC Disbursement as contemplated by Section 2.06(e) may be given not later than 9:00 a.m., Chicago time, on the date of such proposed Borrowing. Each such telephonic Borrowing Request shall be irrevocable and shall be confirmed promptly by hand delivery, facsimile or a communication through Electronic System to the Administrative Agent of a written Borrowing Request in the form attached hereto as Exhibit G-1 or such other form approved by the Administrative Agent and signed by the Borrower Representative. Each such telephonic and written Borrowing Request shall specify the following information in compliance with Section 2.02:</w:t>
      </w:r>
    </w:p>
    <w:p>
      <w:pPr>
        <w:spacing w:after="0" w:line="174" w:lineRule="exact"/>
        <w:rPr>
          <w:sz w:val="20"/>
          <w:szCs w:val="20"/>
          <w:color w:val="auto"/>
        </w:rPr>
      </w:pPr>
    </w:p>
    <w:p>
      <w:pPr>
        <w:ind w:left="1520" w:hanging="864"/>
        <w:spacing w:after="0"/>
        <w:tabs>
          <w:tab w:leader="none" w:pos="152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name of the applicable Borrower;</w:t>
      </w:r>
    </w:p>
    <w:p>
      <w:pPr>
        <w:spacing w:after="0" w:line="242" w:lineRule="exact"/>
        <w:rPr>
          <w:rFonts w:ascii="Arial" w:cs="Arial" w:eastAsia="Arial" w:hAnsi="Arial"/>
          <w:sz w:val="20"/>
          <w:szCs w:val="20"/>
          <w:color w:val="auto"/>
        </w:rPr>
      </w:pPr>
    </w:p>
    <w:p>
      <w:pPr>
        <w:ind w:left="1540" w:hanging="884"/>
        <w:spacing w:after="0"/>
        <w:tabs>
          <w:tab w:leader="none" w:pos="15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aggregate amount of the requested Borrowing and a breakdown of the separate wires comprising such Borrowing;</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the date of such Borrowing, which shall be a Business Day;</w:t>
      </w:r>
    </w:p>
    <w:p>
      <w:pPr>
        <w:spacing w:after="0" w:line="242" w:lineRule="exact"/>
        <w:rPr>
          <w:rFonts w:ascii="Arial" w:cs="Arial" w:eastAsia="Arial" w:hAnsi="Arial"/>
          <w:sz w:val="20"/>
          <w:szCs w:val="20"/>
          <w:color w:val="auto"/>
        </w:rPr>
      </w:pPr>
    </w:p>
    <w:p>
      <w:pPr>
        <w:ind w:left="1540" w:hanging="884"/>
        <w:spacing w:after="0"/>
        <w:tabs>
          <w:tab w:leader="none" w:pos="1540" w:val="left"/>
        </w:tabs>
        <w:numPr>
          <w:ilvl w:val="0"/>
          <w:numId w:val="240"/>
        </w:numPr>
        <w:rPr>
          <w:rFonts w:ascii="Arial" w:cs="Arial" w:eastAsia="Arial" w:hAnsi="Arial"/>
          <w:sz w:val="20"/>
          <w:szCs w:val="20"/>
          <w:color w:val="auto"/>
        </w:rPr>
      </w:pPr>
      <w:r>
        <w:rPr>
          <w:rFonts w:ascii="Arial" w:cs="Arial" w:eastAsia="Arial" w:hAnsi="Arial"/>
          <w:sz w:val="20"/>
          <w:szCs w:val="20"/>
          <w:color w:val="auto"/>
        </w:rPr>
        <w:t>whether such Borrowing is to be an ABR Borrowing or a Eurodollar Borrowing; and</w:t>
      </w:r>
    </w:p>
    <w:p>
      <w:pPr>
        <w:spacing w:after="0" w:line="242" w:lineRule="exact"/>
        <w:rPr>
          <w:rFonts w:ascii="Arial" w:cs="Arial" w:eastAsia="Arial" w:hAnsi="Arial"/>
          <w:sz w:val="20"/>
          <w:szCs w:val="20"/>
          <w:color w:val="auto"/>
        </w:rPr>
      </w:pPr>
    </w:p>
    <w:p>
      <w:pPr>
        <w:ind w:firstLine="656"/>
        <w:spacing w:after="0" w:line="289" w:lineRule="auto"/>
        <w:tabs>
          <w:tab w:leader="none" w:pos="1516" w:val="left"/>
        </w:tabs>
        <w:numPr>
          <w:ilvl w:val="0"/>
          <w:numId w:val="240"/>
        </w:numPr>
        <w:rPr>
          <w:rFonts w:ascii="Arial" w:cs="Arial" w:eastAsia="Arial" w:hAnsi="Arial"/>
          <w:sz w:val="20"/>
          <w:szCs w:val="20"/>
          <w:color w:val="auto"/>
        </w:rPr>
      </w:pPr>
      <w:r>
        <w:rPr>
          <w:rFonts w:ascii="Arial" w:cs="Arial" w:eastAsia="Arial" w:hAnsi="Arial"/>
          <w:sz w:val="20"/>
          <w:szCs w:val="20"/>
          <w:color w:val="auto"/>
        </w:rPr>
        <w:t>in the case of a Eurodollar Borrowing, the initial Interest Period to be applicable thereto, which shall be a period contemplated by the definition of the term “Interest Period”.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If no election as to the Type of Borrowing is specified, then the requested Borrowing shall be an ABR Borrowing. If no Interest Period is specified with respect to any requested Eurodollar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5" w:lineRule="exact"/>
        <w:rPr>
          <w:sz w:val="20"/>
          <w:szCs w:val="20"/>
          <w:color w:val="auto"/>
        </w:rPr>
      </w:pPr>
    </w:p>
    <w:p>
      <w:pPr>
        <w:ind w:left="660"/>
        <w:spacing w:after="0"/>
        <w:tabs>
          <w:tab w:leader="none" w:pos="3260" w:val="left"/>
        </w:tabs>
        <w:rPr>
          <w:sz w:val="20"/>
          <w:szCs w:val="20"/>
          <w:color w:val="auto"/>
        </w:rPr>
      </w:pPr>
      <w:r>
        <w:rPr>
          <w:rFonts w:ascii="Arial" w:cs="Arial" w:eastAsia="Arial" w:hAnsi="Arial"/>
          <w:sz w:val="20"/>
          <w:szCs w:val="20"/>
          <w:color w:val="auto"/>
        </w:rPr>
        <w:t>SECTION 2.04.</w:t>
      </w:r>
      <w:r>
        <w:rPr>
          <w:sz w:val="20"/>
          <w:szCs w:val="20"/>
          <w:color w:val="auto"/>
        </w:rPr>
        <w:tab/>
      </w:r>
      <w:r>
        <w:rPr>
          <w:rFonts w:ascii="Arial" w:cs="Arial" w:eastAsia="Arial" w:hAnsi="Arial"/>
          <w:sz w:val="16"/>
          <w:szCs w:val="16"/>
          <w:u w:val="single" w:color="auto"/>
          <w:color w:val="auto"/>
        </w:rPr>
        <w:t>Protective Advances.</w:t>
      </w:r>
    </w:p>
    <w:p>
      <w:pPr>
        <w:spacing w:after="0" w:line="243" w:lineRule="exact"/>
        <w:rPr>
          <w:sz w:val="20"/>
          <w:szCs w:val="20"/>
          <w:color w:val="auto"/>
        </w:rPr>
      </w:pPr>
    </w:p>
    <w:p>
      <w:pPr>
        <w:jc w:val="both"/>
        <w:ind w:firstLine="656"/>
        <w:spacing w:after="0" w:line="303" w:lineRule="auto"/>
        <w:tabs>
          <w:tab w:leader="none" w:pos="151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Subject to the limitations set forth below, the Administrative Agent is authorized by the Borrowers and the Lenders, from time to time in the Administrative Agent’s sole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Section 9.03) and other sums payable under the Loan Documents (any of such Loans are herein referred to as “</w:t>
      </w:r>
      <w:r>
        <w:rPr>
          <w:rFonts w:ascii="Arial" w:cs="Arial" w:eastAsia="Arial" w:hAnsi="Arial"/>
          <w:sz w:val="18"/>
          <w:szCs w:val="18"/>
          <w:u w:val="single" w:color="auto"/>
          <w:color w:val="auto"/>
        </w:rPr>
        <w:t>Protective Advances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Protective Advances outstanding at any time shall not at any time exceed 10% of the Aggregate Commitment;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Aggregate Revolving Exposure after giving effect to the Protective Advances being made shall not exceed the Aggregate Commitment. Protective Advances may be made even if the conditions precedent set forth in Section 4.02 have not been satisfied. The Protective Advances shall</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420"/>
          </w:cols>
          <w:pgMar w:left="240" w:top="825" w:right="239" w:bottom="1440" w:gutter="0" w:footer="0" w:header="0"/>
        </w:sectPr>
      </w:pPr>
    </w:p>
    <w:bookmarkStart w:id="226" w:name="page227"/>
    <w:bookmarkEnd w:id="226"/>
    <w:p>
      <w:pPr>
        <w:jc w:val="both"/>
        <w:spacing w:after="0" w:line="307" w:lineRule="auto"/>
        <w:rPr>
          <w:sz w:val="20"/>
          <w:szCs w:val="20"/>
          <w:color w:val="auto"/>
        </w:rPr>
      </w:pPr>
      <w:r>
        <w:rPr>
          <w:rFonts w:ascii="Arial" w:cs="Arial" w:eastAsia="Arial" w:hAnsi="Arial"/>
          <w:sz w:val="18"/>
          <w:szCs w:val="18"/>
          <w:color w:val="auto"/>
        </w:rPr>
        <w:t>be secured by the Liens in favor of the Administrative Agent in and to the Collateral and shall constitute Obligations hereunder. All Protective Advances shall be ABR Borrowings.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Aggregate Availability and the conditions precedent set forth in Section 4.02 have been satisfied, the Administrative Agent may request the Lenders to make a Revolving Loan to repay a Protective Advance. At any other time the Administrative Agent may require the Lenders to fund their risk participations described in Section 2.04(b).</w:t>
      </w:r>
    </w:p>
    <w:p>
      <w:pPr>
        <w:spacing w:after="0" w:line="154" w:lineRule="exact"/>
        <w:rPr>
          <w:sz w:val="20"/>
          <w:szCs w:val="20"/>
          <w:color w:val="auto"/>
        </w:rPr>
      </w:pPr>
    </w:p>
    <w:p>
      <w:pPr>
        <w:ind w:right="20" w:firstLine="656"/>
        <w:spacing w:after="0" w:line="276" w:lineRule="auto"/>
        <w:tabs>
          <w:tab w:leader="none" w:pos="107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Swingline Loans and Overadvances</w:t>
      </w:r>
      <w:r>
        <w:rPr>
          <w:rFonts w:ascii="Arial" w:cs="Arial" w:eastAsia="Arial" w:hAnsi="Arial"/>
          <w:sz w:val="19"/>
          <w:szCs w:val="19"/>
          <w:color w:val="auto"/>
        </w:rPr>
        <w:t>. (a) The Administrative Agent, the Swingline Lender and the Lenders agree that in order to facilitate the administration of this Agreement and the other Loan Documents, promptly after the Borrower Representative requests an ABR Borrowing, the Swingline Lender may elect to have the terms of this Section 2.05(a) apply to such Borrowing Request by advancing, on behalf of the Lenders and in the amount requested, same day funds to the Borrowers, on the date of the applicable Borrowing to the Funding Account(s) (each such Loan made solely by the Swingline Lender pursuant to this Section 2.05(a) is referred to in this Agreement as a “</w:t>
      </w:r>
      <w:r>
        <w:rPr>
          <w:rFonts w:ascii="Arial" w:cs="Arial" w:eastAsia="Arial" w:hAnsi="Arial"/>
          <w:sz w:val="19"/>
          <w:szCs w:val="19"/>
          <w:u w:val="single" w:color="auto"/>
          <w:color w:val="auto"/>
        </w:rPr>
        <w:t>Swingline Loan</w:t>
      </w:r>
      <w:r>
        <w:rPr>
          <w:rFonts w:ascii="Arial" w:cs="Arial" w:eastAsia="Arial" w:hAnsi="Arial"/>
          <w:sz w:val="19"/>
          <w:szCs w:val="19"/>
          <w:color w:val="auto"/>
        </w:rPr>
        <w:t>”), with settlement among them as to the Swingline Loans to take place on a periodic basis as set forth in Section 2.05(d). Each Swingline Loan shall be subject to all the terms and conditions applicable to other ABR Loans funded by the Lenders, except that all payments thereon shall be payable to the Swingline Lender solely for its own account. The aggregate amount of Swingline Loans outstanding at any time shall not exceed $10,000,000. The Swingline Lender shall not make any Swingline Loan if the requested Swingline Loan results in the Borrowers failing to be in compliance with the Revolving Exposure Limitations (before or after giving effect to such Swingline Loan). All Swingline Loans shall be ABR Borrowings.</w:t>
      </w:r>
    </w:p>
    <w:p>
      <w:pPr>
        <w:spacing w:after="0" w:line="185" w:lineRule="exact"/>
        <w:rPr>
          <w:sz w:val="20"/>
          <w:szCs w:val="20"/>
          <w:color w:val="auto"/>
        </w:rPr>
      </w:pPr>
    </w:p>
    <w:p>
      <w:pPr>
        <w:jc w:val="both"/>
        <w:ind w:left="80" w:firstLine="657"/>
        <w:spacing w:after="0" w:line="302" w:lineRule="auto"/>
        <w:tabs>
          <w:tab w:leader="none" w:pos="152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Any provision of this Agreement to the contrary notwithstanding, at the request of the Borrower Representative, the Administrative Agent may in its sole discretion (but with absolutely no obligation), make Revolving Loans to the Borrowers, on behalf of the Lenders, in amounts that exceed Aggregate Availability or any Borrower’s Availability (any such excess Revolving Loans are herein referred to collectively as “</w:t>
      </w:r>
      <w:r>
        <w:rPr>
          <w:rFonts w:ascii="Arial" w:cs="Arial" w:eastAsia="Arial" w:hAnsi="Arial"/>
          <w:sz w:val="18"/>
          <w:szCs w:val="18"/>
          <w:u w:val="single" w:color="auto"/>
          <w:color w:val="auto"/>
        </w:rPr>
        <w:t>Overadvances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ABR Borrowings. The authority of the Administrative Agent to make Overadvances is limited to an aggregate amount not to exceed 10% of the Aggregate Commitment at any time, no Overadvance may remain outstanding for more than thirty (30) days and no Overadvance shall cause any Lender’s Revolving Exposure to exceed its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173" w:lineRule="exact"/>
        <w:rPr>
          <w:rFonts w:ascii="Arial" w:cs="Arial" w:eastAsia="Arial" w:hAnsi="Arial"/>
          <w:sz w:val="18"/>
          <w:szCs w:val="18"/>
          <w:color w:val="auto"/>
        </w:rPr>
      </w:pPr>
    </w:p>
    <w:p>
      <w:pPr>
        <w:ind w:left="1520" w:hanging="864"/>
        <w:spacing w:after="0"/>
        <w:tabs>
          <w:tab w:leader="none" w:pos="1520" w:val="left"/>
        </w:tabs>
        <w:numPr>
          <w:ilvl w:val="0"/>
          <w:numId w:val="244"/>
        </w:numPr>
        <w:rPr>
          <w:rFonts w:ascii="Arial" w:cs="Arial" w:eastAsia="Arial" w:hAnsi="Arial"/>
          <w:sz w:val="20"/>
          <w:szCs w:val="20"/>
          <w:color w:val="auto"/>
        </w:rPr>
      </w:pPr>
      <w:r>
        <w:rPr>
          <w:rFonts w:ascii="Arial" w:cs="Arial" w:eastAsia="Arial" w:hAnsi="Arial"/>
          <w:sz w:val="20"/>
          <w:szCs w:val="20"/>
          <w:color w:val="auto"/>
        </w:rPr>
        <w:t>Upon the making of a Swingline Loan or an Overadvance (whether before or after the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420"/>
          </w:cols>
          <w:pgMar w:left="240" w:top="825" w:right="239" w:bottom="1440" w:gutter="0" w:footer="0" w:header="0"/>
        </w:sectPr>
      </w:pPr>
    </w:p>
    <w:bookmarkStart w:id="227" w:name="page228"/>
    <w:bookmarkEnd w:id="227"/>
    <w:p>
      <w:pPr>
        <w:jc w:val="both"/>
        <w:spacing w:after="0" w:line="286" w:lineRule="auto"/>
        <w:rPr>
          <w:sz w:val="20"/>
          <w:szCs w:val="20"/>
          <w:color w:val="auto"/>
        </w:rPr>
      </w:pPr>
      <w:r>
        <w:rPr>
          <w:rFonts w:ascii="Arial" w:cs="Arial" w:eastAsia="Arial" w:hAnsi="Arial"/>
          <w:sz w:val="19"/>
          <w:szCs w:val="19"/>
          <w:color w:val="auto"/>
        </w:rPr>
        <w:t>occurrence of a Default and regardless of whether a Settlement has been requested with respect to such Swingline Loan or Overadvance), each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Commitment. The Swingline Lender or the Administrative Agent may, at any time, require the Lenders to fund their participations. From and after the date, if any, on which any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86" w:lineRule="exact"/>
        <w:rPr>
          <w:sz w:val="20"/>
          <w:szCs w:val="20"/>
          <w:color w:val="auto"/>
        </w:rPr>
      </w:pPr>
    </w:p>
    <w:p>
      <w:pPr>
        <w:jc w:val="both"/>
        <w:ind w:firstLine="656"/>
        <w:spacing w:after="0" w:line="285" w:lineRule="auto"/>
        <w:tabs>
          <w:tab w:leader="none" w:pos="1527"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Administrative Agent, on behalf of the Swingline Lender, shall request settlement (a “</w:t>
      </w:r>
      <w:r>
        <w:rPr>
          <w:rFonts w:ascii="Arial" w:cs="Arial" w:eastAsia="Arial" w:hAnsi="Arial"/>
          <w:sz w:val="19"/>
          <w:szCs w:val="19"/>
          <w:u w:val="single" w:color="auto"/>
          <w:color w:val="auto"/>
        </w:rPr>
        <w:t>Settlement</w:t>
      </w:r>
      <w:r>
        <w:rPr>
          <w:rFonts w:ascii="Arial" w:cs="Arial" w:eastAsia="Arial" w:hAnsi="Arial"/>
          <w:sz w:val="19"/>
          <w:szCs w:val="19"/>
          <w:color w:val="auto"/>
        </w:rPr>
        <w:t>”) with the Lenders on at least a weekly basis and on any date that the Administrative Agent elects, by notifying the Lenders of such requested Settlement by facsimile, telephone, or e-mail no later than 12:00 noon, Chicago time, on the date of such requested Settlement (the “</w:t>
      </w:r>
      <w:r>
        <w:rPr>
          <w:rFonts w:ascii="Arial" w:cs="Arial" w:eastAsia="Arial" w:hAnsi="Arial"/>
          <w:sz w:val="19"/>
          <w:szCs w:val="19"/>
          <w:u w:val="single" w:color="auto"/>
          <w:color w:val="auto"/>
        </w:rPr>
        <w:t>Settlement Date</w:t>
      </w:r>
      <w:r>
        <w:rPr>
          <w:rFonts w:ascii="Arial" w:cs="Arial" w:eastAsia="Arial" w:hAnsi="Arial"/>
          <w:sz w:val="19"/>
          <w:szCs w:val="19"/>
          <w:color w:val="auto"/>
        </w:rPr>
        <w:t>”). Each Lender (other than the Swingline Lender, in the case of the Swingline Loans) shall transfer the amount of such Lender’s Applicable Percentage of the outstanding principal amount of the applicable Loan with respect to which Settlement is requested to the Administrative Agent, to such account of the Administrative Agent as the Administrative Agent may designate, not later than 2:00 p.m., Chicago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Lenders, respectively. If any such amount is not transferred to the Administrative Agent by any Lender on such Settlement Date, the Swingline Lender shall be entitled to recover from such Lender on demand such amount, together with interest thereon, as specified in Section 2.07.</w:t>
      </w:r>
    </w:p>
    <w:p>
      <w:pPr>
        <w:spacing w:after="0" w:line="18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xml:space="preserve"> Subject to the terms and conditions set forth herein, the Borrower Representative may request the issuance of Letters of Credit for its own account or for the account of another Borrower denominated in Dollars as the applicant thereof for the support of its or its Subsidiaries’ obligations, in a form reasonably acceptable to the Administrative Agent and the relevant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Borrowers to, or entered into by the Borrowers with, the relevant Issuing Bank relating to any Letter of Credit, the terms and conditions of this Agreement shall control. Each Borrower unconditionally and irrevocably agrees that, in connection with any Letter of Credit issued for the support of any Subsidiary’s obligations as provided in the first sentence of this paragraph, such Borrower will be fully responsible for the reimbursement of LC Disbursements in accordance with the terms hereof, the payment of interest thereon and the payment of fees due under Section 2.12(b) to the same extent as if it were the sole account party in respect of such Letter of Credit (such Borrower hereby irrevocably waiving any defenses that might otherwise be available to it as a guarantor or surety of the obligations of such a Subsidiary that is an account party in respect of any such Letter of Credit). Notwithstanding anything herein to the contrary, the Issuing Bank shall have no obligation hereunder to issue, and shall not issue, any Letter of Credit (i) the proceeds of which would be made available to any Person (A) to fund any activity or business of or with any Sanctioned Person, or in any country or territory that, at the time of such funding, is the subject of any Sanctions or (B) in any manner that would result in a violation of any Sanctions by any party to this Agreement, (ii) if any order, judgment or decree of any Governmental Authority or arbitrator shall by its terms purport to enjoin or restrain the Issuing Bank from issuing such Letter of Credit, or any Requirement of Law relating to the Issuing Bank or any request or directive (whether or not having the force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825" w:right="239" w:bottom="1440" w:gutter="0" w:footer="0" w:header="0"/>
        </w:sectPr>
      </w:pPr>
    </w:p>
    <w:bookmarkStart w:id="228" w:name="page229"/>
    <w:bookmarkEnd w:id="228"/>
    <w:p>
      <w:pPr>
        <w:jc w:val="both"/>
        <w:spacing w:after="0" w:line="302" w:lineRule="auto"/>
        <w:rPr>
          <w:sz w:val="20"/>
          <w:szCs w:val="20"/>
          <w:color w:val="auto"/>
        </w:rPr>
      </w:pPr>
      <w:r>
        <w:rPr>
          <w:rFonts w:ascii="Arial" w:cs="Arial" w:eastAsia="Arial" w:hAnsi="Arial"/>
          <w:sz w:val="18"/>
          <w:szCs w:val="18"/>
          <w:color w:val="auto"/>
        </w:rPr>
        <w:t>of law) from any Governmental Authority with jurisdiction over the Issuing Bank shall prohibit, or request that the Issuing Bank refrain from, the issuance of letters of credit generally or such Letter of Credit in particular or shall impose upon the Issuing Bank with respect to such Letter of Credit any restriction, reserve or capital requirement (for which the Issuing Bank is not otherwise compensated hereunder) not in effect on the Effective Date, or shall impose upon the Issuing Bank any unreimbursed loss, cost or expense which was not applicable on the Effective Date and which the Issuing Bank in good faith deems material to it, or (iii) if the issuance of such Letter of Credit would violate one or more policies of the Issuing Bank applicable to letters of credit generally; provided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not to be in effect on the Effective Date for purposes of clause (ii) above, regardless of the date enacted, adopted, issued or implemented.</w:t>
      </w:r>
    </w:p>
    <w:p>
      <w:pPr>
        <w:spacing w:after="0" w:line="174" w:lineRule="exact"/>
        <w:rPr>
          <w:sz w:val="20"/>
          <w:szCs w:val="20"/>
          <w:color w:val="auto"/>
        </w:rPr>
      </w:pPr>
    </w:p>
    <w:p>
      <w:pPr>
        <w:jc w:val="both"/>
        <w:ind w:firstLine="656"/>
        <w:spacing w:after="0" w:line="300" w:lineRule="auto"/>
        <w:tabs>
          <w:tab w:leader="none" w:pos="1527"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Notice of Issuance, Amendment, Renewal, Extension; Certain Conditions</w:t>
      </w:r>
      <w:r>
        <w:rPr>
          <w:rFonts w:ascii="Arial" w:cs="Arial" w:eastAsia="Arial" w:hAnsi="Arial"/>
          <w:sz w:val="18"/>
          <w:szCs w:val="18"/>
          <w:color w:val="auto"/>
        </w:rPr>
        <w:t xml:space="preserve">. To request the issuance of a Letter of Credit (or the amendment, renewal or extension of an outstanding Letter of Credit), the Borrower Representative shall hand deliver or telecopy (or transmit through Electronic Systems, if arrangements for doing so have been approved by the relevant Issuing Bank) to an Issuing Bank and the Administrative Agent (reasonably in advance of the requested date of issuance, amendment, renewal or extension, but in any event no less than three (3) Business Days)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renew or extend such Letter of Credit. If requested by such Issuing Bank, the applicable Borrower also shall submit a letter of credit application on such Issuing Bank’s standard form in connection with any request for a Letter of Credit. A Letter of Credit shall be issued, amended, renewed or extended only if (and upon issuance, amendment, renewal or extension of each Letter of Credit the Borrowers shall be deemed to represent and warrant that), after giving effect to such issuance, amendment, renewal or extension (i) the aggregate LC Exposure shall not exceed $10,000,000 and (ii) the Borrowers shall be in compliance with the Revolving Exposure Limitations.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the Credit Agreement, and shall not affect the Issuing Bank Sublimit of any other Issuing Bank, subject to the limitations on the aggregate LC Exposure set forth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this Section 2.06(b).</w:t>
      </w:r>
    </w:p>
    <w:p>
      <w:pPr>
        <w:spacing w:after="0" w:line="171" w:lineRule="exact"/>
        <w:rPr>
          <w:rFonts w:ascii="Arial" w:cs="Arial" w:eastAsia="Arial" w:hAnsi="Arial"/>
          <w:sz w:val="18"/>
          <w:szCs w:val="18"/>
          <w:color w:val="auto"/>
        </w:rPr>
      </w:pPr>
    </w:p>
    <w:p>
      <w:pPr>
        <w:jc w:val="both"/>
        <w:ind w:firstLine="656"/>
        <w:spacing w:after="0" w:line="293" w:lineRule="auto"/>
        <w:tabs>
          <w:tab w:leader="none" w:pos="1516" w:val="left"/>
        </w:tabs>
        <w:numPr>
          <w:ilvl w:val="0"/>
          <w:numId w:val="246"/>
        </w:numPr>
        <w:rPr>
          <w:rFonts w:ascii="Arial" w:cs="Arial" w:eastAsia="Arial" w:hAnsi="Arial"/>
          <w:sz w:val="19"/>
          <w:szCs w:val="19"/>
          <w:color w:val="auto"/>
        </w:rPr>
      </w:pPr>
      <w:r>
        <w:rPr>
          <w:rFonts w:ascii="Arial" w:cs="Arial" w:eastAsia="Arial" w:hAnsi="Arial"/>
          <w:sz w:val="19"/>
          <w:szCs w:val="19"/>
          <w:u w:val="single" w:color="auto"/>
          <w:color w:val="auto"/>
        </w:rPr>
        <w:t>Expiration Date</w:t>
      </w:r>
      <w:r>
        <w:rPr>
          <w:rFonts w:ascii="Arial" w:cs="Arial" w:eastAsia="Arial" w:hAnsi="Arial"/>
          <w:sz w:val="19"/>
          <w:szCs w:val="19"/>
          <w:color w:val="auto"/>
        </w:rPr>
        <w:t>. Each Letter of Credit shall expire (or be subject to termination or non-renewal by notice from the relevant Issuing Bank to the beneficiary thereof) at or prior to the close of business on the earlier of (i) the date one year after the date of the issuance of such Letter of Credit (or, in the case of any renewal or extension thereof, including, without limitation, any automatic renewal provision, one year after such renewal or extension) and (ii) the date that is five (5) Business Days prior to the Maturity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825" w:right="239" w:bottom="1440" w:gutter="0" w:footer="0" w:header="0"/>
        </w:sectPr>
      </w:pPr>
    </w:p>
    <w:bookmarkStart w:id="229" w:name="page230"/>
    <w:bookmarkEnd w:id="229"/>
    <w:p>
      <w:pPr>
        <w:jc w:val="both"/>
        <w:ind w:firstLine="656"/>
        <w:spacing w:after="0" w:line="302" w:lineRule="auto"/>
        <w:tabs>
          <w:tab w:leader="none" w:pos="1527"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Participations</w:t>
      </w:r>
      <w:r>
        <w:rPr>
          <w:rFonts w:ascii="Arial" w:cs="Arial" w:eastAsia="Arial" w:hAnsi="Arial"/>
          <w:sz w:val="18"/>
          <w:szCs w:val="18"/>
          <w:color w:val="auto"/>
        </w:rPr>
        <w:t>. By the issuance of a Letter of Credit (or an amendment to a Letter of Credit increasing the amount thereof) and without any further action on the part of any Issuing Bank or the Lenders, each Issuing Bank hereby grants to each Lender, and each Lender hereby acquires from each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relevant Issuing Bank, such Lender’s Applicable Percentage of each LC Disbursement made by such Issuing Bank and not reimbursed by the Borrowers on the date due as provided in paragraph (e) of this Section, or of any reimbursement payment required to be refunded to the Borrowers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173" w:lineRule="exact"/>
        <w:rPr>
          <w:rFonts w:ascii="Arial" w:cs="Arial" w:eastAsia="Arial" w:hAnsi="Arial"/>
          <w:sz w:val="18"/>
          <w:szCs w:val="18"/>
          <w:color w:val="auto"/>
        </w:rPr>
      </w:pPr>
    </w:p>
    <w:p>
      <w:pPr>
        <w:jc w:val="both"/>
        <w:ind w:firstLine="656"/>
        <w:spacing w:after="0" w:line="300" w:lineRule="auto"/>
        <w:tabs>
          <w:tab w:leader="none" w:pos="1516"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the Issuing Bank shall make any LC Disbursement in respect of a Letter of Credit, the Borrowers shall reimburse such LC Disbursement by paying to the Administrative Agent an amount equal to such LC Disbursement (i) not later than 11:00 a.m., Chicago time, on the date that such LC Disbursement is made, if the Borrower Representative shall have received notice of such LC Disbursement prior to 9:00 a.m., Chicago time, on such date, or, (ii) if such notice has not been received by the Borrower Representative prior to such time on such date, then not later than 11:00 a.m., Chicago time, on (A) the Business Day that the Borrower Representative receives such notice, if such notice is received prior to 9:00 a.m., Chicago time, on the day of receipt, or (B) the Business Day immediately following the day that the Borrower Representative receives such notice, if such notice is not received prior to such time on the day of receipt;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may, subject to the conditions to borrowing set forth herein, request in accordance with Section 2.03 or 2.05 that such payment be financed with an ABR Revolving Borrowing or Swingline Loan in an equivalent amount and, to the extent so financed, the Borrowers’ obligation to make such payment shall be discharged and replaced by the resulting ABR Revolving Borrowing or Swingline Loan.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to the payment obligations of the Revolving Lenders), and the Administrative Agent shall promptly pay to the Issuing Bank the amounts so received by it from the Revolving Lenders. Promptly following receipt by the Administrative Agent of any payment from the Borrowers pursuant to this paragraph, the Administrative Agent shall distribute such payment to the Issuing Bank or, to the extent that Revolving Lenders have made payments pursuant to this paragraph to reimburse the Issuing Bank, then to such Lenders and the Issuing Bank as their interests may appear. Any payment made by a Revolving Lender pursuant to this paragraph to reimburse the Issuing Bank for any LC Disbursement (other than the funding of ABR Revolving Loans or a Swingline Loan as contemplated above) shall not constitute a Loan and shall not relieve the Borrowers of their obligation to reimburse such LC Disbursement.</w:t>
      </w:r>
    </w:p>
    <w:p>
      <w:pPr>
        <w:spacing w:after="0" w:line="171" w:lineRule="exact"/>
        <w:rPr>
          <w:rFonts w:ascii="Arial" w:cs="Arial" w:eastAsia="Arial" w:hAnsi="Arial"/>
          <w:sz w:val="18"/>
          <w:szCs w:val="18"/>
          <w:color w:val="auto"/>
        </w:rPr>
      </w:pPr>
    </w:p>
    <w:p>
      <w:pPr>
        <w:jc w:val="both"/>
        <w:ind w:firstLine="656"/>
        <w:spacing w:after="0" w:line="293" w:lineRule="auto"/>
        <w:tabs>
          <w:tab w:leader="none" w:pos="1494" w:val="left"/>
        </w:tabs>
        <w:numPr>
          <w:ilvl w:val="0"/>
          <w:numId w:val="247"/>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Borrowers’ joint and several obligation to reimburse LC Disbursements as provided in paragraph (e) of this Section shall be absolute, unconditional and irrevocable, and shall be performed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825"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Letter of Credit proving to be forged, fraudulent or invalid in any respect or any statement therein being untrue or inaccurate in any respect,</w:t>
      </w:r>
    </w:p>
    <w:p>
      <w:pPr>
        <w:spacing w:after="0" w:line="50" w:lineRule="exact"/>
        <w:rPr>
          <w:sz w:val="20"/>
          <w:szCs w:val="20"/>
          <w:color w:val="auto"/>
        </w:rPr>
      </w:pPr>
    </w:p>
    <w:p>
      <w:pPr>
        <w:jc w:val="both"/>
        <w:ind w:firstLine="8"/>
        <w:spacing w:after="0" w:line="300" w:lineRule="auto"/>
        <w:tabs>
          <w:tab w:leader="none" w:pos="357"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any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relevant Issuing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be construed to excuse any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any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77" w:lineRule="exact"/>
        <w:rPr>
          <w:rFonts w:ascii="Arial" w:cs="Arial" w:eastAsia="Arial" w:hAnsi="Arial"/>
          <w:sz w:val="18"/>
          <w:szCs w:val="18"/>
          <w:color w:val="auto"/>
        </w:rPr>
      </w:pPr>
    </w:p>
    <w:p>
      <w:pPr>
        <w:jc w:val="both"/>
        <w:ind w:firstLine="656"/>
        <w:spacing w:after="0" w:line="290" w:lineRule="auto"/>
        <w:tabs>
          <w:tab w:leader="none" w:pos="1527" w:val="left"/>
        </w:tabs>
        <w:numPr>
          <w:ilvl w:val="1"/>
          <w:numId w:val="248"/>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give or delay in giving such notice shall not relieve the Borrowers of their obligation to reimburse such Issuing Bank and the Lenders with respect to any such LC Disbursement.</w:t>
      </w:r>
    </w:p>
    <w:p>
      <w:pPr>
        <w:spacing w:after="0" w:line="179" w:lineRule="exact"/>
        <w:rPr>
          <w:rFonts w:ascii="Arial" w:cs="Arial" w:eastAsia="Arial" w:hAnsi="Arial"/>
          <w:sz w:val="19"/>
          <w:szCs w:val="19"/>
          <w:color w:val="auto"/>
        </w:rPr>
      </w:pPr>
    </w:p>
    <w:p>
      <w:pPr>
        <w:jc w:val="both"/>
        <w:ind w:firstLine="656"/>
        <w:spacing w:after="0" w:line="286" w:lineRule="auto"/>
        <w:tabs>
          <w:tab w:leader="none" w:pos="1527" w:val="left"/>
        </w:tabs>
        <w:numPr>
          <w:ilvl w:val="1"/>
          <w:numId w:val="248"/>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ABR Revolving Loans and such interest shall be payable on the date when such reimbursement is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Lender pursuant to paragraph (e) of this Section to reimburse such Issuing Bank shall be for the account of such Lender to the extent of such payment.</w:t>
      </w:r>
    </w:p>
    <w:p>
      <w:pPr>
        <w:spacing w:after="0" w:line="185" w:lineRule="exact"/>
        <w:rPr>
          <w:rFonts w:ascii="Arial" w:cs="Arial" w:eastAsia="Arial" w:hAnsi="Arial"/>
          <w:sz w:val="19"/>
          <w:szCs w:val="19"/>
          <w:color w:val="auto"/>
        </w:rPr>
      </w:pPr>
    </w:p>
    <w:p>
      <w:pPr>
        <w:jc w:val="both"/>
        <w:ind w:firstLine="656"/>
        <w:spacing w:after="0" w:line="278" w:lineRule="auto"/>
        <w:tabs>
          <w:tab w:leader="none" w:pos="1483" w:val="left"/>
        </w:tabs>
        <w:numPr>
          <w:ilvl w:val="1"/>
          <w:numId w:val="248"/>
        </w:numPr>
        <w:rPr>
          <w:rFonts w:ascii="Arial" w:cs="Arial" w:eastAsia="Arial" w:hAnsi="Arial"/>
          <w:sz w:val="20"/>
          <w:szCs w:val="20"/>
          <w:color w:val="auto"/>
        </w:rPr>
      </w:pPr>
      <w:r>
        <w:rPr>
          <w:rFonts w:ascii="Arial" w:cs="Arial" w:eastAsia="Arial" w:hAnsi="Arial"/>
          <w:sz w:val="20"/>
          <w:szCs w:val="20"/>
          <w:u w:val="single" w:color="auto"/>
          <w:color w:val="auto"/>
        </w:rPr>
        <w:t>Replacement of an Issuing Bank</w:t>
      </w:r>
      <w:r>
        <w:rPr>
          <w:rFonts w:ascii="Arial" w:cs="Arial" w:eastAsia="Arial" w:hAnsi="Arial"/>
          <w:sz w:val="20"/>
          <w:szCs w:val="20"/>
          <w:color w:val="auto"/>
        </w:rPr>
        <w:t>. (A) Any Issuing Bank may be replaced at any time by written agreement among the Borrower Representative, the Administrative Agent, the replaced Issuing Bank and the successor Issuing Bank. The Administrative Agent shall notify the Lenders of any such replacement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420"/>
          </w:cols>
          <w:pgMar w:left="240" w:top="825" w:right="239" w:bottom="1440" w:gutter="0" w:footer="0" w:header="0"/>
        </w:sectPr>
      </w:pPr>
    </w:p>
    <w:bookmarkStart w:id="231" w:name="page232"/>
    <w:bookmarkEnd w:id="231"/>
    <w:p>
      <w:pPr>
        <w:jc w:val="both"/>
        <w:spacing w:after="0" w:line="334" w:lineRule="auto"/>
        <w:rPr>
          <w:sz w:val="20"/>
          <w:szCs w:val="20"/>
          <w:color w:val="auto"/>
        </w:rPr>
      </w:pPr>
      <w:r>
        <w:rPr>
          <w:rFonts w:ascii="Arial" w:cs="Arial" w:eastAsia="Arial" w:hAnsi="Arial"/>
          <w:sz w:val="16"/>
          <w:szCs w:val="16"/>
          <w:color w:val="auto"/>
        </w:rPr>
        <w:t>of an Issuing Bank. At the time any such replacement shall become effective, the Borrowers shall pay all unpaid fees accrued for the account of the replaced Issuing Bank pursuant to Section 2.12(b). From and after the effective date of any such replacement, (i) the successor Issuing Bank shall have all the rights and obligations of an Issuing Bank under this Agreement with respect to Letters of Credit to be issued thereafter and</w:t>
      </w:r>
    </w:p>
    <w:p>
      <w:pPr>
        <w:spacing w:after="0" w:line="2" w:lineRule="exact"/>
        <w:rPr>
          <w:sz w:val="20"/>
          <w:szCs w:val="20"/>
          <w:color w:val="auto"/>
        </w:rPr>
      </w:pPr>
    </w:p>
    <w:p>
      <w:pPr>
        <w:jc w:val="both"/>
        <w:ind w:firstLine="8"/>
        <w:spacing w:after="0" w:line="363" w:lineRule="auto"/>
        <w:tabs>
          <w:tab w:leader="none" w:pos="323" w:val="left"/>
        </w:tabs>
        <w:numPr>
          <w:ilvl w:val="0"/>
          <w:numId w:val="249"/>
        </w:numPr>
        <w:rPr>
          <w:rFonts w:ascii="Arial" w:cs="Arial" w:eastAsia="Arial" w:hAnsi="Arial"/>
          <w:sz w:val="16"/>
          <w:szCs w:val="16"/>
          <w:color w:val="auto"/>
        </w:rPr>
      </w:pPr>
      <w:r>
        <w:rPr>
          <w:rFonts w:ascii="Arial" w:cs="Arial" w:eastAsia="Arial" w:hAnsi="Arial"/>
          <w:sz w:val="16"/>
          <w:szCs w:val="16"/>
          <w:color w:val="auto"/>
        </w:rPr>
        <w:t>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w:t>
      </w:r>
    </w:p>
    <w:p>
      <w:pPr>
        <w:spacing w:after="0" w:line="115" w:lineRule="exact"/>
        <w:rPr>
          <w:rFonts w:ascii="Arial" w:cs="Arial" w:eastAsia="Arial" w:hAnsi="Arial"/>
          <w:sz w:val="16"/>
          <w:szCs w:val="16"/>
          <w:color w:val="auto"/>
        </w:rPr>
      </w:pPr>
    </w:p>
    <w:p>
      <w:pPr>
        <w:jc w:val="both"/>
        <w:ind w:firstLine="1305"/>
        <w:spacing w:after="0" w:line="291" w:lineRule="auto"/>
        <w:tabs>
          <w:tab w:leader="none" w:pos="1785" w:val="left"/>
        </w:tabs>
        <w:numPr>
          <w:ilvl w:val="2"/>
          <w:numId w:val="249"/>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in accordance with the terms of this Agreement, any Issuing Bank may resign as an Issuing Bank at any time upon thirty (30) days’ prior written notice to the Administrative Agent, the Borrower Representative and the Lenders, in which case, such Issuing Bank shall be replaced in accordance with Section 2.06(i)(A) above.</w:t>
      </w:r>
    </w:p>
    <w:p>
      <w:pPr>
        <w:spacing w:after="0" w:line="178" w:lineRule="exact"/>
        <w:rPr>
          <w:rFonts w:ascii="Arial" w:cs="Arial" w:eastAsia="Arial" w:hAnsi="Arial"/>
          <w:sz w:val="18"/>
          <w:szCs w:val="18"/>
          <w:color w:val="auto"/>
        </w:rPr>
      </w:pPr>
    </w:p>
    <w:p>
      <w:pPr>
        <w:jc w:val="both"/>
        <w:ind w:firstLine="656"/>
        <w:spacing w:after="0" w:line="300" w:lineRule="auto"/>
        <w:tabs>
          <w:tab w:leader="none" w:pos="1483" w:val="left"/>
        </w:tabs>
        <w:numPr>
          <w:ilvl w:val="1"/>
          <w:numId w:val="249"/>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 If any Event of Default shall occur and be continuing, on the Business Day that the Borrower Representative receives notice from the Administrative Agent or the Required Lenders (or, if the maturity of the Loans has been accelerated, Revolving Lenders with LC Exposure representing greater than 103% of the aggregate LC Exposure) demanding the deposit of cash collateral pursuant to this paragraph, the Borrowers shall deposit in an account with the Administrative Agent, in the name of the Administrative Agent and for the benefit of the Revolving Lenders (the “</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an amount in cash equal to 103% of the amount of the LC Exposure as of such date plus accrued and unpaid interest thereon;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Article VII. Such deposit shall be held by the Administrative Agent as collateral for the payment and performance of the Secured Obligations.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the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103% of the aggregate LC Exposure), be applied to satisfy other Secured Obligations. If the Borrowers are required to provide an amount of cash collateral hereunder as a result of the occurrence of an Event of Default, such amount (to the extent not applied as aforesaid) shall be returned to the Borrowers within three (3) Business Days after all such Events of Default have been cured or waived as confirmed in writing by the Administrative Agent.</w:t>
      </w:r>
    </w:p>
    <w:p>
      <w:pPr>
        <w:spacing w:after="0" w:line="173" w:lineRule="exact"/>
        <w:rPr>
          <w:rFonts w:ascii="Arial" w:cs="Arial" w:eastAsia="Arial" w:hAnsi="Arial"/>
          <w:sz w:val="18"/>
          <w:szCs w:val="18"/>
          <w:color w:val="auto"/>
        </w:rPr>
      </w:pPr>
    </w:p>
    <w:p>
      <w:pPr>
        <w:jc w:val="both"/>
        <w:ind w:firstLine="656"/>
        <w:spacing w:after="0" w:line="293" w:lineRule="auto"/>
        <w:tabs>
          <w:tab w:leader="none" w:pos="1527" w:val="left"/>
        </w:tabs>
        <w:numPr>
          <w:ilvl w:val="1"/>
          <w:numId w:val="249"/>
        </w:numPr>
        <w:rPr>
          <w:rFonts w:ascii="Arial" w:cs="Arial" w:eastAsia="Arial" w:hAnsi="Arial"/>
          <w:sz w:val="19"/>
          <w:szCs w:val="19"/>
          <w:color w:val="auto"/>
        </w:rPr>
      </w:pPr>
      <w:r>
        <w:rPr>
          <w:rFonts w:ascii="Arial" w:cs="Arial" w:eastAsia="Arial" w:hAnsi="Arial"/>
          <w:sz w:val="19"/>
          <w:szCs w:val="19"/>
          <w:u w:val="single" w:color="auto"/>
          <w:color w:val="auto"/>
        </w:rPr>
        <w:t>Issuing Bank Reports to the Administrative Agent</w:t>
      </w:r>
      <w:r>
        <w:rPr>
          <w:rFonts w:ascii="Arial" w:cs="Arial" w:eastAsia="Arial" w:hAnsi="Arial"/>
          <w:sz w:val="19"/>
          <w:szCs w:val="19"/>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amendments and renewals, all expirations and cancelations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420"/>
          </w:cols>
          <w:pgMar w:left="240" w:top="825" w:right="239" w:bottom="1440" w:gutter="0" w:footer="0" w:header="0"/>
        </w:sectPr>
      </w:pPr>
    </w:p>
    <w:bookmarkStart w:id="232" w:name="page233"/>
    <w:bookmarkEnd w:id="232"/>
    <w:p>
      <w:pPr>
        <w:jc w:val="both"/>
        <w:spacing w:after="0" w:line="305" w:lineRule="auto"/>
        <w:rPr>
          <w:sz w:val="20"/>
          <w:szCs w:val="20"/>
          <w:color w:val="auto"/>
        </w:rPr>
      </w:pPr>
      <w:r>
        <w:rPr>
          <w:rFonts w:ascii="Arial" w:cs="Arial" w:eastAsia="Arial" w:hAnsi="Arial"/>
          <w:sz w:val="18"/>
          <w:szCs w:val="18"/>
          <w:color w:val="auto"/>
        </w:rPr>
        <w:t>and all disbursements and reimbursements, (ii) reasonably prior to the time that such Issuing Bank issues, amends, renews or extends any Letter of Credit, the date of such issuance, amendment, renewal or extension, and the stated amount of the Letters of Credit issued, amended, renewed or extended by it and outstanding after giving effect to such issuance, amendment, renewal or extension (and whether the amounts thereof shall have changed), (iii) on each Business Day on which such Issuing Bank makes any LC Disbursement, the date and amount of such LC Disbursement, (iv) 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71" w:lineRule="exact"/>
        <w:rPr>
          <w:sz w:val="20"/>
          <w:szCs w:val="20"/>
          <w:color w:val="auto"/>
        </w:rPr>
      </w:pPr>
    </w:p>
    <w:p>
      <w:pPr>
        <w:jc w:val="both"/>
        <w:ind w:firstLine="656"/>
        <w:spacing w:after="0" w:line="274" w:lineRule="auto"/>
        <w:tabs>
          <w:tab w:leader="none" w:pos="1483" w:val="left"/>
        </w:tabs>
        <w:numPr>
          <w:ilvl w:val="0"/>
          <w:numId w:val="250"/>
        </w:numPr>
        <w:rPr>
          <w:rFonts w:ascii="Arial" w:cs="Arial" w:eastAsia="Arial" w:hAnsi="Arial"/>
          <w:sz w:val="20"/>
          <w:szCs w:val="20"/>
          <w:color w:val="auto"/>
        </w:rPr>
      </w:pPr>
      <w:r>
        <w:rPr>
          <w:rFonts w:ascii="Arial" w:cs="Arial" w:eastAsia="Arial" w:hAnsi="Arial"/>
          <w:sz w:val="20"/>
          <w:szCs w:val="20"/>
          <w:u w:val="single" w:color="auto"/>
          <w:color w:val="auto"/>
        </w:rPr>
        <w:t>LC Exposure Determination</w:t>
      </w:r>
      <w:r>
        <w:rPr>
          <w:rFonts w:ascii="Arial" w:cs="Arial" w:eastAsia="Arial" w:hAnsi="Arial"/>
          <w:sz w:val="20"/>
          <w:szCs w:val="20"/>
          <w:color w:val="auto"/>
        </w:rPr>
        <w:t>. For all purposes of this Agreement,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whether or not such maximum stated amount is in effect at the time of determination.</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2.07 </w:t>
      </w:r>
      <w:r>
        <w:rPr>
          <w:rFonts w:ascii="Arial" w:cs="Arial" w:eastAsia="Arial" w:hAnsi="Arial"/>
          <w:sz w:val="20"/>
          <w:szCs w:val="20"/>
          <w:u w:val="single" w:color="auto"/>
          <w:color w:val="auto"/>
        </w:rPr>
        <w:t>Funding of Borrowings.</w:t>
      </w:r>
      <w:r>
        <w:rPr>
          <w:rFonts w:ascii="Arial" w:cs="Arial" w:eastAsia="Arial" w:hAnsi="Arial"/>
          <w:sz w:val="20"/>
          <w:szCs w:val="20"/>
          <w:color w:val="auto"/>
        </w:rPr>
        <w:t xml:space="preserve"> (a) Each Lender shall make each Loan to be made by such Lender hereunder on the proposed date thereof solely by wire transfer of immediately available funds by 1:00 p.m., Chicago time, to the account of the Administrative Agent most recently designated by it for such purpose by notice to the Lenders in an amount equal to such Lender’s Applicable Percentage; provided that, Swingline Loans shall be made as provided in Section 2.05. The Administrative Agent will make such Loans available to the Borrower Representative by promptly crediting the funds so received in the aforesaid account of the Administrative Agent to the Funding Account; provided that ABR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99" w:lineRule="exact"/>
        <w:rPr>
          <w:sz w:val="20"/>
          <w:szCs w:val="20"/>
          <w:color w:val="auto"/>
        </w:rPr>
      </w:pPr>
    </w:p>
    <w:p>
      <w:pPr>
        <w:jc w:val="both"/>
        <w:ind w:firstLine="656"/>
        <w:spacing w:after="0" w:line="303" w:lineRule="auto"/>
        <w:tabs>
          <w:tab w:leader="none" w:pos="1527" w:val="left"/>
        </w:tabs>
        <w:numPr>
          <w:ilvl w:val="0"/>
          <w:numId w:val="251"/>
        </w:numPr>
        <w:rPr>
          <w:rFonts w:ascii="Arial" w:cs="Arial" w:eastAsia="Arial" w:hAnsi="Arial"/>
          <w:sz w:val="18"/>
          <w:szCs w:val="18"/>
          <w:color w:val="auto"/>
        </w:rPr>
      </w:pPr>
      <w:r>
        <w:rPr>
          <w:rFonts w:ascii="Arial" w:cs="Arial" w:eastAsia="Arial" w:hAnsi="Arial"/>
          <w:sz w:val="18"/>
          <w:szCs w:val="18"/>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such Borrower, the interest rate applicable to ABR Loans. If such Lender pays such amount to the Administrative Agent, then such amount shall constitute such Lender’s Loan included in such Borrowing.</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Interest Elections.</w:t>
      </w:r>
      <w:r>
        <w:rPr>
          <w:rFonts w:ascii="Arial" w:cs="Arial" w:eastAsia="Arial" w:hAnsi="Arial"/>
          <w:sz w:val="20"/>
          <w:szCs w:val="20"/>
          <w:color w:val="auto"/>
        </w:rPr>
        <w:t xml:space="preserve"> (a) Each Borrowing initially shall be of the Type specified in the applicable Borrowing Request and, in the case of a Eurodollar Borrowing, shall have an initial Interest Period as specified in such Borrowing Request. Thereafter, the Borrower Representative may elect to convert such Borrowing to a different Type or to continue such Borrowing and, in the case of a Eurodollar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825" w:right="239" w:bottom="1440" w:gutter="0" w:footer="0" w:header="0"/>
        </w:sectPr>
      </w:pPr>
    </w:p>
    <w:bookmarkStart w:id="233" w:name="page234"/>
    <w:bookmarkEnd w:id="233"/>
    <w:p>
      <w:pPr>
        <w:jc w:val="both"/>
        <w:ind w:firstLine="656"/>
        <w:spacing w:after="0" w:line="286" w:lineRule="auto"/>
        <w:tabs>
          <w:tab w:leader="none" w:pos="1527" w:val="left"/>
        </w:tabs>
        <w:numPr>
          <w:ilvl w:val="0"/>
          <w:numId w:val="252"/>
        </w:numPr>
        <w:rPr>
          <w:rFonts w:ascii="Arial" w:cs="Arial" w:eastAsia="Arial" w:hAnsi="Arial"/>
          <w:sz w:val="19"/>
          <w:szCs w:val="19"/>
          <w:color w:val="auto"/>
        </w:rPr>
      </w:pPr>
      <w:r>
        <w:rPr>
          <w:rFonts w:ascii="Arial" w:cs="Arial" w:eastAsia="Arial" w:hAnsi="Arial"/>
          <w:sz w:val="19"/>
          <w:szCs w:val="19"/>
          <w:color w:val="auto"/>
        </w:rPr>
        <w:t>To make an election pursuant to this Section, the Borrower Representative shall notify the Administrative Agent of such election by telephone or through Electronic System, if arrangements for doing so have been approved by the Administrative Agent, by the time that a Borrowing Request would be required under Section 2.03 if the Borrowers were requesting a Borrowing of the Type resulting from such election to be made on the effective date of such election. Each such telephonic Interest Election Request shall be irrevocable and shall be confirmed promptly by hand delivery, Electronic System or facsimile to the Administrative Agent of a written Interest Election Request in the form attached hereto as Exhibit G-2 (or such other form approved by the Administrative Agent) and signed by the Borrower Representative. Notwithstanding any contrary provision herein, this Section shall not be construed to permit any Borrower to elect an Interest Period for Eurodollar Loans that does not comply with Section 2.02(d).</w:t>
      </w:r>
    </w:p>
    <w:p>
      <w:pPr>
        <w:spacing w:after="0" w:line="185" w:lineRule="exact"/>
        <w:rPr>
          <w:rFonts w:ascii="Arial" w:cs="Arial" w:eastAsia="Arial" w:hAnsi="Arial"/>
          <w:sz w:val="19"/>
          <w:szCs w:val="19"/>
          <w:color w:val="auto"/>
        </w:rPr>
      </w:pPr>
    </w:p>
    <w:p>
      <w:pPr>
        <w:ind w:firstLine="656"/>
        <w:spacing w:after="0" w:line="289" w:lineRule="auto"/>
        <w:tabs>
          <w:tab w:leader="none" w:pos="1516" w:val="left"/>
        </w:tabs>
        <w:numPr>
          <w:ilvl w:val="0"/>
          <w:numId w:val="252"/>
        </w:numPr>
        <w:rPr>
          <w:rFonts w:ascii="Arial" w:cs="Arial" w:eastAsia="Arial" w:hAnsi="Arial"/>
          <w:sz w:val="20"/>
          <w:szCs w:val="20"/>
          <w:color w:val="auto"/>
        </w:rPr>
      </w:pPr>
      <w:r>
        <w:rPr>
          <w:rFonts w:ascii="Arial" w:cs="Arial" w:eastAsia="Arial" w:hAnsi="Arial"/>
          <w:sz w:val="20"/>
          <w:szCs w:val="20"/>
          <w:color w:val="auto"/>
        </w:rPr>
        <w:t>Each telephonic and written Interest Election Request (including requests submitted through Electronic System) shall specify the following information in compliance with Section 2.02:</w:t>
      </w:r>
    </w:p>
    <w:p>
      <w:pPr>
        <w:spacing w:after="0" w:line="175" w:lineRule="exact"/>
        <w:rPr>
          <w:rFonts w:ascii="Arial" w:cs="Arial" w:eastAsia="Arial" w:hAnsi="Arial"/>
          <w:sz w:val="20"/>
          <w:szCs w:val="20"/>
          <w:color w:val="auto"/>
        </w:rPr>
      </w:pPr>
    </w:p>
    <w:p>
      <w:pPr>
        <w:jc w:val="both"/>
        <w:ind w:left="660" w:firstLine="645"/>
        <w:spacing w:after="0" w:line="274" w:lineRule="auto"/>
        <w:tabs>
          <w:tab w:leader="none" w:pos="2143" w:val="left"/>
        </w:tabs>
        <w:numPr>
          <w:ilvl w:val="1"/>
          <w:numId w:val="252"/>
        </w:numPr>
        <w:rPr>
          <w:rFonts w:ascii="Arial" w:cs="Arial" w:eastAsia="Arial" w:hAnsi="Arial"/>
          <w:sz w:val="20"/>
          <w:szCs w:val="20"/>
          <w:color w:val="auto"/>
        </w:rPr>
      </w:pPr>
      <w:r>
        <w:rPr>
          <w:rFonts w:ascii="Arial" w:cs="Arial" w:eastAsia="Arial" w:hAnsi="Arial"/>
          <w:sz w:val="20"/>
          <w:szCs w:val="20"/>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92" w:lineRule="exact"/>
        <w:rPr>
          <w:rFonts w:ascii="Arial" w:cs="Arial" w:eastAsia="Arial" w:hAnsi="Arial"/>
          <w:sz w:val="20"/>
          <w:szCs w:val="20"/>
          <w:color w:val="auto"/>
        </w:rPr>
      </w:pPr>
    </w:p>
    <w:p>
      <w:pPr>
        <w:ind w:left="2200" w:hanging="895"/>
        <w:spacing w:after="0"/>
        <w:tabs>
          <w:tab w:leader="none" w:pos="220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65" w:lineRule="exact"/>
        <w:rPr>
          <w:rFonts w:ascii="Arial" w:cs="Arial" w:eastAsia="Arial" w:hAnsi="Arial"/>
          <w:sz w:val="18"/>
          <w:szCs w:val="18"/>
          <w:color w:val="auto"/>
        </w:rPr>
      </w:pPr>
    </w:p>
    <w:p>
      <w:pPr>
        <w:ind w:left="2240" w:hanging="935"/>
        <w:spacing w:after="0"/>
        <w:tabs>
          <w:tab w:leader="none" w:pos="2240" w:val="left"/>
        </w:tabs>
        <w:numPr>
          <w:ilvl w:val="1"/>
          <w:numId w:val="252"/>
        </w:numPr>
        <w:rPr>
          <w:rFonts w:ascii="Arial" w:cs="Arial" w:eastAsia="Arial" w:hAnsi="Arial"/>
          <w:sz w:val="20"/>
          <w:szCs w:val="20"/>
          <w:color w:val="auto"/>
        </w:rPr>
      </w:pPr>
      <w:r>
        <w:rPr>
          <w:rFonts w:ascii="Arial" w:cs="Arial" w:eastAsia="Arial" w:hAnsi="Arial"/>
          <w:sz w:val="20"/>
          <w:szCs w:val="20"/>
          <w:color w:val="auto"/>
        </w:rPr>
        <w:t>whether the resulting Borrowing is to be an ABR Borrowing or a Eurodollar Borrowing; and</w:t>
      </w:r>
    </w:p>
    <w:p>
      <w:pPr>
        <w:spacing w:after="0" w:line="242" w:lineRule="exact"/>
        <w:rPr>
          <w:rFonts w:ascii="Arial" w:cs="Arial" w:eastAsia="Arial" w:hAnsi="Arial"/>
          <w:sz w:val="20"/>
          <w:szCs w:val="20"/>
          <w:color w:val="auto"/>
        </w:rPr>
      </w:pPr>
    </w:p>
    <w:p>
      <w:pPr>
        <w:ind w:left="660" w:firstLine="645"/>
        <w:spacing w:after="0" w:line="316" w:lineRule="auto"/>
        <w:tabs>
          <w:tab w:leader="none" w:pos="2242" w:val="left"/>
        </w:tabs>
        <w:numPr>
          <w:ilvl w:val="1"/>
          <w:numId w:val="252"/>
        </w:numPr>
        <w:rPr>
          <w:rFonts w:ascii="Arial" w:cs="Arial" w:eastAsia="Arial" w:hAnsi="Arial"/>
          <w:sz w:val="19"/>
          <w:szCs w:val="19"/>
          <w:color w:val="auto"/>
        </w:rPr>
      </w:pPr>
      <w:r>
        <w:rPr>
          <w:rFonts w:ascii="Arial" w:cs="Arial" w:eastAsia="Arial" w:hAnsi="Arial"/>
          <w:sz w:val="19"/>
          <w:szCs w:val="19"/>
          <w:color w:val="auto"/>
        </w:rPr>
        <w:t>if the resulting Borrowing is a Eurodollar Borrowing, the Interest Period to be applicable thereto after giving effect to such election, which Interest Period shall be a period contemplated by the definition of the term “Interest Period”.</w:t>
      </w:r>
    </w:p>
    <w:p>
      <w:pPr>
        <w:spacing w:after="0" w:line="14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any such Interest Election Request requests a Eurodollar Borrowing but does not specify an Interest Period, then the applicable Borrower shall be deemed to have selected an Interest Period of one month’s duration.</w:t>
      </w:r>
    </w:p>
    <w:p>
      <w:pPr>
        <w:spacing w:after="0" w:line="190" w:lineRule="exact"/>
        <w:rPr>
          <w:sz w:val="20"/>
          <w:szCs w:val="20"/>
          <w:color w:val="auto"/>
        </w:rPr>
      </w:pPr>
    </w:p>
    <w:p>
      <w:pPr>
        <w:ind w:firstLine="656"/>
        <w:spacing w:after="0" w:line="289" w:lineRule="auto"/>
        <w:tabs>
          <w:tab w:leader="none" w:pos="1527" w:val="left"/>
        </w:tabs>
        <w:numPr>
          <w:ilvl w:val="0"/>
          <w:numId w:val="253"/>
        </w:numPr>
        <w:rPr>
          <w:rFonts w:ascii="Arial" w:cs="Arial" w:eastAsia="Arial" w:hAnsi="Arial"/>
          <w:sz w:val="20"/>
          <w:szCs w:val="20"/>
          <w:color w:val="auto"/>
        </w:rPr>
      </w:pPr>
      <w:r>
        <w:rPr>
          <w:rFonts w:ascii="Arial" w:cs="Arial" w:eastAsia="Arial" w:hAnsi="Arial"/>
          <w:sz w:val="20"/>
          <w:szCs w:val="20"/>
          <w:color w:val="auto"/>
        </w:rPr>
        <w:t>Promptly following receipt of an Interest Election Request, the Administrative Agent shall advise each Lender of the details thereof and of such Lender’s portion of each resulting Borrowing.</w:t>
      </w:r>
    </w:p>
    <w:p>
      <w:pPr>
        <w:spacing w:after="0" w:line="175" w:lineRule="exact"/>
        <w:rPr>
          <w:rFonts w:ascii="Arial" w:cs="Arial" w:eastAsia="Arial" w:hAnsi="Arial"/>
          <w:sz w:val="20"/>
          <w:szCs w:val="20"/>
          <w:color w:val="auto"/>
        </w:rPr>
      </w:pPr>
    </w:p>
    <w:p>
      <w:pPr>
        <w:jc w:val="both"/>
        <w:ind w:firstLine="656"/>
        <w:spacing w:after="0" w:line="307" w:lineRule="auto"/>
        <w:tabs>
          <w:tab w:leader="none" w:pos="151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Required Lenders, so notifies the Borrower Representative,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6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2.09</w:t>
      </w:r>
      <w:r>
        <w:rPr>
          <w:sz w:val="20"/>
          <w:szCs w:val="20"/>
          <w:color w:val="auto"/>
        </w:rPr>
        <w:tab/>
      </w:r>
      <w:r>
        <w:rPr>
          <w:rFonts w:ascii="Arial" w:cs="Arial" w:eastAsia="Arial" w:hAnsi="Arial"/>
          <w:sz w:val="18"/>
          <w:szCs w:val="18"/>
          <w:u w:val="single" w:color="auto"/>
          <w:color w:val="auto"/>
        </w:rPr>
        <w:t>Termination and Reduction of Commitments; Increase in Commitments.</w:t>
      </w:r>
    </w:p>
    <w:p>
      <w:pPr>
        <w:spacing w:after="0" w:line="229" w:lineRule="exact"/>
        <w:rPr>
          <w:sz w:val="20"/>
          <w:szCs w:val="20"/>
          <w:color w:val="auto"/>
        </w:rPr>
      </w:pPr>
    </w:p>
    <w:p>
      <w:pPr>
        <w:ind w:left="5620" w:right="3500" w:hanging="4964"/>
        <w:spacing w:after="0" w:line="740" w:lineRule="auto"/>
        <w:tabs>
          <w:tab w:leader="none" w:pos="1128" w:val="left"/>
        </w:tabs>
        <w:numPr>
          <w:ilvl w:val="0"/>
          <w:numId w:val="254"/>
        </w:numPr>
        <w:rPr>
          <w:rFonts w:ascii="Arial" w:cs="Arial" w:eastAsia="Arial" w:hAnsi="Arial"/>
          <w:sz w:val="20"/>
          <w:szCs w:val="20"/>
          <w:color w:val="auto"/>
        </w:rPr>
      </w:pPr>
      <w:r>
        <w:rPr>
          <w:rFonts w:ascii="Arial" w:cs="Arial" w:eastAsia="Arial" w:hAnsi="Arial"/>
          <w:sz w:val="20"/>
          <w:szCs w:val="20"/>
          <w:color w:val="auto"/>
        </w:rPr>
        <w:t>Unless previously terminated, the Commitments shall terminate on the Maturity Date. 58</w:t>
      </w:r>
    </w:p>
    <w:p>
      <w:pPr>
        <w:sectPr>
          <w:pgSz w:w="11900" w:h="16838" w:orient="portrait"/>
          <w:cols w:equalWidth="0" w:num="1">
            <w:col w:w="11420"/>
          </w:cols>
          <w:pgMar w:left="240" w:top="825" w:right="239" w:bottom="1440" w:gutter="0" w:footer="0" w:header="0"/>
        </w:sectPr>
      </w:pPr>
    </w:p>
    <w:bookmarkStart w:id="234" w:name="page235"/>
    <w:bookmarkEnd w:id="234"/>
    <w:p>
      <w:pPr>
        <w:jc w:val="both"/>
        <w:ind w:firstLine="656"/>
        <w:spacing w:after="0" w:line="307" w:lineRule="auto"/>
        <w:tabs>
          <w:tab w:leader="none" w:pos="1527" w:val="left"/>
        </w:tabs>
        <w:numPr>
          <w:ilvl w:val="1"/>
          <w:numId w:val="255"/>
        </w:numPr>
        <w:rPr>
          <w:rFonts w:ascii="Arial" w:cs="Arial" w:eastAsia="Arial" w:hAnsi="Arial"/>
          <w:sz w:val="18"/>
          <w:szCs w:val="18"/>
          <w:color w:val="auto"/>
        </w:rPr>
      </w:pPr>
      <w:r>
        <w:rPr>
          <w:rFonts w:ascii="Arial" w:cs="Arial" w:eastAsia="Arial" w:hAnsi="Arial"/>
          <w:sz w:val="18"/>
          <w:szCs w:val="18"/>
          <w:color w:val="auto"/>
        </w:rPr>
        <w:t>The Borrowers may at any time terminate the Commitments upon (i) the payment in full of all outstanding Loans, together with accrued and unpaid interest thereon and on any Letters of Credit, (ii) the cancellation and return of all outstanding Letters of Credit (or alternatively, with respect to each such Letter of Credit, the furnishing to the Administrative Agent of a cash deposit (or at the discretion of the Administrative Agent a back-up standby letter of credit satisfactory to the Administrative Agent and Issuing Bank) equal to 103% of the LC Exposure as of such date), (iii) the payment in full of the accrued and unpaid fees, and (iv) the payment in full of all reimbursable expenses and other Obligations (other than Unliquidated Obligations), together with accrued and unpaid interest thereon.</w:t>
      </w:r>
    </w:p>
    <w:p>
      <w:pPr>
        <w:spacing w:after="0" w:line="167" w:lineRule="exact"/>
        <w:rPr>
          <w:rFonts w:ascii="Arial" w:cs="Arial" w:eastAsia="Arial" w:hAnsi="Arial"/>
          <w:sz w:val="18"/>
          <w:szCs w:val="18"/>
          <w:color w:val="auto"/>
        </w:rPr>
      </w:pPr>
    </w:p>
    <w:p>
      <w:pPr>
        <w:jc w:val="both"/>
        <w:ind w:firstLine="656"/>
        <w:spacing w:after="0" w:line="293" w:lineRule="auto"/>
        <w:tabs>
          <w:tab w:leader="none" w:pos="1516" w:val="left"/>
        </w:tabs>
        <w:numPr>
          <w:ilvl w:val="1"/>
          <w:numId w:val="255"/>
        </w:numPr>
        <w:rPr>
          <w:rFonts w:ascii="Arial" w:cs="Arial" w:eastAsia="Arial" w:hAnsi="Arial"/>
          <w:sz w:val="19"/>
          <w:szCs w:val="19"/>
          <w:color w:val="auto"/>
        </w:rPr>
      </w:pPr>
      <w:r>
        <w:rPr>
          <w:rFonts w:ascii="Arial" w:cs="Arial" w:eastAsia="Arial" w:hAnsi="Arial"/>
          <w:sz w:val="19"/>
          <w:szCs w:val="19"/>
          <w:color w:val="auto"/>
        </w:rPr>
        <w:t xml:space="preserve">The Borrowers may from time to time reduce the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each reduction of the Commitments shall be in an amount that is an integral multiple of $10,000,000 and not less than $10,000,000; (ii) the Borrowers shall not terminate or reduce the Commitments if, after giving effect to any concurrent prepayment of the Revolving Loans in accordance with Section 2.10, the Borrowers shall not be in compliance with the Revolving Exposure Limitations; and (iii) any such reduction shall be permanent.</w:t>
      </w:r>
    </w:p>
    <w:p>
      <w:pPr>
        <w:spacing w:after="0" w:line="175" w:lineRule="exact"/>
        <w:rPr>
          <w:rFonts w:ascii="Arial" w:cs="Arial" w:eastAsia="Arial" w:hAnsi="Arial"/>
          <w:sz w:val="19"/>
          <w:szCs w:val="19"/>
          <w:color w:val="auto"/>
        </w:rPr>
      </w:pPr>
    </w:p>
    <w:p>
      <w:pPr>
        <w:jc w:val="both"/>
        <w:ind w:firstLine="656"/>
        <w:spacing w:after="0" w:line="270" w:lineRule="auto"/>
        <w:tabs>
          <w:tab w:leader="none" w:pos="1527" w:val="left"/>
        </w:tabs>
        <w:numPr>
          <w:ilvl w:val="1"/>
          <w:numId w:val="255"/>
        </w:numPr>
        <w:rPr>
          <w:rFonts w:ascii="Arial" w:cs="Arial" w:eastAsia="Arial" w:hAnsi="Arial"/>
          <w:sz w:val="20"/>
          <w:szCs w:val="20"/>
          <w:color w:val="auto"/>
        </w:rPr>
      </w:pPr>
      <w:r>
        <w:rPr>
          <w:rFonts w:ascii="Arial" w:cs="Arial" w:eastAsia="Arial" w:hAnsi="Arial"/>
          <w:sz w:val="20"/>
          <w:szCs w:val="20"/>
          <w:color w:val="auto"/>
        </w:rPr>
        <w:t xml:space="preserve">The Borrower Representative shall notify the Administrative Agent of any election to terminate or reduce the Commitments under the foregoing paragraphs of this Section at least three (3)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Representative pursuant to this Section shall be irrevocable;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notice of termination of the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96" w:lineRule="exact"/>
        <w:rPr>
          <w:rFonts w:ascii="Arial" w:cs="Arial" w:eastAsia="Arial" w:hAnsi="Arial"/>
          <w:sz w:val="20"/>
          <w:szCs w:val="20"/>
          <w:color w:val="auto"/>
        </w:rPr>
      </w:pPr>
    </w:p>
    <w:p>
      <w:pPr>
        <w:jc w:val="both"/>
        <w:ind w:firstLine="656"/>
        <w:spacing w:after="0" w:line="305" w:lineRule="auto"/>
        <w:tabs>
          <w:tab w:leader="none" w:pos="1516" w:val="left"/>
        </w:tabs>
        <w:numPr>
          <w:ilvl w:val="1"/>
          <w:numId w:val="255"/>
        </w:numPr>
        <w:rPr>
          <w:rFonts w:ascii="Arial" w:cs="Arial" w:eastAsia="Arial" w:hAnsi="Arial"/>
          <w:sz w:val="18"/>
          <w:szCs w:val="18"/>
          <w:color w:val="auto"/>
        </w:rPr>
      </w:pPr>
      <w:r>
        <w:rPr>
          <w:rFonts w:ascii="Arial" w:cs="Arial" w:eastAsia="Arial" w:hAnsi="Arial"/>
          <w:sz w:val="18"/>
          <w:szCs w:val="18"/>
          <w:color w:val="auto"/>
        </w:rPr>
        <w:t xml:space="preserve">The Borrowers shall have the right to increase the Commitments by obtaining additional Commitments, either from one or more of the Lenders or another lending institution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request for an increase shall be in a minimum amount of $25,000,000 (or such lesser amount that represents all remaining availability hereunder), (ii) after giving effect thereto, the sum of the total of the additional Commitments does not exceed $50,000,000, (iii) the Administrative Agent and the Issuing Bank(s) have approved the identity of any such new Lender, such approvals not to be unreasonably withheld, (iv) any such new Lender assumes all of the rights and obligations of a “Lender” hereunder, and (v) the procedure described in Section 2.09(f) have been satisfied. Nothing contained in this Section 2.09 shall constitute, or otherwise be deemed to be, a commitment on the part of any Lender to increase its Commitment hereunder at any time.</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494"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Any amendment hereto for such an increase or addition shall be in form and substance reasonably satisfactory to the Administrative Agent and shall only require the written signatures of the Administrative Agent, the Borrowers and each Lender being added or increasing its Commitment. As a condition precedent to such an increase or addition, the Borrowers shall deliver to the Administrative Agent</w:t>
      </w:r>
    </w:p>
    <w:p>
      <w:pPr>
        <w:spacing w:after="0" w:line="1" w:lineRule="exact"/>
        <w:rPr>
          <w:rFonts w:ascii="Arial" w:cs="Arial" w:eastAsia="Arial" w:hAnsi="Arial"/>
          <w:sz w:val="18"/>
          <w:szCs w:val="18"/>
          <w:color w:val="auto"/>
        </w:rPr>
      </w:pPr>
    </w:p>
    <w:p>
      <w:pPr>
        <w:jc w:val="both"/>
        <w:ind w:firstLine="8"/>
        <w:spacing w:after="0" w:line="272" w:lineRule="auto"/>
        <w:tabs>
          <w:tab w:leader="none" w:pos="247" w:val="left"/>
        </w:tabs>
        <w:numPr>
          <w:ilvl w:val="0"/>
          <w:numId w:val="256"/>
        </w:numPr>
        <w:rPr>
          <w:rFonts w:ascii="Arial" w:cs="Arial" w:eastAsia="Arial" w:hAnsi="Arial"/>
          <w:sz w:val="20"/>
          <w:szCs w:val="20"/>
          <w:color w:val="auto"/>
        </w:rPr>
      </w:pPr>
      <w:r>
        <w:rPr>
          <w:rFonts w:ascii="Arial" w:cs="Arial" w:eastAsia="Arial" w:hAnsi="Arial"/>
          <w:sz w:val="20"/>
          <w:szCs w:val="20"/>
          <w:color w:val="auto"/>
        </w:rPr>
        <w:t>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 (1) the representations and warranties contained in Article III and the other Loan Documents are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or Material Adverse Effect is true and correct in all respects), except to the extent that such representations and warranties specifically refer to an earlier date, in which case they are true and correct in all material respects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825" w:right="239" w:bottom="1440" w:gutter="0" w:footer="0" w:header="0"/>
        </w:sectPr>
      </w:pPr>
    </w:p>
    <w:bookmarkStart w:id="235" w:name="page236"/>
    <w:bookmarkEnd w:id="235"/>
    <w:p>
      <w:pPr>
        <w:jc w:val="both"/>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or Material Adverse Effect are true and correct in all respects) as of such earlier date, (2) no Default exists and (3) the Borrowers are in compliance (on a pro forma basis) with the covenant contained in Section 6.12 (calculated assuming an FCCR Test Period is then in effect) and (ii) legal opinions and documents consistent with those delivered on the Effective Date, to the extent reasonably requested by the Administrative Agent.</w:t>
      </w:r>
    </w:p>
    <w:p>
      <w:pPr>
        <w:spacing w:after="0" w:line="192" w:lineRule="exact"/>
        <w:rPr>
          <w:sz w:val="20"/>
          <w:szCs w:val="20"/>
          <w:color w:val="auto"/>
        </w:rPr>
      </w:pPr>
    </w:p>
    <w:p>
      <w:pPr>
        <w:jc w:val="both"/>
        <w:ind w:firstLine="656"/>
        <w:spacing w:after="0" w:line="300" w:lineRule="auto"/>
        <w:tabs>
          <w:tab w:leader="none" w:pos="152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On the effective date of any such increase or addition, (i) any Lender increasing (or, in the case of any newly added Lender, extending) its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Eurodollar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Repayment of Loans; Evidence of Debt.</w:t>
      </w:r>
      <w:r>
        <w:rPr>
          <w:rFonts w:ascii="Arial" w:cs="Arial" w:eastAsia="Arial" w:hAnsi="Arial"/>
          <w:sz w:val="20"/>
          <w:szCs w:val="20"/>
          <w:color w:val="auto"/>
        </w:rPr>
        <w:t xml:space="preserve"> (a) The Borrowers hereby unconditionally promise to pay (i) to the Administrative Agent for the account of each Lender the then unpaid principal amount of each Revolving Loan on the Maturity Date,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demand by the Administrative Agent.</w:t>
      </w:r>
    </w:p>
    <w:p>
      <w:pPr>
        <w:spacing w:after="0" w:line="191" w:lineRule="exact"/>
        <w:rPr>
          <w:sz w:val="20"/>
          <w:szCs w:val="20"/>
          <w:color w:val="auto"/>
        </w:rPr>
      </w:pPr>
    </w:p>
    <w:p>
      <w:pPr>
        <w:jc w:val="both"/>
        <w:ind w:firstLine="656"/>
        <w:spacing w:after="0" w:line="273" w:lineRule="auto"/>
        <w:tabs>
          <w:tab w:leader="none" w:pos="143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 xml:space="preserve">At all times that full cash dominion is in effect pursuant to Section 7.3 of the Security Agreement, on each Business Day, the Administrative Agent shall apply all funds credited to the Collection Account on such Business Day or the immediately preceding Business Day (at the discretion of the Administrative Agent, whether or not immediately available)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prepay any Protective Advances and Overadvances that may be outstanding, pro rata, and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prepay the Revolving Loans (including Swingline Loans) and to cash collateralize outstanding LC Exposure.</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445"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186" w:lineRule="exact"/>
        <w:rPr>
          <w:rFonts w:ascii="Arial" w:cs="Arial" w:eastAsia="Arial" w:hAnsi="Arial"/>
          <w:sz w:val="20"/>
          <w:szCs w:val="20"/>
          <w:color w:val="auto"/>
        </w:rPr>
      </w:pPr>
    </w:p>
    <w:p>
      <w:pPr>
        <w:jc w:val="both"/>
        <w:ind w:right="20" w:firstLine="656"/>
        <w:spacing w:after="0" w:line="278" w:lineRule="auto"/>
        <w:tabs>
          <w:tab w:leader="none" w:pos="1434"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20"/>
          </w:cols>
          <w:pgMar w:left="240" w:top="825" w:right="239" w:bottom="1440" w:gutter="0" w:footer="0" w:header="0"/>
        </w:sectPr>
      </w:pPr>
    </w:p>
    <w:bookmarkStart w:id="236" w:name="page237"/>
    <w:bookmarkEnd w:id="236"/>
    <w:p>
      <w:pPr>
        <w:spacing w:after="0" w:line="289" w:lineRule="auto"/>
        <w:rPr>
          <w:sz w:val="20"/>
          <w:szCs w:val="20"/>
          <w:color w:val="auto"/>
        </w:rPr>
      </w:pPr>
      <w:r>
        <w:rPr>
          <w:rFonts w:ascii="Arial" w:cs="Arial" w:eastAsia="Arial" w:hAnsi="Arial"/>
          <w:sz w:val="20"/>
          <w:szCs w:val="20"/>
          <w:color w:val="auto"/>
        </w:rPr>
        <w:t>each Lender hereunder and (iii) the amount of any sum received by the Administrative Agent hereunder for the account of the Lenders and each Lender’s share thereof.</w:t>
      </w:r>
    </w:p>
    <w:p>
      <w:pPr>
        <w:spacing w:after="0" w:line="175" w:lineRule="exact"/>
        <w:rPr>
          <w:sz w:val="20"/>
          <w:szCs w:val="20"/>
          <w:color w:val="auto"/>
        </w:rPr>
      </w:pPr>
    </w:p>
    <w:p>
      <w:pPr>
        <w:jc w:val="both"/>
        <w:ind w:firstLine="656"/>
        <w:spacing w:after="0" w:line="274" w:lineRule="auto"/>
        <w:tabs>
          <w:tab w:leader="none" w:pos="1445"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The entries made in the accounts maintained pursuant to </w:t>
      </w:r>
      <w:r>
        <w:rPr>
          <w:rFonts w:ascii="Arial" w:cs="Arial" w:eastAsia="Arial" w:hAnsi="Arial"/>
          <w:sz w:val="20"/>
          <w:szCs w:val="20"/>
          <w:u w:val="single" w:color="auto"/>
          <w:color w:val="auto"/>
        </w:rPr>
        <w:t>paragraph (c)</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this Section shall be </w:t>
      </w:r>
      <w:r>
        <w:rPr>
          <w:rFonts w:ascii="Arial" w:cs="Arial" w:eastAsia="Arial" w:hAnsi="Arial"/>
          <w:sz w:val="20"/>
          <w:szCs w:val="20"/>
          <w:u w:val="single" w:color="auto"/>
          <w:color w:val="auto"/>
        </w:rPr>
        <w:t>prima facie</w:t>
      </w:r>
      <w:r>
        <w:rPr>
          <w:rFonts w:ascii="Arial" w:cs="Arial" w:eastAsia="Arial" w:hAnsi="Arial"/>
          <w:sz w:val="20"/>
          <w:szCs w:val="20"/>
          <w:color w:val="auto"/>
        </w:rPr>
        <w:t xml:space="preserve"> evidence of the existence and amounts of the obligations recorded therein;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92" w:lineRule="exact"/>
        <w:rPr>
          <w:rFonts w:ascii="Arial" w:cs="Arial" w:eastAsia="Arial" w:hAnsi="Arial"/>
          <w:sz w:val="20"/>
          <w:szCs w:val="20"/>
          <w:color w:val="auto"/>
        </w:rPr>
      </w:pPr>
    </w:p>
    <w:p>
      <w:pPr>
        <w:jc w:val="both"/>
        <w:ind w:firstLine="656"/>
        <w:spacing w:after="0" w:line="273" w:lineRule="auto"/>
        <w:tabs>
          <w:tab w:leader="none" w:pos="1434" w:val="left"/>
        </w:tabs>
        <w:numPr>
          <w:ilvl w:val="0"/>
          <w:numId w:val="259"/>
        </w:numPr>
        <w:rPr>
          <w:rFonts w:ascii="Arial" w:cs="Arial" w:eastAsia="Arial" w:hAnsi="Arial"/>
          <w:sz w:val="20"/>
          <w:szCs w:val="20"/>
          <w:color w:val="auto"/>
        </w:rPr>
      </w:pPr>
      <w:r>
        <w:rPr>
          <w:rFonts w:ascii="Arial" w:cs="Arial" w:eastAsia="Arial" w:hAnsi="Arial"/>
          <w:sz w:val="20"/>
          <w:szCs w:val="20"/>
          <w:color w:val="auto"/>
        </w:rPr>
        <w:t xml:space="preserve">Any Lender may request that Loans made by it be evidenced by a promissory note. In such event, the Borrowers shall prepare, execute and deliver to such Lender a promissory note payable to the order of such Lender (or, if requested by such Lender, to such Lender and its registered assigns) and in a form approved by the Administrative Agent. Thereafter, the Loans evidenced by such promissory note and interest thereon shall at all times (including after assignment pursuant to </w:t>
      </w:r>
      <w:r>
        <w:rPr>
          <w:rFonts w:ascii="Arial" w:cs="Arial" w:eastAsia="Arial" w:hAnsi="Arial"/>
          <w:sz w:val="20"/>
          <w:szCs w:val="20"/>
          <w:u w:val="single" w:color="auto"/>
          <w:color w:val="auto"/>
        </w:rPr>
        <w:t>Section 9</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be represented by one or more promissory notes in such form.</w:t>
      </w:r>
    </w:p>
    <w:p>
      <w:pPr>
        <w:spacing w:after="0" w:line="191"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6"/>
          <w:szCs w:val="16"/>
          <w:u w:val="single" w:color="auto"/>
          <w:color w:val="auto"/>
        </w:rPr>
        <w:t>Prepayment of Loans.</w:t>
      </w:r>
    </w:p>
    <w:p>
      <w:pPr>
        <w:spacing w:after="0" w:line="243" w:lineRule="exact"/>
        <w:rPr>
          <w:sz w:val="20"/>
          <w:szCs w:val="20"/>
          <w:color w:val="auto"/>
        </w:rPr>
      </w:pPr>
    </w:p>
    <w:p>
      <w:pPr>
        <w:ind w:firstLine="656"/>
        <w:spacing w:after="0" w:line="347" w:lineRule="auto"/>
        <w:tabs>
          <w:tab w:leader="none" w:pos="15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Borrowers shall have the right at any time and from time to time to prepay any Borrowing in whole or in part, subject to prior notice in accordance with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and, if applicable, payment of any break funding expenses under Section 2.16.</w:t>
      </w:r>
    </w:p>
    <w:p>
      <w:pPr>
        <w:spacing w:after="0" w:line="130" w:lineRule="exact"/>
        <w:rPr>
          <w:rFonts w:ascii="Arial" w:cs="Arial" w:eastAsia="Arial" w:hAnsi="Arial"/>
          <w:sz w:val="18"/>
          <w:szCs w:val="18"/>
          <w:color w:val="auto"/>
        </w:rPr>
      </w:pPr>
    </w:p>
    <w:p>
      <w:pPr>
        <w:jc w:val="both"/>
        <w:ind w:firstLine="656"/>
        <w:spacing w:after="0" w:line="274" w:lineRule="auto"/>
        <w:tabs>
          <w:tab w:leader="none" w:pos="1527" w:val="left"/>
        </w:tabs>
        <w:numPr>
          <w:ilvl w:val="0"/>
          <w:numId w:val="260"/>
        </w:numPr>
        <w:rPr>
          <w:rFonts w:ascii="Arial" w:cs="Arial" w:eastAsia="Arial" w:hAnsi="Arial"/>
          <w:sz w:val="20"/>
          <w:szCs w:val="20"/>
          <w:color w:val="auto"/>
        </w:rPr>
      </w:pPr>
      <w:r>
        <w:rPr>
          <w:rFonts w:ascii="Arial" w:cs="Arial" w:eastAsia="Arial" w:hAnsi="Arial"/>
          <w:sz w:val="20"/>
          <w:szCs w:val="20"/>
          <w:color w:val="auto"/>
        </w:rPr>
        <w:t>Except for Protective Advances and Overadvances permitted under Sections 2.04 and 2.05, if at any time the Borrowers are not in compliance with the Revolving Exposure Limitations, the Borrowers shall prepay the Revolving Loans, LC Exposure and/or Swingline Loans or cash collateralize LC Exposure in an account with the Administrative Agent pursuant to Section 2.06(j), as applicable, in an aggregate amount equal to such excess.</w:t>
      </w:r>
    </w:p>
    <w:p>
      <w:pPr>
        <w:spacing w:after="0" w:line="192" w:lineRule="exact"/>
        <w:rPr>
          <w:rFonts w:ascii="Arial" w:cs="Arial" w:eastAsia="Arial" w:hAnsi="Arial"/>
          <w:sz w:val="20"/>
          <w:szCs w:val="20"/>
          <w:color w:val="auto"/>
        </w:rPr>
      </w:pPr>
    </w:p>
    <w:p>
      <w:pPr>
        <w:jc w:val="both"/>
        <w:ind w:firstLine="656"/>
        <w:spacing w:after="0" w:line="302" w:lineRule="auto"/>
        <w:tabs>
          <w:tab w:leader="none" w:pos="151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Borrower Representative shall notify the Administrative Agent (and, in the case of prepayment of a Swingline Loan, the Swingline Lender) by telephone (confirmed by facsimile) or through Electronic System, if arrangements for doing so have been approved by the Administrative Agent, of any prepayment hereunder not later than 10:00 a.m., Chicago time, (A) in the case of prepayment of a Eurodollar Borrowing, three (3) Business Days before the date of prepayment or (B) in the case of prepayment of an ABR Borrowing, on the date of prepayment. Each such notice shall be irrevocable and shall specify the prepayment date and the principal amount of each Borrowing or portion thereof to be prepaid;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notice of prepayment is given in connection with a conditional notice of termination of the Commitments as contemplated by </w:t>
      </w:r>
      <w:r>
        <w:rPr>
          <w:rFonts w:ascii="Arial" w:cs="Arial" w:eastAsia="Arial" w:hAnsi="Arial"/>
          <w:sz w:val="18"/>
          <w:szCs w:val="18"/>
          <w:u w:val="single" w:color="auto"/>
          <w:color w:val="auto"/>
        </w:rPr>
        <w:t>Section 2</w:t>
      </w:r>
      <w:r>
        <w:rPr>
          <w:rFonts w:ascii="Arial" w:cs="Arial" w:eastAsia="Arial" w:hAnsi="Arial"/>
          <w:sz w:val="18"/>
          <w:szCs w:val="18"/>
          <w:color w:val="auto"/>
        </w:rPr>
        <w:t>.</w:t>
      </w:r>
      <w:r>
        <w:rPr>
          <w:rFonts w:ascii="Arial" w:cs="Arial" w:eastAsia="Arial" w:hAnsi="Arial"/>
          <w:sz w:val="18"/>
          <w:szCs w:val="18"/>
          <w:u w:val="single" w:color="auto"/>
          <w:color w:val="auto"/>
        </w:rPr>
        <w:t>09</w:t>
      </w:r>
      <w:r>
        <w:rPr>
          <w:rFonts w:ascii="Arial" w:cs="Arial" w:eastAsia="Arial" w:hAnsi="Arial"/>
          <w:sz w:val="18"/>
          <w:szCs w:val="18"/>
          <w:color w:val="auto"/>
        </w:rPr>
        <w:t xml:space="preserve">, then such notice of prepayment may be revoked if such notice of termination is revoked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w:t>
      </w:r>
      <w:r>
        <w:rPr>
          <w:rFonts w:ascii="Arial" w:cs="Arial" w:eastAsia="Arial" w:hAnsi="Arial"/>
          <w:sz w:val="18"/>
          <w:szCs w:val="18"/>
          <w:u w:val="single" w:color="auto"/>
          <w:color w:val="auto"/>
        </w:rPr>
        <w:t>09</w:t>
      </w:r>
      <w:r>
        <w:rPr>
          <w:rFonts w:ascii="Arial" w:cs="Arial" w:eastAsia="Arial" w:hAnsi="Arial"/>
          <w:sz w:val="18"/>
          <w:szCs w:val="18"/>
          <w:color w:val="auto"/>
        </w:rPr>
        <w:t xml:space="preserve">. Promptly following receipt of any such notice relating to a Borrowing, the Administrative Agent shall advise the Lenders of the contents thereof. Each partial prepayment of any Revolving Borrowing shall be in an amount that would be permitted in the case of an advance of a Revolving Borrowing of the same Type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w:t>
      </w:r>
      <w:r>
        <w:rPr>
          <w:rFonts w:ascii="Arial" w:cs="Arial" w:eastAsia="Arial" w:hAnsi="Arial"/>
          <w:sz w:val="18"/>
          <w:szCs w:val="18"/>
          <w:u w:val="single" w:color="auto"/>
          <w:color w:val="auto"/>
        </w:rPr>
        <w:t>02</w:t>
      </w:r>
      <w:r>
        <w:rPr>
          <w:rFonts w:ascii="Arial" w:cs="Arial" w:eastAsia="Arial" w:hAnsi="Arial"/>
          <w:sz w:val="18"/>
          <w:szCs w:val="18"/>
          <w:color w:val="auto"/>
        </w:rPr>
        <w:t xml:space="preserve">. Each prepayment of a Revolving Borrowing shall be applied ratably to the Revolving Loans included in the prepaid Borrowing. Prepayments shall be accompanied by accrued interest to the extent required by </w:t>
      </w:r>
      <w:r>
        <w:rPr>
          <w:rFonts w:ascii="Arial" w:cs="Arial" w:eastAsia="Arial" w:hAnsi="Arial"/>
          <w:sz w:val="18"/>
          <w:szCs w:val="18"/>
          <w:u w:val="single" w:color="auto"/>
          <w:color w:val="auto"/>
        </w:rPr>
        <w:t>Section 2</w:t>
      </w:r>
      <w:r>
        <w:rPr>
          <w:rFonts w:ascii="Arial" w:cs="Arial" w:eastAsia="Arial" w:hAnsi="Arial"/>
          <w:sz w:val="18"/>
          <w:szCs w:val="18"/>
          <w:color w:val="auto"/>
        </w:rPr>
        <w:t>.</w:t>
      </w:r>
      <w:r>
        <w:rPr>
          <w:rFonts w:ascii="Arial" w:cs="Arial" w:eastAsia="Arial" w:hAnsi="Arial"/>
          <w:sz w:val="18"/>
          <w:szCs w:val="18"/>
          <w:u w:val="single" w:color="auto"/>
          <w:color w:val="auto"/>
        </w:rPr>
        <w:t>13</w:t>
      </w:r>
      <w:r>
        <w:rPr>
          <w:rFonts w:ascii="Arial" w:cs="Arial" w:eastAsia="Arial" w:hAnsi="Arial"/>
          <w:sz w:val="18"/>
          <w:szCs w:val="18"/>
          <w:color w:val="auto"/>
        </w:rPr>
        <w:t xml:space="preserve"> and amounts due under </w:t>
      </w:r>
      <w:r>
        <w:rPr>
          <w:rFonts w:ascii="Arial" w:cs="Arial" w:eastAsia="Arial" w:hAnsi="Arial"/>
          <w:sz w:val="18"/>
          <w:szCs w:val="18"/>
          <w:u w:val="single" w:color="auto"/>
          <w:color w:val="auto"/>
        </w:rPr>
        <w:t>Section 2</w:t>
      </w:r>
      <w:r>
        <w:rPr>
          <w:rFonts w:ascii="Arial" w:cs="Arial" w:eastAsia="Arial" w:hAnsi="Arial"/>
          <w:sz w:val="18"/>
          <w:szCs w:val="18"/>
          <w:color w:val="auto"/>
        </w:rPr>
        <w:t>.</w:t>
      </w:r>
      <w:r>
        <w:rPr>
          <w:rFonts w:ascii="Arial" w:cs="Arial" w:eastAsia="Arial" w:hAnsi="Arial"/>
          <w:sz w:val="18"/>
          <w:szCs w:val="18"/>
          <w:u w:val="single" w:color="auto"/>
          <w:color w:val="auto"/>
        </w:rPr>
        <w:t>16</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Borrowers agree to pay to the Administrative Agent for the account of each Lender a commitment fee, which shall accrue at the Applicable Commitment Fee Rate on the average daily amount of the Available Commitment of such Lender during the period from and including the Effective Date to but excluding the date on which such Lender’s Commitment terminates. Accrued commitment fees shall be payable in arrears on the first Business Day of January, April, July and October of each year and on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825" w:right="239" w:bottom="1440" w:gutter="0" w:footer="0" w:header="0"/>
        </w:sectPr>
      </w:pPr>
    </w:p>
    <w:bookmarkStart w:id="237" w:name="page238"/>
    <w:bookmarkEnd w:id="237"/>
    <w:p>
      <w:pPr>
        <w:jc w:val="both"/>
        <w:spacing w:after="0" w:line="273" w:lineRule="auto"/>
        <w:rPr>
          <w:sz w:val="20"/>
          <w:szCs w:val="20"/>
          <w:color w:val="auto"/>
        </w:rPr>
      </w:pPr>
      <w:r>
        <w:rPr>
          <w:rFonts w:ascii="Arial" w:cs="Arial" w:eastAsia="Arial" w:hAnsi="Arial"/>
          <w:sz w:val="20"/>
          <w:szCs w:val="20"/>
          <w:color w:val="auto"/>
        </w:rPr>
        <w:t>the date on which the Commitments terminate, commencing on the first such date to occur after the date hereof; provided that any commitment fees accruing after the date on which the Commitments terminate shall be payable on demand. All commitment fees shall be computed on the basis of a year of 360 days and shall be payable for the actual number of days elapsed (including the first day but excluding the last day). For purposes of computing commitment fees, the Commitment of a Lender shall be deemed to be used to the extent of the outstanding Loans and LC Exposure of such Lender.</w:t>
      </w:r>
    </w:p>
    <w:p>
      <w:pPr>
        <w:spacing w:after="0" w:line="191" w:lineRule="exact"/>
        <w:rPr>
          <w:sz w:val="20"/>
          <w:szCs w:val="20"/>
          <w:color w:val="auto"/>
        </w:rPr>
      </w:pPr>
    </w:p>
    <w:p>
      <w:pPr>
        <w:jc w:val="both"/>
        <w:ind w:firstLine="1305"/>
        <w:spacing w:after="0" w:line="340" w:lineRule="auto"/>
        <w:tabs>
          <w:tab w:leader="none" w:pos="208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The Borrowers agree to pay (i) to the Administrative Agent for the account of each Lender a participation fee with respect to its participations in Letters of Credit, which shall accrue at the same Applicable Rate used to determine the interest rate applicable to Eurodollar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applicable Issuing Bank, for its own account, a fronting fee, which shall accrue at the rate per annum separately agreed upon by the Company and such Issuing Bank on the average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Commitments and the date on which there ceases to be any LC Exposure, as well as the Issuing Bank’s standard fees and commissions with respect to the issuance, amendment, cancellation, negotiation, transfer, presentment, renewal or extension of any Letter of Credit or processing of drawings thereunder. Participation fees and fronting fees accrued through and including the last day of each calendar quarter shall be payable on the first Business Day of each January, April, July and October following such last day,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right="20" w:firstLine="1305"/>
        <w:spacing w:after="0" w:line="289" w:lineRule="auto"/>
        <w:tabs>
          <w:tab w:leader="none" w:pos="2093"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Borrowers agree to pay to the Administrative Agent, for its own account, fees payable in the amounts and at the times separately agreed upon between the Borrowers and the Administrative Agent.</w:t>
      </w:r>
    </w:p>
    <w:p>
      <w:pPr>
        <w:spacing w:after="0" w:line="175" w:lineRule="exact"/>
        <w:rPr>
          <w:rFonts w:ascii="Arial" w:cs="Arial" w:eastAsia="Arial" w:hAnsi="Arial"/>
          <w:sz w:val="20"/>
          <w:szCs w:val="20"/>
          <w:color w:val="auto"/>
        </w:rPr>
      </w:pPr>
    </w:p>
    <w:p>
      <w:pPr>
        <w:jc w:val="both"/>
        <w:ind w:firstLine="1305"/>
        <w:spacing w:after="0" w:line="278" w:lineRule="auto"/>
        <w:tabs>
          <w:tab w:leader="none" w:pos="208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All fees payable hereunder shall be paid on the dates due, in immediately available funds, to the Administrative Agent (or to the Issuing Bank, in the case of fees payable to it) for distribution, in the case of commitment fees and participation fees, to the Lenders. Fees paid shall not be refundable under any circumstances.</w:t>
      </w:r>
    </w:p>
    <w:p>
      <w:pPr>
        <w:spacing w:after="0" w:line="187" w:lineRule="exact"/>
        <w:rPr>
          <w:sz w:val="20"/>
          <w:szCs w:val="20"/>
          <w:color w:val="auto"/>
        </w:rPr>
      </w:pPr>
    </w:p>
    <w:p>
      <w:pPr>
        <w:ind w:right="20" w:firstLine="648"/>
        <w:spacing w:after="0" w:line="289" w:lineRule="auto"/>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Interest</w:t>
      </w:r>
      <w:r>
        <w:rPr>
          <w:rFonts w:ascii="Arial" w:cs="Arial" w:eastAsia="Arial" w:hAnsi="Arial"/>
          <w:sz w:val="20"/>
          <w:szCs w:val="20"/>
          <w:color w:val="auto"/>
        </w:rPr>
        <w:t>. (a) The Loans comprising each ABR Borrowing (including each Swingline Loan) shall bear interest at the Alternate Base Rate plus the Applicable Rate.</w:t>
      </w:r>
    </w:p>
    <w:p>
      <w:pPr>
        <w:spacing w:after="0" w:line="175" w:lineRule="exact"/>
        <w:rPr>
          <w:sz w:val="20"/>
          <w:szCs w:val="20"/>
          <w:color w:val="auto"/>
        </w:rPr>
      </w:pPr>
    </w:p>
    <w:p>
      <w:pPr>
        <w:ind w:firstLine="1305"/>
        <w:spacing w:after="0" w:line="289" w:lineRule="auto"/>
        <w:tabs>
          <w:tab w:leader="none" w:pos="2227" w:val="left"/>
        </w:tabs>
        <w:numPr>
          <w:ilvl w:val="0"/>
          <w:numId w:val="262"/>
        </w:numPr>
        <w:rPr>
          <w:rFonts w:ascii="Arial" w:cs="Arial" w:eastAsia="Arial" w:hAnsi="Arial"/>
          <w:sz w:val="20"/>
          <w:szCs w:val="20"/>
          <w:color w:val="auto"/>
        </w:rPr>
      </w:pPr>
      <w:r>
        <w:rPr>
          <w:rFonts w:ascii="Arial" w:cs="Arial" w:eastAsia="Arial" w:hAnsi="Arial"/>
          <w:sz w:val="20"/>
          <w:szCs w:val="20"/>
          <w:color w:val="auto"/>
        </w:rPr>
        <w:t>The Loans comprising each Eurodollar Borrowing shall bear interest at the Adjusted LIBO Rate for the Interest Period in effect for such Borrowing plus the Applicable Rate.</w:t>
      </w:r>
    </w:p>
    <w:p>
      <w:pPr>
        <w:spacing w:after="0" w:line="175" w:lineRule="exact"/>
        <w:rPr>
          <w:rFonts w:ascii="Arial" w:cs="Arial" w:eastAsia="Arial" w:hAnsi="Arial"/>
          <w:sz w:val="20"/>
          <w:szCs w:val="20"/>
          <w:color w:val="auto"/>
        </w:rPr>
      </w:pPr>
    </w:p>
    <w:p>
      <w:pPr>
        <w:ind w:firstLine="1305"/>
        <w:spacing w:after="0" w:line="289" w:lineRule="auto"/>
        <w:tabs>
          <w:tab w:leader="none" w:pos="2225" w:val="left"/>
        </w:tabs>
        <w:numPr>
          <w:ilvl w:val="0"/>
          <w:numId w:val="262"/>
        </w:numPr>
        <w:rPr>
          <w:rFonts w:ascii="Arial" w:cs="Arial" w:eastAsia="Arial" w:hAnsi="Arial"/>
          <w:sz w:val="20"/>
          <w:szCs w:val="20"/>
          <w:color w:val="auto"/>
        </w:rPr>
      </w:pPr>
      <w:r>
        <w:rPr>
          <w:rFonts w:ascii="Arial" w:cs="Arial" w:eastAsia="Arial" w:hAnsi="Arial"/>
          <w:sz w:val="20"/>
          <w:szCs w:val="20"/>
          <w:color w:val="auto"/>
        </w:rPr>
        <w:t xml:space="preserve">Each Protective Advance and each Overadvance shall bear interest at the Alternate Base Rate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Applicable Rate for Revolving Loans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2%.</w:t>
      </w:r>
    </w:p>
    <w:p>
      <w:pPr>
        <w:spacing w:after="0" w:line="175" w:lineRule="exact"/>
        <w:rPr>
          <w:rFonts w:ascii="Arial" w:cs="Arial" w:eastAsia="Arial" w:hAnsi="Arial"/>
          <w:sz w:val="20"/>
          <w:szCs w:val="20"/>
          <w:color w:val="auto"/>
        </w:rPr>
      </w:pPr>
    </w:p>
    <w:p>
      <w:pPr>
        <w:ind w:firstLine="1305"/>
        <w:spacing w:after="0" w:line="289" w:lineRule="auto"/>
        <w:tabs>
          <w:tab w:leader="none" w:pos="2227" w:val="left"/>
        </w:tabs>
        <w:numPr>
          <w:ilvl w:val="0"/>
          <w:numId w:val="262"/>
        </w:numPr>
        <w:rPr>
          <w:rFonts w:ascii="Arial" w:cs="Arial" w:eastAsia="Arial" w:hAnsi="Arial"/>
          <w:sz w:val="20"/>
          <w:szCs w:val="20"/>
          <w:color w:val="auto"/>
        </w:rPr>
      </w:pPr>
      <w:r>
        <w:rPr>
          <w:rFonts w:ascii="Arial" w:cs="Arial" w:eastAsia="Arial" w:hAnsi="Arial"/>
          <w:sz w:val="20"/>
          <w:szCs w:val="20"/>
          <w:color w:val="auto"/>
        </w:rPr>
        <w:t>Notwithstanding the foregoing, during the occurrence and continuance of an Event of Default, the Administrative Agent or the Required Lenders may, at their option, by written notice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825" w:right="239" w:bottom="1440" w:gutter="0" w:footer="0" w:header="0"/>
        </w:sectPr>
      </w:pPr>
    </w:p>
    <w:bookmarkStart w:id="238" w:name="page239"/>
    <w:bookmarkEnd w:id="238"/>
    <w:p>
      <w:pPr>
        <w:jc w:val="both"/>
        <w:spacing w:after="0" w:line="272" w:lineRule="auto"/>
        <w:rPr>
          <w:sz w:val="20"/>
          <w:szCs w:val="20"/>
          <w:color w:val="auto"/>
        </w:rPr>
      </w:pPr>
      <w:r>
        <w:rPr>
          <w:rFonts w:ascii="Arial" w:cs="Arial" w:eastAsia="Arial" w:hAnsi="Arial"/>
          <w:sz w:val="20"/>
          <w:szCs w:val="20"/>
          <w:color w:val="auto"/>
        </w:rPr>
        <w:t xml:space="preserve">Borrower Representative (which notice may be revoked at the option of the Required Lenders notwithstanding any provision of Section 9.02 requiring the consent of “each Lender affected thereby” for reductions in interest rates), declare that (i) all Loans shall bear interest at 2% plus the rate otherwise applicable to such Loans as provided in the preceding paragraphs of this Section or (ii) in the case of any other amount outstanding hereunder, such amount shall accrue at 2% plus the rate applicable to such fee or other obligation as provided hereunder;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notice shall be required and the foregoing rates shall automatically take effect upon the occurrence of an Event of Default under clause (a), (h), (i) or (j) of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192" w:lineRule="exact"/>
        <w:rPr>
          <w:sz w:val="20"/>
          <w:szCs w:val="20"/>
          <w:color w:val="auto"/>
        </w:rPr>
      </w:pPr>
    </w:p>
    <w:p>
      <w:pPr>
        <w:jc w:val="both"/>
        <w:ind w:firstLine="1305"/>
        <w:spacing w:after="0" w:line="307" w:lineRule="auto"/>
        <w:tabs>
          <w:tab w:leader="none" w:pos="222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Accrued interest on each Loan (for ABR Loans, accrued through the last day of the prior calendar month) shall be payable in arrears on each Interest Payment Date for such Loan and upon termination of the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67" w:lineRule="exact"/>
        <w:rPr>
          <w:rFonts w:ascii="Arial" w:cs="Arial" w:eastAsia="Arial" w:hAnsi="Arial"/>
          <w:sz w:val="18"/>
          <w:szCs w:val="18"/>
          <w:color w:val="auto"/>
        </w:rPr>
      </w:pPr>
    </w:p>
    <w:p>
      <w:pPr>
        <w:jc w:val="both"/>
        <w:ind w:firstLine="1305"/>
        <w:spacing w:after="0" w:line="290" w:lineRule="auto"/>
        <w:tabs>
          <w:tab w:leader="none" w:pos="2241" w:val="left"/>
        </w:tabs>
        <w:numPr>
          <w:ilvl w:val="0"/>
          <w:numId w:val="263"/>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ind w:left="660"/>
              <w:spacing w:after="0"/>
              <w:rPr>
                <w:sz w:val="20"/>
                <w:szCs w:val="20"/>
                <w:color w:val="auto"/>
              </w:rPr>
            </w:pPr>
            <w:r>
              <w:rPr>
                <w:rFonts w:ascii="Arial" w:cs="Arial" w:eastAsia="Arial" w:hAnsi="Arial"/>
                <w:sz w:val="20"/>
                <w:szCs w:val="20"/>
                <w:color w:val="auto"/>
              </w:rPr>
              <w:t>SECTION 2.14</w:t>
            </w:r>
          </w:p>
        </w:tc>
        <w:tc>
          <w:tcPr>
            <w:tcW w:w="8840" w:type="dxa"/>
            <w:vAlign w:val="bottom"/>
            <w:gridSpan w:val="3"/>
          </w:tcPr>
          <w:p>
            <w:pPr>
              <w:ind w:left="640"/>
              <w:spacing w:after="0"/>
              <w:rPr>
                <w:sz w:val="20"/>
                <w:szCs w:val="20"/>
                <w:color w:val="auto"/>
              </w:rPr>
            </w:pPr>
            <w:r>
              <w:rPr>
                <w:rFonts w:ascii="Arial" w:cs="Arial" w:eastAsia="Arial" w:hAnsi="Arial"/>
                <w:sz w:val="20"/>
                <w:szCs w:val="20"/>
                <w:color w:val="auto"/>
                <w:w w:val="98"/>
              </w:rPr>
              <w:t>Alternate Rate of Interest. If prior to the commencement of any Interest Period for a Eurodollar</w:t>
            </w:r>
          </w:p>
        </w:tc>
      </w:tr>
      <w:tr>
        <w:trPr>
          <w:trHeight w:val="281"/>
        </w:trPr>
        <w:tc>
          <w:tcPr>
            <w:tcW w:w="2580" w:type="dxa"/>
            <w:vAlign w:val="bottom"/>
          </w:tcPr>
          <w:p>
            <w:pPr>
              <w:spacing w:after="0"/>
              <w:rPr>
                <w:sz w:val="20"/>
                <w:szCs w:val="20"/>
                <w:color w:val="auto"/>
              </w:rPr>
            </w:pPr>
            <w:r>
              <w:rPr>
                <w:rFonts w:ascii="Arial" w:cs="Arial" w:eastAsia="Arial" w:hAnsi="Arial"/>
                <w:sz w:val="20"/>
                <w:szCs w:val="20"/>
                <w:color w:val="auto"/>
              </w:rPr>
              <w:t>Borrowing:</w:t>
            </w:r>
          </w:p>
        </w:tc>
        <w:tc>
          <w:tcPr>
            <w:tcW w:w="64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r>
    </w:tbl>
    <w:p>
      <w:pPr>
        <w:spacing w:after="0" w:line="222" w:lineRule="exact"/>
        <w:rPr>
          <w:sz w:val="20"/>
          <w:szCs w:val="20"/>
          <w:color w:val="auto"/>
        </w:rPr>
      </w:pPr>
    </w:p>
    <w:p>
      <w:pPr>
        <w:jc w:val="both"/>
        <w:ind w:firstLine="1305"/>
        <w:spacing w:after="0" w:line="278" w:lineRule="auto"/>
        <w:tabs>
          <w:tab w:leader="none" w:pos="2164"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(including, without limitation, by means of an Interpolated Rate) the Adjusted LIBO Rate or the LIBO Rate, as applicable, for such Interest Period; or</w:t>
      </w:r>
    </w:p>
    <w:p>
      <w:pPr>
        <w:spacing w:after="0" w:line="186" w:lineRule="exact"/>
        <w:rPr>
          <w:rFonts w:ascii="Arial" w:cs="Arial" w:eastAsia="Arial" w:hAnsi="Arial"/>
          <w:sz w:val="20"/>
          <w:szCs w:val="20"/>
          <w:color w:val="auto"/>
        </w:rPr>
      </w:pPr>
    </w:p>
    <w:p>
      <w:pPr>
        <w:jc w:val="both"/>
        <w:ind w:firstLine="1305"/>
        <w:spacing w:after="0" w:line="278" w:lineRule="auto"/>
        <w:tabs>
          <w:tab w:leader="none" w:pos="2175"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the applicable Interest Period will not adequately and fairly reflect the cost to such Lenders (or Lender) of making or maintaining their Loans (or its Loan) included in such Borrowing for such Interest Period;</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then the Administrative Agent shall give notice thereof to the Borrower Representative and the Lenders through Electronic System as provided in Section 9.01 as promptly as practicable thereafter and, until the Administrative Agent notifies the Borrower Representative and the Lenders that the circumstances giving rise to such notice no longer exist, (i) any Interest Election Request that requests the conversion of any Borrowing to, or continuation of any Borrowing as, a Eurodollar Borrowing shall be ineffective and any such Eurodollar Borrowing shall be repaid on the last day of the then current Interest Period applicable thereto, and (ii) if any Borrowing Request requests a Eurodollar Borrowing, such Borrowing shall be made as an ABR Borrowing.</w:t>
      </w:r>
    </w:p>
    <w:p>
      <w:pPr>
        <w:spacing w:after="0" w:line="22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2.15</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color w:val="auto"/>
        </w:rPr>
        <w:t>. (a) If any Change in Law shall:</w:t>
      </w:r>
    </w:p>
    <w:p>
      <w:pPr>
        <w:spacing w:after="0" w:line="243" w:lineRule="exact"/>
        <w:rPr>
          <w:sz w:val="20"/>
          <w:szCs w:val="20"/>
          <w:color w:val="auto"/>
        </w:rPr>
      </w:pPr>
    </w:p>
    <w:p>
      <w:pPr>
        <w:ind w:left="660" w:right="20" w:firstLine="645"/>
        <w:spacing w:after="0" w:line="289" w:lineRule="auto"/>
        <w:tabs>
          <w:tab w:leader="none" w:pos="2061" w:val="left"/>
        </w:tabs>
        <w:numPr>
          <w:ilvl w:val="0"/>
          <w:numId w:val="265"/>
        </w:numPr>
        <w:rPr>
          <w:rFonts w:ascii="Arial" w:cs="Arial" w:eastAsia="Arial" w:hAnsi="Arial"/>
          <w:sz w:val="20"/>
          <w:szCs w:val="20"/>
          <w:color w:val="auto"/>
        </w:rPr>
      </w:pPr>
      <w:r>
        <w:rPr>
          <w:rFonts w:ascii="Arial" w:cs="Arial" w:eastAsia="Arial" w:hAnsi="Arial"/>
          <w:sz w:val="20"/>
          <w:szCs w:val="20"/>
          <w:color w:val="auto"/>
        </w:rPr>
        <w:t>impose, modify or deem applicable any reserve, special deposit, liquidity or similar requirement (including any compulsory loan requirement, insurance charge or other assessment)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825" w:right="239" w:bottom="1440" w:gutter="0" w:footer="0" w:header="0"/>
        </w:sectPr>
      </w:pPr>
    </w:p>
    <w:bookmarkStart w:id="239" w:name="page240"/>
    <w:bookmarkEnd w:id="239"/>
    <w:p>
      <w:pPr>
        <w:ind w:left="660"/>
        <w:spacing w:after="0" w:line="289" w:lineRule="auto"/>
        <w:rPr>
          <w:sz w:val="20"/>
          <w:szCs w:val="20"/>
          <w:color w:val="auto"/>
        </w:rPr>
      </w:pPr>
      <w:r>
        <w:rPr>
          <w:rFonts w:ascii="Arial" w:cs="Arial" w:eastAsia="Arial" w:hAnsi="Arial"/>
          <w:sz w:val="20"/>
          <w:szCs w:val="20"/>
          <w:color w:val="auto"/>
        </w:rPr>
        <w:t>against assets of, deposits with or for the account of, or credit extended by, any Lender (except any such reserve requirement reflected in the Adjusted LIBO Rate) or the Issuing Bank;</w:t>
      </w:r>
    </w:p>
    <w:p>
      <w:pPr>
        <w:spacing w:after="0" w:line="175" w:lineRule="exact"/>
        <w:rPr>
          <w:sz w:val="20"/>
          <w:szCs w:val="20"/>
          <w:color w:val="auto"/>
        </w:rPr>
      </w:pPr>
    </w:p>
    <w:p>
      <w:pPr>
        <w:ind w:left="660" w:firstLine="645"/>
        <w:spacing w:after="0" w:line="347" w:lineRule="auto"/>
        <w:tabs>
          <w:tab w:leader="none" w:pos="211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cost or expense (other than Taxes) affecting this Agreement or Loans made by such Lender or any Letter of Credit or participation therein; or</w:t>
      </w:r>
    </w:p>
    <w:p>
      <w:pPr>
        <w:spacing w:after="0" w:line="130" w:lineRule="exact"/>
        <w:rPr>
          <w:rFonts w:ascii="Arial" w:cs="Arial" w:eastAsia="Arial" w:hAnsi="Arial"/>
          <w:sz w:val="18"/>
          <w:szCs w:val="18"/>
          <w:color w:val="auto"/>
        </w:rPr>
      </w:pPr>
    </w:p>
    <w:p>
      <w:pPr>
        <w:jc w:val="both"/>
        <w:ind w:left="660" w:firstLine="645"/>
        <w:spacing w:after="0" w:line="278" w:lineRule="auto"/>
        <w:tabs>
          <w:tab w:leader="none" w:pos="2171" w:val="left"/>
        </w:tabs>
        <w:numPr>
          <w:ilvl w:val="0"/>
          <w:numId w:val="266"/>
        </w:numPr>
        <w:rPr>
          <w:rFonts w:ascii="Arial" w:cs="Arial" w:eastAsia="Arial" w:hAnsi="Arial"/>
          <w:sz w:val="20"/>
          <w:szCs w:val="20"/>
          <w:color w:val="auto"/>
        </w:rPr>
      </w:pPr>
      <w:r>
        <w:rPr>
          <w:rFonts w:ascii="Arial" w:cs="Arial" w:eastAsia="Arial" w:hAnsi="Arial"/>
          <w:sz w:val="20"/>
          <w:szCs w:val="20"/>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 as reasonably determined by the Administrative Agent, such Lender or such Issuing Bank (which determination shall be made in good faith (and not on an arbitrary or capricious basis) and generally consistent with similarly situated customers of the Administrative Agent, such Lender or such Issuing Bank, as applicable, under agreements having provisions similar to this Section 2.15, after consideration of such factors as the Administrative Agent, such Lender or such Issuing Bank, as applicable, then reasonably determines to be relevant).</w:t>
      </w:r>
    </w:p>
    <w:p>
      <w:pPr>
        <w:spacing w:after="0" w:line="188" w:lineRule="exact"/>
        <w:rPr>
          <w:sz w:val="20"/>
          <w:szCs w:val="20"/>
          <w:color w:val="auto"/>
        </w:rPr>
      </w:pPr>
    </w:p>
    <w:p>
      <w:pPr>
        <w:jc w:val="both"/>
        <w:ind w:firstLine="656"/>
        <w:spacing w:after="0" w:line="302" w:lineRule="auto"/>
        <w:tabs>
          <w:tab w:leader="none" w:pos="143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Commitments of,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 as reasonably determined by the Administrative Agent or such Lender (which determination shall be made in good faith (and not on an arbitrary or capricious basis) and generally consistent with similarly situated customers of the Administrative Agent or such Lender, as applicable, under agreements having provisions similar to this Section 2.15, after consideration of such factors as the Administrative Agent or such Lender, as applicable, then reasonably determines to be relevant).</w:t>
      </w:r>
    </w:p>
    <w:p>
      <w:pPr>
        <w:spacing w:after="0" w:line="169" w:lineRule="exact"/>
        <w:rPr>
          <w:rFonts w:ascii="Arial" w:cs="Arial" w:eastAsia="Arial" w:hAnsi="Arial"/>
          <w:sz w:val="18"/>
          <w:szCs w:val="18"/>
          <w:color w:val="auto"/>
        </w:rPr>
      </w:pPr>
    </w:p>
    <w:p>
      <w:pPr>
        <w:jc w:val="both"/>
        <w:ind w:firstLine="656"/>
        <w:spacing w:after="0" w:line="293" w:lineRule="auto"/>
        <w:tabs>
          <w:tab w:leader="none" w:pos="1445" w:val="left"/>
        </w:tabs>
        <w:numPr>
          <w:ilvl w:val="0"/>
          <w:numId w:val="267"/>
        </w:numPr>
        <w:rPr>
          <w:rFonts w:ascii="Arial" w:cs="Arial" w:eastAsia="Arial" w:hAnsi="Arial"/>
          <w:sz w:val="19"/>
          <w:szCs w:val="19"/>
          <w:color w:val="auto"/>
        </w:rPr>
      </w:pPr>
      <w:r>
        <w:rPr>
          <w:rFonts w:ascii="Arial" w:cs="Arial" w:eastAsia="Arial" w:hAnsi="Arial"/>
          <w:sz w:val="19"/>
          <w:szCs w:val="19"/>
          <w:color w:val="auto"/>
        </w:rPr>
        <w:t xml:space="preserve">A certificate of a Lender or the Issuing Bank setting forth the amount or amounts necessary to compensate such Lender or the Issuing Bank or its holding company, as the case may be, as specified in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825" w:right="239" w:bottom="1440" w:gutter="0" w:footer="0" w:header="0"/>
        </w:sectPr>
      </w:pPr>
    </w:p>
    <w:bookmarkStart w:id="240" w:name="page241"/>
    <w:bookmarkEnd w:id="240"/>
    <w:p>
      <w:pPr>
        <w:jc w:val="both"/>
        <w:ind w:firstLine="1297"/>
        <w:spacing w:after="0" w:line="258" w:lineRule="auto"/>
        <w:rPr>
          <w:sz w:val="20"/>
          <w:szCs w:val="20"/>
          <w:color w:val="auto"/>
        </w:rPr>
      </w:pPr>
      <w:r>
        <w:rPr>
          <w:rFonts w:ascii="Arial" w:cs="Arial" w:eastAsia="Arial" w:hAnsi="Arial"/>
          <w:sz w:val="19"/>
          <w:szCs w:val="19"/>
          <w:color w:val="auto"/>
        </w:rPr>
        <w:t>Failure or delay on the part of any Lender or the Issuing Bank to demand compensation pursuant to this Section shall not constitute a waiver of such Lender’s or the Issuing Bank’s right to demand such compensation; provided that the Borrowers shall not be required to compensate a Lender or the Issuing Bank pursuant to this Section for any increased costs or reductions incurred more than 180 days prior to the date that such Lender or the Issuing Bank, as the case may be, notifies the Borrower Representative of the Change in Law giving rise to such increased costs or reductions and of such Lender’s or the Issuing Bank’s intention to claim compensation therefor; provided, further, that if the Change in Law giving rise to such increased costs or reductions is retroactive, then the 180-day period referred to above shall be extended to include the period of retroactive effect thereof.</w:t>
      </w:r>
    </w:p>
    <w:p>
      <w:pPr>
        <w:spacing w:after="0" w:line="193"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2.11(a) and is revoked in accordance therewith) or (d) the assignment of any Eurodollar Loan other than on the last day of the Interest Period applicable thereto as a result of a request by the Borrower Representative pursuant to Section 2.19, then, in any such event, the Borrowers shall compensate each Lender for the loss, cost and expense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(but not the Applicable Rate applicable thereto),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Dollars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2.17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(a) Payments Free of Taxes.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97" w:lineRule="exact"/>
        <w:rPr>
          <w:sz w:val="20"/>
          <w:szCs w:val="20"/>
          <w:color w:val="auto"/>
        </w:rPr>
      </w:pPr>
    </w:p>
    <w:p>
      <w:pPr>
        <w:ind w:right="20" w:firstLine="656"/>
        <w:spacing w:after="0" w:line="289" w:lineRule="auto"/>
        <w:tabs>
          <w:tab w:leader="none" w:pos="1434"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Borrowers</w:t>
      </w:r>
      <w:r>
        <w:rPr>
          <w:rFonts w:ascii="Arial" w:cs="Arial" w:eastAsia="Arial" w:hAnsi="Arial"/>
          <w:sz w:val="20"/>
          <w:szCs w:val="20"/>
          <w:color w:val="auto"/>
        </w:rPr>
        <w:t>. The relevant Borrower shall timely pay to the relevant Governmental Authority in accordance with applicable law, or at the option of the Administrative Agent timely reimburse it for, Other Taxes.</w:t>
      </w:r>
    </w:p>
    <w:p>
      <w:pPr>
        <w:spacing w:after="0" w:line="175" w:lineRule="exact"/>
        <w:rPr>
          <w:rFonts w:ascii="Arial" w:cs="Arial" w:eastAsia="Arial" w:hAnsi="Arial"/>
          <w:sz w:val="20"/>
          <w:szCs w:val="20"/>
          <w:color w:val="auto"/>
        </w:rPr>
      </w:pPr>
    </w:p>
    <w:p>
      <w:pPr>
        <w:ind w:firstLine="656"/>
        <w:spacing w:after="0" w:line="289" w:lineRule="auto"/>
        <w:tabs>
          <w:tab w:leader="none" w:pos="1445" w:val="left"/>
        </w:tabs>
        <w:numPr>
          <w:ilvl w:val="0"/>
          <w:numId w:val="268"/>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As soon as practicable after any payment of Taxes by any Loan Party to a Governmental Authority pursuant to this Section 2.17, such Loan Party shall deliver to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812" w:right="239" w:bottom="1440" w:gutter="0" w:footer="0" w:header="0"/>
        </w:sectPr>
      </w:pPr>
    </w:p>
    <w:bookmarkStart w:id="241" w:name="page242"/>
    <w:bookmarkEnd w:id="241"/>
    <w:p>
      <w:pPr>
        <w:spacing w:after="0" w:line="316" w:lineRule="auto"/>
        <w:rPr>
          <w:sz w:val="20"/>
          <w:szCs w:val="20"/>
          <w:color w:val="auto"/>
        </w:rPr>
      </w:pPr>
      <w:r>
        <w:rPr>
          <w:rFonts w:ascii="Arial" w:cs="Arial" w:eastAsia="Arial" w:hAnsi="Arial"/>
          <w:sz w:val="19"/>
          <w:szCs w:val="19"/>
          <w:color w:val="auto"/>
        </w:rPr>
        <w:t>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54" w:lineRule="exact"/>
        <w:rPr>
          <w:sz w:val="20"/>
          <w:szCs w:val="20"/>
          <w:color w:val="auto"/>
        </w:rPr>
      </w:pPr>
    </w:p>
    <w:p>
      <w:pPr>
        <w:jc w:val="both"/>
        <w:ind w:firstLine="656"/>
        <w:spacing w:after="0" w:line="271" w:lineRule="auto"/>
        <w:tabs>
          <w:tab w:leader="none" w:pos="1434"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Indemnification by the Loan Parties</w:t>
      </w:r>
      <w:r>
        <w:rPr>
          <w:rFonts w:ascii="Arial" w:cs="Arial" w:eastAsia="Arial" w:hAnsi="Arial"/>
          <w:sz w:val="20"/>
          <w:szCs w:val="20"/>
          <w:color w:val="auto"/>
        </w:rPr>
        <w:t>.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relevant Borrower by a Lender (with a copy to the Administrative Agent), or by the Administrative Agent on its own behalf or on behalf of a Lender, shall be conclusive absent manifest error.</w:t>
      </w:r>
    </w:p>
    <w:p>
      <w:pPr>
        <w:spacing w:after="0" w:line="194" w:lineRule="exact"/>
        <w:rPr>
          <w:rFonts w:ascii="Arial" w:cs="Arial" w:eastAsia="Arial" w:hAnsi="Arial"/>
          <w:sz w:val="20"/>
          <w:szCs w:val="20"/>
          <w:color w:val="auto"/>
        </w:rPr>
      </w:pPr>
    </w:p>
    <w:p>
      <w:pPr>
        <w:jc w:val="both"/>
        <w:ind w:firstLine="656"/>
        <w:spacing w:after="0" w:line="303" w:lineRule="auto"/>
        <w:tabs>
          <w:tab w:leader="none" w:pos="1445" w:val="left"/>
        </w:tabs>
        <w:numPr>
          <w:ilvl w:val="0"/>
          <w:numId w:val="269"/>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spacing w:after="0" w:line="168" w:lineRule="exact"/>
        <w:rPr>
          <w:rFonts w:ascii="Arial" w:cs="Arial" w:eastAsia="Arial" w:hAnsi="Arial"/>
          <w:sz w:val="18"/>
          <w:szCs w:val="18"/>
          <w:color w:val="auto"/>
        </w:rPr>
      </w:pPr>
    </w:p>
    <w:p>
      <w:pPr>
        <w:ind w:left="1440" w:hanging="784"/>
        <w:spacing w:after="0"/>
        <w:tabs>
          <w:tab w:leader="none" w:pos="1440" w:val="left"/>
        </w:tabs>
        <w:numPr>
          <w:ilvl w:val="0"/>
          <w:numId w:val="269"/>
        </w:numPr>
        <w:rPr>
          <w:rFonts w:ascii="Arial" w:cs="Arial" w:eastAsia="Arial" w:hAnsi="Arial"/>
          <w:sz w:val="20"/>
          <w:szCs w:val="20"/>
          <w:color w:val="auto"/>
        </w:rPr>
      </w:pPr>
      <w:r>
        <w:rPr>
          <w:rFonts w:ascii="Arial" w:cs="Arial" w:eastAsia="Arial" w:hAnsi="Arial"/>
          <w:sz w:val="20"/>
          <w:szCs w:val="20"/>
          <w:u w:val="single" w:color="auto"/>
          <w:color w:val="auto"/>
        </w:rPr>
        <w:t>Status of Lenders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firstLine="648"/>
        <w:spacing w:after="0" w:line="285" w:lineRule="auto"/>
        <w:rPr>
          <w:rFonts w:ascii="Arial" w:cs="Arial" w:eastAsia="Arial" w:hAnsi="Arial"/>
          <w:sz w:val="20"/>
          <w:szCs w:val="20"/>
          <w:color w:val="auto"/>
        </w:rPr>
      </w:pPr>
      <w:r>
        <w:rPr>
          <w:rFonts w:ascii="Arial" w:cs="Arial" w:eastAsia="Arial" w:hAnsi="Arial"/>
          <w:sz w:val="19"/>
          <w:szCs w:val="19"/>
          <w:color w:val="auto"/>
        </w:rPr>
        <w:t>i. Any Lender that is entitled to an exemption from or reduction of withholding Tax with respect to payments made under any Loan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and to comply with any such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825" w:right="239" w:bottom="1440" w:gutter="0" w:footer="0" w:header="0"/>
        </w:sectPr>
      </w:pPr>
    </w:p>
    <w:bookmarkStart w:id="242" w:name="page243"/>
    <w:bookmarkEnd w:id="242"/>
    <w:p>
      <w:pPr>
        <w:ind w:left="920" w:hanging="815"/>
        <w:spacing w:after="0"/>
        <w:tabs>
          <w:tab w:leader="none" w:pos="920" w:val="left"/>
        </w:tabs>
        <w:numPr>
          <w:ilvl w:val="0"/>
          <w:numId w:val="270"/>
        </w:numPr>
        <w:rPr>
          <w:rFonts w:ascii="Arial" w:cs="Arial" w:eastAsia="Arial" w:hAnsi="Arial"/>
          <w:sz w:val="20"/>
          <w:szCs w:val="20"/>
          <w:color w:val="auto"/>
        </w:rPr>
      </w:pPr>
      <w:r>
        <w:rPr>
          <w:rFonts w:ascii="Arial" w:cs="Arial" w:eastAsia="Arial" w:hAnsi="Arial"/>
          <w:sz w:val="20"/>
          <w:szCs w:val="20"/>
          <w:color w:val="auto"/>
        </w:rPr>
        <w:t>Without limiting the generality of the foregoing, in the event that any Borrower is a U.S. Person:</w:t>
      </w:r>
    </w:p>
    <w:p>
      <w:pPr>
        <w:spacing w:after="0" w:line="242" w:lineRule="exact"/>
        <w:rPr>
          <w:rFonts w:ascii="Arial" w:cs="Arial" w:eastAsia="Arial" w:hAnsi="Arial"/>
          <w:sz w:val="20"/>
          <w:szCs w:val="20"/>
          <w:color w:val="auto"/>
        </w:rPr>
      </w:pPr>
    </w:p>
    <w:p>
      <w:pPr>
        <w:jc w:val="both"/>
        <w:ind w:left="100" w:firstLine="653"/>
        <w:spacing w:after="0" w:line="293" w:lineRule="auto"/>
        <w:tabs>
          <w:tab w:leader="none" w:pos="1534" w:val="left"/>
        </w:tabs>
        <w:numPr>
          <w:ilvl w:val="1"/>
          <w:numId w:val="270"/>
        </w:numPr>
        <w:rPr>
          <w:rFonts w:ascii="Arial" w:cs="Arial" w:eastAsia="Arial" w:hAnsi="Arial"/>
          <w:sz w:val="19"/>
          <w:szCs w:val="19"/>
          <w:color w:val="auto"/>
        </w:rPr>
      </w:pPr>
      <w:r>
        <w:rPr>
          <w:rFonts w:ascii="Arial" w:cs="Arial" w:eastAsia="Arial" w:hAnsi="Arial"/>
          <w:sz w:val="19"/>
          <w:szCs w:val="19"/>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(or any successor form) certifying that such Lender is exempt from U.S. Federal backup withholding tax;</w:t>
      </w:r>
    </w:p>
    <w:p>
      <w:pPr>
        <w:spacing w:after="0" w:line="175" w:lineRule="exact"/>
        <w:rPr>
          <w:rFonts w:ascii="Arial" w:cs="Arial" w:eastAsia="Arial" w:hAnsi="Arial"/>
          <w:sz w:val="19"/>
          <w:szCs w:val="19"/>
          <w:color w:val="auto"/>
        </w:rPr>
      </w:pPr>
    </w:p>
    <w:p>
      <w:pPr>
        <w:jc w:val="both"/>
        <w:ind w:left="100" w:firstLine="653"/>
        <w:spacing w:after="0" w:line="274" w:lineRule="auto"/>
        <w:tabs>
          <w:tab w:leader="none" w:pos="1545" w:val="left"/>
        </w:tabs>
        <w:numPr>
          <w:ilvl w:val="1"/>
          <w:numId w:val="270"/>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whichever of the following is applicable;</w:t>
      </w:r>
    </w:p>
    <w:p>
      <w:pPr>
        <w:spacing w:after="0" w:line="192" w:lineRule="exact"/>
        <w:rPr>
          <w:rFonts w:ascii="Arial" w:cs="Arial" w:eastAsia="Arial" w:hAnsi="Arial"/>
          <w:sz w:val="20"/>
          <w:szCs w:val="20"/>
          <w:color w:val="auto"/>
        </w:rPr>
      </w:pPr>
    </w:p>
    <w:p>
      <w:pPr>
        <w:jc w:val="both"/>
        <w:ind w:left="760" w:firstLine="641"/>
        <w:spacing w:after="0" w:line="287" w:lineRule="auto"/>
        <w:tabs>
          <w:tab w:leader="none" w:pos="2161" w:val="left"/>
        </w:tabs>
        <w:numPr>
          <w:ilvl w:val="2"/>
          <w:numId w:val="270"/>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originals of IRS Form W-8BEN or IRS Form W-8BEN-E (or any applicable successor form) establishing an exemption from, or reduction of, U.S. Federal withholding Tax pursuant to the “interest” article of such tax treaty and (y) with respect to any other applicable payments under any Loan Document, IRS Form W-8BEN or IRS Form W-8BEN-E (or any applicable successor form) establishing an exemption from, or reduction of, U.S. Federal withholding Tax pursuant to the “business profits” or “other income” article of such tax treaty;</w:t>
      </w:r>
    </w:p>
    <w:p>
      <w:pPr>
        <w:spacing w:after="0" w:line="183" w:lineRule="exact"/>
        <w:rPr>
          <w:rFonts w:ascii="Arial" w:cs="Arial" w:eastAsia="Arial" w:hAnsi="Arial"/>
          <w:sz w:val="19"/>
          <w:szCs w:val="19"/>
          <w:color w:val="auto"/>
        </w:rPr>
      </w:pPr>
    </w:p>
    <w:p>
      <w:pPr>
        <w:ind w:left="760" w:firstLine="641"/>
        <w:spacing w:after="0" w:line="289" w:lineRule="auto"/>
        <w:tabs>
          <w:tab w:leader="none" w:pos="2216" w:val="left"/>
        </w:tabs>
        <w:numPr>
          <w:ilvl w:val="2"/>
          <w:numId w:val="270"/>
        </w:numPr>
        <w:rPr>
          <w:rFonts w:ascii="Arial" w:cs="Arial" w:eastAsia="Arial" w:hAnsi="Arial"/>
          <w:sz w:val="20"/>
          <w:szCs w:val="20"/>
          <w:color w:val="auto"/>
        </w:rPr>
      </w:pPr>
      <w:r>
        <w:rPr>
          <w:rFonts w:ascii="Arial" w:cs="Arial" w:eastAsia="Arial" w:hAnsi="Arial"/>
          <w:sz w:val="20"/>
          <w:szCs w:val="20"/>
          <w:color w:val="auto"/>
        </w:rPr>
        <w:t>in the case of a Foreign Lender claiming that its extension of credit will generate U.S. effectively connected income, executed originals of IRS Form W-8ECI;</w:t>
      </w:r>
    </w:p>
    <w:p>
      <w:pPr>
        <w:spacing w:after="0" w:line="175" w:lineRule="exact"/>
        <w:rPr>
          <w:rFonts w:ascii="Arial" w:cs="Arial" w:eastAsia="Arial" w:hAnsi="Arial"/>
          <w:sz w:val="20"/>
          <w:szCs w:val="20"/>
          <w:color w:val="auto"/>
        </w:rPr>
      </w:pPr>
    </w:p>
    <w:p>
      <w:pPr>
        <w:jc w:val="both"/>
        <w:ind w:left="760" w:firstLine="641"/>
        <w:spacing w:after="0" w:line="288" w:lineRule="auto"/>
        <w:tabs>
          <w:tab w:leader="none" w:pos="2271" w:val="left"/>
        </w:tabs>
        <w:numPr>
          <w:ilvl w:val="2"/>
          <w:numId w:val="270"/>
        </w:numPr>
        <w:rPr>
          <w:rFonts w:ascii="Arial" w:cs="Arial" w:eastAsia="Arial" w:hAnsi="Arial"/>
          <w:sz w:val="19"/>
          <w:szCs w:val="19"/>
          <w:color w:val="auto"/>
        </w:rPr>
      </w:pPr>
      <w:r>
        <w:rPr>
          <w:rFonts w:ascii="Arial" w:cs="Arial" w:eastAsia="Arial" w:hAnsi="Arial"/>
          <w:sz w:val="19"/>
          <w:szCs w:val="19"/>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to the effect that such Foreign Lender is not a “bank” within the meaning of Section 881(c)(3)(A) of the Code, a “10 percent shareholder” of such Borrower within the meaning of Section 881(c)(3)(B) of the Code, or a “controlled foreign corporation” described in Section 881(c)(3)(C) of the Code (a “</w:t>
      </w:r>
      <w:r>
        <w:rPr>
          <w:rFonts w:ascii="Arial" w:cs="Arial" w:eastAsia="Arial" w:hAnsi="Arial"/>
          <w:sz w:val="19"/>
          <w:szCs w:val="19"/>
          <w:u w:val="single" w:color="auto"/>
          <w:color w:val="auto"/>
        </w:rPr>
        <w:t>U</w:t>
      </w:r>
      <w:r>
        <w:rPr>
          <w:rFonts w:ascii="Arial" w:cs="Arial" w:eastAsia="Arial" w:hAnsi="Arial"/>
          <w:sz w:val="19"/>
          <w:szCs w:val="19"/>
          <w:color w:val="auto"/>
        </w:rPr>
        <w:t>.</w:t>
      </w:r>
      <w:r>
        <w:rPr>
          <w:rFonts w:ascii="Arial" w:cs="Arial" w:eastAsia="Arial" w:hAnsi="Arial"/>
          <w:sz w:val="19"/>
          <w:szCs w:val="19"/>
          <w:u w:val="single" w:color="auto"/>
          <w:color w:val="auto"/>
        </w:rPr>
        <w:t>S</w:t>
      </w:r>
      <w:r>
        <w:rPr>
          <w:rFonts w:ascii="Arial" w:cs="Arial" w:eastAsia="Arial" w:hAnsi="Arial"/>
          <w:sz w:val="19"/>
          <w:szCs w:val="19"/>
          <w:color w:val="auto"/>
        </w:rPr>
        <w:t xml:space="preserve">. </w:t>
      </w:r>
      <w:r>
        <w:rPr>
          <w:rFonts w:ascii="Arial" w:cs="Arial" w:eastAsia="Arial" w:hAnsi="Arial"/>
          <w:sz w:val="19"/>
          <w:szCs w:val="19"/>
          <w:u w:val="single" w:color="auto"/>
          <w:color w:val="auto"/>
        </w:rPr>
        <w:t>Tax Compliance Certificate</w:t>
      </w:r>
      <w:r>
        <w:rPr>
          <w:rFonts w:ascii="Arial" w:cs="Arial" w:eastAsia="Arial" w:hAnsi="Arial"/>
          <w:sz w:val="19"/>
          <w:szCs w:val="19"/>
          <w:color w:val="auto"/>
        </w:rPr>
        <w:t>”) and (y) executed originals of IRS Form W-8BEN or IRS Form W-8BEN-E (or any applicable successor form); or</w:t>
      </w:r>
    </w:p>
    <w:p>
      <w:pPr>
        <w:spacing w:after="0" w:line="182" w:lineRule="exact"/>
        <w:rPr>
          <w:rFonts w:ascii="Arial" w:cs="Arial" w:eastAsia="Arial" w:hAnsi="Arial"/>
          <w:sz w:val="19"/>
          <w:szCs w:val="19"/>
          <w:color w:val="auto"/>
        </w:rPr>
      </w:pPr>
    </w:p>
    <w:p>
      <w:pPr>
        <w:jc w:val="both"/>
        <w:ind w:left="760" w:firstLine="641"/>
        <w:spacing w:after="0" w:line="287" w:lineRule="auto"/>
        <w:tabs>
          <w:tab w:leader="none" w:pos="2247" w:val="left"/>
        </w:tabs>
        <w:numPr>
          <w:ilvl w:val="2"/>
          <w:numId w:val="270"/>
        </w:numPr>
        <w:rPr>
          <w:rFonts w:ascii="Arial" w:cs="Arial" w:eastAsia="Arial" w:hAnsi="Arial"/>
          <w:sz w:val="19"/>
          <w:szCs w:val="19"/>
          <w:color w:val="auto"/>
        </w:rPr>
      </w:pPr>
      <w:r>
        <w:rPr>
          <w:rFonts w:ascii="Arial" w:cs="Arial" w:eastAsia="Arial" w:hAnsi="Arial"/>
          <w:sz w:val="19"/>
          <w:szCs w:val="19"/>
          <w:color w:val="auto"/>
        </w:rPr>
        <w:t xml:space="preserve">to the extent a Foreign Lender is not the beneficial owner, executed originals of IRS Form W-8IMY, accompanied by IRS Form W-8ECI, IRS Form W-8BEN or IRS Form W-8BEN-E, a U.S. Tax Compliance Certificate substantially in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F-3</w:t>
      </w:r>
      <w:r>
        <w:rPr>
          <w:rFonts w:ascii="Arial" w:cs="Arial" w:eastAsia="Arial" w:hAnsi="Arial"/>
          <w:sz w:val="19"/>
          <w:szCs w:val="19"/>
          <w:color w:val="auto"/>
        </w:rPr>
        <w:t xml:space="preserve">, IRS Form W-9, and/or other certification documents from each beneficial owner, as applicable (including any applicable successor form);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9"/>
          <w:szCs w:val="19"/>
          <w:u w:val="single" w:color="auto"/>
          <w:color w:val="auto"/>
        </w:rPr>
        <w:t>Exhibit F-4</w:t>
      </w:r>
      <w:r>
        <w:rPr>
          <w:rFonts w:ascii="Arial" w:cs="Arial" w:eastAsia="Arial" w:hAnsi="Arial"/>
          <w:sz w:val="19"/>
          <w:szCs w:val="19"/>
          <w:color w:val="auto"/>
        </w:rPr>
        <w:t xml:space="preserve"> on behalf of each such direct and indirect partner;</w:t>
      </w:r>
    </w:p>
    <w:p>
      <w:pPr>
        <w:spacing w:after="0" w:line="200" w:lineRule="exact"/>
        <w:rPr>
          <w:sz w:val="20"/>
          <w:szCs w:val="20"/>
          <w:color w:val="auto"/>
        </w:rPr>
      </w:pPr>
    </w:p>
    <w:p>
      <w:pPr>
        <w:spacing w:after="0" w:line="213" w:lineRule="exact"/>
        <w:rPr>
          <w:sz w:val="20"/>
          <w:szCs w:val="20"/>
          <w:color w:val="auto"/>
        </w:rPr>
      </w:pPr>
    </w:p>
    <w:p>
      <w:pPr>
        <w:ind w:left="4420"/>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220"/>
          </w:cols>
          <w:pgMar w:left="1440" w:top="825" w:right="239" w:bottom="1440" w:gutter="0" w:footer="0" w:header="0"/>
        </w:sectPr>
      </w:pPr>
    </w:p>
    <w:bookmarkStart w:id="243" w:name="page244"/>
    <w:bookmarkEnd w:id="243"/>
    <w:p>
      <w:pPr>
        <w:jc w:val="both"/>
        <w:ind w:left="1300" w:firstLine="653"/>
        <w:spacing w:after="0" w:line="271" w:lineRule="auto"/>
        <w:tabs>
          <w:tab w:leader="none" w:pos="2734" w:val="left"/>
        </w:tabs>
        <w:numPr>
          <w:ilvl w:val="0"/>
          <w:numId w:val="271"/>
        </w:numPr>
        <w:rPr>
          <w:rFonts w:ascii="Arial" w:cs="Arial" w:eastAsia="Arial" w:hAnsi="Arial"/>
          <w:sz w:val="20"/>
          <w:szCs w:val="20"/>
          <w:color w:val="auto"/>
        </w:rPr>
      </w:pPr>
      <w:r>
        <w:rPr>
          <w:rFonts w:ascii="Arial" w:cs="Arial" w:eastAsia="Arial" w:hAnsi="Arial"/>
          <w:sz w:val="20"/>
          <w:szCs w:val="20"/>
          <w:color w:val="auto"/>
        </w:rPr>
        <w:t>any Foreign Lender shall, to the extent it is legally entitled to do so, deliver to such Borrower and the Administrative Agent (in such number of copies as shall be requested by the recipient) on or prior to the date on which such Foreign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the withholding or deduction required to be made; and</w:t>
      </w:r>
    </w:p>
    <w:p>
      <w:pPr>
        <w:spacing w:after="0" w:line="194" w:lineRule="exact"/>
        <w:rPr>
          <w:rFonts w:ascii="Arial" w:cs="Arial" w:eastAsia="Arial" w:hAnsi="Arial"/>
          <w:sz w:val="20"/>
          <w:szCs w:val="20"/>
          <w:color w:val="auto"/>
        </w:rPr>
      </w:pPr>
    </w:p>
    <w:p>
      <w:pPr>
        <w:jc w:val="both"/>
        <w:ind w:left="1300" w:firstLine="653"/>
        <w:spacing w:after="0" w:line="285" w:lineRule="auto"/>
        <w:tabs>
          <w:tab w:leader="none" w:pos="2745" w:val="left"/>
        </w:tabs>
        <w:numPr>
          <w:ilvl w:val="0"/>
          <w:numId w:val="271"/>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such Borrower and the Administrative Agent at the time or times prescribed by law and at such time or times reasonably requested by such Borrower or the Administrative Agent such documentation prescribed by applicable law (including as prescribed by Section 1471(b)(3) (C)(i) of the Code) and such additional documentation reasonably requested by such Borrower or the Administrative Agent as may be necessary for such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200" w:lineRule="exact"/>
        <w:rPr>
          <w:sz w:val="20"/>
          <w:szCs w:val="20"/>
          <w:color w:val="auto"/>
        </w:rPr>
      </w:pPr>
    </w:p>
    <w:p>
      <w:pPr>
        <w:jc w:val="both"/>
        <w:ind w:firstLine="656"/>
        <w:spacing w:after="0" w:line="284" w:lineRule="auto"/>
        <w:tabs>
          <w:tab w:leader="none" w:pos="1412"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this Section 2.17 (including by the payment of additional amounts pursuant to this Section 2.17), it shall pay to the indemnifying party an amount equal to such refund (but only to the extent of indemnity payments made under this Section 2.17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825" w:right="239" w:bottom="1440" w:gutter="0" w:footer="0" w:header="0"/>
        </w:sectPr>
      </w:pPr>
    </w:p>
    <w:bookmarkStart w:id="244" w:name="page245"/>
    <w:bookmarkEnd w:id="244"/>
    <w:p>
      <w:pPr>
        <w:jc w:val="both"/>
        <w:ind w:firstLine="656"/>
        <w:spacing w:after="0" w:line="278" w:lineRule="auto"/>
        <w:tabs>
          <w:tab w:leader="none" w:pos="1445"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Each party’s obligations under this Section 2.17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86" w:lineRule="exact"/>
        <w:rPr>
          <w:rFonts w:ascii="Arial" w:cs="Arial" w:eastAsia="Arial" w:hAnsi="Arial"/>
          <w:sz w:val="20"/>
          <w:szCs w:val="20"/>
          <w:color w:val="auto"/>
        </w:rPr>
      </w:pPr>
    </w:p>
    <w:p>
      <w:pPr>
        <w:ind w:right="20" w:firstLine="656"/>
        <w:spacing w:after="0" w:line="289" w:lineRule="auto"/>
        <w:tabs>
          <w:tab w:leader="none" w:pos="1445" w:val="left"/>
        </w:tabs>
        <w:numPr>
          <w:ilvl w:val="0"/>
          <w:numId w:val="273"/>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For purposes of this Section 2.17, the term “Lender” includes each Issuing Bank and the term “applicable law” includes FATCA.</w:t>
      </w:r>
    </w:p>
    <w:p>
      <w:pPr>
        <w:spacing w:after="0" w:line="175" w:lineRule="exact"/>
        <w:rPr>
          <w:sz w:val="20"/>
          <w:szCs w:val="20"/>
          <w:color w:val="auto"/>
        </w:rPr>
      </w:pPr>
    </w:p>
    <w:p>
      <w:pPr>
        <w:ind w:left="660"/>
        <w:spacing w:after="0"/>
        <w:tabs>
          <w:tab w:leader="none" w:pos="3220" w:val="left"/>
        </w:tabs>
        <w:rPr>
          <w:sz w:val="20"/>
          <w:szCs w:val="20"/>
          <w:color w:val="auto"/>
        </w:rPr>
      </w:pPr>
      <w:r>
        <w:rPr>
          <w:rFonts w:ascii="Arial" w:cs="Arial" w:eastAsia="Arial" w:hAnsi="Arial"/>
          <w:sz w:val="20"/>
          <w:szCs w:val="20"/>
          <w:color w:val="auto"/>
        </w:rPr>
        <w:t>SECTION 2.18</w:t>
      </w:r>
      <w:r>
        <w:rPr>
          <w:sz w:val="20"/>
          <w:szCs w:val="20"/>
          <w:color w:val="auto"/>
        </w:rPr>
        <w:tab/>
      </w:r>
      <w:r>
        <w:rPr>
          <w:rFonts w:ascii="Arial" w:cs="Arial" w:eastAsia="Arial" w:hAnsi="Arial"/>
          <w:sz w:val="19"/>
          <w:szCs w:val="19"/>
          <w:u w:val="single" w:color="auto"/>
          <w:color w:val="auto"/>
        </w:rPr>
        <w:t xml:space="preserve">Payments Generally; Allocation of Proceeds; Pro Rata Treatment; Sharing of Set-offs. </w:t>
      </w:r>
      <w:r>
        <w:rPr>
          <w:rFonts w:ascii="Arial" w:cs="Arial" w:eastAsia="Arial" w:hAnsi="Arial"/>
          <w:sz w:val="19"/>
          <w:szCs w:val="19"/>
          <w:color w:val="auto"/>
        </w:rPr>
        <w:t>(a) The</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Borrowers shall make each payment required to be made by them hereunder (whether of principal, interest, fees or reimbursement of LC Disbursements, or of amounts payable under Section 2.15, 2.16 or 2.17, or otherwise) prior to 4:00 p.m., Chicago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or to the account designated by Administrative Agent,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accrue and be payable for the period of such extension. All payments hereunder shall be made in Dollars.</w:t>
      </w:r>
    </w:p>
    <w:p>
      <w:pPr>
        <w:spacing w:after="0" w:line="174" w:lineRule="exact"/>
        <w:rPr>
          <w:sz w:val="20"/>
          <w:szCs w:val="20"/>
          <w:color w:val="auto"/>
        </w:rPr>
      </w:pPr>
    </w:p>
    <w:p>
      <w:pPr>
        <w:jc w:val="both"/>
        <w:ind w:firstLine="656"/>
        <w:spacing w:after="0" w:line="300" w:lineRule="auto"/>
        <w:tabs>
          <w:tab w:leader="none" w:pos="143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 xml:space="preserve">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when full cash dominion is in effect (which shall be applied in accordance with Section 2.10(b)) or (ii) after an Event of Default has occurred and is continuing and the Administrative Agent so elects or the Required Lenders so direct, such funds shall be applied, subject to the terms of the ABL/Term Loan Intercreditor Agreement, ratably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 any fees, indemnities, or expense reimbursements including amounts then due to the Administrative Agent and the Issuing Bank from the Borrowers (other than in connection with Banking Services Obligations or Swap Agreement Obligations),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 any fees or expense reimbursements then due to the Lenders from the Borrowers (other than in connection with Banking Services Obligations or Swap Agreement Obligations),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 interest due in respect of the Overadvances and Protective Advances,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 the principal of the Overadvances and Protective Advances,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pay interest then due and payable on the Loans (other than the Overadvances and Protective Advances) ratably,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prepay principal on the Loans (other than the Overadvances and Protective Advances) and unreimbursed LC Disbursements and to pay any amounts owing with respect to Swap Agreement Obligations up to and including the amount most recently provided to the Administrative Agent pursuant to Section 2.22, for which Reserves have been established ratably,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to pay an amount to the Administrative Agent equal to one hundred three percent (103%) of the aggregate undrawn face amount of all outstanding Letters of Credit and the aggregate amount of any unpaid LC Disbursements, to be held as cash collateral for such Obligations,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payment of any amounts owing with respect to Banking Services Obligations and Swap Agreement Obligations up to and including the amount most recently provided to the Administrative Agent pursuant to Section 2.22, and to the extent not paid pursuant to clause sixth above, and </w:t>
      </w:r>
      <w:r>
        <w:rPr>
          <w:rFonts w:ascii="Arial" w:cs="Arial" w:eastAsia="Arial" w:hAnsi="Arial"/>
          <w:sz w:val="18"/>
          <w:szCs w:val="18"/>
          <w:u w:val="single" w:color="auto"/>
          <w:color w:val="auto"/>
        </w:rPr>
        <w:t>ninth</w:t>
      </w:r>
      <w:r>
        <w:rPr>
          <w:rFonts w:ascii="Arial" w:cs="Arial" w:eastAsia="Arial" w:hAnsi="Arial"/>
          <w:sz w:val="18"/>
          <w:szCs w:val="18"/>
          <w:color w:val="auto"/>
        </w:rPr>
        <w:t>, to the payment of any other Secured Obligation due to the Administrative Agent or any Lender by the Borrowers</w:t>
      </w:r>
      <w:r>
        <w:rPr>
          <w:rFonts w:ascii="Arial" w:cs="Arial" w:eastAsia="Arial" w:hAnsi="Arial"/>
          <w:sz w:val="18"/>
          <w:szCs w:val="18"/>
          <w:i w:val="1"/>
          <w:iCs w:val="1"/>
          <w:color w:val="auto"/>
        </w:rPr>
        <w:t>.</w:t>
      </w:r>
      <w:r>
        <w:rPr>
          <w:rFonts w:ascii="Arial" w:cs="Arial" w:eastAsia="Arial" w:hAnsi="Arial"/>
          <w:sz w:val="18"/>
          <w:szCs w:val="18"/>
          <w:color w:val="auto"/>
        </w:rPr>
        <w:t xml:space="preserve"> Notwithstanding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825" w:right="239" w:bottom="1440" w:gutter="0" w:footer="0" w:header="0"/>
        </w:sectPr>
      </w:pPr>
    </w:p>
    <w:bookmarkStart w:id="245" w:name="page246"/>
    <w:bookmarkEnd w:id="245"/>
    <w:p>
      <w:pPr>
        <w:jc w:val="both"/>
        <w:spacing w:after="0" w:line="287" w:lineRule="auto"/>
        <w:rPr>
          <w:sz w:val="20"/>
          <w:szCs w:val="20"/>
          <w:color w:val="auto"/>
        </w:rPr>
      </w:pPr>
      <w:r>
        <w:rPr>
          <w:rFonts w:ascii="Arial" w:cs="Arial" w:eastAsia="Arial" w:hAnsi="Arial"/>
          <w:sz w:val="19"/>
          <w:szCs w:val="19"/>
          <w:color w:val="auto"/>
        </w:rPr>
        <w:t>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Eurodollar Loan of a Class, except (a) on the expiration date of the Interest Period applicable thereto or (b) in the event, and only to the extent, that there are no outstanding ABR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83" w:lineRule="exact"/>
        <w:rPr>
          <w:sz w:val="20"/>
          <w:szCs w:val="20"/>
          <w:color w:val="auto"/>
        </w:rPr>
      </w:pPr>
    </w:p>
    <w:p>
      <w:pPr>
        <w:jc w:val="both"/>
        <w:ind w:firstLine="656"/>
        <w:spacing w:after="0" w:line="284" w:lineRule="auto"/>
        <w:tabs>
          <w:tab w:leader="none" w:pos="1445" w:val="left"/>
        </w:tabs>
        <w:numPr>
          <w:ilvl w:val="0"/>
          <w:numId w:val="275"/>
        </w:numPr>
        <w:rPr>
          <w:rFonts w:ascii="Arial" w:cs="Arial" w:eastAsia="Arial" w:hAnsi="Arial"/>
          <w:sz w:val="19"/>
          <w:szCs w:val="19"/>
          <w:color w:val="auto"/>
        </w:rPr>
      </w:pPr>
      <w:r>
        <w:rPr>
          <w:rFonts w:ascii="Arial" w:cs="Arial" w:eastAsia="Arial" w:hAnsi="Arial"/>
          <w:sz w:val="19"/>
          <w:szCs w:val="19"/>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(and the Administrative Agent will provide reasonably prompt notice of such deduction to the Borrower Representative, provided that failure to provide such notice shall not limit the ability of the Administrative Agent to make such deduction).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190" w:lineRule="exact"/>
        <w:rPr>
          <w:rFonts w:ascii="Arial" w:cs="Arial" w:eastAsia="Arial" w:hAnsi="Arial"/>
          <w:sz w:val="19"/>
          <w:szCs w:val="19"/>
          <w:color w:val="auto"/>
        </w:rPr>
      </w:pPr>
    </w:p>
    <w:p>
      <w:pPr>
        <w:jc w:val="both"/>
        <w:ind w:firstLine="656"/>
        <w:spacing w:after="0" w:line="257" w:lineRule="exact"/>
        <w:tabs>
          <w:tab w:leader="none" w:pos="143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If, except as otherwise expressly provided herein, any Lender shall, by exercising any right of set</w:t>
      </w:r>
      <w:r>
        <w:rPr>
          <w:rFonts w:ascii="MS PGothic" w:cs="MS PGothic" w:eastAsia="MS PGothic" w:hAnsi="MS PGothic"/>
          <w:sz w:val="18"/>
          <w:szCs w:val="18"/>
          <w:color w:val="auto"/>
        </w:rPr>
        <w:t>‑</w:t>
      </w:r>
      <w:r>
        <w:rPr>
          <w:rFonts w:ascii="Arial" w:cs="Arial" w:eastAsia="Arial" w:hAnsi="Arial"/>
          <w:sz w:val="18"/>
          <w:szCs w:val="18"/>
          <w:color w:val="auto"/>
        </w:rPr>
        <w:t xml:space="preserve">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20"/>
          </w:cols>
          <w:pgMar w:left="240" w:top="825" w:right="239" w:bottom="1440" w:gutter="0" w:footer="0" w:header="0"/>
        </w:sectPr>
      </w:pPr>
    </w:p>
    <w:bookmarkStart w:id="246" w:name="page247"/>
    <w:bookmarkEnd w:id="246"/>
    <w:p>
      <w:pPr>
        <w:jc w:val="both"/>
        <w:ind w:firstLine="656"/>
        <w:spacing w:after="0" w:line="270" w:lineRule="auto"/>
        <w:tabs>
          <w:tab w:leader="none" w:pos="1445" w:val="left"/>
        </w:tabs>
        <w:numPr>
          <w:ilvl w:val="0"/>
          <w:numId w:val="276"/>
        </w:numPr>
        <w:rPr>
          <w:rFonts w:ascii="Arial" w:cs="Arial" w:eastAsia="Arial" w:hAnsi="Arial"/>
          <w:sz w:val="20"/>
          <w:szCs w:val="20"/>
          <w:color w:val="auto"/>
        </w:rPr>
      </w:pPr>
      <w:r>
        <w:rPr>
          <w:rFonts w:ascii="Arial" w:cs="Arial" w:eastAsia="Arial" w:hAnsi="Arial"/>
          <w:sz w:val="20"/>
          <w:szCs w:val="20"/>
          <w:color w:val="auto"/>
        </w:rPr>
        <w:t>Unless the Administrative Agent shall have received notice from the Borrower Representative prior to the date on which any payment is due to the Administrative Agent for the account of the Lenders or the Issuing Bank hereunder that the Borrowers will not make such 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6" w:lineRule="exact"/>
        <w:rPr>
          <w:rFonts w:ascii="Arial" w:cs="Arial" w:eastAsia="Arial" w:hAnsi="Arial"/>
          <w:sz w:val="20"/>
          <w:szCs w:val="20"/>
          <w:color w:val="auto"/>
        </w:rPr>
      </w:pPr>
    </w:p>
    <w:p>
      <w:pPr>
        <w:jc w:val="both"/>
        <w:ind w:firstLine="656"/>
        <w:spacing w:after="0" w:line="271" w:lineRule="auto"/>
        <w:tabs>
          <w:tab w:leader="none" w:pos="1434" w:val="left"/>
        </w:tabs>
        <w:numPr>
          <w:ilvl w:val="0"/>
          <w:numId w:val="276"/>
        </w:numPr>
        <w:rPr>
          <w:rFonts w:ascii="Arial" w:cs="Arial" w:eastAsia="Arial" w:hAnsi="Arial"/>
          <w:sz w:val="20"/>
          <w:szCs w:val="20"/>
          <w:color w:val="auto"/>
        </w:rPr>
      </w:pPr>
      <w:r>
        <w:rPr>
          <w:rFonts w:ascii="Arial" w:cs="Arial" w:eastAsia="Arial" w:hAnsi="Arial"/>
          <w:sz w:val="20"/>
          <w:szCs w:val="20"/>
          <w:color w:val="auto"/>
        </w:rPr>
        <w:t>If any Lender shall fail to make any payment required to be made by it hereunder, then the Administrative Agent may, in its discretion (notwithstanding any contrary provision hereof), (i) apply any amounts thereafter received by the Administrative Agent for the account of such Lender for the benefit of the Administrative Agent, the Swingline Lender or the Issuing Bank to satisfy such Lender’s obligations to it under such Sections until all such unsatisfied obligations are fully paid and/or (ii) hold any such amounts in a segregated account over which the Administrative Agent shall have exclusive control as cash collateral for, and application to, any future funding obligations of such Lender under any such Section; in the case of each of clauses (i) and (ii) above, in any order as determined by the Administrative Agent in its discretion.</w:t>
      </w:r>
    </w:p>
    <w:p>
      <w:pPr>
        <w:spacing w:after="0" w:line="194" w:lineRule="exact"/>
        <w:rPr>
          <w:rFonts w:ascii="Arial" w:cs="Arial" w:eastAsia="Arial" w:hAnsi="Arial"/>
          <w:sz w:val="20"/>
          <w:szCs w:val="20"/>
          <w:color w:val="auto"/>
        </w:rPr>
      </w:pPr>
    </w:p>
    <w:p>
      <w:pPr>
        <w:jc w:val="both"/>
        <w:ind w:firstLine="656"/>
        <w:spacing w:after="0" w:line="286" w:lineRule="auto"/>
        <w:tabs>
          <w:tab w:leader="none" w:pos="1412"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The Administrative Agent may from time to time provide the Borrowers with account statements or invoices with respect to any of the Secured Obligations (the “</w:t>
      </w:r>
      <w:r>
        <w:rPr>
          <w:rFonts w:ascii="Arial" w:cs="Arial" w:eastAsia="Arial" w:hAnsi="Arial"/>
          <w:sz w:val="19"/>
          <w:szCs w:val="19"/>
          <w:u w:val="single" w:color="auto"/>
          <w:color w:val="auto"/>
        </w:rPr>
        <w:t>Statements</w:t>
      </w:r>
      <w:r>
        <w:rPr>
          <w:rFonts w:ascii="Arial" w:cs="Arial" w:eastAsia="Arial" w:hAnsi="Arial"/>
          <w:sz w:val="19"/>
          <w:szCs w:val="19"/>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0"/>
          <w:szCs w:val="20"/>
          <w:color w:val="auto"/>
        </w:rPr>
        <w:t xml:space="preserve">SECTION 2.19 </w:t>
      </w:r>
      <w:r>
        <w:rPr>
          <w:rFonts w:ascii="Arial" w:cs="Arial" w:eastAsia="Arial" w:hAnsi="Arial"/>
          <w:sz w:val="20"/>
          <w:szCs w:val="20"/>
          <w:u w:val="single" w:color="auto"/>
          <w:color w:val="auto"/>
        </w:rPr>
        <w:t>Mitigation Obligations; Replacement of Lenders.</w:t>
      </w:r>
      <w:r>
        <w:rPr>
          <w:rFonts w:ascii="Arial" w:cs="Arial" w:eastAsia="Arial" w:hAnsi="Arial"/>
          <w:sz w:val="20"/>
          <w:szCs w:val="20"/>
          <w:color w:val="auto"/>
        </w:rPr>
        <w:t xml:space="preserve"> (a) If any Lender requests compensation under Section 2.15, or if any Borrower is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99" w:lineRule="exact"/>
        <w:rPr>
          <w:sz w:val="20"/>
          <w:szCs w:val="20"/>
          <w:color w:val="auto"/>
        </w:rPr>
      </w:pPr>
    </w:p>
    <w:p>
      <w:pPr>
        <w:jc w:val="both"/>
        <w:ind w:firstLine="656"/>
        <w:spacing w:after="0" w:line="272" w:lineRule="auto"/>
        <w:tabs>
          <w:tab w:leader="none" w:pos="1434" w:val="left"/>
        </w:tabs>
        <w:numPr>
          <w:ilvl w:val="0"/>
          <w:numId w:val="277"/>
        </w:numPr>
        <w:rPr>
          <w:rFonts w:ascii="Arial" w:cs="Arial" w:eastAsia="Arial" w:hAnsi="Arial"/>
          <w:sz w:val="20"/>
          <w:szCs w:val="20"/>
          <w:color w:val="auto"/>
        </w:rPr>
      </w:pPr>
      <w:r>
        <w:rPr>
          <w:rFonts w:ascii="Arial" w:cs="Arial" w:eastAsia="Arial" w:hAnsi="Arial"/>
          <w:sz w:val="20"/>
          <w:szCs w:val="20"/>
          <w:color w:val="auto"/>
        </w:rPr>
        <w:t>If (i) any Lender requests compensation under Section 2.15, (ii) any Borrower is required to pay any Indemnified Taxes or additional amounts to any Lender or any Governmental Authority for the account of any Lender pursuant to Section 2.17 or (iii) any Lender becomes a Defaulting Lender, then the Company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Sections 2.15 or 2.17) and obligations under the Loan Documents to an assignee that shall assume such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825" w:right="239" w:bottom="1440" w:gutter="0" w:footer="0" w:header="0"/>
        </w:sectPr>
      </w:pPr>
    </w:p>
    <w:bookmarkStart w:id="247" w:name="page248"/>
    <w:bookmarkEnd w:id="247"/>
    <w:p>
      <w:pPr>
        <w:jc w:val="both"/>
        <w:spacing w:after="0" w:line="303" w:lineRule="auto"/>
        <w:rPr>
          <w:sz w:val="20"/>
          <w:szCs w:val="20"/>
          <w:color w:val="auto"/>
        </w:rPr>
      </w:pPr>
      <w:r>
        <w:rPr>
          <w:rFonts w:ascii="Arial" w:cs="Arial" w:eastAsia="Arial" w:hAnsi="Arial"/>
          <w:sz w:val="18"/>
          <w:szCs w:val="18"/>
          <w:color w:val="auto"/>
        </w:rPr>
        <w:t xml:space="preserve">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Company shall have received the prior written consent of the Administrative Agent (and if a Commitment is being assigned, each Issuing Bank and the Swingline Lender), which consent shall not unreasonably be withheld, (ii) such Lender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Company to require such assignment and delegation cease to apply.</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2.20 </w:t>
      </w:r>
      <w:r>
        <w:rPr>
          <w:rFonts w:ascii="Arial" w:cs="Arial" w:eastAsia="Arial" w:hAnsi="Arial"/>
          <w:sz w:val="20"/>
          <w:szCs w:val="20"/>
          <w:u w:val="single" w:color="auto"/>
          <w:color w:val="auto"/>
        </w:rPr>
        <w:t>Defaulting Lenders.</w:t>
      </w:r>
      <w:r>
        <w:rPr>
          <w:rFonts w:ascii="Arial" w:cs="Arial" w:eastAsia="Arial" w:hAnsi="Arial"/>
          <w:sz w:val="20"/>
          <w:szCs w:val="20"/>
          <w:color w:val="auto"/>
        </w:rPr>
        <w:t xml:space="preserve"> Notwithstanding any provision of this Agreement to the contrary, if any Lender becomes a Defaulting Lender, then the following provisions shall apply for so long as such Lender is a Defaulting Lender:</w:t>
      </w:r>
    </w:p>
    <w:p>
      <w:pPr>
        <w:spacing w:after="0" w:line="175" w:lineRule="exact"/>
        <w:rPr>
          <w:sz w:val="20"/>
          <w:szCs w:val="20"/>
          <w:color w:val="auto"/>
        </w:rPr>
      </w:pPr>
    </w:p>
    <w:p>
      <w:pPr>
        <w:ind w:left="2740" w:hanging="787"/>
        <w:spacing w:after="0"/>
        <w:tabs>
          <w:tab w:leader="none" w:pos="2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w:t>
      </w:r>
    </w:p>
    <w:p>
      <w:pPr>
        <w:spacing w:after="0" w:line="4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20"/>
          <w:szCs w:val="20"/>
          <w:color w:val="auto"/>
        </w:rPr>
        <w:t>Section 2.12(a);</w:t>
      </w:r>
    </w:p>
    <w:p>
      <w:pPr>
        <w:spacing w:after="0" w:line="242" w:lineRule="exact"/>
        <w:rPr>
          <w:rFonts w:ascii="Arial" w:cs="Arial" w:eastAsia="Arial" w:hAnsi="Arial"/>
          <w:sz w:val="18"/>
          <w:szCs w:val="18"/>
          <w:color w:val="auto"/>
        </w:rPr>
      </w:pPr>
    </w:p>
    <w:p>
      <w:pPr>
        <w:jc w:val="both"/>
        <w:ind w:left="1300" w:firstLine="653"/>
        <w:spacing w:after="0" w:line="271" w:lineRule="auto"/>
        <w:tabs>
          <w:tab w:leader="none" w:pos="2745" w:val="left"/>
        </w:tabs>
        <w:numPr>
          <w:ilvl w:val="0"/>
          <w:numId w:val="278"/>
        </w:numPr>
        <w:rPr>
          <w:rFonts w:ascii="Arial" w:cs="Arial" w:eastAsia="Arial" w:hAnsi="Arial"/>
          <w:sz w:val="20"/>
          <w:szCs w:val="20"/>
          <w:color w:val="auto"/>
        </w:rPr>
      </w:pPr>
      <w:r>
        <w:rPr>
          <w:rFonts w:ascii="Arial" w:cs="Arial" w:eastAsia="Arial" w:hAnsi="Arial"/>
          <w:sz w:val="20"/>
          <w:szCs w:val="20"/>
          <w:color w:val="auto"/>
        </w:rPr>
        <w:t xml:space="preserve">such Defaulting Lender shall not have the right to vote on any issue on which voting is required (other than to the extent expressly provided in Section 9.02(b)) and the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w:t>
      </w:r>
      <w:r>
        <w:rPr>
          <w:rFonts w:ascii="Arial" w:cs="Arial" w:eastAsia="Arial" w:hAnsi="Arial"/>
          <w:sz w:val="20"/>
          <w:szCs w:val="20"/>
          <w:u w:val="single" w:color="auto"/>
          <w:color w:val="auto"/>
        </w:rPr>
        <w:t>provided</w:t>
      </w:r>
      <w:r>
        <w:rPr>
          <w:rFonts w:ascii="Arial" w:cs="Arial" w:eastAsia="Arial" w:hAnsi="Arial"/>
          <w:sz w:val="20"/>
          <w:szCs w:val="20"/>
          <w:color w:val="auto"/>
        </w:rPr>
        <w:t>, that, except as otherwise provided in Section 9.02, this clause (b) shall not apply to the vote of a Defaulting Lender in the case of an amendment, waiver or other modification requiring the consent of such Lender or each Lender directly affected thereby;</w:t>
      </w:r>
    </w:p>
    <w:p>
      <w:pPr>
        <w:spacing w:after="0" w:line="194" w:lineRule="exact"/>
        <w:rPr>
          <w:rFonts w:ascii="Arial" w:cs="Arial" w:eastAsia="Arial" w:hAnsi="Arial"/>
          <w:sz w:val="20"/>
          <w:szCs w:val="20"/>
          <w:color w:val="auto"/>
        </w:rPr>
      </w:pPr>
    </w:p>
    <w:p>
      <w:pPr>
        <w:ind w:left="2740" w:hanging="787"/>
        <w:spacing w:after="0"/>
        <w:tabs>
          <w:tab w:leader="none" w:pos="2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65" w:lineRule="exact"/>
        <w:rPr>
          <w:rFonts w:ascii="Arial" w:cs="Arial" w:eastAsia="Arial" w:hAnsi="Arial"/>
          <w:sz w:val="18"/>
          <w:szCs w:val="18"/>
          <w:color w:val="auto"/>
        </w:rPr>
      </w:pPr>
    </w:p>
    <w:p>
      <w:pPr>
        <w:jc w:val="both"/>
        <w:ind w:left="2600" w:firstLine="649"/>
        <w:spacing w:after="0" w:line="305" w:lineRule="auto"/>
        <w:tabs>
          <w:tab w:leader="none" w:pos="403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(x) to the extent that the conditions set forth in Section 4.02 are satisfied at the time of such reallocation (and, unless the Borrower Representative shall have otherwise notified the Administrative Agent at such time, the Borrowers shall be deemed to have represented and warranted that such conditions are satisfied at such time) and (y) to the extent that such reallocation does not, as to any non-Defaulting Lender, cause such non-Defaulting Lender’s Revolving Exposure and to exceed its Commitment;</w:t>
      </w:r>
    </w:p>
    <w:p>
      <w:pPr>
        <w:spacing w:after="0" w:line="170" w:lineRule="exact"/>
        <w:rPr>
          <w:rFonts w:ascii="Arial" w:cs="Arial" w:eastAsia="Arial" w:hAnsi="Arial"/>
          <w:sz w:val="18"/>
          <w:szCs w:val="18"/>
          <w:color w:val="auto"/>
        </w:rPr>
      </w:pPr>
    </w:p>
    <w:p>
      <w:pPr>
        <w:jc w:val="both"/>
        <w:ind w:left="2600" w:firstLine="649"/>
        <w:spacing w:after="0" w:line="273" w:lineRule="auto"/>
        <w:tabs>
          <w:tab w:leader="none" w:pos="4045" w:val="left"/>
        </w:tabs>
        <w:numPr>
          <w:ilvl w:val="1"/>
          <w:numId w:val="278"/>
        </w:numPr>
        <w:rPr>
          <w:rFonts w:ascii="Arial" w:cs="Arial" w:eastAsia="Arial" w:hAnsi="Arial"/>
          <w:sz w:val="20"/>
          <w:szCs w:val="20"/>
          <w:color w:val="auto"/>
        </w:rPr>
      </w:pPr>
      <w:r>
        <w:rPr>
          <w:rFonts w:ascii="Arial" w:cs="Arial" w:eastAsia="Arial" w:hAnsi="Arial"/>
          <w:sz w:val="20"/>
          <w:szCs w:val="20"/>
          <w:color w:val="auto"/>
        </w:rPr>
        <w:t xml:space="preserve">if the reallocation described in clause (i) above cannot, or can only partially, be effected, the Borrowers shall within one (1) Business Day following notice by the Administrative Agent (x)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prepay such Swingline Exposure and (y) </w:t>
      </w:r>
      <w:r>
        <w:rPr>
          <w:rFonts w:ascii="Arial" w:cs="Arial" w:eastAsia="Arial" w:hAnsi="Arial"/>
          <w:sz w:val="20"/>
          <w:szCs w:val="20"/>
          <w:u w:val="single" w:color="auto"/>
          <w:color w:val="auto"/>
        </w:rPr>
        <w:t>second</w:t>
      </w:r>
      <w:r>
        <w:rPr>
          <w:rFonts w:ascii="Arial" w:cs="Arial" w:eastAsia="Arial" w:hAnsi="Arial"/>
          <w:sz w:val="20"/>
          <w:szCs w:val="20"/>
          <w:color w:val="auto"/>
        </w:rPr>
        <w:t>, cash collateralize for the benefit of the relevant Issuing Banks only the Borrowers’ obligations corresponding to such Defaulting Lender’s LC Exposure (after giving effect to any partial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825" w:right="239" w:bottom="1440" w:gutter="0" w:footer="0" w:header="0"/>
        </w:sectPr>
      </w:pPr>
    </w:p>
    <w:bookmarkStart w:id="248" w:name="page249"/>
    <w:bookmarkEnd w:id="248"/>
    <w:p>
      <w:pPr>
        <w:ind w:left="2600"/>
        <w:spacing w:after="0" w:line="289" w:lineRule="auto"/>
        <w:rPr>
          <w:sz w:val="20"/>
          <w:szCs w:val="20"/>
          <w:color w:val="auto"/>
        </w:rPr>
      </w:pPr>
      <w:r>
        <w:rPr>
          <w:rFonts w:ascii="Arial" w:cs="Arial" w:eastAsia="Arial" w:hAnsi="Arial"/>
          <w:sz w:val="20"/>
          <w:szCs w:val="20"/>
          <w:color w:val="auto"/>
        </w:rPr>
        <w:t>reallocation pursuant to clause (i) above) in accordance with the procedures set forth in Section 2.06(j) for so long as such LC Exposure is outstanding;</w:t>
      </w:r>
    </w:p>
    <w:p>
      <w:pPr>
        <w:spacing w:after="0" w:line="175" w:lineRule="exact"/>
        <w:rPr>
          <w:sz w:val="20"/>
          <w:szCs w:val="20"/>
          <w:color w:val="auto"/>
        </w:rPr>
      </w:pPr>
    </w:p>
    <w:p>
      <w:pPr>
        <w:jc w:val="both"/>
        <w:ind w:left="2600" w:firstLine="649"/>
        <w:spacing w:after="0" w:line="274" w:lineRule="auto"/>
        <w:tabs>
          <w:tab w:leader="none" w:pos="4034" w:val="left"/>
        </w:tabs>
        <w:numPr>
          <w:ilvl w:val="1"/>
          <w:numId w:val="279"/>
        </w:numPr>
        <w:rPr>
          <w:rFonts w:ascii="Arial" w:cs="Arial" w:eastAsia="Arial" w:hAnsi="Arial"/>
          <w:sz w:val="20"/>
          <w:szCs w:val="20"/>
          <w:color w:val="auto"/>
        </w:rPr>
      </w:pPr>
      <w:r>
        <w:rPr>
          <w:rFonts w:ascii="Arial" w:cs="Arial" w:eastAsia="Arial" w:hAnsi="Arial"/>
          <w:sz w:val="20"/>
          <w:szCs w:val="20"/>
          <w:color w:val="auto"/>
        </w:rPr>
        <w:t>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92" w:lineRule="exact"/>
        <w:rPr>
          <w:rFonts w:ascii="Arial" w:cs="Arial" w:eastAsia="Arial" w:hAnsi="Arial"/>
          <w:sz w:val="20"/>
          <w:szCs w:val="20"/>
          <w:color w:val="auto"/>
        </w:rPr>
      </w:pPr>
    </w:p>
    <w:p>
      <w:pPr>
        <w:jc w:val="both"/>
        <w:ind w:left="2600" w:firstLine="649"/>
        <w:spacing w:after="0" w:line="278" w:lineRule="auto"/>
        <w:tabs>
          <w:tab w:leader="none" w:pos="4045" w:val="left"/>
        </w:tabs>
        <w:numPr>
          <w:ilvl w:val="1"/>
          <w:numId w:val="279"/>
        </w:numPr>
        <w:rPr>
          <w:rFonts w:ascii="Arial" w:cs="Arial" w:eastAsia="Arial" w:hAnsi="Arial"/>
          <w:sz w:val="20"/>
          <w:szCs w:val="20"/>
          <w:color w:val="auto"/>
        </w:rPr>
      </w:pPr>
      <w:r>
        <w:rPr>
          <w:rFonts w:ascii="Arial" w:cs="Arial" w:eastAsia="Arial" w:hAnsi="Arial"/>
          <w:sz w:val="20"/>
          <w:szCs w:val="20"/>
          <w:color w:val="auto"/>
        </w:rPr>
        <w:t>if the LC Exposure of the non-Defaulting Lenders is reallocated pursuant to clause (i) above, then the fees payable to the Lenders pursuant to Section 2.12(a) and Section 2.12(b) shall be adjusted in accordance with such non-Defaulting Lenders’ Applicable Percentages; and</w:t>
      </w:r>
    </w:p>
    <w:p>
      <w:pPr>
        <w:spacing w:after="0" w:line="186" w:lineRule="exact"/>
        <w:rPr>
          <w:rFonts w:ascii="Arial" w:cs="Arial" w:eastAsia="Arial" w:hAnsi="Arial"/>
          <w:sz w:val="20"/>
          <w:szCs w:val="20"/>
          <w:color w:val="auto"/>
        </w:rPr>
      </w:pPr>
    </w:p>
    <w:p>
      <w:pPr>
        <w:jc w:val="both"/>
        <w:ind w:left="2600" w:firstLine="649"/>
        <w:spacing w:after="0" w:line="290" w:lineRule="auto"/>
        <w:tabs>
          <w:tab w:leader="none" w:pos="4034" w:val="left"/>
        </w:tabs>
        <w:numPr>
          <w:ilvl w:val="1"/>
          <w:numId w:val="279"/>
        </w:numPr>
        <w:rPr>
          <w:rFonts w:ascii="Arial" w:cs="Arial" w:eastAsia="Arial" w:hAnsi="Arial"/>
          <w:sz w:val="19"/>
          <w:szCs w:val="19"/>
          <w:color w:val="auto"/>
        </w:rPr>
      </w:pPr>
      <w:r>
        <w:rPr>
          <w:rFonts w:ascii="Arial" w:cs="Arial" w:eastAsia="Arial" w:hAnsi="Arial"/>
          <w:sz w:val="19"/>
          <w:szCs w:val="19"/>
          <w:color w:val="auto"/>
        </w:rPr>
        <w:t>if all or any portion of such Defaulting Lender’s LC Exposure is neither reallocated nor cash collateralized pursuant to clause (i) or (ii) above, then, without prejudice to any rights or remedies of any Issuing Bank or any other Lender hereunder, all letter of credit fees payable under Section 2.12(b) with respect to such Defaulting Lender’s LC Exposure shall be payable to the relevant Issuing Banks until and to the extent that such LC Exposure is reallocated and/or cash collateralized; and</w:t>
      </w:r>
    </w:p>
    <w:p>
      <w:pPr>
        <w:spacing w:after="0" w:line="179" w:lineRule="exact"/>
        <w:rPr>
          <w:rFonts w:ascii="Arial" w:cs="Arial" w:eastAsia="Arial" w:hAnsi="Arial"/>
          <w:sz w:val="19"/>
          <w:szCs w:val="19"/>
          <w:color w:val="auto"/>
        </w:rPr>
      </w:pPr>
    </w:p>
    <w:p>
      <w:pPr>
        <w:jc w:val="both"/>
        <w:ind w:left="1300" w:firstLine="653"/>
        <w:spacing w:after="0" w:line="271" w:lineRule="auto"/>
        <w:tabs>
          <w:tab w:leader="none" w:pos="2745" w:val="left"/>
        </w:tabs>
        <w:numPr>
          <w:ilvl w:val="0"/>
          <w:numId w:val="280"/>
        </w:numPr>
        <w:rPr>
          <w:rFonts w:ascii="Arial" w:cs="Arial" w:eastAsia="Arial" w:hAnsi="Arial"/>
          <w:sz w:val="20"/>
          <w:szCs w:val="20"/>
          <w:color w:val="auto"/>
        </w:rPr>
      </w:pPr>
      <w:r>
        <w:rPr>
          <w:rFonts w:ascii="Arial" w:cs="Arial" w:eastAsia="Arial" w:hAnsi="Arial"/>
          <w:sz w:val="20"/>
          <w:szCs w:val="20"/>
          <w:color w:val="auto"/>
        </w:rPr>
        <w:t>so long as such Lender is a Defaulting Lender, the Swingline Lender shall not be required to fund any Swingline Loan and the Issuing Banks shall not be required to issue, amend, renew, extend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Section 2.20(c), and participating interests in any such newly made Swingline Loan or any newly issued or increased Letter of Credit shall be allocated among non-Defaulting Lenders in a manner consistent with Section 2.20(c)(i) (and such Defaulting Lender shall not participate therein).</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Swingline Lender or any Issuing Bank has a good faith belief that any Lender has defaulted in fulfilling its obligations under one or more other agreements in which such Lender commits to extend credit, the Swingline Lender shall not be required to fund any Swingline Loan and no Issuing Bank shall be required to issue, amend or increase any Letter of Credit, unless the Swingline Lender or such Issuing Bank, as the case may be, shall have entered into arrangements with the Borrowers or such Lender, satisfactory to the Swingline Lender or such Issuing Bank, as the case may be, to defease any risk to it in respect of such Lender hereunder.</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In the event that the Administrative Agent, the Borrower Representative, the Swingline Lender and each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825" w:right="239" w:bottom="1440" w:gutter="0" w:footer="0" w:header="0"/>
        </w:sectPr>
      </w:pPr>
    </w:p>
    <w:bookmarkStart w:id="249" w:name="page250"/>
    <w:bookmarkEnd w:id="249"/>
    <w:p>
      <w:pPr>
        <w:jc w:val="both"/>
        <w:spacing w:after="0" w:line="250" w:lineRule="auto"/>
        <w:rPr>
          <w:sz w:val="20"/>
          <w:szCs w:val="20"/>
          <w:color w:val="auto"/>
        </w:rPr>
      </w:pPr>
      <w:r>
        <w:rPr>
          <w:rFonts w:ascii="Arial" w:cs="Arial" w:eastAsia="Arial" w:hAnsi="Arial"/>
          <w:sz w:val="20"/>
          <w:szCs w:val="20"/>
          <w:color w:val="auto"/>
        </w:rPr>
        <w:t xml:space="preserve">the Company while that Lender was a Defaulting Lender;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20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Returned Payments.</w:t>
      </w:r>
      <w:r>
        <w:rPr>
          <w:rFonts w:ascii="Arial" w:cs="Arial" w:eastAsia="Arial" w:hAnsi="Arial"/>
          <w:sz w:val="18"/>
          <w:szCs w:val="18"/>
          <w:color w:val="auto"/>
        </w:rPr>
        <w:t xml:space="preserve">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2.22 </w:t>
      </w:r>
      <w:r>
        <w:rPr>
          <w:rFonts w:ascii="Arial" w:cs="Arial" w:eastAsia="Arial" w:hAnsi="Arial"/>
          <w:sz w:val="19"/>
          <w:szCs w:val="19"/>
          <w:u w:val="single" w:color="auto"/>
          <w:color w:val="auto"/>
        </w:rPr>
        <w:t>Banking Services and Swap Agreements</w:t>
      </w:r>
      <w:r>
        <w:rPr>
          <w:rFonts w:ascii="Arial" w:cs="Arial" w:eastAsia="Arial" w:hAnsi="Arial"/>
          <w:sz w:val="19"/>
          <w:szCs w:val="19"/>
          <w:color w:val="auto"/>
        </w:rPr>
        <w:t>. Each Lender or Affiliate thereof providing Banking Services (excluding Lease Financing)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u w:val="single" w:color="auto"/>
          <w:color w:val="auto"/>
        </w:rPr>
        <w:t>Representations and Warranties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Each Loan Party represents and warrants to the Lenders that: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Powers.</w:t>
      </w:r>
      <w:r>
        <w:rPr>
          <w:rFonts w:ascii="Arial" w:cs="Arial" w:eastAsia="Arial" w:hAnsi="Arial"/>
          <w:sz w:val="19"/>
          <w:szCs w:val="19"/>
          <w:color w:val="auto"/>
        </w:rPr>
        <w:t xml:space="preserve"> Each Loan Party and its Material Subsidiaries is duly organized, validly existing and in good standing (to the extent such concept is applicable in the relevant jurisdiction)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(to the extent such concept is applicable) in, every jurisdiction where such qualification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812" w:right="239" w:bottom="1440" w:gutter="0" w:footer="0" w:header="0"/>
        </w:sectPr>
      </w:pPr>
    </w:p>
    <w:bookmarkStart w:id="250" w:name="page251"/>
    <w:bookmarkEnd w:id="250"/>
    <w:p>
      <w:pPr>
        <w:jc w:val="both"/>
        <w:ind w:firstLine="648"/>
        <w:spacing w:after="0" w:line="272"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Authorization; Enforceability.</w:t>
      </w:r>
      <w:r>
        <w:rPr>
          <w:rFonts w:ascii="Arial" w:cs="Arial" w:eastAsia="Arial" w:hAnsi="Arial"/>
          <w:sz w:val="20"/>
          <w:szCs w:val="20"/>
          <w:color w:val="auto"/>
        </w:rPr>
        <w:t xml:space="preserve"> The Transactions are within each Loan Party’s organizational powers and have been duly authorized by all necessary organizational actions and, if required, actions by equity holders. The Loan Documents to which each Loan Party is a party have been duly executed and delivered by such Loan Party and constitute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Governmental Approvals; No Conflicts.</w:t>
      </w:r>
      <w:r>
        <w:rPr>
          <w:rFonts w:ascii="Arial" w:cs="Arial" w:eastAsia="Arial" w:hAnsi="Arial"/>
          <w:sz w:val="19"/>
          <w:szCs w:val="19"/>
          <w:color w:val="auto"/>
        </w:rPr>
        <w:t xml:space="preserve"> The Transactions (a) do not require any material consent or approval of, registration or filing with, or any other action by, any Governmental Authority, except such as have been obtained or made and are in full force and effect and except for filings necessary to perfect Liens created pursuant to the Loan Documents, (b) will not violate in any material respect any applicable law or regulation or the charter, by-laws or other organizational documents of any Borrower or any of the Material Subsidiaries or any order of any Governmental Authority, (c) will not violate or result in a default under any indenture, agreement or other instrument binding upon any Borrower or any of the Material Subsidiaries or its assets, or give rise to a right thereunder to require any payment to be made by any Borrower or any of the Material Subsidiaries, except, in the case of this clause (c), that could not reasonably be expected to result in a Material Adverse Effect, and (d) will not result in the creation or imposition of any Lien on any asset of any Borrower or any of the Material Subsidiaries, other than Liens created under the Loan Documents.</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Financial Condition; No Material Adverse Change.</w:t>
      </w:r>
      <w:r>
        <w:rPr>
          <w:rFonts w:ascii="Arial" w:cs="Arial" w:eastAsia="Arial" w:hAnsi="Arial"/>
          <w:sz w:val="20"/>
          <w:szCs w:val="20"/>
          <w:color w:val="auto"/>
        </w:rPr>
        <w:t xml:space="preserve"> (a) The Company has heretofore furnished to the Lenders its consolidated balance sheet and statements of income, stockholders equity and cash flows as of and for the fiscal year ended August 27, 2016 reported on by Deloitte &amp; Touche LLP, independent public accountants. Such financial statements present fairly, in all material respects, the financial position and results of operations and cash flows of the Company and its consolidated Subsidiaries as of such dates and for such periods in accordance with GAAP.</w:t>
      </w:r>
    </w:p>
    <w:p>
      <w:pPr>
        <w:spacing w:after="0" w:line="191" w:lineRule="exact"/>
        <w:rPr>
          <w:sz w:val="20"/>
          <w:szCs w:val="20"/>
          <w:color w:val="auto"/>
        </w:rPr>
      </w:pPr>
    </w:p>
    <w:p>
      <w:pPr>
        <w:jc w:val="both"/>
        <w:ind w:firstLine="656"/>
        <w:spacing w:after="0" w:line="287" w:lineRule="auto"/>
        <w:tabs>
          <w:tab w:leader="none" w:pos="1527" w:val="left"/>
        </w:tabs>
        <w:numPr>
          <w:ilvl w:val="0"/>
          <w:numId w:val="281"/>
        </w:numPr>
        <w:rPr>
          <w:rFonts w:ascii="Arial" w:cs="Arial" w:eastAsia="Arial" w:hAnsi="Arial"/>
          <w:sz w:val="19"/>
          <w:szCs w:val="19"/>
          <w:color w:val="auto"/>
        </w:rPr>
      </w:pPr>
      <w:r>
        <w:rPr>
          <w:rFonts w:ascii="Arial" w:cs="Arial" w:eastAsia="Arial" w:hAnsi="Arial"/>
          <w:sz w:val="19"/>
          <w:szCs w:val="19"/>
          <w:color w:val="auto"/>
        </w:rPr>
        <w:t>The Company has heretofore furnished to the Lenders its pro forma consolidated balance sheet and related pro forma consolidated statement of income for the twelve-month period ended August 27, 2016, prepared giving effect to the Transactions (including the acquisition of Grand Design) as if the Transactions had occurred on such date (in the case of such balance sheet) or at the beginning of such period (in the case of such statement of income). Such pro forma consolidated balance sheet and related pro forma consolidated statement of income (i) has been prepared by the Company in good faith, based on assumptions believed by the Company to be reasonable at the time such assumptions were made and (iii) presents fairly, in all material respects, the pro forma financial position of the Company and its consolidated Subsidiaries as of such date as if the Transactions had occurred on such date.</w:t>
      </w:r>
    </w:p>
    <w:p>
      <w:pPr>
        <w:spacing w:after="0" w:line="183" w:lineRule="exact"/>
        <w:rPr>
          <w:rFonts w:ascii="Arial" w:cs="Arial" w:eastAsia="Arial" w:hAnsi="Arial"/>
          <w:sz w:val="19"/>
          <w:szCs w:val="19"/>
          <w:color w:val="auto"/>
        </w:rPr>
      </w:pPr>
    </w:p>
    <w:p>
      <w:pPr>
        <w:ind w:firstLine="656"/>
        <w:spacing w:after="0" w:line="289" w:lineRule="auto"/>
        <w:tabs>
          <w:tab w:leader="none" w:pos="1516" w:val="left"/>
        </w:tabs>
        <w:numPr>
          <w:ilvl w:val="0"/>
          <w:numId w:val="281"/>
        </w:numPr>
        <w:rPr>
          <w:rFonts w:ascii="Arial" w:cs="Arial" w:eastAsia="Arial" w:hAnsi="Arial"/>
          <w:sz w:val="20"/>
          <w:szCs w:val="20"/>
          <w:color w:val="auto"/>
        </w:rPr>
      </w:pPr>
      <w:r>
        <w:rPr>
          <w:rFonts w:ascii="Arial" w:cs="Arial" w:eastAsia="Arial" w:hAnsi="Arial"/>
          <w:sz w:val="20"/>
          <w:szCs w:val="20"/>
          <w:color w:val="auto"/>
        </w:rPr>
        <w:t>Since August 27, 2016, there has been no material adverse change in the business, assets, operations or condition, financial or otherwise, of the Company and its Subsidiaries, taken as a whole.</w:t>
      </w:r>
    </w:p>
    <w:p>
      <w:pPr>
        <w:spacing w:after="0" w:line="17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(a) Except for Liens permitted pursuant to Section 6.02, each of the Company and its Material Subsidiaries has good title to, or (to the knowledge of the Company) valid leasehold interests in, all its real and personal property material to its business, except for minor defects in title that do not interfere with its ability to conduct its business as currently conducted or to utilize such properties for their intended purposes.</w:t>
      </w:r>
    </w:p>
    <w:p>
      <w:pPr>
        <w:spacing w:after="0" w:line="192" w:lineRule="exact"/>
        <w:rPr>
          <w:sz w:val="20"/>
          <w:szCs w:val="20"/>
          <w:color w:val="auto"/>
        </w:rPr>
      </w:pPr>
    </w:p>
    <w:p>
      <w:pPr>
        <w:ind w:firstLine="656"/>
        <w:spacing w:after="0" w:line="289" w:lineRule="auto"/>
        <w:tabs>
          <w:tab w:leader="none" w:pos="1527" w:val="left"/>
        </w:tabs>
        <w:numPr>
          <w:ilvl w:val="0"/>
          <w:numId w:val="282"/>
        </w:numPr>
        <w:rPr>
          <w:rFonts w:ascii="Arial" w:cs="Arial" w:eastAsia="Arial" w:hAnsi="Arial"/>
          <w:sz w:val="20"/>
          <w:szCs w:val="20"/>
          <w:color w:val="auto"/>
        </w:rPr>
      </w:pPr>
      <w:r>
        <w:rPr>
          <w:rFonts w:ascii="Arial" w:cs="Arial" w:eastAsia="Arial" w:hAnsi="Arial"/>
          <w:sz w:val="20"/>
          <w:szCs w:val="20"/>
          <w:color w:val="auto"/>
        </w:rPr>
        <w:t>Each of the Company and its Subsidiaries owns, or is licensed to use, all trademarks, tradenames, copyrights, patents and other intellectual property material to its business, and the use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420"/>
          </w:cols>
          <w:pgMar w:left="240" w:top="825" w:right="239" w:bottom="1440" w:gutter="0" w:footer="0" w:header="0"/>
        </w:sectPr>
      </w:pPr>
    </w:p>
    <w:bookmarkStart w:id="251" w:name="page252"/>
    <w:bookmarkEnd w:id="251"/>
    <w:p>
      <w:pPr>
        <w:jc w:val="both"/>
        <w:spacing w:after="0" w:line="289" w:lineRule="auto"/>
        <w:rPr>
          <w:sz w:val="20"/>
          <w:szCs w:val="20"/>
          <w:color w:val="auto"/>
        </w:rPr>
      </w:pPr>
      <w:r>
        <w:rPr>
          <w:rFonts w:ascii="Arial" w:cs="Arial" w:eastAsia="Arial" w:hAnsi="Arial"/>
          <w:sz w:val="20"/>
          <w:szCs w:val="20"/>
          <w:color w:val="auto"/>
        </w:rPr>
        <w:t>by the Company and its Subsidiaries does not, to their knowledge, infringe upon the rights of any other Person, except for any such infringements that, individually or in the aggregate, could not reasonably be expected to result in a Material Adverse Effect.</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 xml:space="preserve"> (a) There are no actions, suits, proceedings or investigations by or before any arbitrator or Governmental Authority pending against or, to the knowledge of any Borrower,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or (ii) that involve this Agreement or the Transactions. There are no labor controversies pending against or, to the knowledge of the Company, threatened against or affecting the Company or any of its Subsidiaries (i) which could reasonably be expected, individually or in the aggregate, to result in a Material Adverse Effect, or (ii) that involve this Agreement or the Transactions.</w:t>
      </w:r>
    </w:p>
    <w:p>
      <w:pPr>
        <w:spacing w:after="0" w:line="183" w:lineRule="exact"/>
        <w:rPr>
          <w:sz w:val="20"/>
          <w:szCs w:val="20"/>
          <w:color w:val="auto"/>
        </w:rPr>
      </w:pPr>
    </w:p>
    <w:p>
      <w:pPr>
        <w:jc w:val="both"/>
        <w:ind w:firstLine="656"/>
        <w:spacing w:after="0" w:line="273" w:lineRule="auto"/>
        <w:tabs>
          <w:tab w:leader="none" w:pos="1527" w:val="left"/>
        </w:tabs>
        <w:numPr>
          <w:ilvl w:val="0"/>
          <w:numId w:val="283"/>
        </w:numPr>
        <w:rPr>
          <w:rFonts w:ascii="Arial" w:cs="Arial" w:eastAsia="Arial" w:hAnsi="Arial"/>
          <w:sz w:val="20"/>
          <w:szCs w:val="20"/>
          <w:color w:val="auto"/>
        </w:rPr>
      </w:pPr>
      <w:r>
        <w:rPr>
          <w:rFonts w:ascii="Arial" w:cs="Arial" w:eastAsia="Arial" w:hAnsi="Arial"/>
          <w:sz w:val="20"/>
          <w:szCs w:val="20"/>
          <w:color w:val="auto"/>
        </w:rPr>
        <w:t>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Compliance with Laws and Agreements; No Default</w:t>
      </w:r>
      <w:r>
        <w:rPr>
          <w:rFonts w:ascii="Arial" w:cs="Arial" w:eastAsia="Arial" w:hAnsi="Arial"/>
          <w:sz w:val="20"/>
          <w:szCs w:val="20"/>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Taxes.</w:t>
      </w:r>
      <w:r>
        <w:rPr>
          <w:rFonts w:ascii="Arial" w:cs="Arial" w:eastAsia="Arial" w:hAnsi="Arial"/>
          <w:sz w:val="20"/>
          <w:szCs w:val="20"/>
          <w:color w:val="auto"/>
        </w:rPr>
        <w:t xml:space="preserve"> Each of the Company and its Subsidiaries has timely filed or caused to be filed all federal income Tax returns and all other material Tax returns and reports required to have been filed and has paid or caused to be paid or made a provision for the payment of all federal income Taxes and all other material Taxes required to have been paid by it, except (a) Taxes that are being contested in good faith by appropriate proceedings and for which the Company or such Subsidiary, as applicable, has set aside on its books adequate reserves in accordance with GAAP or (b) to the extent that the failure to do so could not reasonably be expected to result in a Material Adverse Effect.</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ERISA.</w:t>
      </w:r>
      <w:r>
        <w:rPr>
          <w:rFonts w:ascii="Arial" w:cs="Arial" w:eastAsia="Arial" w:hAnsi="Arial"/>
          <w:sz w:val="20"/>
          <w:szCs w:val="20"/>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w:t>
      </w:r>
    </w:p>
    <w:p>
      <w:pPr>
        <w:spacing w:after="0" w:line="187"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As of the Effective Date, each Loan Party has disclosed to the Lenders all material agreements, instruments and corporate or other restrictions to which it or any of its subsidiaries is subject, and all other matters known to it, that, individually or in the aggregate, could reasonably be expected to result in a Material Adverse Effect. All written information (including the information set forth in the Information Memorandum), other than any projections, estimates, forecasts and other forward-looking information and information of a general economic or industry-specific nature, furnished by or on behalf of the Company or any Subsidiary to the Administrative Agent or any Lender on or prior to the Effective Date, when taken as a whole and after giving effect to all supplements and updates thereto, did not (when furnished) contain any untrue statement of material fact or omit to state a material fact necessary in order to make the statements contained therein not materially misleading (when taken as a whole and after giving effect to all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1420"/>
          </w:cols>
          <w:pgMar w:left="240" w:top="825" w:right="239" w:bottom="1440" w:gutter="0" w:footer="0" w:header="0"/>
        </w:sectPr>
      </w:pPr>
    </w:p>
    <w:bookmarkStart w:id="252" w:name="page253"/>
    <w:bookmarkEnd w:id="252"/>
    <w:p>
      <w:pPr>
        <w:jc w:val="both"/>
        <w:spacing w:after="0" w:line="286" w:lineRule="auto"/>
        <w:rPr>
          <w:sz w:val="20"/>
          <w:szCs w:val="20"/>
          <w:color w:val="auto"/>
        </w:rPr>
      </w:pPr>
      <w:r>
        <w:rPr>
          <w:rFonts w:ascii="Arial" w:cs="Arial" w:eastAsia="Arial" w:hAnsi="Arial"/>
          <w:sz w:val="19"/>
          <w:szCs w:val="19"/>
          <w:color w:val="auto"/>
        </w:rPr>
        <w:t>such supplements and updates thereto) in light of the circumstances under which such statements were made; provided that, with respect to the Projections furnished by or on behalf of the Company or any Subsidiary to the Administrative Agent or any Lender on or prior to the Effective Date pursuant to or in connection with the negotiation of this Agreement or any other Loan Document or included therein (the “Projections”), the Company represents only that such information was prepared in good faith based upon assumptions believed by the Company to be reasonable at the time prepared (it being understood by the Administrative Agent and the Lenders that any such Projections are as to future events and are not to be viewed as facts and are subject to significant uncertainties and contingencies, many of which are beyond the control of the Company or the Subsidiaries, that no assurances can be given that such Projections will be realized and that actual results during the period or periods covered by any such Projections may differ materially from the projected results contained therein and that such differences may be material).</w:t>
      </w:r>
    </w:p>
    <w:p>
      <w:pPr>
        <w:spacing w:after="0" w:line="18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Material Agreements</w:t>
      </w:r>
      <w:r>
        <w:rPr>
          <w:rFonts w:ascii="Arial" w:cs="Arial" w:eastAsia="Arial" w:hAnsi="Arial"/>
          <w:sz w:val="20"/>
          <w:szCs w:val="20"/>
          <w:color w:val="auto"/>
        </w:rPr>
        <w:t>. No Loan Party is in default in the performance, observance or fulfillment of any of the obligations, covenants or conditions contained in (i) any material agreement to which it is a party or (ii) any agreement or instrument evidencing or governing Material Indebtedness, in any such case of clause (i) or (ii) above, which default could not reasonably be expected to have a Material Adverse Effect.</w:t>
      </w:r>
    </w:p>
    <w:p>
      <w:pPr>
        <w:spacing w:after="0" w:line="192"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9"/>
          <w:szCs w:val="19"/>
          <w:color w:val="auto"/>
        </w:rPr>
        <w:t xml:space="preserve">SECTION 3.13 </w:t>
      </w:r>
      <w:r>
        <w:rPr>
          <w:rFonts w:ascii="Arial" w:cs="Arial" w:eastAsia="Arial" w:hAnsi="Arial"/>
          <w:sz w:val="19"/>
          <w:szCs w:val="19"/>
          <w:u w:val="single" w:color="auto"/>
          <w:color w:val="auto"/>
        </w:rPr>
        <w:t>Federal Reserve Regulations.</w:t>
      </w:r>
      <w:r>
        <w:rPr>
          <w:rFonts w:ascii="Arial" w:cs="Arial" w:eastAsia="Arial" w:hAnsi="Arial"/>
          <w:sz w:val="19"/>
          <w:szCs w:val="19"/>
          <w:color w:val="auto"/>
        </w:rPr>
        <w:t xml:space="preserve"> No part of the proceeds of any Loan have been used or will be used, whether directly or indirectly, for any purpose that entails a violation of any of the Regulations of the Board, including Regulations T, U and X.</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660"/>
              <w:spacing w:after="0"/>
              <w:rPr>
                <w:sz w:val="20"/>
                <w:szCs w:val="20"/>
                <w:color w:val="auto"/>
              </w:rPr>
            </w:pPr>
            <w:r>
              <w:rPr>
                <w:rFonts w:ascii="Arial" w:cs="Arial" w:eastAsia="Arial" w:hAnsi="Arial"/>
                <w:sz w:val="20"/>
                <w:szCs w:val="20"/>
                <w:color w:val="auto"/>
              </w:rPr>
              <w:t>SECTION 3.14</w:t>
            </w:r>
          </w:p>
        </w:tc>
        <w:tc>
          <w:tcPr>
            <w:tcW w:w="8220" w:type="dxa"/>
            <w:vAlign w:val="bottom"/>
            <w:gridSpan w:val="3"/>
          </w:tcPr>
          <w:p>
            <w:pPr>
              <w:jc w:val="right"/>
              <w:ind w:right="20"/>
              <w:spacing w:after="0"/>
              <w:rPr>
                <w:sz w:val="20"/>
                <w:szCs w:val="20"/>
                <w:color w:val="auto"/>
              </w:rPr>
            </w:pPr>
            <w:r>
              <w:rPr>
                <w:rFonts w:ascii="Arial" w:cs="Arial" w:eastAsia="Arial" w:hAnsi="Arial"/>
                <w:sz w:val="20"/>
                <w:szCs w:val="20"/>
                <w:color w:val="auto"/>
                <w:w w:val="91"/>
              </w:rPr>
              <w:t>Liens. There are no Liens on any of the real or personal properties of the Company or any Subsidiary</w:t>
            </w:r>
          </w:p>
        </w:tc>
      </w:tr>
      <w:tr>
        <w:trPr>
          <w:trHeight w:val="20"/>
        </w:trPr>
        <w:tc>
          <w:tcPr>
            <w:tcW w:w="32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r>
        <w:trPr>
          <w:trHeight w:val="281"/>
        </w:trPr>
        <w:tc>
          <w:tcPr>
            <w:tcW w:w="11420" w:type="dxa"/>
            <w:vAlign w:val="bottom"/>
            <w:gridSpan w:val="4"/>
          </w:tcPr>
          <w:p>
            <w:pPr>
              <w:spacing w:after="0"/>
              <w:rPr>
                <w:sz w:val="20"/>
                <w:szCs w:val="20"/>
                <w:color w:val="auto"/>
              </w:rPr>
            </w:pPr>
            <w:r>
              <w:rPr>
                <w:rFonts w:ascii="Arial" w:cs="Arial" w:eastAsia="Arial" w:hAnsi="Arial"/>
                <w:sz w:val="20"/>
                <w:szCs w:val="20"/>
                <w:color w:val="auto"/>
              </w:rPr>
              <w:t>except for Liens permitted by Section 6.02.</w:t>
            </w:r>
          </w:p>
        </w:tc>
      </w:tr>
      <w:tr>
        <w:trPr>
          <w:trHeight w:val="428"/>
        </w:trPr>
        <w:tc>
          <w:tcPr>
            <w:tcW w:w="3200" w:type="dxa"/>
            <w:vAlign w:val="bottom"/>
          </w:tcPr>
          <w:p>
            <w:pPr>
              <w:ind w:left="660"/>
              <w:spacing w:after="0"/>
              <w:rPr>
                <w:sz w:val="20"/>
                <w:szCs w:val="20"/>
                <w:color w:val="auto"/>
              </w:rPr>
            </w:pPr>
            <w:r>
              <w:rPr>
                <w:rFonts w:ascii="Arial" w:cs="Arial" w:eastAsia="Arial" w:hAnsi="Arial"/>
                <w:sz w:val="20"/>
                <w:szCs w:val="20"/>
                <w:color w:val="auto"/>
              </w:rPr>
              <w:t>SECTION 3.15</w:t>
            </w:r>
          </w:p>
        </w:tc>
        <w:tc>
          <w:tcPr>
            <w:tcW w:w="8220" w:type="dxa"/>
            <w:vAlign w:val="bottom"/>
            <w:gridSpan w:val="3"/>
          </w:tcPr>
          <w:p>
            <w:pPr>
              <w:jc w:val="right"/>
              <w:spacing w:after="0"/>
              <w:rPr>
                <w:sz w:val="20"/>
                <w:szCs w:val="20"/>
                <w:color w:val="auto"/>
              </w:rPr>
            </w:pPr>
            <w:r>
              <w:rPr>
                <w:rFonts w:ascii="Arial" w:cs="Arial" w:eastAsia="Arial" w:hAnsi="Arial"/>
                <w:sz w:val="20"/>
                <w:szCs w:val="20"/>
                <w:color w:val="auto"/>
                <w:w w:val="93"/>
              </w:rPr>
              <w:t>Capitalization and Subsidiaries. As of the Effective Date, Schedule 3.15 sets forth (a) a correct and</w:t>
            </w:r>
          </w:p>
        </w:tc>
      </w:tr>
      <w:tr>
        <w:trPr>
          <w:trHeight w:val="20"/>
        </w:trPr>
        <w:tc>
          <w:tcPr>
            <w:tcW w:w="3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99" w:lineRule="auto"/>
        <w:rPr>
          <w:sz w:val="20"/>
          <w:szCs w:val="20"/>
          <w:color w:val="auto"/>
        </w:rPr>
      </w:pPr>
      <w:r>
        <w:rPr>
          <w:rFonts w:ascii="Arial" w:cs="Arial" w:eastAsia="Arial" w:hAnsi="Arial"/>
          <w:sz w:val="19"/>
          <w:szCs w:val="19"/>
          <w:color w:val="auto"/>
        </w:rPr>
        <w:t>complete list of the name and relationship to the Company of each Subsidiary, (b) a true and complete listing of each class of each Borrower’s (other than the Company’s) issued and outstanding Equity Interests, all of which Equity Interests are owned beneficially and of record by the Persons identified on Schedule 3.15, and (c) the type of entity of the Company and each Subsidiary.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3.16</w:t>
            </w:r>
          </w:p>
        </w:tc>
        <w:tc>
          <w:tcPr>
            <w:tcW w:w="60" w:type="dxa"/>
            <w:vAlign w:val="bottom"/>
          </w:tcPr>
          <w:p>
            <w:pPr>
              <w:spacing w:after="0"/>
              <w:rPr>
                <w:sz w:val="19"/>
                <w:szCs w:val="19"/>
                <w:color w:val="auto"/>
              </w:rPr>
            </w:pPr>
          </w:p>
        </w:tc>
        <w:tc>
          <w:tcPr>
            <w:tcW w:w="8180" w:type="dxa"/>
            <w:vAlign w:val="bottom"/>
            <w:gridSpan w:val="3"/>
          </w:tcPr>
          <w:p>
            <w:pPr>
              <w:spacing w:after="0"/>
              <w:rPr>
                <w:sz w:val="20"/>
                <w:szCs w:val="20"/>
                <w:color w:val="auto"/>
              </w:rPr>
            </w:pPr>
            <w:r>
              <w:rPr>
                <w:rFonts w:ascii="Arial" w:cs="Arial" w:eastAsia="Arial" w:hAnsi="Arial"/>
                <w:sz w:val="20"/>
                <w:szCs w:val="20"/>
                <w:color w:val="auto"/>
                <w:w w:val="99"/>
              </w:rPr>
              <w:t>No Burdensome Restrictions. On the date hereof, no Borrower is subject to any Burdensome</w:t>
            </w:r>
          </w:p>
        </w:tc>
      </w:tr>
      <w:tr>
        <w:trPr>
          <w:trHeight w:val="20"/>
        </w:trPr>
        <w:tc>
          <w:tcPr>
            <w:tcW w:w="324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81"/>
        </w:trPr>
        <w:tc>
          <w:tcPr>
            <w:tcW w:w="11420" w:type="dxa"/>
            <w:vAlign w:val="bottom"/>
            <w:gridSpan w:val="5"/>
          </w:tcPr>
          <w:p>
            <w:pPr>
              <w:spacing w:after="0"/>
              <w:rPr>
                <w:sz w:val="20"/>
                <w:szCs w:val="20"/>
                <w:color w:val="auto"/>
              </w:rPr>
            </w:pPr>
            <w:r>
              <w:rPr>
                <w:rFonts w:ascii="Arial" w:cs="Arial" w:eastAsia="Arial" w:hAnsi="Arial"/>
                <w:sz w:val="20"/>
                <w:szCs w:val="20"/>
                <w:color w:val="auto"/>
              </w:rPr>
              <w:t>Restrictions except Burdensome Restrictions permitted under Section 6.11.</w:t>
            </w:r>
          </w:p>
        </w:tc>
      </w:tr>
      <w:tr>
        <w:trPr>
          <w:trHeight w:val="428"/>
        </w:trPr>
        <w:tc>
          <w:tcPr>
            <w:tcW w:w="3180" w:type="dxa"/>
            <w:vAlign w:val="bottom"/>
          </w:tcPr>
          <w:p>
            <w:pPr>
              <w:ind w:left="660"/>
              <w:spacing w:after="0"/>
              <w:rPr>
                <w:sz w:val="20"/>
                <w:szCs w:val="20"/>
                <w:color w:val="auto"/>
              </w:rPr>
            </w:pPr>
            <w:r>
              <w:rPr>
                <w:rFonts w:ascii="Arial" w:cs="Arial" w:eastAsia="Arial" w:hAnsi="Arial"/>
                <w:sz w:val="20"/>
                <w:szCs w:val="20"/>
                <w:color w:val="auto"/>
              </w:rPr>
              <w:t>SECTION 3.17</w:t>
            </w: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7"/>
              </w:rPr>
              <w:t>Solvency.</w:t>
            </w:r>
          </w:p>
        </w:tc>
        <w:tc>
          <w:tcPr>
            <w:tcW w:w="7460" w:type="dxa"/>
            <w:vAlign w:val="bottom"/>
            <w:gridSpan w:val="2"/>
          </w:tcPr>
          <w:p>
            <w:pPr>
              <w:spacing w:after="0"/>
              <w:rPr>
                <w:sz w:val="24"/>
                <w:szCs w:val="24"/>
                <w:color w:val="auto"/>
              </w:rPr>
            </w:pPr>
          </w:p>
        </w:tc>
      </w:tr>
    </w:tbl>
    <w:p>
      <w:pPr>
        <w:spacing w:after="0" w:line="253" w:lineRule="exact"/>
        <w:rPr>
          <w:sz w:val="20"/>
          <w:szCs w:val="20"/>
          <w:color w:val="auto"/>
        </w:rPr>
      </w:pPr>
    </w:p>
    <w:p>
      <w:pPr>
        <w:jc w:val="both"/>
        <w:ind w:firstLine="656"/>
        <w:spacing w:after="0" w:line="345" w:lineRule="auto"/>
        <w:tabs>
          <w:tab w:leader="none" w:pos="143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Immediately after the consummation of the Transactions to occur on the Effective Date and the making of each Loan on the Effective Date and the application of the proceeds of such Loans, (i) the sum of the liabilities of the Company and its Subsidiaries, taken as a whole, shall not exceed the present fair saleable value of the assets of the Company and its Subsidiaries, taken as a whole; (ii) the capital of the Company and its Subsidiaries, taken as a whole, shall not be unreasonably small in relation to the business of the Company and its Subsidiaries, taken as a whole, contemplated on the date hereof and (iii)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1420"/>
          </w:cols>
          <w:pgMar w:left="240" w:top="825" w:right="239" w:bottom="1440" w:gutter="0" w:footer="0" w:header="0"/>
        </w:sectPr>
      </w:pPr>
    </w:p>
    <w:bookmarkStart w:id="253" w:name="page254"/>
    <w:bookmarkEnd w:id="253"/>
    <w:p>
      <w:pPr>
        <w:jc w:val="both"/>
        <w:ind w:firstLine="656"/>
        <w:spacing w:after="0" w:line="274" w:lineRule="auto"/>
        <w:tabs>
          <w:tab w:leader="none" w:pos="1445" w:val="left"/>
        </w:tabs>
        <w:numPr>
          <w:ilvl w:val="0"/>
          <w:numId w:val="285"/>
        </w:numPr>
        <w:rPr>
          <w:rFonts w:ascii="Arial" w:cs="Arial" w:eastAsia="Arial" w:hAnsi="Arial"/>
          <w:sz w:val="20"/>
          <w:szCs w:val="20"/>
          <w:color w:val="auto"/>
        </w:rPr>
      </w:pPr>
      <w:r>
        <w:rPr>
          <w:rFonts w:ascii="Arial" w:cs="Arial" w:eastAsia="Arial" w:hAnsi="Arial"/>
          <w:sz w:val="20"/>
          <w:szCs w:val="20"/>
          <w:color w:val="auto"/>
        </w:rPr>
        <w:t>The Company does not intend to, nor will it permit any of its Subsidiaries to, and the Company does not believe that it or any of its Subsidiaries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3.18 </w:t>
      </w:r>
      <w:r>
        <w:rPr>
          <w:rFonts w:ascii="Arial" w:cs="Arial" w:eastAsia="Arial" w:hAnsi="Arial"/>
          <w:sz w:val="20"/>
          <w:szCs w:val="20"/>
          <w:u w:val="single" w:color="auto"/>
          <w:color w:val="auto"/>
        </w:rPr>
        <w:t>Insurance.</w:t>
      </w:r>
      <w:r>
        <w:rPr>
          <w:rFonts w:ascii="Arial" w:cs="Arial" w:eastAsia="Arial" w:hAnsi="Arial"/>
          <w:sz w:val="20"/>
          <w:szCs w:val="20"/>
          <w:color w:val="auto"/>
        </w:rPr>
        <w:t xml:space="preserve"> Schedule 3.18 sets forth a description of all insurance maintained by or on behalf of the Loan Parties and their Subsidiaries as of the Effective Date. As of the Effective Date, all premiums in respect of such insurance due and payable on or prior to the Effective Date have been paid. Each Borrower maintains, and has caused each Subsidiary to maintain, with financially sound and reputable insurance companies,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9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Collateral Documents, upon execution and delivery thereof by the parties thereto, will create in favor of the Administrative Agent, for the benefit of the Secured Parties, a valid and enforceable security interest in the Collateral covered thereby and (i) when the Collateral constituting certificated securities (as defined in the UCC) is delivered to the Administrative Agent, together with instruments of transfer duly endorsed in blank, the Liens under the Collateral Documents will constitute a fully perfected security interest in all right, title and interest of the respective Loan Parties thereunder in such Collateral, prior and superior in right to any other Person, except for Liens permitted by Section 6.02 and (ii) when financing statements in appropriate form are filed in the applicable filing offices, the security interest created under the Collateral Documents will constitute a fully perfected security interest in all right, title and interest of the respective Loan Parties in the remaining Collateral to the extent perfection can be obtained by filing UCC financing statements, prior and superior to the rights of any other Person, except for Liens permitted by Section 6.02.</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Employment Matters</w:t>
      </w:r>
      <w:r>
        <w:rPr>
          <w:rFonts w:ascii="Arial" w:cs="Arial" w:eastAsia="Arial" w:hAnsi="Arial"/>
          <w:sz w:val="19"/>
          <w:szCs w:val="19"/>
          <w:color w:val="auto"/>
        </w:rPr>
        <w:t>. As of the Effective Date, there are no strikes, lockouts or slowdowns against any Loan Party or any Subsidiary pending or, to the knowledge of any Loan Party, threatened, that, in the aggregate, could reasonably be expected to result in a Material Adverse Effect. The hours worked by and payments made to employees of the Loan Parties and their Subsidiaries have not been in violation of the Fair Labor Standards Act or any other applicable Federal, state, local or foreign law dealing with such matters in a manner that, in the aggregate, could reasonably be expected to result in a Material Adverse Effect.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 except those that could not reasonably be expected to have a Material Adverse Effect.</w:t>
      </w:r>
    </w:p>
    <w:p>
      <w:pPr>
        <w:spacing w:after="0" w:line="18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3.21 </w:t>
      </w: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xml:space="preserve"> The Company has implemented and maintains in effect policies and procedures reasonably designed to ensure compliance by the Company, its Subsidiaries and their respective directors, officers, employees and agents with Anti-Corruption Laws and applicable Sanctions, and the Company, its Subsidiaries and to the knowledge of the Company its officers, directors, employees and agents that will act in any capacity in connection with or benefit from the credit facilities established hereby, are in compliance with Anti-Corruption Laws and applicable Sanctions in all material respects. None of (a) the Company, any Subsidiary or to the knowledge of the Company or such Subsidiary any of their respective directors, officers or employees, or (b) to the knowledge of the Company, any agent of the Company or any Subsidiary that will act in any capacity in connection with or benefit from the credit facility established hereby, is a Sanctioned Person. No Borrowing or Letter of Credit, use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20"/>
          </w:cols>
          <w:pgMar w:left="240" w:top="825" w:right="239" w:bottom="1440" w:gutter="0" w:footer="0" w:header="0"/>
        </w:sectPr>
      </w:pPr>
    </w:p>
    <w:bookmarkStart w:id="254" w:name="page255"/>
    <w:bookmarkEnd w:id="254"/>
    <w:p>
      <w:pPr>
        <w:spacing w:after="0"/>
        <w:rPr>
          <w:sz w:val="20"/>
          <w:szCs w:val="20"/>
          <w:color w:val="auto"/>
        </w:rPr>
      </w:pPr>
      <w:r>
        <w:rPr>
          <w:rFonts w:ascii="Arial" w:cs="Arial" w:eastAsia="Arial" w:hAnsi="Arial"/>
          <w:sz w:val="20"/>
          <w:szCs w:val="20"/>
          <w:color w:val="auto"/>
        </w:rPr>
        <w:t>proceeds or other Transactions will violate any Anti-Corruption Law or applicable Sanctions.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ind w:left="660"/>
              <w:spacing w:after="0"/>
              <w:rPr>
                <w:sz w:val="20"/>
                <w:szCs w:val="20"/>
                <w:color w:val="auto"/>
              </w:rPr>
            </w:pPr>
            <w:r>
              <w:rPr>
                <w:rFonts w:ascii="Arial" w:cs="Arial" w:eastAsia="Arial" w:hAnsi="Arial"/>
                <w:sz w:val="20"/>
                <w:szCs w:val="20"/>
                <w:color w:val="auto"/>
              </w:rPr>
              <w:t>SECTION 3.22</w:t>
            </w:r>
          </w:p>
        </w:tc>
        <w:tc>
          <w:tcPr>
            <w:tcW w:w="8200" w:type="dxa"/>
            <w:vAlign w:val="bottom"/>
            <w:gridSpan w:val="7"/>
          </w:tcPr>
          <w:p>
            <w:pPr>
              <w:jc w:val="center"/>
              <w:ind w:right="20"/>
              <w:spacing w:after="0"/>
              <w:rPr>
                <w:sz w:val="20"/>
                <w:szCs w:val="20"/>
                <w:color w:val="auto"/>
              </w:rPr>
            </w:pPr>
            <w:r>
              <w:rPr>
                <w:rFonts w:ascii="Arial" w:cs="Arial" w:eastAsia="Arial" w:hAnsi="Arial"/>
                <w:sz w:val="20"/>
                <w:szCs w:val="20"/>
                <w:color w:val="auto"/>
                <w:w w:val="96"/>
              </w:rPr>
              <w:t>EEA Financial Institutions. SECTION 3.24. EEA Financial Institutions2 No Loan Party is an EEA</w:t>
            </w:r>
          </w:p>
        </w:tc>
      </w:tr>
      <w:tr>
        <w:trPr>
          <w:trHeight w:val="281"/>
        </w:trPr>
        <w:tc>
          <w:tcPr>
            <w:tcW w:w="3220" w:type="dxa"/>
            <w:vAlign w:val="bottom"/>
          </w:tcPr>
          <w:p>
            <w:pPr>
              <w:spacing w:after="0"/>
              <w:rPr>
                <w:sz w:val="20"/>
                <w:szCs w:val="20"/>
                <w:color w:val="auto"/>
              </w:rPr>
            </w:pPr>
            <w:r>
              <w:rPr>
                <w:rFonts w:ascii="Arial" w:cs="Arial" w:eastAsia="Arial" w:hAnsi="Arial"/>
                <w:sz w:val="20"/>
                <w:szCs w:val="20"/>
                <w:color w:val="auto"/>
              </w:rPr>
              <w:t>Financial Institution.</w:t>
            </w:r>
          </w:p>
        </w:tc>
        <w:tc>
          <w:tcPr>
            <w:tcW w:w="1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415"/>
        </w:trPr>
        <w:tc>
          <w:tcPr>
            <w:tcW w:w="3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60" w:type="dxa"/>
            <w:vAlign w:val="bottom"/>
            <w:gridSpan w:val="5"/>
          </w:tcPr>
          <w:p>
            <w:pPr>
              <w:jc w:val="center"/>
              <w:ind w:right="5160"/>
              <w:spacing w:after="0"/>
              <w:rPr>
                <w:sz w:val="20"/>
                <w:szCs w:val="20"/>
                <w:color w:val="auto"/>
              </w:rPr>
            </w:pPr>
            <w:r>
              <w:rPr>
                <w:rFonts w:ascii="Arial" w:cs="Arial" w:eastAsia="Arial" w:hAnsi="Arial"/>
                <w:sz w:val="20"/>
                <w:szCs w:val="20"/>
                <w:color w:val="auto"/>
                <w:w w:val="96"/>
              </w:rPr>
              <w:t>ARTICLE IV.</w:t>
            </w:r>
          </w:p>
        </w:tc>
      </w:tr>
      <w:tr>
        <w:trPr>
          <w:trHeight w:val="426"/>
        </w:trPr>
        <w:tc>
          <w:tcPr>
            <w:tcW w:w="3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gridSpan w:val="3"/>
          </w:tcPr>
          <w:p>
            <w:pPr>
              <w:jc w:val="center"/>
              <w:ind w:right="120"/>
              <w:spacing w:after="0"/>
              <w:rPr>
                <w:sz w:val="20"/>
                <w:szCs w:val="20"/>
                <w:color w:val="auto"/>
              </w:rPr>
            </w:pPr>
            <w:r>
              <w:rPr>
                <w:rFonts w:ascii="Arial" w:cs="Arial" w:eastAsia="Arial" w:hAnsi="Arial"/>
                <w:sz w:val="20"/>
                <w:szCs w:val="20"/>
                <w:color w:val="auto"/>
                <w:w w:val="90"/>
              </w:rPr>
              <w:t>Conditions</w:t>
            </w:r>
          </w:p>
        </w:tc>
        <w:tc>
          <w:tcPr>
            <w:tcW w:w="516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5280" w:type="dxa"/>
            <w:vAlign w:val="bottom"/>
            <w:gridSpan w:val="2"/>
          </w:tcPr>
          <w:p>
            <w:pPr>
              <w:spacing w:after="0" w:line="20" w:lineRule="exact"/>
              <w:rPr>
                <w:sz w:val="1"/>
                <w:szCs w:val="1"/>
                <w:color w:val="auto"/>
              </w:rPr>
            </w:pPr>
          </w:p>
        </w:tc>
      </w:tr>
      <w:tr>
        <w:trPr>
          <w:trHeight w:val="439"/>
        </w:trPr>
        <w:tc>
          <w:tcPr>
            <w:tcW w:w="3220" w:type="dxa"/>
            <w:vAlign w:val="bottom"/>
          </w:tcPr>
          <w:p>
            <w:pPr>
              <w:ind w:left="660"/>
              <w:spacing w:after="0"/>
              <w:rPr>
                <w:sz w:val="20"/>
                <w:szCs w:val="20"/>
                <w:color w:val="auto"/>
              </w:rPr>
            </w:pPr>
            <w:r>
              <w:rPr>
                <w:rFonts w:ascii="Arial" w:cs="Arial" w:eastAsia="Arial" w:hAnsi="Arial"/>
                <w:sz w:val="20"/>
                <w:szCs w:val="20"/>
                <w:color w:val="auto"/>
              </w:rPr>
              <w:t>SECTION 4.01</w:t>
            </w:r>
          </w:p>
        </w:tc>
        <w:tc>
          <w:tcPr>
            <w:tcW w:w="8200" w:type="dxa"/>
            <w:vAlign w:val="bottom"/>
            <w:gridSpan w:val="7"/>
          </w:tcPr>
          <w:p>
            <w:pPr>
              <w:jc w:val="center"/>
              <w:spacing w:after="0"/>
              <w:rPr>
                <w:sz w:val="20"/>
                <w:szCs w:val="20"/>
                <w:color w:val="auto"/>
              </w:rPr>
            </w:pPr>
            <w:r>
              <w:rPr>
                <w:rFonts w:ascii="Arial" w:cs="Arial" w:eastAsia="Arial" w:hAnsi="Arial"/>
                <w:sz w:val="20"/>
                <w:szCs w:val="20"/>
                <w:color w:val="auto"/>
                <w:w w:val="91"/>
              </w:rPr>
              <w:t>Effective Date. Subject to the Limited Conditionality Provision, the obligations of the Lenders to make</w:t>
            </w:r>
          </w:p>
        </w:tc>
      </w:tr>
      <w:tr>
        <w:trPr>
          <w:trHeight w:val="20"/>
        </w:trPr>
        <w:tc>
          <w:tcPr>
            <w:tcW w:w="322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bl>
    <w:p>
      <w:pPr>
        <w:spacing w:after="0" w:line="37"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Loans and of the Issuing Banks to issue Letters of Credit hereunder shall not become effective until the date on which each of the following conditions is satisfied (or waived in accordance with Section 9.02):</w:t>
      </w:r>
    </w:p>
    <w:p>
      <w:pPr>
        <w:spacing w:after="0" w:line="1" w:lineRule="exact"/>
        <w:rPr>
          <w:sz w:val="20"/>
          <w:szCs w:val="20"/>
          <w:color w:val="auto"/>
        </w:rPr>
      </w:pPr>
    </w:p>
    <w:p>
      <w:pPr>
        <w:jc w:val="both"/>
        <w:ind w:left="660" w:firstLine="645"/>
        <w:spacing w:after="0" w:line="272" w:lineRule="auto"/>
        <w:tabs>
          <w:tab w:leader="none" w:pos="2010" w:val="left"/>
        </w:tabs>
        <w:numPr>
          <w:ilvl w:val="1"/>
          <w:numId w:val="286"/>
        </w:numPr>
        <w:rPr>
          <w:rFonts w:ascii="Arial" w:cs="Arial" w:eastAsia="Arial" w:hAnsi="Arial"/>
          <w:sz w:val="20"/>
          <w:szCs w:val="20"/>
          <w:color w:val="auto"/>
        </w:rPr>
      </w:pPr>
      <w:r>
        <w:rPr>
          <w:rFonts w:ascii="Arial" w:cs="Arial" w:eastAsia="Arial" w:hAnsi="Arial"/>
          <w:sz w:val="20"/>
          <w:szCs w:val="20"/>
          <w:u w:val="single" w:color="auto"/>
          <w:color w:val="auto"/>
        </w:rPr>
        <w:t>Credit Agreement and Other Loan Documents</w:t>
      </w:r>
      <w:r>
        <w:rPr>
          <w:rFonts w:ascii="Arial" w:cs="Arial" w:eastAsia="Arial" w:hAnsi="Arial"/>
          <w:sz w:val="20"/>
          <w:szCs w:val="20"/>
          <w:color w:val="auto"/>
        </w:rPr>
        <w:t xml:space="preserve">. The Administrative Agent (or its counsel) shall have received (i) from each party hereto either (A) a counterpart of this Agreement signed on behalf of such party or (B) written evidence satisfactory to the Administrative Agent (which may include telecopy or electronic transmission of a signed signature page of this Agreement) that such party has signed a counterpart of this Agreement and (ii) each of the other documents, instruments, legal opinions and other agreements listed on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that are required to be delivered on or prior to the date hereof, all in form and substance satisfactory to the Administrative Agent and its counsel.</w:t>
      </w:r>
    </w:p>
    <w:p>
      <w:pPr>
        <w:spacing w:after="0" w:line="205" w:lineRule="exact"/>
        <w:rPr>
          <w:rFonts w:ascii="Arial" w:cs="Arial" w:eastAsia="Arial" w:hAnsi="Arial"/>
          <w:sz w:val="20"/>
          <w:szCs w:val="20"/>
          <w:color w:val="auto"/>
        </w:rPr>
      </w:pPr>
    </w:p>
    <w:p>
      <w:pPr>
        <w:jc w:val="both"/>
        <w:ind w:left="660" w:firstLine="645"/>
        <w:spacing w:after="0" w:line="274" w:lineRule="auto"/>
        <w:tabs>
          <w:tab w:leader="none" w:pos="2021" w:val="left"/>
        </w:tabs>
        <w:numPr>
          <w:ilvl w:val="1"/>
          <w:numId w:val="286"/>
        </w:numPr>
        <w:rPr>
          <w:rFonts w:ascii="Arial" w:cs="Arial" w:eastAsia="Arial" w:hAnsi="Arial"/>
          <w:sz w:val="20"/>
          <w:szCs w:val="20"/>
          <w:color w:val="auto"/>
        </w:rPr>
      </w:pPr>
      <w:r>
        <w:rPr>
          <w:rFonts w:ascii="Arial" w:cs="Arial" w:eastAsia="Arial" w:hAnsi="Arial"/>
          <w:sz w:val="20"/>
          <w:szCs w:val="20"/>
          <w:u w:val="single" w:color="auto"/>
          <w:color w:val="auto"/>
        </w:rPr>
        <w:t>Payoff Documentation</w:t>
      </w:r>
      <w:r>
        <w:rPr>
          <w:rFonts w:ascii="Arial" w:cs="Arial" w:eastAsia="Arial" w:hAnsi="Arial"/>
          <w:sz w:val="20"/>
          <w:szCs w:val="20"/>
          <w:color w:val="auto"/>
        </w:rPr>
        <w:t>. Payoff documentation providing evidence satisfactory to the Administrative Agent that the Existing Credit Agreement has been terminated and cancelled (along with all of the agreements, documents and instruments delivered in connection therewith), all Indebtedness owing thereunder has been repaid, and all liens established pursuant to the terms thereof have been terminated.</w:t>
      </w:r>
    </w:p>
    <w:p>
      <w:pPr>
        <w:spacing w:after="0" w:line="205" w:lineRule="exact"/>
        <w:rPr>
          <w:rFonts w:ascii="Arial" w:cs="Arial" w:eastAsia="Arial" w:hAnsi="Arial"/>
          <w:sz w:val="20"/>
          <w:szCs w:val="20"/>
          <w:color w:val="auto"/>
        </w:rPr>
      </w:pPr>
    </w:p>
    <w:p>
      <w:pPr>
        <w:jc w:val="both"/>
        <w:ind w:left="660" w:firstLine="645"/>
        <w:spacing w:after="0" w:line="297" w:lineRule="auto"/>
        <w:tabs>
          <w:tab w:leader="none" w:pos="2010"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Term Loan Agreement</w:t>
      </w:r>
      <w:r>
        <w:rPr>
          <w:rFonts w:ascii="Arial" w:cs="Arial" w:eastAsia="Arial" w:hAnsi="Arial"/>
          <w:sz w:val="18"/>
          <w:szCs w:val="18"/>
          <w:color w:val="auto"/>
        </w:rPr>
        <w:t>. The Administrative Agent shall have received evidence reasonably satisfactory to it that, substantially concurrently with the effectiveness of this Agreement, (i) the Term Loan Agreement shall be in full force and effect and</w:t>
      </w:r>
    </w:p>
    <w:p>
      <w:pPr>
        <w:ind w:left="940" w:hanging="284"/>
        <w:spacing w:after="0"/>
        <w:tabs>
          <w:tab w:leader="none" w:pos="94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Company shall receive at least $300,000,000 in gross cash proceeds from borrowings under the Term Loan Agreement.</w:t>
      </w:r>
    </w:p>
    <w:p>
      <w:pPr>
        <w:spacing w:after="0" w:line="267" w:lineRule="exact"/>
        <w:rPr>
          <w:rFonts w:ascii="Arial" w:cs="Arial" w:eastAsia="Arial" w:hAnsi="Arial"/>
          <w:sz w:val="19"/>
          <w:szCs w:val="19"/>
          <w:color w:val="auto"/>
        </w:rPr>
      </w:pPr>
    </w:p>
    <w:p>
      <w:pPr>
        <w:jc w:val="both"/>
        <w:ind w:left="660" w:firstLine="645"/>
        <w:spacing w:after="0" w:line="285" w:lineRule="auto"/>
        <w:tabs>
          <w:tab w:leader="none" w:pos="2007" w:val="left"/>
        </w:tabs>
        <w:numPr>
          <w:ilvl w:val="1"/>
          <w:numId w:val="287"/>
        </w:numPr>
        <w:rPr>
          <w:rFonts w:ascii="Arial" w:cs="Arial" w:eastAsia="Arial" w:hAnsi="Arial"/>
          <w:sz w:val="19"/>
          <w:szCs w:val="19"/>
          <w:color w:val="auto"/>
        </w:rPr>
      </w:pPr>
      <w:r>
        <w:rPr>
          <w:rFonts w:ascii="Arial" w:cs="Arial" w:eastAsia="Arial" w:hAnsi="Arial"/>
          <w:sz w:val="19"/>
          <w:szCs w:val="19"/>
          <w:u w:val="single" w:color="auto"/>
          <w:color w:val="auto"/>
        </w:rPr>
        <w:t>Grand Design Acquisition</w:t>
      </w:r>
      <w:r>
        <w:rPr>
          <w:rFonts w:ascii="Arial" w:cs="Arial" w:eastAsia="Arial" w:hAnsi="Arial"/>
          <w:sz w:val="19"/>
          <w:szCs w:val="19"/>
          <w:color w:val="auto"/>
        </w:rPr>
        <w:t>. The Administrative Agent shall have received evidence reasonably satisfactory to it that the Grand Design Acquisition shall, substantially concurrently with the initial funding of the Loans hereunder, be consummated pursuant to the Grand Design Purchase Agreement, as in effect on October 2, 2016, and no provision thereof shall have been amended or waived, and no consent or request shall have been given under the Grand Design Purchase Agreement, in any way that is materially adverse to the Lenders in their capacities as such (it being understood and agreed that (i) amendments, waivers and other changes to the definition of “Material Adverse Effect” (or other term of similar import), and consents and requests given or made pursuant to such definition shall in each case be deemed to be materially adverse to the Lenders, and (ii) any modification, amendment or express waiver or consents by the Company that results in (x) an increase to the purchase price shall be deemed to not be materially adverse to the Lenders so long as such increase is funded solely with a public issuance of common equity of the Company and (y) a decrease to the purchase price shall be deemed to not be materially adverse to the Lenders so long as (A) such reduction is allocated to reduce the Commitments and (B) such reduction (other than pursuant to any purchase price or similar adjustment provision set forth in the Purchase Agreement, as in effect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825" w:right="239" w:bottom="1440" w:gutter="0" w:footer="0" w:header="0"/>
        </w:sectPr>
      </w:pPr>
    </w:p>
    <w:bookmarkStart w:id="255" w:name="page256"/>
    <w:bookmarkEnd w:id="255"/>
    <w:p>
      <w:pPr>
        <w:ind w:left="660"/>
        <w:spacing w:after="0"/>
        <w:rPr>
          <w:sz w:val="20"/>
          <w:szCs w:val="20"/>
          <w:color w:val="auto"/>
        </w:rPr>
      </w:pPr>
      <w:r>
        <w:rPr>
          <w:rFonts w:ascii="Arial" w:cs="Arial" w:eastAsia="Arial" w:hAnsi="Arial"/>
          <w:sz w:val="19"/>
          <w:szCs w:val="19"/>
          <w:color w:val="auto"/>
        </w:rPr>
        <w:t>on October 2, 2016) does not decrease the purchase price by more than ten percent (10%) (cumulative for all such reductions).</w:t>
      </w:r>
    </w:p>
    <w:p>
      <w:pPr>
        <w:spacing w:after="0" w:line="268" w:lineRule="exact"/>
        <w:rPr>
          <w:sz w:val="20"/>
          <w:szCs w:val="20"/>
          <w:color w:val="auto"/>
        </w:rPr>
      </w:pPr>
    </w:p>
    <w:p>
      <w:pPr>
        <w:jc w:val="both"/>
        <w:ind w:left="660" w:firstLine="645"/>
        <w:spacing w:after="0" w:line="278" w:lineRule="auto"/>
        <w:tabs>
          <w:tab w:leader="none" w:pos="2077"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Funding Account</w:t>
      </w:r>
      <w:r>
        <w:rPr>
          <w:rFonts w:ascii="Arial" w:cs="Arial" w:eastAsia="Arial" w:hAnsi="Arial"/>
          <w:sz w:val="20"/>
          <w:szCs w:val="20"/>
          <w:color w:val="auto"/>
        </w:rPr>
        <w:t>. The Administrative Agent shall have received a notice setting forth the deposit account(s) of the Borrowers (the “</w:t>
      </w:r>
      <w:r>
        <w:rPr>
          <w:rFonts w:ascii="Arial" w:cs="Arial" w:eastAsia="Arial" w:hAnsi="Arial"/>
          <w:sz w:val="20"/>
          <w:szCs w:val="20"/>
          <w:u w:val="single" w:color="auto"/>
          <w:color w:val="auto"/>
        </w:rPr>
        <w:t>Funding Account</w:t>
      </w:r>
      <w:r>
        <w:rPr>
          <w:rFonts w:ascii="Arial" w:cs="Arial" w:eastAsia="Arial" w:hAnsi="Arial"/>
          <w:sz w:val="20"/>
          <w:szCs w:val="20"/>
          <w:color w:val="auto"/>
        </w:rPr>
        <w:t>”) to which the Administrative Agent is authorized by the Borrowers to transfer the proceeds of any Borrowings requested or authorized pursuant to this Agreement.</w:t>
      </w:r>
    </w:p>
    <w:p>
      <w:pPr>
        <w:spacing w:after="0" w:line="200" w:lineRule="exact"/>
        <w:rPr>
          <w:rFonts w:ascii="Arial" w:cs="Arial" w:eastAsia="Arial" w:hAnsi="Arial"/>
          <w:sz w:val="20"/>
          <w:szCs w:val="20"/>
          <w:color w:val="auto"/>
        </w:rPr>
      </w:pPr>
    </w:p>
    <w:p>
      <w:pPr>
        <w:jc w:val="both"/>
        <w:ind w:left="660" w:firstLine="645"/>
        <w:spacing w:after="0" w:line="278" w:lineRule="auto"/>
        <w:tabs>
          <w:tab w:leader="none" w:pos="2042"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Borrowing Base Certificate</w:t>
      </w:r>
      <w:r>
        <w:rPr>
          <w:rFonts w:ascii="Arial" w:cs="Arial" w:eastAsia="Arial" w:hAnsi="Arial"/>
          <w:sz w:val="20"/>
          <w:szCs w:val="20"/>
          <w:color w:val="auto"/>
        </w:rPr>
        <w:t>. The Administrative Agent shall have received an Aggregate Borrowing Base Certificate and a Borrowing Base Certificate for each Borrower, in each case, prepared as of the last day of the most recent month ended at least twenty (20) calendar days prior to the Effective Date.</w:t>
      </w:r>
    </w:p>
    <w:p>
      <w:pPr>
        <w:spacing w:after="0" w:line="186" w:lineRule="exact"/>
        <w:rPr>
          <w:rFonts w:ascii="Arial" w:cs="Arial" w:eastAsia="Arial" w:hAnsi="Arial"/>
          <w:sz w:val="20"/>
          <w:szCs w:val="20"/>
          <w:color w:val="auto"/>
        </w:rPr>
      </w:pPr>
    </w:p>
    <w:p>
      <w:pPr>
        <w:jc w:val="both"/>
        <w:ind w:left="660" w:firstLine="645"/>
        <w:spacing w:after="0" w:line="273" w:lineRule="auto"/>
        <w:tabs>
          <w:tab w:leader="none" w:pos="2102"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All fees and expenses due and payable to the Administrative Agent, the Lenders and their respective Affiliates and required to be paid on or prior to the Effective Date shall have been paid or shall have been authorized to be deducted from the proceeds of the initial Loans, so long as any such fees or expenses not expressly set forth in the fee letters entered into by the Company in connection with the Transactions have been invoiced not less than two (2) Business Days prior to the Effective Date (except as otherwise reasonably agreed by the Company).</w:t>
      </w:r>
    </w:p>
    <w:p>
      <w:pPr>
        <w:spacing w:after="0" w:line="191" w:lineRule="exact"/>
        <w:rPr>
          <w:rFonts w:ascii="Arial" w:cs="Arial" w:eastAsia="Arial" w:hAnsi="Arial"/>
          <w:sz w:val="20"/>
          <w:szCs w:val="20"/>
          <w:color w:val="auto"/>
        </w:rPr>
      </w:pPr>
    </w:p>
    <w:p>
      <w:pPr>
        <w:jc w:val="both"/>
        <w:ind w:left="660" w:firstLine="645"/>
        <w:spacing w:after="0" w:line="273" w:lineRule="auto"/>
        <w:tabs>
          <w:tab w:leader="none" w:pos="2075" w:val="left"/>
        </w:tabs>
        <w:numPr>
          <w:ilvl w:val="0"/>
          <w:numId w:val="288"/>
        </w:numPr>
        <w:rPr>
          <w:rFonts w:ascii="Arial" w:cs="Arial" w:eastAsia="Arial" w:hAnsi="Arial"/>
          <w:sz w:val="20"/>
          <w:szCs w:val="20"/>
          <w:color w:val="auto"/>
        </w:rPr>
      </w:pPr>
      <w:r>
        <w:rPr>
          <w:rFonts w:ascii="Arial" w:cs="Arial" w:eastAsia="Arial" w:hAnsi="Arial"/>
          <w:sz w:val="20"/>
          <w:szCs w:val="20"/>
          <w:u w:val="single" w:color="auto"/>
          <w:color w:val="auto"/>
        </w:rPr>
        <w:t>Patriot Act, Etc</w:t>
      </w:r>
      <w:r>
        <w:rPr>
          <w:rFonts w:ascii="Arial" w:cs="Arial" w:eastAsia="Arial" w:hAnsi="Arial"/>
          <w:sz w:val="20"/>
          <w:szCs w:val="20"/>
          <w:color w:val="auto"/>
        </w:rPr>
        <w:t>. At least three (3) Business Days prior to the Effective Date, the Administrative Agent and the Lead Arranger shall have received all documentation and other information about the Company and the other Loan Parties as shall have been reasonably requested in writing by either the Administrative Agent or by the Lead Arranger at least ten (10) days prior to the Effective Date and required by U.S. regulatory authorities under applicable “know your customer” and anti-money laundering rules and regulations, including the Patriot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w:t>
      </w:r>
    </w:p>
    <w:p>
      <w:pPr>
        <w:spacing w:after="0" w:line="25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4.02 </w:t>
      </w:r>
      <w:r>
        <w:rPr>
          <w:rFonts w:ascii="Arial" w:cs="Arial" w:eastAsia="Arial" w:hAnsi="Arial"/>
          <w:sz w:val="20"/>
          <w:szCs w:val="20"/>
          <w:u w:val="single" w:color="auto"/>
          <w:color w:val="auto"/>
        </w:rPr>
        <w:t>Each Other Credit Event.</w:t>
      </w:r>
      <w:r>
        <w:rPr>
          <w:rFonts w:ascii="Arial" w:cs="Arial" w:eastAsia="Arial" w:hAnsi="Arial"/>
          <w:sz w:val="20"/>
          <w:szCs w:val="20"/>
          <w:color w:val="auto"/>
        </w:rPr>
        <w:t xml:space="preserve"> Other than with respect to any Credit Events on the Effective Date (which shall only be subject to the conditions set forth in Section 4.01 hereof), the obligation of each Lender to make a Loan on the occasion of any Borrowing, and of the Issuing Banks to issue, amend, renew or extend any Letter of Credit, is subject to the satisfaction of the following conditions:</w:t>
      </w:r>
    </w:p>
    <w:p>
      <w:pPr>
        <w:spacing w:after="0" w:line="192" w:lineRule="exact"/>
        <w:rPr>
          <w:sz w:val="20"/>
          <w:szCs w:val="20"/>
          <w:color w:val="auto"/>
        </w:rPr>
      </w:pPr>
    </w:p>
    <w:p>
      <w:pPr>
        <w:jc w:val="both"/>
        <w:ind w:left="660" w:firstLine="645"/>
        <w:spacing w:after="0" w:line="352" w:lineRule="auto"/>
        <w:tabs>
          <w:tab w:leader="none" w:pos="2014"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representations and warranties of the Loan Parties set forth in the Loan Documents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shall be true and correct in all respects) on and as of the date of such Borrowing or the date of issuance, amendment, renewal or extension of such Letter of Credit, as applicable, except to the extent that such representations and warranties specifically refer to an earlier date, in which case they shall be true and correct in all material respects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representation or warranty that is qualified by materiality, Material Adverse Effect or similar language shall be true and correct in all respects) as of such earlier date.</w:t>
      </w:r>
    </w:p>
    <w:p>
      <w:pPr>
        <w:spacing w:after="0" w:line="136" w:lineRule="exact"/>
        <w:rPr>
          <w:rFonts w:ascii="Arial" w:cs="Arial" w:eastAsia="Arial" w:hAnsi="Arial"/>
          <w:sz w:val="16"/>
          <w:szCs w:val="16"/>
          <w:color w:val="auto"/>
        </w:rPr>
      </w:pPr>
    </w:p>
    <w:p>
      <w:pPr>
        <w:ind w:left="660" w:firstLine="645"/>
        <w:spacing w:after="0" w:line="289" w:lineRule="auto"/>
        <w:tabs>
          <w:tab w:leader="none" w:pos="2187" w:val="left"/>
        </w:tabs>
        <w:numPr>
          <w:ilvl w:val="0"/>
          <w:numId w:val="289"/>
        </w:numPr>
        <w:rPr>
          <w:rFonts w:ascii="Arial" w:cs="Arial" w:eastAsia="Arial" w:hAnsi="Arial"/>
          <w:sz w:val="20"/>
          <w:szCs w:val="20"/>
          <w:color w:val="auto"/>
        </w:rPr>
      </w:pPr>
      <w:r>
        <w:rPr>
          <w:rFonts w:ascii="Arial" w:cs="Arial" w:eastAsia="Arial" w:hAnsi="Arial"/>
          <w:sz w:val="20"/>
          <w:szCs w:val="20"/>
          <w:color w:val="auto"/>
        </w:rPr>
        <w:t>At the time of and immediately after giving effect to such Borrowing or the issuance, amendment, renewal or extension of such Letter of Credit, as applicable, no Default shall have occurred and be continuing.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825" w:right="239" w:bottom="1440" w:gutter="0" w:footer="0" w:header="0"/>
        </w:sectPr>
      </w:pPr>
    </w:p>
    <w:bookmarkStart w:id="256" w:name="page257"/>
    <w:bookmarkEnd w:id="256"/>
    <w:p>
      <w:pPr>
        <w:ind w:left="660" w:firstLine="645"/>
        <w:spacing w:after="0" w:line="289" w:lineRule="auto"/>
        <w:tabs>
          <w:tab w:leader="none" w:pos="2014"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After giving effect to such Borrowing or the issuance, amendment, renewal or extension of any Letter of Credit, the Borrowers shall be in compliance with the Revolving Exposure Limitations.</w:t>
      </w:r>
    </w:p>
    <w:p>
      <w:pPr>
        <w:spacing w:after="0" w:line="161" w:lineRule="exact"/>
        <w:rPr>
          <w:rFonts w:ascii="Arial" w:cs="Arial" w:eastAsia="Arial" w:hAnsi="Arial"/>
          <w:sz w:val="20"/>
          <w:szCs w:val="20"/>
          <w:color w:val="auto"/>
        </w:rPr>
      </w:pPr>
    </w:p>
    <w:p>
      <w:pPr>
        <w:jc w:val="both"/>
        <w:ind w:left="660" w:firstLine="645"/>
        <w:spacing w:after="0" w:line="246" w:lineRule="auto"/>
        <w:tabs>
          <w:tab w:leader="none" w:pos="1589" w:val="left"/>
        </w:tabs>
        <w:numPr>
          <w:ilvl w:val="0"/>
          <w:numId w:val="290"/>
        </w:numPr>
        <w:rPr>
          <w:rFonts w:ascii="Arial" w:cs="Arial" w:eastAsia="Arial" w:hAnsi="Arial"/>
          <w:sz w:val="20"/>
          <w:szCs w:val="20"/>
          <w:color w:val="auto"/>
        </w:rPr>
      </w:pPr>
      <w:r>
        <w:rPr>
          <w:rFonts w:ascii="Arial" w:cs="Arial" w:eastAsia="Arial" w:hAnsi="Arial"/>
          <w:sz w:val="20"/>
          <w:szCs w:val="20"/>
          <w:color w:val="auto"/>
        </w:rPr>
        <w:t>The Administrative Agent shall have (i) received all documentation and other information about Grand Design required by U.S. regulatory authorities under applicable “know your customer” and anti-money laundering rules and regulations, including the Patriot Act and (ii) confirmed completion and satisfaction in all respects of required internal procedures for Grand Design in respect of such rules and regulations.</w:t>
      </w:r>
    </w:p>
    <w:p>
      <w:pPr>
        <w:spacing w:after="0" w:line="19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Loan Parties on the date thereof as to the matters specified in paragraphs (a), (b) and (c) of this Section.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Affirmative Covenants</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210" w:lineRule="exact"/>
        <w:rPr>
          <w:sz w:val="20"/>
          <w:szCs w:val="20"/>
          <w:color w:val="auto"/>
        </w:rPr>
      </w:pPr>
    </w:p>
    <w:p>
      <w:pPr>
        <w:ind w:left="660"/>
        <w:spacing w:after="0"/>
        <w:tabs>
          <w:tab w:leader="none" w:pos="3440" w:val="left"/>
        </w:tabs>
        <w:rPr>
          <w:sz w:val="20"/>
          <w:szCs w:val="20"/>
          <w:color w:val="auto"/>
        </w:rPr>
      </w:pPr>
      <w:r>
        <w:rPr>
          <w:rFonts w:ascii="Arial" w:cs="Arial" w:eastAsia="Arial" w:hAnsi="Arial"/>
          <w:sz w:val="20"/>
          <w:szCs w:val="20"/>
          <w:color w:val="auto"/>
        </w:rPr>
        <w:t>SECTION 5.01</w:t>
      </w:r>
      <w:r>
        <w:rPr>
          <w:sz w:val="20"/>
          <w:szCs w:val="20"/>
          <w:color w:val="auto"/>
        </w:rPr>
        <w:tab/>
      </w:r>
      <w:r>
        <w:rPr>
          <w:rFonts w:ascii="Arial" w:cs="Arial" w:eastAsia="Arial" w:hAnsi="Arial"/>
          <w:sz w:val="19"/>
          <w:szCs w:val="19"/>
          <w:u w:val="single" w:color="auto"/>
          <w:color w:val="auto"/>
        </w:rPr>
        <w:t>Financial Statements; Borrowing Base and Other Information</w:t>
      </w:r>
      <w:r>
        <w:rPr>
          <w:rFonts w:ascii="Arial" w:cs="Arial" w:eastAsia="Arial" w:hAnsi="Arial"/>
          <w:sz w:val="19"/>
          <w:szCs w:val="19"/>
          <w:color w:val="auto"/>
        </w:rPr>
        <w:t>. The Company will furnish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for distribution to each Lender:</w:t>
      </w:r>
    </w:p>
    <w:p>
      <w:pPr>
        <w:spacing w:after="0" w:line="243" w:lineRule="exact"/>
        <w:rPr>
          <w:sz w:val="20"/>
          <w:szCs w:val="20"/>
          <w:color w:val="auto"/>
        </w:rPr>
      </w:pPr>
    </w:p>
    <w:p>
      <w:pPr>
        <w:jc w:val="both"/>
        <w:ind w:firstLine="656"/>
        <w:spacing w:after="0" w:line="307" w:lineRule="auto"/>
        <w:tabs>
          <w:tab w:leader="none" w:pos="151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w:t>
      </w:r>
    </w:p>
    <w:p>
      <w:pPr>
        <w:spacing w:after="0" w:line="167" w:lineRule="exact"/>
        <w:rPr>
          <w:rFonts w:ascii="Arial" w:cs="Arial" w:eastAsia="Arial" w:hAnsi="Arial"/>
          <w:sz w:val="18"/>
          <w:szCs w:val="18"/>
          <w:color w:val="auto"/>
        </w:rPr>
      </w:pPr>
    </w:p>
    <w:p>
      <w:pPr>
        <w:jc w:val="both"/>
        <w:ind w:firstLine="656"/>
        <w:spacing w:after="0" w:line="271" w:lineRule="auto"/>
        <w:tabs>
          <w:tab w:leader="none" w:pos="1527"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within forty-five (45) days after the end of each of the first three fiscal quarters of each fiscal year of the Company, its consolidated and consolidating balance sheet and related statements of operations, stockholders’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a Financial Officer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1420"/>
          </w:cols>
          <w:pgMar w:left="240" w:top="825" w:right="239" w:bottom="1440" w:gutter="0" w:footer="0" w:header="0"/>
        </w:sectPr>
      </w:pPr>
    </w:p>
    <w:bookmarkStart w:id="257" w:name="page258"/>
    <w:bookmarkEnd w:id="257"/>
    <w:p>
      <w:pPr>
        <w:jc w:val="both"/>
        <w:ind w:firstLine="656"/>
        <w:spacing w:after="0" w:line="285" w:lineRule="auto"/>
        <w:tabs>
          <w:tab w:leader="none" w:pos="1516" w:val="left"/>
        </w:tabs>
        <w:numPr>
          <w:ilvl w:val="0"/>
          <w:numId w:val="292"/>
        </w:numPr>
        <w:rPr>
          <w:rFonts w:ascii="Arial" w:cs="Arial" w:eastAsia="Arial" w:hAnsi="Arial"/>
          <w:sz w:val="19"/>
          <w:szCs w:val="19"/>
          <w:color w:val="auto"/>
        </w:rPr>
      </w:pPr>
      <w:r>
        <w:rPr>
          <w:rFonts w:ascii="Arial" w:cs="Arial" w:eastAsia="Arial" w:hAnsi="Arial"/>
          <w:sz w:val="19"/>
          <w:szCs w:val="19"/>
          <w:color w:val="auto"/>
        </w:rPr>
        <w:t>from and after the date on which Aggregate Availability is less than the greater of $12,500,000 and 10% of the Aggregate Commitment (or an Event of Default has occurred and is continuing) and until such subsequent date, if any, on which Aggregate Availability is greater than the greater of $12,500,000 and 10% of the Aggregate Commitment for a period of thirty (30) consecutive calendar days (and no Event of Default then exists), within twenty (20) days after the end of each of the first two fiscal months of each fiscal quarter, its consolidated and consolidating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87" w:lineRule="exact"/>
        <w:rPr>
          <w:rFonts w:ascii="Arial" w:cs="Arial" w:eastAsia="Arial" w:hAnsi="Arial"/>
          <w:sz w:val="19"/>
          <w:szCs w:val="19"/>
          <w:color w:val="auto"/>
        </w:rPr>
      </w:pPr>
    </w:p>
    <w:p>
      <w:pPr>
        <w:jc w:val="both"/>
        <w:ind w:firstLine="656"/>
        <w:spacing w:after="0" w:line="303" w:lineRule="auto"/>
        <w:tabs>
          <w:tab w:leader="none" w:pos="1527" w:val="left"/>
        </w:tabs>
        <w:numPr>
          <w:ilvl w:val="0"/>
          <w:numId w:val="292"/>
        </w:numPr>
        <w:rPr>
          <w:rFonts w:ascii="Arial" w:cs="Arial" w:eastAsia="Arial" w:hAnsi="Arial"/>
          <w:sz w:val="18"/>
          <w:szCs w:val="18"/>
          <w:color w:val="auto"/>
        </w:rPr>
      </w:pPr>
      <w:r>
        <w:rPr>
          <w:rFonts w:ascii="Arial" w:cs="Arial" w:eastAsia="Arial" w:hAnsi="Arial"/>
          <w:sz w:val="18"/>
          <w:szCs w:val="18"/>
          <w:color w:val="auto"/>
        </w:rPr>
        <w:t xml:space="preserve">concurrently with any delivery of financial statements under clause (a), (b) or (c) above, a certificate of a Financial Officer of the Borrower Representative in substantially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as of the last day of the most recently ended period of four (4) Fiscal Quarters (provided that the Fixed Charge Coverage Ratio shall only be tested for compliance purposes during an FCCR Test Period)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68" w:lineRule="exact"/>
        <w:rPr>
          <w:rFonts w:ascii="Arial" w:cs="Arial" w:eastAsia="Arial" w:hAnsi="Arial"/>
          <w:sz w:val="18"/>
          <w:szCs w:val="18"/>
          <w:color w:val="auto"/>
        </w:rPr>
      </w:pPr>
    </w:p>
    <w:p>
      <w:pPr>
        <w:ind w:firstLine="656"/>
        <w:spacing w:after="0" w:line="289" w:lineRule="auto"/>
        <w:tabs>
          <w:tab w:leader="none" w:pos="1516" w:val="left"/>
        </w:tabs>
        <w:numPr>
          <w:ilvl w:val="0"/>
          <w:numId w:val="292"/>
        </w:numPr>
        <w:rPr>
          <w:rFonts w:ascii="Arial" w:cs="Arial" w:eastAsia="Arial" w:hAnsi="Arial"/>
          <w:sz w:val="20"/>
          <w:szCs w:val="20"/>
          <w:color w:val="auto"/>
        </w:rPr>
      </w:pPr>
      <w:r>
        <w:rPr>
          <w:rFonts w:ascii="Arial" w:cs="Arial" w:eastAsia="Arial" w:hAnsi="Arial"/>
          <w:sz w:val="20"/>
          <w:szCs w:val="20"/>
          <w:color w:val="auto"/>
        </w:rPr>
        <w:t>within ninety (90) days after the end of each fiscal year of the Company, a copy of the plan and forecast of the Company and its Subsidiaries in the form previously provided to, and approved by, the Administrative Agent;</w:t>
      </w:r>
    </w:p>
    <w:p>
      <w:pPr>
        <w:spacing w:after="0" w:line="175" w:lineRule="exact"/>
        <w:rPr>
          <w:rFonts w:ascii="Arial" w:cs="Arial" w:eastAsia="Arial" w:hAnsi="Arial"/>
          <w:sz w:val="20"/>
          <w:szCs w:val="20"/>
          <w:color w:val="auto"/>
        </w:rPr>
      </w:pPr>
    </w:p>
    <w:p>
      <w:pPr>
        <w:jc w:val="both"/>
        <w:ind w:firstLine="656"/>
        <w:spacing w:after="0" w:line="303" w:lineRule="auto"/>
        <w:tabs>
          <w:tab w:leader="none" w:pos="149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 as soon as available but in any event within twenty (20) days after the end of each calendar month following the Effective Date (or, from and after the date on which Aggregate Availability is less than the greater of $12,500,000 and 10% of the Aggregate Commitment (or an Event of Default has occurred and is continuing) and until such subsequent date, if any, on which Aggregate Availability is greater than the greater of $12,500,000 and 10% of the Aggregate Commitment for a period of thirty (30) consecutive calendar days (and no Event of Default then exists), by the Wednesday immediately following the end of each calendar week) and (ii) at such other times as may be necessary to re-determine Aggregate Availability or Availability for any Borrower or as may be reasonably requested by the Administrative Agent, as of the period then ended, an Aggregate Borrowing Base Certificate, together with a Borrowing Base Certificate for each Borrower, and supporting information in connection therewith, together with any additional reports with respect to the Aggregate Borrowing Base or the Borrowing Base of any Borrower as the Administrative Agent may reasonably request;</w:t>
      </w:r>
    </w:p>
    <w:p>
      <w:pPr>
        <w:spacing w:after="0" w:line="173" w:lineRule="exact"/>
        <w:rPr>
          <w:rFonts w:ascii="Arial" w:cs="Arial" w:eastAsia="Arial" w:hAnsi="Arial"/>
          <w:sz w:val="18"/>
          <w:szCs w:val="18"/>
          <w:color w:val="auto"/>
        </w:rPr>
      </w:pPr>
    </w:p>
    <w:p>
      <w:pPr>
        <w:ind w:firstLine="656"/>
        <w:spacing w:after="0" w:line="289" w:lineRule="auto"/>
        <w:tabs>
          <w:tab w:leader="none" w:pos="1527" w:val="left"/>
        </w:tabs>
        <w:numPr>
          <w:ilvl w:val="0"/>
          <w:numId w:val="292"/>
        </w:numPr>
        <w:rPr>
          <w:rFonts w:ascii="Arial" w:cs="Arial" w:eastAsia="Arial" w:hAnsi="Arial"/>
          <w:sz w:val="20"/>
          <w:szCs w:val="20"/>
          <w:color w:val="auto"/>
        </w:rPr>
      </w:pPr>
      <w:r>
        <w:rPr>
          <w:rFonts w:ascii="Arial" w:cs="Arial" w:eastAsia="Arial" w:hAnsi="Arial"/>
          <w:sz w:val="20"/>
          <w:szCs w:val="20"/>
          <w:color w:val="auto"/>
        </w:rPr>
        <w:t>as soon as available but in any event within twenty (20) days of the end of each calendar month, as of the period then ended, all delivered electronically in a text formatted file acceptable to the Administrative Agent: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20"/>
          </w:cols>
          <w:pgMar w:left="240" w:top="825" w:right="239" w:bottom="1440" w:gutter="0" w:footer="0" w:header="0"/>
        </w:sectPr>
      </w:pPr>
    </w:p>
    <w:bookmarkStart w:id="258" w:name="page259"/>
    <w:bookmarkEnd w:id="258"/>
    <w:p>
      <w:pPr>
        <w:jc w:val="both"/>
        <w:ind w:left="660" w:firstLine="645"/>
        <w:spacing w:after="0" w:line="278" w:lineRule="auto"/>
        <w:tabs>
          <w:tab w:leader="none" w:pos="2143" w:val="left"/>
        </w:tabs>
        <w:numPr>
          <w:ilvl w:val="1"/>
          <w:numId w:val="293"/>
        </w:numPr>
        <w:rPr>
          <w:rFonts w:ascii="Arial" w:cs="Arial" w:eastAsia="Arial" w:hAnsi="Arial"/>
          <w:sz w:val="20"/>
          <w:szCs w:val="20"/>
          <w:color w:val="auto"/>
        </w:rPr>
      </w:pPr>
      <w:r>
        <w:rPr>
          <w:rFonts w:ascii="Arial" w:cs="Arial" w:eastAsia="Arial" w:hAnsi="Arial"/>
          <w:sz w:val="20"/>
          <w:szCs w:val="20"/>
          <w:color w:val="auto"/>
        </w:rPr>
        <w:t>a 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186" w:lineRule="exact"/>
        <w:rPr>
          <w:rFonts w:ascii="Arial" w:cs="Arial" w:eastAsia="Arial" w:hAnsi="Arial"/>
          <w:sz w:val="20"/>
          <w:szCs w:val="20"/>
          <w:color w:val="auto"/>
        </w:rPr>
      </w:pPr>
    </w:p>
    <w:p>
      <w:pPr>
        <w:jc w:val="both"/>
        <w:ind w:left="660" w:firstLine="645"/>
        <w:spacing w:after="0" w:line="270" w:lineRule="auto"/>
        <w:tabs>
          <w:tab w:leader="none" w:pos="2198" w:val="left"/>
        </w:tabs>
        <w:numPr>
          <w:ilvl w:val="1"/>
          <w:numId w:val="293"/>
        </w:numPr>
        <w:rPr>
          <w:rFonts w:ascii="Arial" w:cs="Arial" w:eastAsia="Arial" w:hAnsi="Arial"/>
          <w:sz w:val="20"/>
          <w:szCs w:val="20"/>
          <w:color w:val="auto"/>
        </w:rPr>
      </w:pPr>
      <w:r>
        <w:rPr>
          <w:rFonts w:ascii="Arial" w:cs="Arial" w:eastAsia="Arial" w:hAnsi="Arial"/>
          <w:sz w:val="20"/>
          <w:szCs w:val="20"/>
          <w:color w:val="auto"/>
        </w:rPr>
        <w:t>a schedule detailing the Borrowers’ Inventory, in form reasonably satisfactory to the Administrative Agent, (1) by location (showing U16 Inventory,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99" w:lineRule="exact"/>
        <w:rPr>
          <w:rFonts w:ascii="Arial" w:cs="Arial" w:eastAsia="Arial" w:hAnsi="Arial"/>
          <w:sz w:val="20"/>
          <w:szCs w:val="20"/>
          <w:color w:val="auto"/>
        </w:rPr>
      </w:pPr>
    </w:p>
    <w:p>
      <w:pPr>
        <w:jc w:val="both"/>
        <w:ind w:left="660" w:firstLine="645"/>
        <w:spacing w:after="0" w:line="278" w:lineRule="auto"/>
        <w:tabs>
          <w:tab w:leader="none" w:pos="2253" w:val="left"/>
        </w:tabs>
        <w:numPr>
          <w:ilvl w:val="1"/>
          <w:numId w:val="293"/>
        </w:numPr>
        <w:rPr>
          <w:rFonts w:ascii="Arial" w:cs="Arial" w:eastAsia="Arial" w:hAnsi="Arial"/>
          <w:sz w:val="20"/>
          <w:szCs w:val="20"/>
          <w:color w:val="auto"/>
        </w:rPr>
      </w:pPr>
      <w:r>
        <w:rPr>
          <w:rFonts w:ascii="Arial" w:cs="Arial" w:eastAsia="Arial" w:hAnsi="Arial"/>
          <w:sz w:val="20"/>
          <w:szCs w:val="20"/>
          <w:color w:val="auto"/>
        </w:rPr>
        <w:t>a worksheet of calculations prepared by the Borrowers to determine Eligible Accounts and Eligible Inventory, such worksheets detailing the Accounts and Inventory excluded from Eligible Accounts and Eligible Inventory and the reason for such exclusion; and</w:t>
      </w:r>
    </w:p>
    <w:p>
      <w:pPr>
        <w:spacing w:after="0" w:line="186" w:lineRule="exact"/>
        <w:rPr>
          <w:rFonts w:ascii="Arial" w:cs="Arial" w:eastAsia="Arial" w:hAnsi="Arial"/>
          <w:sz w:val="20"/>
          <w:szCs w:val="20"/>
          <w:color w:val="auto"/>
        </w:rPr>
      </w:pPr>
    </w:p>
    <w:p>
      <w:pPr>
        <w:jc w:val="both"/>
        <w:ind w:left="660" w:firstLine="645"/>
        <w:spacing w:after="0" w:line="293" w:lineRule="auto"/>
        <w:tabs>
          <w:tab w:leader="none" w:pos="2242"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a reconciliation of the Borrowers’ Accounts and Inventory between (A) the amounts shown in the Borrowers’ general ledger and financial statements and the reports delivered pursuant to clauses (i) and (ii) above and (B) the amounts and dates shown in the reports delivered pursuant to clauses (i) and (ii) above and the Aggregate Borrowing Base Certificate and the Borrowing Base Certificate of each Borrower delivered pursuant to </w:t>
      </w:r>
      <w:r>
        <w:rPr>
          <w:rFonts w:ascii="Arial" w:cs="Arial" w:eastAsia="Arial" w:hAnsi="Arial"/>
          <w:sz w:val="19"/>
          <w:szCs w:val="19"/>
          <w:u w:val="single" w:color="auto"/>
          <w:color w:val="auto"/>
        </w:rPr>
        <w:t>clause (f)</w:t>
      </w:r>
      <w:r>
        <w:rPr>
          <w:rFonts w:ascii="Arial" w:cs="Arial" w:eastAsia="Arial" w:hAnsi="Arial"/>
          <w:sz w:val="19"/>
          <w:szCs w:val="19"/>
          <w:color w:val="auto"/>
        </w:rPr>
        <w:t xml:space="preserve"> above as of such date;</w:t>
      </w:r>
    </w:p>
    <w:p>
      <w:pPr>
        <w:spacing w:after="0" w:line="175" w:lineRule="exact"/>
        <w:rPr>
          <w:rFonts w:ascii="Arial" w:cs="Arial" w:eastAsia="Arial" w:hAnsi="Arial"/>
          <w:sz w:val="19"/>
          <w:szCs w:val="19"/>
          <w:color w:val="auto"/>
        </w:rPr>
      </w:pPr>
    </w:p>
    <w:p>
      <w:pPr>
        <w:jc w:val="both"/>
        <w:ind w:firstLine="656"/>
        <w:spacing w:after="0" w:line="278" w:lineRule="auto"/>
        <w:tabs>
          <w:tab w:leader="none" w:pos="152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as soon as available but in any event within twenty (20) days of the end of each calendar month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86" w:lineRule="exact"/>
        <w:rPr>
          <w:rFonts w:ascii="Arial" w:cs="Arial" w:eastAsia="Arial" w:hAnsi="Arial"/>
          <w:sz w:val="20"/>
          <w:szCs w:val="20"/>
          <w:color w:val="auto"/>
        </w:rPr>
      </w:pPr>
    </w:p>
    <w:p>
      <w:pPr>
        <w:jc w:val="both"/>
        <w:ind w:firstLine="656"/>
        <w:spacing w:after="0" w:line="293" w:lineRule="auto"/>
        <w:tabs>
          <w:tab w:leader="none" w:pos="1483" w:val="left"/>
        </w:tabs>
        <w:numPr>
          <w:ilvl w:val="0"/>
          <w:numId w:val="294"/>
        </w:numPr>
        <w:rPr>
          <w:rFonts w:ascii="Arial" w:cs="Arial" w:eastAsia="Arial" w:hAnsi="Arial"/>
          <w:sz w:val="19"/>
          <w:szCs w:val="19"/>
          <w:color w:val="auto"/>
        </w:rPr>
      </w:pPr>
      <w:r>
        <w:rPr>
          <w:rFonts w:ascii="Arial" w:cs="Arial" w:eastAsia="Arial" w:hAnsi="Arial"/>
          <w:sz w:val="19"/>
          <w:szCs w:val="19"/>
          <w:color w:val="auto"/>
        </w:rPr>
        <w:t>as soon as available but in any event within twenty (20) days of the end of each fiscal year of the Company, and at such other times as may be requested by the Administrative Agent, 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75" w:lineRule="exact"/>
        <w:rPr>
          <w:rFonts w:ascii="Arial" w:cs="Arial" w:eastAsia="Arial" w:hAnsi="Arial"/>
          <w:sz w:val="19"/>
          <w:szCs w:val="19"/>
          <w:color w:val="auto"/>
        </w:rPr>
      </w:pPr>
    </w:p>
    <w:p>
      <w:pPr>
        <w:ind w:left="1500" w:hanging="844"/>
        <w:spacing w:after="0"/>
        <w:tabs>
          <w:tab w:leader="none" w:pos="1500" w:val="left"/>
        </w:tabs>
        <w:numPr>
          <w:ilvl w:val="0"/>
          <w:numId w:val="294"/>
        </w:numPr>
        <w:rPr>
          <w:rFonts w:ascii="Arial" w:cs="Arial" w:eastAsia="Arial" w:hAnsi="Arial"/>
          <w:sz w:val="20"/>
          <w:szCs w:val="20"/>
          <w:color w:val="auto"/>
        </w:rPr>
      </w:pPr>
      <w:r>
        <w:rPr>
          <w:rFonts w:ascii="Arial" w:cs="Arial" w:eastAsia="Arial" w:hAnsi="Arial"/>
          <w:sz w:val="20"/>
          <w:szCs w:val="20"/>
          <w:color w:val="auto"/>
        </w:rPr>
        <w:t>promptly upon the Administrative Agent’s reasonable request:</w:t>
      </w:r>
    </w:p>
    <w:p>
      <w:pPr>
        <w:spacing w:after="0" w:line="242" w:lineRule="exact"/>
        <w:rPr>
          <w:rFonts w:ascii="Arial" w:cs="Arial" w:eastAsia="Arial" w:hAnsi="Arial"/>
          <w:sz w:val="20"/>
          <w:szCs w:val="20"/>
          <w:color w:val="auto"/>
        </w:rPr>
      </w:pPr>
    </w:p>
    <w:p>
      <w:pPr>
        <w:ind w:left="660" w:firstLine="645"/>
        <w:spacing w:after="0" w:line="289" w:lineRule="auto"/>
        <w:tabs>
          <w:tab w:leader="none" w:pos="2143" w:val="left"/>
        </w:tabs>
        <w:numPr>
          <w:ilvl w:val="1"/>
          <w:numId w:val="294"/>
        </w:numPr>
        <w:rPr>
          <w:rFonts w:ascii="Arial" w:cs="Arial" w:eastAsia="Arial" w:hAnsi="Arial"/>
          <w:sz w:val="20"/>
          <w:szCs w:val="20"/>
          <w:color w:val="auto"/>
        </w:rPr>
      </w:pPr>
      <w:r>
        <w:rPr>
          <w:rFonts w:ascii="Arial" w:cs="Arial" w:eastAsia="Arial" w:hAnsi="Arial"/>
          <w:sz w:val="20"/>
          <w:szCs w:val="20"/>
          <w:color w:val="auto"/>
        </w:rPr>
        <w:t>copies of invoices issued by the Borrowers in connection with any Accounts, credit memos, shipping and delivery documents, and other information related thereto;</w:t>
      </w:r>
    </w:p>
    <w:p>
      <w:pPr>
        <w:spacing w:after="0" w:line="175" w:lineRule="exact"/>
        <w:rPr>
          <w:rFonts w:ascii="Arial" w:cs="Arial" w:eastAsia="Arial" w:hAnsi="Arial"/>
          <w:sz w:val="20"/>
          <w:szCs w:val="20"/>
          <w:color w:val="auto"/>
        </w:rPr>
      </w:pPr>
    </w:p>
    <w:p>
      <w:pPr>
        <w:ind w:left="660" w:firstLine="645"/>
        <w:spacing w:after="0" w:line="289" w:lineRule="auto"/>
        <w:tabs>
          <w:tab w:leader="none" w:pos="2198" w:val="left"/>
        </w:tabs>
        <w:numPr>
          <w:ilvl w:val="1"/>
          <w:numId w:val="294"/>
        </w:numPr>
        <w:rPr>
          <w:rFonts w:ascii="Arial" w:cs="Arial" w:eastAsia="Arial" w:hAnsi="Arial"/>
          <w:sz w:val="20"/>
          <w:szCs w:val="20"/>
          <w:color w:val="auto"/>
        </w:rPr>
      </w:pPr>
      <w:r>
        <w:rPr>
          <w:rFonts w:ascii="Arial" w:cs="Arial" w:eastAsia="Arial" w:hAnsi="Arial"/>
          <w:sz w:val="20"/>
          <w:szCs w:val="20"/>
          <w:color w:val="auto"/>
        </w:rPr>
        <w:t>copies of purchase orders, invoices, and shipping and delivery documents in connection with any Inventory or Equipment purchased by any Loan Party; and</w:t>
      </w:r>
    </w:p>
    <w:p>
      <w:pPr>
        <w:spacing w:after="0" w:line="175" w:lineRule="exact"/>
        <w:rPr>
          <w:rFonts w:ascii="Arial" w:cs="Arial" w:eastAsia="Arial" w:hAnsi="Arial"/>
          <w:sz w:val="20"/>
          <w:szCs w:val="20"/>
          <w:color w:val="auto"/>
        </w:rPr>
      </w:pPr>
    </w:p>
    <w:p>
      <w:pPr>
        <w:ind w:left="2240" w:hanging="935"/>
        <w:spacing w:after="0"/>
        <w:tabs>
          <w:tab w:leader="none" w:pos="2240" w:val="left"/>
        </w:tabs>
        <w:numPr>
          <w:ilvl w:val="1"/>
          <w:numId w:val="294"/>
        </w:numPr>
        <w:rPr>
          <w:rFonts w:ascii="Arial" w:cs="Arial" w:eastAsia="Arial" w:hAnsi="Arial"/>
          <w:sz w:val="20"/>
          <w:szCs w:val="20"/>
          <w:color w:val="auto"/>
        </w:rPr>
      </w:pPr>
      <w:r>
        <w:rPr>
          <w:rFonts w:ascii="Arial" w:cs="Arial" w:eastAsia="Arial" w:hAnsi="Arial"/>
          <w:sz w:val="20"/>
          <w:szCs w:val="20"/>
          <w:color w:val="auto"/>
        </w:rPr>
        <w:t>a schedule detailing the balance of all intercompany accounts of the Loan Parties;</w:t>
      </w:r>
    </w:p>
    <w:p>
      <w:pPr>
        <w:spacing w:after="0" w:line="242" w:lineRule="exact"/>
        <w:rPr>
          <w:rFonts w:ascii="Arial" w:cs="Arial" w:eastAsia="Arial" w:hAnsi="Arial"/>
          <w:sz w:val="20"/>
          <w:szCs w:val="20"/>
          <w:color w:val="auto"/>
        </w:rPr>
      </w:pPr>
    </w:p>
    <w:p>
      <w:pPr>
        <w:ind w:firstLine="656"/>
        <w:spacing w:after="0" w:line="289" w:lineRule="auto"/>
        <w:tabs>
          <w:tab w:leader="none" w:pos="152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promptly after the same become publicly available, copies of all periodic and other reports, proxy statements and other materials filed by the Company or any Subsidiary with the SEC, or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825" w:right="239" w:bottom="1440" w:gutter="0" w:footer="0" w:header="0"/>
        </w:sectPr>
      </w:pPr>
    </w:p>
    <w:bookmarkStart w:id="259" w:name="page260"/>
    <w:bookmarkEnd w:id="259"/>
    <w:p>
      <w:pPr>
        <w:spacing w:after="0" w:line="289" w:lineRule="auto"/>
        <w:rPr>
          <w:sz w:val="20"/>
          <w:szCs w:val="20"/>
          <w:color w:val="auto"/>
        </w:rPr>
      </w:pPr>
      <w:r>
        <w:rPr>
          <w:rFonts w:ascii="Arial" w:cs="Arial" w:eastAsia="Arial" w:hAnsi="Arial"/>
          <w:sz w:val="20"/>
          <w:szCs w:val="20"/>
          <w:color w:val="auto"/>
        </w:rPr>
        <w:t>Governmental Authority succeeding to any or all of the functions of said Commission, or with any national securities exchange, or distributed by the Company to its shareholders generally, as the case may be; and</w:t>
      </w:r>
    </w:p>
    <w:p>
      <w:pPr>
        <w:spacing w:after="0" w:line="175" w:lineRule="exact"/>
        <w:rPr>
          <w:sz w:val="20"/>
          <w:szCs w:val="20"/>
          <w:color w:val="auto"/>
        </w:rPr>
      </w:pPr>
    </w:p>
    <w:p>
      <w:pPr>
        <w:jc w:val="both"/>
        <w:ind w:firstLine="656"/>
        <w:spacing w:after="0" w:line="278" w:lineRule="auto"/>
        <w:tabs>
          <w:tab w:leader="none" w:pos="1483" w:val="left"/>
        </w:tabs>
        <w:numPr>
          <w:ilvl w:val="0"/>
          <w:numId w:val="295"/>
        </w:numPr>
        <w:rPr>
          <w:rFonts w:ascii="Arial" w:cs="Arial" w:eastAsia="Arial" w:hAnsi="Arial"/>
          <w:sz w:val="20"/>
          <w:szCs w:val="20"/>
          <w:color w:val="auto"/>
        </w:rPr>
      </w:pPr>
      <w:r>
        <w:rPr>
          <w:rFonts w:ascii="Arial" w:cs="Arial" w:eastAsia="Arial" w:hAnsi="Arial"/>
          <w:sz w:val="20"/>
          <w:szCs w:val="20"/>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Documents required to be delivered pursuant to this Section 5.01 may be delivered electronically and if so delivered, shall be deemed to have been delivered on the date on which such documents are filed for public availability on the SEC’s Electronic Data Gathering and Retrieval System; provided that the Company shall notify (which may be by facsimile or electronic mail) the Administrative Agent of the filing of any such documents and provide to the Administrative Agent by electronic mail electronic versions (i.e., soft copies) of such documents. Notwithstanding anything contained herein, in every instance the Company shall be required to provide paper copies of the compliance certificates required by clause (d) of this Section 5.01 to the Administrative Agent.</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Notices of Material Events</w:t>
      </w:r>
      <w:r>
        <w:rPr>
          <w:rFonts w:ascii="Arial" w:cs="Arial" w:eastAsia="Arial" w:hAnsi="Arial"/>
          <w:sz w:val="20"/>
          <w:szCs w:val="20"/>
          <w:color w:val="auto"/>
        </w:rPr>
        <w:t>. The Company will furnish to the Administrative Agent (for distribution to each Lender) written notice of the following, promptly after a Responsible Officer of the Company obtains actual knowledge thereof:</w:t>
      </w:r>
    </w:p>
    <w:p>
      <w:pPr>
        <w:spacing w:after="0" w:line="175" w:lineRule="exact"/>
        <w:rPr>
          <w:sz w:val="20"/>
          <w:szCs w:val="20"/>
          <w:color w:val="auto"/>
        </w:rPr>
      </w:pPr>
    </w:p>
    <w:p>
      <w:pPr>
        <w:ind w:left="1520" w:hanging="864"/>
        <w:spacing w:after="0"/>
        <w:tabs>
          <w:tab w:leader="none" w:pos="152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42"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filing or commencement of any action, suit or proceeding by or before any arbitrator or Governmental Authority against or affecting the Company or any Subsidiary thereof that, if adversely determined, could reasonably be expected to result in a Material Adverse Effect;</w:t>
      </w:r>
    </w:p>
    <w:p>
      <w:pPr>
        <w:spacing w:after="0" w:line="186" w:lineRule="exact"/>
        <w:rPr>
          <w:rFonts w:ascii="Arial" w:cs="Arial" w:eastAsia="Arial" w:hAnsi="Arial"/>
          <w:sz w:val="20"/>
          <w:szCs w:val="20"/>
          <w:color w:val="auto"/>
        </w:rPr>
      </w:pPr>
    </w:p>
    <w:p>
      <w:pPr>
        <w:ind w:left="1520" w:hanging="864"/>
        <w:spacing w:after="0"/>
        <w:tabs>
          <w:tab w:leader="none" w:pos="152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any loss, damage, or destruction to the Collateral in the amount of $7,500,000 or more, whether or not covered by insurance;</w:t>
      </w:r>
    </w:p>
    <w:p>
      <w:pPr>
        <w:spacing w:after="0" w:line="288" w:lineRule="exact"/>
        <w:rPr>
          <w:rFonts w:ascii="Arial" w:cs="Arial" w:eastAsia="Arial" w:hAnsi="Arial"/>
          <w:sz w:val="16"/>
          <w:szCs w:val="16"/>
          <w:color w:val="auto"/>
        </w:rPr>
      </w:pPr>
    </w:p>
    <w:p>
      <w:pPr>
        <w:ind w:firstLine="656"/>
        <w:spacing w:after="0" w:line="289" w:lineRule="auto"/>
        <w:tabs>
          <w:tab w:leader="none" w:pos="1527"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and all default notices received under or with respect to any leased location or public warehouse where Inventory constituting Collateral with a value in excess of $2,500,000 is located;</w:t>
      </w:r>
    </w:p>
    <w:p>
      <w:pPr>
        <w:spacing w:after="0" w:line="175" w:lineRule="exact"/>
        <w:rPr>
          <w:rFonts w:ascii="Arial" w:cs="Arial" w:eastAsia="Arial" w:hAnsi="Arial"/>
          <w:sz w:val="20"/>
          <w:szCs w:val="20"/>
          <w:color w:val="auto"/>
        </w:rPr>
      </w:pPr>
    </w:p>
    <w:p>
      <w:pPr>
        <w:ind w:left="1520" w:hanging="864"/>
        <w:spacing w:after="0"/>
        <w:tabs>
          <w:tab w:leader="none" w:pos="152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all amendments to the Term Loan Agreement, together with a copy of each such amendment;</w:t>
      </w:r>
    </w:p>
    <w:p>
      <w:pPr>
        <w:spacing w:after="0" w:line="242" w:lineRule="exact"/>
        <w:rPr>
          <w:rFonts w:ascii="Arial" w:cs="Arial" w:eastAsia="Arial" w:hAnsi="Arial"/>
          <w:sz w:val="20"/>
          <w:szCs w:val="20"/>
          <w:color w:val="auto"/>
        </w:rPr>
      </w:pPr>
    </w:p>
    <w:p>
      <w:pPr>
        <w:ind w:firstLine="656"/>
        <w:spacing w:after="0" w:line="289" w:lineRule="auto"/>
        <w:tabs>
          <w:tab w:leader="none" w:pos="1494" w:val="left"/>
        </w:tabs>
        <w:numPr>
          <w:ilvl w:val="0"/>
          <w:numId w:val="296"/>
        </w:numPr>
        <w:rPr>
          <w:rFonts w:ascii="Arial" w:cs="Arial" w:eastAsia="Arial" w:hAnsi="Arial"/>
          <w:sz w:val="20"/>
          <w:szCs w:val="20"/>
          <w:color w:val="auto"/>
        </w:rPr>
      </w:pPr>
      <w:r>
        <w:rPr>
          <w:rFonts w:ascii="Arial" w:cs="Arial" w:eastAsia="Arial" w:hAnsi="Arial"/>
          <w:sz w:val="20"/>
          <w:szCs w:val="20"/>
          <w:color w:val="auto"/>
        </w:rPr>
        <w:t>the occurrence of any ERISA Event that, alone or together with any other ERISA Events that have occurred, could reasonably be expected to result in a Material Adverse Effect; and</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other development that results in, or could reasonably be expected to result in, a Material Adverse Effect.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notice delivered under this Section shall be accompanied by a statement of a Responsible Officer or other executive officer of the Borrower Representative setting forth the details of the event or development requiring such notice and any action taken or proposed to be taken with respect thereto.</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Information required to be delivered pursuant to clause (b), (e), (f) and (g) of this Section shall be deemed to have been delivered if such information, or one or more annual, quarterly, current or other reports containing such information, is (i) filed for public availability on the SEC’s Electronic Data Gathering and Retrieval System, (ii) posted on www.winnebagoind.com or at another website identified in a notice from the Company and accessible by the Lenders without charge; or (iii) posted on the Company’s behalf on an Internet or intranet website, if any, to which the Administrative Agent and the Lenders have access (whether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825" w:right="239" w:bottom="1440" w:gutter="0" w:footer="0" w:header="0"/>
        </w:sectPr>
      </w:pPr>
    </w:p>
    <w:bookmarkStart w:id="260" w:name="page261"/>
    <w:bookmarkEnd w:id="260"/>
    <w:p>
      <w:pPr>
        <w:jc w:val="both"/>
        <w:spacing w:after="0" w:line="287" w:lineRule="auto"/>
        <w:rPr>
          <w:sz w:val="20"/>
          <w:szCs w:val="20"/>
          <w:color w:val="auto"/>
        </w:rPr>
      </w:pPr>
      <w:r>
        <w:rPr>
          <w:rFonts w:ascii="Arial" w:cs="Arial" w:eastAsia="Arial" w:hAnsi="Arial"/>
          <w:sz w:val="19"/>
          <w:szCs w:val="19"/>
          <w:color w:val="auto"/>
        </w:rPr>
        <w:t>commercial, third-party website or whether sponsored by the Administrative Agent). Information required to be delivered pursuant to this Section may also be delivered by electronic communications pursuant to procedures approved by the Administrative Agent.</w:t>
      </w:r>
    </w:p>
    <w:p>
      <w:pPr>
        <w:spacing w:after="0" w:line="166"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Each Loan Party will, and will cause each of its Material Subsidiaries to, (a) do or cause to be done all things necessary to preserve, renew and keep in full force and effect its legal existence and (b) take, or cause to be taken, all reasonable actions to preserve, renew and keep in full force and effect the rights, qualifications, licenses, permits, privileges, franchises, governmental authorizations and intellectual property rights material to the conduct of the business of the Company and its Subsidiaries, taken as a whole, and maintain all requisite authority to conduct its business in each jurisdiction in which its business is conducted, except, in the case of this clause (b), to the extent failure to do so could not reasonably be expected to result in a Material Adverse Effect; provided that, the foregoing shall not prohibit any merger, consolidation, liquidation or dissolution permitted under Section 6.03.</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Payment of Obligations</w:t>
      </w:r>
      <w:r>
        <w:rPr>
          <w:rFonts w:ascii="Arial" w:cs="Arial" w:eastAsia="Arial" w:hAnsi="Arial"/>
          <w:sz w:val="19"/>
          <w:szCs w:val="19"/>
          <w:color w:val="auto"/>
        </w:rPr>
        <w:t>. Each Loan Party will, and will cause each of its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such Loan Party or such Subsidiary has set aside on its books adequate reserves with respect thereto in accordance with GAAP and (c) the failure to make payment pending such contest could not reasonably be expected to result in a Material Adverse Effect.</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Maintenance of Properties</w:t>
      </w:r>
      <w:r>
        <w:rPr>
          <w:rFonts w:ascii="Arial" w:cs="Arial" w:eastAsia="Arial" w:hAnsi="Arial"/>
          <w:sz w:val="20"/>
          <w:szCs w:val="20"/>
          <w:color w:val="auto"/>
        </w:rPr>
        <w:t>. Each Loan Party will, and will cause each Subsidiary to, keep and maintain all property material to the conduct of its business in good working order and condition, ordinary wear and tear and casualty and condemnation excepted, except to the extent such failure could not reasonably be expected to have a Material Adverse Effect.</w:t>
      </w:r>
    </w:p>
    <w:p>
      <w:pPr>
        <w:spacing w:after="0" w:line="1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Loan Parties will, and will cause each of their Subsidiaries to, keep in all material respects proper books of record and account in which full, true and correct entries in all material respects in conformity, in all material respects, with GAAP and applicable law are made of all material dealings and material transactions in relation to its business and activities. The Loan Parties will, and will cause each of the Subsidiaries to, permit any representatives designated by the Administrative Agent, who may be accompanied by a Lender, upon no less than five (5) Business Days’ prior written notice (provided that no such prior written notice shall be required during the occurrence and continuance of an Event of Default) and at reasonable times during normal business hours, to visit and inspect its properties, to examine and make extracts from its books and records, environmental assessment reports and Phase I or Phase II studies, and to discuss its affairs, finances and condition with its officers, all at such reasonable times and as often as reasonably requested; provided, that so long as no Event of Default has occurred and is continuing, the Loan Parties shall not be required to pay for any such inspection (but may be obligated reimburse the Administrative Agent for field exams and appraisals as provided in Sections 5.11 and 5.12 below). The Loan Parties acknowledge that the Administrative Agent, after exercising its rights of inspection, may prepare and distribute to the Lenders Reports pertaining to the Loan Parties’ assets for internal use by the Administrative Agent and the Lenders. The Loan Parties and the Subsidiaries shall have no obligation to discuss or disclose to Administrative Agent, any Lender, or any of their officers, directors, employees or agents, materials protected by attorney-client privilege (including any attorney work product) materials that constitute non-financial trade secrets or non-financial proprietary information, or materials that the Loan Parties or any of the Subsidiaries may not disclose without violation of a confidentiality obligation binding upon it.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811" w:right="239" w:bottom="1440" w:gutter="0" w:footer="0" w:header="0"/>
        </w:sectPr>
      </w:pPr>
    </w:p>
    <w:bookmarkStart w:id="261" w:name="page262"/>
    <w:bookmarkEnd w:id="261"/>
    <w:p>
      <w:pPr>
        <w:ind w:left="660"/>
        <w:spacing w:after="0"/>
        <w:tabs>
          <w:tab w:leader="none" w:pos="3400" w:val="left"/>
        </w:tabs>
        <w:rPr>
          <w:sz w:val="20"/>
          <w:szCs w:val="20"/>
          <w:color w:val="auto"/>
        </w:rPr>
      </w:pPr>
      <w:r>
        <w:rPr>
          <w:rFonts w:ascii="Arial" w:cs="Arial" w:eastAsia="Arial" w:hAnsi="Arial"/>
          <w:sz w:val="20"/>
          <w:szCs w:val="20"/>
          <w:color w:val="auto"/>
        </w:rPr>
        <w:t>SECTION 5.07</w:t>
      </w:r>
      <w:r>
        <w:rPr>
          <w:sz w:val="20"/>
          <w:szCs w:val="20"/>
          <w:color w:val="auto"/>
        </w:rPr>
        <w:tab/>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Each Loan Party will, and will cause</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each Subsidiary to, (i) comply with all Requirements of Law applicable to it or its property (including without limitation applicable Environmental Laws) and (ii) perform in all material respects its obligations under material agreements to which it is a party, except, in each case for clauses (i) and (ii) above,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and employees with Anti-Corruption Laws and applicable Sanctions in all material respects.</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Revolving Loans and the Letters of Credit will be used only to finance the Transaction Costs and to finance the working capital needs, and for general corporate purposes (including Restricted Payments and Permitted Acquisitions as permitted hereunder), of the Company and its Subsidiaries; provided that, notwithstanding the foregoing, not more than $58,000,000 of the Revolving Loans made on the Effective Date may be used to finance the Transaction Costs. No part of the proceeds of any Loan and no Letter of Credit will be used, whether directly or indirectly, for any purpose that entails a violation of any of the Regulations of the Board, including Regulations T, U and X. No Borrower will request any Borrowing or Letter of Credit, and no Borrower shall use, and each Borrower shall ensure that its Subsidiaries and its or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to the extent such activities, business or transaction would be prohibited by Sanctions if conducted by a corporation incorporated in the United States or in a European Union member state or (iii) in any manner that would result in the violation of any Sanctions applicable to any party hereto.</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u w:val="single" w:color="auto"/>
          <w:color w:val="auto"/>
        </w:rPr>
        <w:t>Insurance</w:t>
      </w:r>
      <w:r>
        <w:rPr>
          <w:rFonts w:ascii="Arial" w:cs="Arial" w:eastAsia="Arial" w:hAnsi="Arial"/>
          <w:sz w:val="19"/>
          <w:szCs w:val="19"/>
          <w:color w:val="auto"/>
        </w:rPr>
        <w:t>. Each Loan Party will, and will cause each Subsidiary to, maintain with financially sound and reputable carriers (a) insurance in such amounts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8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u w:val="single" w:color="auto"/>
          <w:color w:val="auto"/>
        </w:rPr>
        <w:t>Casualty and Condemnation</w:t>
      </w:r>
      <w:r>
        <w:rPr>
          <w:rFonts w:ascii="Arial" w:cs="Arial" w:eastAsia="Arial" w:hAnsi="Arial"/>
          <w:sz w:val="20"/>
          <w:szCs w:val="20"/>
          <w:color w:val="auto"/>
        </w:rPr>
        <w:t>. The Borrowers will (a) furnish to the Administrative Agent and the Lenders prompt written notice upon obtaining knowledge of any casualty or other insured damage to any Collateral in excess of $7,500,000 or the commencement of any action or proceeding for the taking of any Collateral or interest therein with a book value in excess of $7,500,000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5.11 </w:t>
      </w:r>
      <w:r>
        <w:rPr>
          <w:rFonts w:ascii="Arial" w:cs="Arial" w:eastAsia="Arial" w:hAnsi="Arial"/>
          <w:sz w:val="19"/>
          <w:szCs w:val="19"/>
          <w:u w:val="single" w:color="auto"/>
          <w:color w:val="auto"/>
        </w:rPr>
        <w:t>Appraisals</w:t>
      </w:r>
      <w:r>
        <w:rPr>
          <w:rFonts w:ascii="Arial" w:cs="Arial" w:eastAsia="Arial" w:hAnsi="Arial"/>
          <w:sz w:val="19"/>
          <w:szCs w:val="19"/>
          <w:color w:val="auto"/>
        </w:rPr>
        <w:t>. At any time that the Administrative Agent reasonably requests, each Loan Party will permit the Administrative Agent to conduct appraisals or updates thereof of their Inventory with an appraiser engaged by the Administrative Agent, such appraisals and updates to include, without limitation, information required by any applicable Requirement of Law and to be conducted with reasonable prior notice and during normal business hours. Only one (1) such Inventory appraisal per calendar year shall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825" w:right="239" w:bottom="1440" w:gutter="0" w:footer="0" w:header="0"/>
        </w:sectPr>
      </w:pPr>
    </w:p>
    <w:bookmarkStart w:id="262" w:name="page263"/>
    <w:bookmarkEnd w:id="262"/>
    <w:p>
      <w:pPr>
        <w:jc w:val="both"/>
        <w:spacing w:after="0" w:line="274" w:lineRule="auto"/>
        <w:rPr>
          <w:sz w:val="20"/>
          <w:szCs w:val="20"/>
          <w:color w:val="auto"/>
        </w:rPr>
      </w:pPr>
      <w:r>
        <w:rPr>
          <w:rFonts w:ascii="Arial" w:cs="Arial" w:eastAsia="Arial" w:hAnsi="Arial"/>
          <w:sz w:val="20"/>
          <w:szCs w:val="20"/>
          <w:color w:val="auto"/>
        </w:rPr>
        <w:t>be at the sole expense of the Loan Parties; provided that (i) two (2) such Inventory appraisals per calendar year shall be at the sole expense of the Loan Parties if the Aggregate Availability is less than the greater of $18,750,000 and 15% of the Aggregate Commitment at any time during such calendar year and (ii) during the occurrence and continuance of an Event of Default, there shall be no limitation on the number or frequency of appraisals that shall be at the sole expense of the Loan Parties.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5.12 </w:t>
      </w:r>
      <w:r>
        <w:rPr>
          <w:rFonts w:ascii="Arial" w:cs="Arial" w:eastAsia="Arial" w:hAnsi="Arial"/>
          <w:sz w:val="19"/>
          <w:szCs w:val="19"/>
          <w:u w:val="single" w:color="auto"/>
          <w:color w:val="auto"/>
        </w:rPr>
        <w:t>Field Examinations</w:t>
      </w:r>
      <w:r>
        <w:rPr>
          <w:rFonts w:ascii="Arial" w:cs="Arial" w:eastAsia="Arial" w:hAnsi="Arial"/>
          <w:sz w:val="19"/>
          <w:szCs w:val="19"/>
          <w:color w:val="auto"/>
        </w:rPr>
        <w:t xml:space="preserve">. At any time that the Administrative Agent reasonably requests, each Loan Party will, and will cause each Subsidiary to, permit, upon reasonable prior notice and during normal business hours, the Administrative Agent to conduct a field examination to ensure adequacy of Collateral included in the Borrowing Bases and related reporting and control systems. For purposes of this Section 5.12, it is understood and agreed that a single field examination may consist of examinations conducted at multiple relevant sites and involve one or more relevant Loan Parties and their assets. Only one (1) such field examinations per calendar year shall be at the sole expense of the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two (2) such field examinations per calendar year shall be at the sole expense of the Loan Parties if the Aggregate Availability is less than the greater of $18,750,000 and 15% of the Aggregate Commitment at any time during such calendar year and (ii) during the occurrence and continuance of an Event of Default, there shall be no limitation on the number or frequency of field examinations that shall be at the sole expense of the Loan Parties.</w:t>
      </w:r>
    </w:p>
    <w:p>
      <w:pPr>
        <w:spacing w:after="0" w:line="18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The Loan Parties will ensure that any information, including financial statements or other documents, furnished to the Administrative Agent or the Lenders in writing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u w:val="single" w:color="auto"/>
          <w:color w:val="auto"/>
        </w:rPr>
        <w:t>13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171" w:lineRule="exact"/>
        <w:rPr>
          <w:sz w:val="20"/>
          <w:szCs w:val="20"/>
          <w:color w:val="auto"/>
        </w:rPr>
      </w:pPr>
    </w:p>
    <w:p>
      <w:pPr>
        <w:ind w:left="660"/>
        <w:spacing w:after="0"/>
        <w:tabs>
          <w:tab w:leader="none" w:pos="3400" w:val="left"/>
        </w:tabs>
        <w:rPr>
          <w:sz w:val="20"/>
          <w:szCs w:val="20"/>
          <w:color w:val="auto"/>
        </w:rPr>
      </w:pPr>
      <w:r>
        <w:rPr>
          <w:rFonts w:ascii="Arial" w:cs="Arial" w:eastAsia="Arial" w:hAnsi="Arial"/>
          <w:sz w:val="20"/>
          <w:szCs w:val="20"/>
          <w:color w:val="auto"/>
        </w:rPr>
        <w:t>SECTION 5.14</w:t>
      </w:r>
      <w:r>
        <w:rPr>
          <w:sz w:val="20"/>
          <w:szCs w:val="20"/>
          <w:color w:val="auto"/>
        </w:rPr>
        <w:tab/>
      </w:r>
      <w:r>
        <w:rPr>
          <w:rFonts w:ascii="Arial" w:cs="Arial" w:eastAsia="Arial" w:hAnsi="Arial"/>
          <w:sz w:val="18"/>
          <w:szCs w:val="18"/>
          <w:u w:val="single" w:color="auto"/>
          <w:color w:val="auto"/>
        </w:rPr>
        <w:t>Additional Collateral; Further Assurances</w:t>
      </w:r>
      <w:r>
        <w:rPr>
          <w:rFonts w:ascii="Arial" w:cs="Arial" w:eastAsia="Arial" w:hAnsi="Arial"/>
          <w:sz w:val="18"/>
          <w:szCs w:val="18"/>
          <w:color w:val="auto"/>
        </w:rPr>
        <w:t>.</w:t>
      </w:r>
    </w:p>
    <w:p>
      <w:pPr>
        <w:spacing w:after="0" w:line="243" w:lineRule="exact"/>
        <w:rPr>
          <w:sz w:val="20"/>
          <w:szCs w:val="20"/>
          <w:color w:val="auto"/>
        </w:rPr>
      </w:pPr>
    </w:p>
    <w:p>
      <w:pPr>
        <w:jc w:val="both"/>
        <w:ind w:firstLine="656"/>
        <w:spacing w:after="0" w:line="303" w:lineRule="auto"/>
        <w:tabs>
          <w:tab w:leader="none" w:pos="143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Subject to the Limited Conditionality Provision, within sixty (60) days (or such later date as may be agreed upon by the Administrative Agent in its reasonable discretion) after any wholly-owned Subsidiary qualifies as a Material Domestic Subsidiary pursuant to the definition of “Material Domestic Subsidiary”, the Company shall provide the Administrative Agent with written notice thereof setting forth information in reasonable detail describing the material assets of such Person and shall cause each such Subsidiary to deliver to the Administrative Agent a Joinder Agreement and a joinder to the Security Agreement (in the form contemplated thereby) pursuant to which such Subsidiary agrees to be bound by the terms and provisions hereof and thereof, such delivery to be accompanied by requisite resolutions, other organizational documentation and legal opinions as may be reasonably requested by, and in form and substance reasonably satisfactory to, the Administrative Agent and its counsel. Notwithstanding anything to the contrary in any Loan Document, (i) no Excluded Domestic Subsidiary or Excluded Foreign Subsidiary shall be required to be a Loan Party and (ii) no Collateral constituting fee-owned real property located in the State of New York shall secure any Commitments, Revolving Loans or Revolving Exposure.</w:t>
      </w:r>
    </w:p>
    <w:p>
      <w:pPr>
        <w:spacing w:after="0" w:line="168" w:lineRule="exact"/>
        <w:rPr>
          <w:rFonts w:ascii="Arial" w:cs="Arial" w:eastAsia="Arial" w:hAnsi="Arial"/>
          <w:sz w:val="18"/>
          <w:szCs w:val="18"/>
          <w:color w:val="auto"/>
        </w:rPr>
      </w:pPr>
    </w:p>
    <w:p>
      <w:pPr>
        <w:jc w:val="both"/>
        <w:ind w:firstLine="656"/>
        <w:spacing w:after="0" w:line="322" w:lineRule="auto"/>
        <w:tabs>
          <w:tab w:leader="none" w:pos="144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Subject to the Limited Conditionality Provision and the terms, limitations and exceptions set forth in the applicable Collateral Documents and this </w:t>
      </w:r>
      <w:r>
        <w:rPr>
          <w:rFonts w:ascii="Arial" w:cs="Arial" w:eastAsia="Arial" w:hAnsi="Arial"/>
          <w:sz w:val="18"/>
          <w:szCs w:val="18"/>
          <w:u w:val="single" w:color="auto"/>
          <w:color w:val="auto"/>
        </w:rPr>
        <w:t>Section 5</w:t>
      </w:r>
      <w:r>
        <w:rPr>
          <w:rFonts w:ascii="Arial" w:cs="Arial" w:eastAsia="Arial" w:hAnsi="Arial"/>
          <w:sz w:val="18"/>
          <w:szCs w:val="18"/>
          <w:color w:val="auto"/>
        </w:rPr>
        <w:t>.</w:t>
      </w:r>
      <w:r>
        <w:rPr>
          <w:rFonts w:ascii="Arial" w:cs="Arial" w:eastAsia="Arial" w:hAnsi="Arial"/>
          <w:sz w:val="18"/>
          <w:szCs w:val="18"/>
          <w:u w:val="single" w:color="auto"/>
          <w:color w:val="auto"/>
        </w:rPr>
        <w:t>14(b)</w:t>
      </w:r>
      <w:r>
        <w:rPr>
          <w:rFonts w:ascii="Arial" w:cs="Arial" w:eastAsia="Arial" w:hAnsi="Arial"/>
          <w:sz w:val="18"/>
          <w:szCs w:val="18"/>
          <w:color w:val="auto"/>
        </w:rPr>
        <w:t>, each Loan Party will cause all of its owned property (whether real, personal, tangible, intangible, or mixed but excluding Excluded Assets and any real property that is not Material Real Property) to be subject at all times to perfected Liens in favor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1420"/>
          </w:cols>
          <w:pgMar w:left="240" w:top="825" w:right="239" w:bottom="1440" w:gutter="0" w:footer="0" w:header="0"/>
        </w:sectPr>
      </w:pPr>
    </w:p>
    <w:bookmarkStart w:id="263" w:name="page264"/>
    <w:bookmarkEnd w:id="263"/>
    <w:p>
      <w:pPr>
        <w:jc w:val="both"/>
        <w:spacing w:after="0" w:line="300" w:lineRule="auto"/>
        <w:rPr>
          <w:sz w:val="20"/>
          <w:szCs w:val="20"/>
          <w:color w:val="auto"/>
        </w:rPr>
      </w:pPr>
      <w:r>
        <w:rPr>
          <w:rFonts w:ascii="Arial" w:cs="Arial" w:eastAsia="Arial" w:hAnsi="Arial"/>
          <w:sz w:val="18"/>
          <w:szCs w:val="18"/>
          <w:color w:val="auto"/>
        </w:rPr>
        <w:t>of the Administrative Agent for the benefit of the Secured Parties to secure the Secured Obligations in accordance with the terms and conditions of the Collateral Documents on a first priority basis, subject in any case to Liens permitted by Section 6.02. Without limiting the generality of the foregoing, and subject to the Limited Conditionality Provision and the terms, limitations and exceptions set forth in the applicable Collateral Documents, the Company (i) will cause the Applicable Pledge Percentage of the issued and outstanding Equity Interests of each Pledge Subsidiary directly owned by the Company or any other Loan Party (other than Excluded Assets) to be subject at all times to a first priority perfected (subject in any case to Liens permitted by Section 6.02) Lien in favor of the Administrative Agent to secure the Secured Obligations in accordance with the terms and conditions of the Collateral Documents or such other pledge and security documents as the Administrative Agent shall reasonably request and (ii) will deliver Mortgages and Mortgage Instruments with respect to Material Real Property owned by the Company or such Loan Party to the extent, and within such time period as is, reasonably required by the Administrative Agent. Notwithstanding the foregoing, (i) no such Mortgage or Mortgage Instruments are required to be delivered hereunder until the date that is ninety (90) days (or such later date as may be agreed upon by the Administrative Agent in its reasonable discretion) after (A) the Effective Date, with respect to Material Real Property owned by the Company or any other Loan Party on the Effective Date (after giving effect to the Grand Design Acquisition) or (B) the date of acquisition thereof, with respect to Material Real Property acquired by the Company or any other Loan Party after the Effective Date and (iii) no foreign pledge documentation in respect of the pledge of Equity Interests of a Pledge Subsidiary that is a Material Foreign Subsidiary shall be required hereunder (A) until the date that is ninety (90) days after the Effective Date or such later date as the Administrative Agent may agree in the exercise of its reasonable discretion with respect thereto, (B) to the extent the Administrative Agent or its counsel determines that such pledge would not provide material credit support for the benefit of the Secured Parties pursuant to legally valid, binding and enforceable pledge agreements, and (C) to the extent the Company reasonably determines in its good faith judgment that such pledge would result in a material adverse tax consequence to the Company or any Subsidiary.</w:t>
      </w:r>
    </w:p>
    <w:p>
      <w:pPr>
        <w:spacing w:after="0" w:line="176" w:lineRule="exact"/>
        <w:rPr>
          <w:sz w:val="20"/>
          <w:szCs w:val="20"/>
          <w:color w:val="auto"/>
        </w:rPr>
      </w:pPr>
    </w:p>
    <w:p>
      <w:pPr>
        <w:jc w:val="both"/>
        <w:ind w:firstLine="656"/>
        <w:spacing w:after="0" w:line="273" w:lineRule="auto"/>
        <w:tabs>
          <w:tab w:leader="none" w:pos="1434" w:val="left"/>
        </w:tabs>
        <w:numPr>
          <w:ilvl w:val="0"/>
          <w:numId w:val="298"/>
        </w:numPr>
        <w:rPr>
          <w:rFonts w:ascii="Arial" w:cs="Arial" w:eastAsia="Arial" w:hAnsi="Arial"/>
          <w:sz w:val="20"/>
          <w:szCs w:val="20"/>
          <w:color w:val="auto"/>
        </w:rPr>
      </w:pPr>
      <w:r>
        <w:rPr>
          <w:rFonts w:ascii="Arial" w:cs="Arial" w:eastAsia="Arial" w:hAnsi="Arial"/>
          <w:sz w:val="20"/>
          <w:szCs w:val="20"/>
          <w:color w:val="auto"/>
        </w:rPr>
        <w:t>If, at any time after the Effective Date any Subsidiary of the Company that is not a Loan Party shall become party to a guaranty of, or grant a Lien on any assets to secure, the Term Loan Obligations, any Subordinated Indebtedness or any other Material Indebtedness of a Loan Party, the Company shall promptly notify the Administrative Agent thereof and, within ten (10) days thereof (or such later date as may be agreed upon by the Administrative Agent) cause such Subsidiary to comply with Section 5.14(a) and (b) (but without giving effect to the 30-day grace periods provided therein).</w:t>
      </w:r>
    </w:p>
    <w:p>
      <w:pPr>
        <w:spacing w:after="0" w:line="191" w:lineRule="exact"/>
        <w:rPr>
          <w:rFonts w:ascii="Arial" w:cs="Arial" w:eastAsia="Arial" w:hAnsi="Arial"/>
          <w:sz w:val="20"/>
          <w:szCs w:val="20"/>
          <w:color w:val="auto"/>
        </w:rPr>
      </w:pPr>
    </w:p>
    <w:p>
      <w:pPr>
        <w:jc w:val="both"/>
        <w:ind w:firstLine="656"/>
        <w:spacing w:after="0" w:line="270" w:lineRule="auto"/>
        <w:tabs>
          <w:tab w:leader="none" w:pos="1445"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Without limiting the foregoing, each Loan Party will, and will cause each Subsidiary to, execute and deliver, or cause to be executed and delivered, to the Administrative Agent such documents, agreements and instruments, and take or cause to be taken such further actions (including the filing and recording of financing statements, fixture filings, mortgages, deeds of trust and other documents and such other actions or deliveries of the type required by </w:t>
      </w:r>
      <w:r>
        <w:rPr>
          <w:rFonts w:ascii="Arial" w:cs="Arial" w:eastAsia="Arial" w:hAnsi="Arial"/>
          <w:sz w:val="20"/>
          <w:szCs w:val="20"/>
          <w:u w:val="single" w:color="auto"/>
          <w:color w:val="auto"/>
        </w:rPr>
        <w:t>Section 4.01</w:t>
      </w:r>
      <w:r>
        <w:rPr>
          <w:rFonts w:ascii="Arial" w:cs="Arial" w:eastAsia="Arial" w:hAnsi="Arial"/>
          <w:sz w:val="20"/>
          <w:szCs w:val="20"/>
          <w:color w:val="auto"/>
        </w:rPr>
        <w:t>,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subject to the Limited Conditionality Provision and the terms, limitations, and exceptions set forth herein or in any Collateral Document, all at the expense of the Loan Parties, in each case to the extent required by, and subject to the limitations and exceptions of, this Agreement and the other Loan Documents.</w:t>
      </w:r>
    </w:p>
    <w:p>
      <w:pPr>
        <w:spacing w:after="0" w:line="196" w:lineRule="exact"/>
        <w:rPr>
          <w:rFonts w:ascii="Arial" w:cs="Arial" w:eastAsia="Arial" w:hAnsi="Arial"/>
          <w:sz w:val="20"/>
          <w:szCs w:val="20"/>
          <w:color w:val="auto"/>
        </w:rPr>
      </w:pPr>
    </w:p>
    <w:p>
      <w:pPr>
        <w:jc w:val="both"/>
        <w:ind w:firstLine="656"/>
        <w:spacing w:after="0" w:line="274" w:lineRule="auto"/>
        <w:tabs>
          <w:tab w:leader="none" w:pos="1434" w:val="left"/>
        </w:tabs>
        <w:numPr>
          <w:ilvl w:val="0"/>
          <w:numId w:val="298"/>
        </w:numPr>
        <w:rPr>
          <w:rFonts w:ascii="Arial" w:cs="Arial" w:eastAsia="Arial" w:hAnsi="Arial"/>
          <w:sz w:val="20"/>
          <w:szCs w:val="20"/>
          <w:color w:val="auto"/>
        </w:rPr>
      </w:pPr>
      <w:r>
        <w:rPr>
          <w:rFonts w:ascii="Arial" w:cs="Arial" w:eastAsia="Arial" w:hAnsi="Arial"/>
          <w:sz w:val="20"/>
          <w:szCs w:val="20"/>
          <w:color w:val="auto"/>
        </w:rPr>
        <w:t>If any material assets (other than Excluded Assets or other assets not required to be Collateral) are acquired by any Loan Party after the Effective Date (other than assets constituting Collateral under the applicable Collateral Documents that become subject to the Lien granted by the Loan Parties in favor of the Administrative Agent in support of all of the Secured Obligations upon acquisition thereof), the Borrower</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1420"/>
          </w:cols>
          <w:pgMar w:left="240" w:top="825" w:right="239" w:bottom="1440" w:gutter="0" w:footer="0" w:header="0"/>
        </w:sectPr>
      </w:pPr>
    </w:p>
    <w:bookmarkStart w:id="264" w:name="page265"/>
    <w:bookmarkEnd w:id="264"/>
    <w:p>
      <w:pPr>
        <w:jc w:val="both"/>
        <w:spacing w:after="0" w:line="286" w:lineRule="auto"/>
        <w:rPr>
          <w:sz w:val="20"/>
          <w:szCs w:val="20"/>
          <w:color w:val="auto"/>
        </w:rPr>
      </w:pPr>
      <w:r>
        <w:rPr>
          <w:rFonts w:ascii="Arial" w:cs="Arial" w:eastAsia="Arial" w:hAnsi="Arial"/>
          <w:sz w:val="19"/>
          <w:szCs w:val="19"/>
          <w:color w:val="auto"/>
        </w:rPr>
        <w:t xml:space="preserve">Representative will promptly (i) notify the Administrative Agent thereof and, if requested by the Administrative Agent or the Required Lenders, cause such assets to be subjected to a Lien securing the Secured Obligations and (ii) take such actions as shall be necessary or reasonably requested by the Administrative Agent to grant and perfect such Liens, including actions described in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of this Section, all at the expense of the Loan Parties, subject, however, to the Limited Conditionality Provision and the terms, limitations and exceptions set forth herein or in any Collateral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Material Real Property acquired by the Company or any other Loan Party after the Effective Date, which property would not be automatically subject to another Lien pursuant to an existing Collateral Document, no Mortgage or Mortgage Instrument shall be required to be delivered hereunder prior to the date that is ninety (90) days after the acquisition thereof as determined by the Borrower Representative (acting reasonably in good faith) (or such later date as may be agreed upon by the Administrative Agent in its reasonable discretion).</w:t>
      </w:r>
    </w:p>
    <w:p>
      <w:pPr>
        <w:spacing w:after="0" w:line="182" w:lineRule="exact"/>
        <w:rPr>
          <w:sz w:val="20"/>
          <w:szCs w:val="20"/>
          <w:color w:val="auto"/>
        </w:rPr>
      </w:pPr>
    </w:p>
    <w:p>
      <w:pPr>
        <w:jc w:val="both"/>
        <w:ind w:firstLine="656"/>
        <w:spacing w:after="0" w:line="271" w:lineRule="auto"/>
        <w:tabs>
          <w:tab w:leader="none" w:pos="1412" w:val="left"/>
        </w:tabs>
        <w:numPr>
          <w:ilvl w:val="0"/>
          <w:numId w:val="299"/>
        </w:numPr>
        <w:rPr>
          <w:rFonts w:ascii="Arial" w:cs="Arial" w:eastAsia="Arial" w:hAnsi="Arial"/>
          <w:sz w:val="20"/>
          <w:szCs w:val="20"/>
          <w:color w:val="auto"/>
        </w:rPr>
      </w:pPr>
      <w:r>
        <w:rPr>
          <w:rFonts w:ascii="Arial" w:cs="Arial" w:eastAsia="Arial" w:hAnsi="Arial"/>
          <w:sz w:val="20"/>
          <w:szCs w:val="20"/>
          <w:color w:val="auto"/>
        </w:rPr>
        <w:t>Within thirty (30) days following the Effective Date (or such later date as the Administrative Agent agrees to in its sole discretion), the Loan Parties shall deliver to the Administrative Agent certificates of insurance listing the Administrative Agent as (x) lender loss payee for the property casualty insurance policies of the Loan Parties, together with long-form lender loss payable endorsements, as appropriate and (y) additional insured with respect to the liability insurance of the Loan Parties, together with additional insured endorsements. Notwithstanding anything to the contrary herein or in any Loan Documents, such certificates of insurance and endorsements shall not be required to be delivered until the date that is thirty (30) days following the Effective Date (or such later date as the Administrative Agent agrees to in its sole discretion).</w:t>
      </w:r>
    </w:p>
    <w:p>
      <w:pPr>
        <w:spacing w:after="0" w:line="194" w:lineRule="exact"/>
        <w:rPr>
          <w:rFonts w:ascii="Arial" w:cs="Arial" w:eastAsia="Arial" w:hAnsi="Arial"/>
          <w:sz w:val="20"/>
          <w:szCs w:val="20"/>
          <w:color w:val="auto"/>
        </w:rPr>
      </w:pPr>
    </w:p>
    <w:p>
      <w:pPr>
        <w:jc w:val="both"/>
        <w:ind w:firstLine="656"/>
        <w:spacing w:after="0" w:line="287" w:lineRule="auto"/>
        <w:tabs>
          <w:tab w:leader="none" w:pos="1445" w:val="left"/>
        </w:tabs>
        <w:numPr>
          <w:ilvl w:val="0"/>
          <w:numId w:val="299"/>
        </w:numPr>
        <w:rPr>
          <w:rFonts w:ascii="Arial" w:cs="Arial" w:eastAsia="Arial" w:hAnsi="Arial"/>
          <w:sz w:val="19"/>
          <w:szCs w:val="19"/>
          <w:color w:val="auto"/>
        </w:rPr>
      </w:pPr>
      <w:r>
        <w:rPr>
          <w:rFonts w:ascii="Arial" w:cs="Arial" w:eastAsia="Arial" w:hAnsi="Arial"/>
          <w:sz w:val="19"/>
          <w:szCs w:val="19"/>
          <w:color w:val="auto"/>
        </w:rPr>
        <w:t>Notwithstanding the foregoing, the parties hereto acknowledge and agree that (i) in circumstances where the Administrative Agent reasonably determines that the cost or effort of obtaining or perfecting a security interest in any asset that constitutes Collateral is excessive in relation to the benefit afforded to the Secured Parties thereby, the Administrative Agent may exclude such Collateral from the creation and perfection requirements set forth in this Agreement and the other Loan Documents and (ii) the Administrative Agent may grant extensions of time for the creation or perfection of Liens in particular property (including extensions of time beyond the Effective Date) where it determines that such creation or perfection cannot be accomplished without undue effort or expense by the time or times at which it would otherwise be required by this Agreement or any other Loan Document.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Negative Covenants</w:t>
      </w:r>
    </w:p>
    <w:p>
      <w:pPr>
        <w:spacing w:after="0" w:line="216"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Until the Commitments shall have expired or been terminated and the principal of and interest on each Loan and all fees payable hereunder shall have been paid in full (other than Unliquidated Obligations not yet due and payable and Obligations expressly stated to survive such payment and termination) and all Letters of Credit shall have expired or terminated, in each case, without any pending draw (or shall have been cash collateralized or backstopped pursuant to arrangements reasonably satisfactory to the Administrative Agent), and all LC Disbursements shall have been reimbursed, each Loan Party executing this Agreement covenants and agrees, jointly and severally with all of the other Loan Parties, with the Lenders that: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660"/>
              <w:spacing w:after="0"/>
              <w:rPr>
                <w:sz w:val="20"/>
                <w:szCs w:val="20"/>
                <w:color w:val="auto"/>
              </w:rPr>
            </w:pPr>
            <w:r>
              <w:rPr>
                <w:rFonts w:ascii="Arial" w:cs="Arial" w:eastAsia="Arial" w:hAnsi="Arial"/>
                <w:sz w:val="20"/>
                <w:szCs w:val="20"/>
                <w:color w:val="auto"/>
              </w:rPr>
              <w:t>SECTION 6.01</w:t>
            </w:r>
          </w:p>
        </w:tc>
        <w:tc>
          <w:tcPr>
            <w:tcW w:w="8240" w:type="dxa"/>
            <w:vAlign w:val="bottom"/>
            <w:gridSpan w:val="2"/>
          </w:tcPr>
          <w:p>
            <w:pPr>
              <w:spacing w:after="0"/>
              <w:rPr>
                <w:sz w:val="20"/>
                <w:szCs w:val="20"/>
                <w:color w:val="auto"/>
              </w:rPr>
            </w:pPr>
            <w:r>
              <w:rPr>
                <w:rFonts w:ascii="Arial" w:cs="Arial" w:eastAsia="Arial" w:hAnsi="Arial"/>
                <w:sz w:val="20"/>
                <w:szCs w:val="20"/>
                <w:color w:val="auto"/>
                <w:w w:val="92"/>
              </w:rPr>
              <w:t>Indebtedness. No Loan Party will, nor will it permit any Subsidiary to, create, incur, assume or permit</w:t>
            </w:r>
          </w:p>
        </w:tc>
      </w:tr>
      <w:tr>
        <w:trPr>
          <w:trHeight w:val="281"/>
        </w:trPr>
        <w:tc>
          <w:tcPr>
            <w:tcW w:w="3180" w:type="dxa"/>
            <w:vAlign w:val="bottom"/>
          </w:tcPr>
          <w:p>
            <w:pPr>
              <w:spacing w:after="0"/>
              <w:rPr>
                <w:sz w:val="20"/>
                <w:szCs w:val="20"/>
                <w:color w:val="auto"/>
              </w:rPr>
            </w:pPr>
            <w:r>
              <w:rPr>
                <w:rFonts w:ascii="Arial" w:cs="Arial" w:eastAsia="Arial" w:hAnsi="Arial"/>
                <w:sz w:val="20"/>
                <w:szCs w:val="20"/>
                <w:color w:val="auto"/>
              </w:rPr>
              <w:t>to exist any Indebtedness, except:</w:t>
            </w:r>
          </w:p>
        </w:tc>
        <w:tc>
          <w:tcPr>
            <w:tcW w:w="1080" w:type="dxa"/>
            <w:vAlign w:val="bottom"/>
            <w:tcBorders>
              <w:top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bl>
    <w:p>
      <w:pPr>
        <w:spacing w:after="0" w:line="222" w:lineRule="exact"/>
        <w:rPr>
          <w:sz w:val="20"/>
          <w:szCs w:val="20"/>
          <w:color w:val="auto"/>
        </w:rPr>
      </w:pPr>
    </w:p>
    <w:p>
      <w:pPr>
        <w:ind w:left="5620" w:right="2720" w:hanging="4964"/>
        <w:spacing w:after="0" w:line="754" w:lineRule="auto"/>
        <w:tabs>
          <w:tab w:leader="none" w:pos="1529" w:val="left"/>
        </w:tabs>
        <w:numPr>
          <w:ilvl w:val="0"/>
          <w:numId w:val="300"/>
        </w:numPr>
        <w:rPr>
          <w:rFonts w:ascii="Arial" w:cs="Arial" w:eastAsia="Arial" w:hAnsi="Arial"/>
          <w:sz w:val="20"/>
          <w:szCs w:val="20"/>
          <w:color w:val="auto"/>
        </w:rPr>
      </w:pPr>
      <w:r>
        <w:rPr>
          <w:rFonts w:ascii="Arial" w:cs="Arial" w:eastAsia="Arial" w:hAnsi="Arial"/>
          <w:sz w:val="20"/>
          <w:szCs w:val="20"/>
          <w:color w:val="auto"/>
        </w:rPr>
        <w:t>(i) the Secured Obligations and any other Indebtedness created under the Loan Documents 89</w:t>
      </w:r>
    </w:p>
    <w:p>
      <w:pPr>
        <w:sectPr>
          <w:pgSz w:w="11900" w:h="16838" w:orient="portrait"/>
          <w:cols w:equalWidth="0" w:num="1">
            <w:col w:w="11420"/>
          </w:cols>
          <w:pgMar w:left="240" w:top="825" w:right="239" w:bottom="1440" w:gutter="0" w:footer="0" w:header="0"/>
        </w:sectPr>
      </w:pPr>
    </w:p>
    <w:bookmarkStart w:id="265" w:name="page266"/>
    <w:bookmarkEnd w:id="265"/>
    <w:p>
      <w:pPr>
        <w:ind w:right="20"/>
        <w:spacing w:after="0" w:line="289" w:lineRule="auto"/>
        <w:rPr>
          <w:sz w:val="20"/>
          <w:szCs w:val="20"/>
          <w:color w:val="auto"/>
        </w:rPr>
      </w:pPr>
      <w:r>
        <w:rPr>
          <w:rFonts w:ascii="Arial" w:cs="Arial" w:eastAsia="Arial" w:hAnsi="Arial"/>
          <w:sz w:val="20"/>
          <w:szCs w:val="20"/>
          <w:color w:val="auto"/>
        </w:rPr>
        <w:t xml:space="preserve">and (ii) (A) Indebtedness under the Term Loan Agreement in an aggregate principal amount at any one time outstanding not to exceed the sum of $425,000,000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the Incremental Term Loan Amount and (B) any Refinancing Indebtedness thereof;</w:t>
      </w:r>
    </w:p>
    <w:p>
      <w:pPr>
        <w:spacing w:after="0" w:line="175" w:lineRule="exact"/>
        <w:rPr>
          <w:sz w:val="20"/>
          <w:szCs w:val="20"/>
          <w:color w:val="auto"/>
        </w:rPr>
      </w:pPr>
    </w:p>
    <w:p>
      <w:pPr>
        <w:ind w:left="1540" w:hanging="884"/>
        <w:spacing w:after="0"/>
        <w:tabs>
          <w:tab w:leader="none" w:pos="154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 xml:space="preserve">Indebtedness existing on the Effective Date and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xml:space="preserve"> and Refinancing Indebtedness in respect of any</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of the foregoing;</w:t>
      </w:r>
    </w:p>
    <w:p>
      <w:pPr>
        <w:spacing w:after="0" w:line="242" w:lineRule="exact"/>
        <w:rPr>
          <w:rFonts w:ascii="Arial" w:cs="Arial" w:eastAsia="Arial" w:hAnsi="Arial"/>
          <w:sz w:val="18"/>
          <w:szCs w:val="18"/>
          <w:color w:val="auto"/>
        </w:rPr>
      </w:pPr>
    </w:p>
    <w:p>
      <w:pPr>
        <w:jc w:val="both"/>
        <w:ind w:firstLine="656"/>
        <w:spacing w:after="0" w:line="272" w:lineRule="auto"/>
        <w:tabs>
          <w:tab w:leader="none" w:pos="1516" w:val="left"/>
        </w:tabs>
        <w:numPr>
          <w:ilvl w:val="1"/>
          <w:numId w:val="301"/>
        </w:numPr>
        <w:rPr>
          <w:rFonts w:ascii="Arial" w:cs="Arial" w:eastAsia="Arial" w:hAnsi="Arial"/>
          <w:sz w:val="20"/>
          <w:szCs w:val="20"/>
          <w:color w:val="auto"/>
        </w:rPr>
      </w:pPr>
      <w:r>
        <w:rPr>
          <w:rFonts w:ascii="Arial" w:cs="Arial" w:eastAsia="Arial" w:hAnsi="Arial"/>
          <w:sz w:val="20"/>
          <w:szCs w:val="20"/>
          <w:color w:val="auto"/>
        </w:rPr>
        <w:t xml:space="preserve">Indebtedness of the Company or any Subsidiary to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 any such Indebtedness owing by the Company or any other Loan Party shall be unsecured and shall be subordinated in right of payment to the Secured Obligations on terms customary for intercompany subordinated Indebtedness, as reasonably determined by the Administrative Agent, (B) any such Indebtedness owing to the Company or any other Loan Party shall be evidenced by a promissory note which shall have been pledged pursuant to the Security Agreement and (C) any such Indebtedness owing by any Subsidiary that is not a Loan Party to any Loan Party shall be incurred in compliance with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04(d)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540" w:hanging="884"/>
        <w:spacing w:after="0"/>
        <w:tabs>
          <w:tab w:leader="none" w:pos="154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Guarantees incurred in compliance with Section 6.04;</w:t>
      </w:r>
    </w:p>
    <w:p>
      <w:pPr>
        <w:spacing w:after="0" w:line="242" w:lineRule="exact"/>
        <w:rPr>
          <w:rFonts w:ascii="Arial" w:cs="Arial" w:eastAsia="Arial" w:hAnsi="Arial"/>
          <w:sz w:val="20"/>
          <w:szCs w:val="20"/>
          <w:color w:val="auto"/>
        </w:rPr>
      </w:pPr>
    </w:p>
    <w:p>
      <w:pPr>
        <w:ind w:left="1520" w:hanging="864"/>
        <w:spacing w:after="0"/>
        <w:tabs>
          <w:tab w:leader="none" w:pos="1520" w:val="left"/>
        </w:tabs>
        <w:numPr>
          <w:ilvl w:val="1"/>
          <w:numId w:val="301"/>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42" w:lineRule="exact"/>
        <w:rPr>
          <w:rFonts w:ascii="Arial" w:cs="Arial" w:eastAsia="Arial" w:hAnsi="Arial"/>
          <w:sz w:val="20"/>
          <w:szCs w:val="20"/>
          <w:color w:val="auto"/>
        </w:rPr>
      </w:pPr>
    </w:p>
    <w:p>
      <w:pPr>
        <w:jc w:val="both"/>
        <w:ind w:firstLine="656"/>
        <w:spacing w:after="0" w:line="334" w:lineRule="auto"/>
        <w:tabs>
          <w:tab w:leader="none" w:pos="1494" w:val="left"/>
        </w:tabs>
        <w:numPr>
          <w:ilvl w:val="1"/>
          <w:numId w:val="301"/>
        </w:numPr>
        <w:rPr>
          <w:rFonts w:ascii="Arial" w:cs="Arial" w:eastAsia="Arial" w:hAnsi="Arial"/>
          <w:sz w:val="16"/>
          <w:szCs w:val="16"/>
          <w:color w:val="auto"/>
        </w:rPr>
      </w:pPr>
      <w:r>
        <w:rPr>
          <w:rFonts w:ascii="Arial" w:cs="Arial" w:eastAsia="Arial" w:hAnsi="Arial"/>
          <w:sz w:val="16"/>
          <w:szCs w:val="16"/>
          <w:color w:val="auto"/>
        </w:rPr>
        <w:t>(i) Indebtedness of the Company or any Subsidiary incurred to finance the acquisition, construction or improvement of any fixed or capital assets, including Capital Lease Obligations, purchase money Indebtedness and any Indebtedness assumed by the Company or any Subsidiary in connection with the acquisition of any such assets or secured by a Lien on any such assets prior to the acquisition thereof and</w:t>
      </w:r>
    </w:p>
    <w:p>
      <w:pPr>
        <w:spacing w:after="0" w:line="1" w:lineRule="exact"/>
        <w:rPr>
          <w:rFonts w:ascii="Arial" w:cs="Arial" w:eastAsia="Arial" w:hAnsi="Arial"/>
          <w:sz w:val="16"/>
          <w:szCs w:val="16"/>
          <w:color w:val="auto"/>
        </w:rPr>
      </w:pPr>
    </w:p>
    <w:p>
      <w:pPr>
        <w:jc w:val="both"/>
        <w:ind w:firstLine="8"/>
        <w:spacing w:after="0" w:line="278" w:lineRule="auto"/>
        <w:tabs>
          <w:tab w:leader="none" w:pos="294" w:val="left"/>
        </w:tabs>
        <w:numPr>
          <w:ilvl w:val="0"/>
          <w:numId w:val="302"/>
        </w:numPr>
        <w:rPr>
          <w:rFonts w:ascii="Arial" w:cs="Arial" w:eastAsia="Arial" w:hAnsi="Arial"/>
          <w:sz w:val="20"/>
          <w:szCs w:val="20"/>
          <w:color w:val="auto"/>
        </w:rPr>
      </w:pPr>
      <w:r>
        <w:rPr>
          <w:rFonts w:ascii="Arial" w:cs="Arial" w:eastAsia="Arial" w:hAnsi="Arial"/>
          <w:sz w:val="20"/>
          <w:szCs w:val="20"/>
          <w:color w:val="auto"/>
        </w:rPr>
        <w:t xml:space="preserve">Refinancing Indebtedness in respect of Indebtedness incurred or assumed pursuant to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permitted by this </w:t>
      </w:r>
      <w:r>
        <w:rPr>
          <w:rFonts w:ascii="Arial" w:cs="Arial" w:eastAsia="Arial" w:hAnsi="Arial"/>
          <w:sz w:val="20"/>
          <w:szCs w:val="20"/>
          <w:u w:val="single" w:color="auto"/>
          <w:color w:val="auto"/>
        </w:rPr>
        <w:t>clause (f)</w:t>
      </w:r>
      <w:r>
        <w:rPr>
          <w:rFonts w:ascii="Arial" w:cs="Arial" w:eastAsia="Arial" w:hAnsi="Arial"/>
          <w:sz w:val="20"/>
          <w:szCs w:val="20"/>
          <w:color w:val="auto"/>
        </w:rPr>
        <w:t xml:space="preserve"> shall not exceed the greater of (x) $30,000,000 and (y) 3% of Consolidated Total Assets (at the time of incurrence);</w:t>
      </w:r>
    </w:p>
    <w:p>
      <w:pPr>
        <w:spacing w:after="0" w:line="186" w:lineRule="exact"/>
        <w:rPr>
          <w:rFonts w:ascii="Arial" w:cs="Arial" w:eastAsia="Arial" w:hAnsi="Arial"/>
          <w:sz w:val="20"/>
          <w:szCs w:val="20"/>
          <w:color w:val="auto"/>
        </w:rPr>
      </w:pPr>
    </w:p>
    <w:p>
      <w:pPr>
        <w:jc w:val="both"/>
        <w:ind w:firstLine="656"/>
        <w:spacing w:after="0" w:line="286" w:lineRule="auto"/>
        <w:tabs>
          <w:tab w:leader="none" w:pos="1527" w:val="left"/>
        </w:tabs>
        <w:numPr>
          <w:ilvl w:val="1"/>
          <w:numId w:val="302"/>
        </w:numPr>
        <w:rPr>
          <w:rFonts w:ascii="Arial" w:cs="Arial" w:eastAsia="Arial" w:hAnsi="Arial"/>
          <w:sz w:val="19"/>
          <w:szCs w:val="19"/>
          <w:color w:val="auto"/>
        </w:rPr>
      </w:pPr>
      <w:r>
        <w:rPr>
          <w:rFonts w:ascii="Arial" w:cs="Arial" w:eastAsia="Arial" w:hAnsi="Arial"/>
          <w:sz w:val="19"/>
          <w:szCs w:val="19"/>
          <w:color w:val="auto"/>
        </w:rPr>
        <w:t xml:space="preserve">(i) Indebtedness of any Person that becomes a Subsidiary (or of any Person not previously a Subsidiary that is merged or consolidated with or into a Subsidiary in a transaction permitted hereunder) after the Effective Date, or Indebtedness of any Person that is assumed by any Subsidiary in connection with an acquisition of assets by such Subsidiary in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Indebtedness exists at the time such Person becomes a Subsidiary (or is so merged or consolidated) or such assets are acquired and is not created in contemplation of or in connection with such Person becoming a Subsidiary (or such merger or consolidation) or such assets being acquired, and (ii) Refinancing Indebtedness in respect of Indebtedness assumed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aggregate principal amount of Indebtedness permitted by this </w:t>
      </w:r>
      <w:r>
        <w:rPr>
          <w:rFonts w:ascii="Arial" w:cs="Arial" w:eastAsia="Arial" w:hAnsi="Arial"/>
          <w:sz w:val="19"/>
          <w:szCs w:val="19"/>
          <w:u w:val="single" w:color="auto"/>
          <w:color w:val="auto"/>
        </w:rPr>
        <w:t>clause (g)</w:t>
      </w:r>
      <w:r>
        <w:rPr>
          <w:rFonts w:ascii="Arial" w:cs="Arial" w:eastAsia="Arial" w:hAnsi="Arial"/>
          <w:sz w:val="19"/>
          <w:szCs w:val="19"/>
          <w:color w:val="auto"/>
        </w:rPr>
        <w:t xml:space="preserve"> shall not exceed the greater of (x) $50,000,000 and (y) 5% of Consolidated Total Assets (at the time of incurrence);</w:t>
      </w:r>
    </w:p>
    <w:p>
      <w:pPr>
        <w:spacing w:after="0" w:line="185" w:lineRule="exact"/>
        <w:rPr>
          <w:rFonts w:ascii="Arial" w:cs="Arial" w:eastAsia="Arial" w:hAnsi="Arial"/>
          <w:sz w:val="19"/>
          <w:szCs w:val="19"/>
          <w:color w:val="auto"/>
        </w:rPr>
      </w:pPr>
    </w:p>
    <w:p>
      <w:pPr>
        <w:jc w:val="both"/>
        <w:ind w:firstLine="656"/>
        <w:spacing w:after="0" w:line="297" w:lineRule="auto"/>
        <w:tabs>
          <w:tab w:leader="none" w:pos="1527" w:val="left"/>
        </w:tabs>
        <w:numPr>
          <w:ilvl w:val="1"/>
          <w:numId w:val="302"/>
        </w:numPr>
        <w:rPr>
          <w:rFonts w:ascii="Arial" w:cs="Arial" w:eastAsia="Arial" w:hAnsi="Arial"/>
          <w:sz w:val="18"/>
          <w:szCs w:val="18"/>
          <w:color w:val="auto"/>
        </w:rPr>
      </w:pPr>
      <w:r>
        <w:rPr>
          <w:rFonts w:ascii="Arial" w:cs="Arial" w:eastAsia="Arial" w:hAnsi="Arial"/>
          <w:sz w:val="18"/>
          <w:szCs w:val="18"/>
          <w:color w:val="auto"/>
        </w:rPr>
        <w:t xml:space="preserve">Permitted Unsecured Indebtedness and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immediately prior to and immediately after giving effect (including pro forma effect) to the incurrence of any Permitted Unsecured Indebtedness under this </w:t>
      </w:r>
      <w:r>
        <w:rPr>
          <w:rFonts w:ascii="Arial" w:cs="Arial" w:eastAsia="Arial" w:hAnsi="Arial"/>
          <w:sz w:val="18"/>
          <w:szCs w:val="18"/>
          <w:u w:val="single" w:color="auto"/>
          <w:color w:val="auto"/>
        </w:rPr>
        <w:t>clause</w:t>
      </w:r>
    </w:p>
    <w:p>
      <w:pPr>
        <w:jc w:val="both"/>
        <w:spacing w:after="0" w:line="271" w:lineRule="auto"/>
        <w:rPr>
          <w:rFonts w:ascii="Arial" w:cs="Arial" w:eastAsia="Arial" w:hAnsi="Arial"/>
          <w:sz w:val="18"/>
          <w:szCs w:val="18"/>
          <w:color w:val="auto"/>
        </w:rPr>
      </w:pPr>
      <w:r>
        <w:rPr>
          <w:rFonts w:ascii="Arial" w:cs="Arial" w:eastAsia="Arial" w:hAnsi="Arial"/>
          <w:sz w:val="20"/>
          <w:szCs w:val="20"/>
          <w:u w:val="single" w:color="auto"/>
          <w:color w:val="auto"/>
        </w:rPr>
        <w:t>(h)</w:t>
      </w:r>
      <w:r>
        <w:rPr>
          <w:rFonts w:ascii="Arial" w:cs="Arial" w:eastAsia="Arial" w:hAnsi="Arial"/>
          <w:sz w:val="20"/>
          <w:szCs w:val="20"/>
          <w:color w:val="auto"/>
        </w:rPr>
        <w:t xml:space="preserve">, no Default shall have occurred and be continuing, (ii) immediately after giving effect (including pro forma effect) to the incurrence of any Permitted Unsecured Indebtedness, the Total Net Leverage Ratio, calculated on a pro forma basis for the most recently ended Test Period, shall not exceed 4.25 to 1.00, and (iii) the Company will, on the date of incurrence of such Indebtedness, deliver to the Administrative Agent a certificate of a Financial Officer of the Company, dated such date, confirming the satisfaction of the conditions set forth above and attaching a reasonably detailed calculation evidencing compliance with the condition set forth in the preceding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identifying the Permitted Unsecured Indebtedness being incurred and specifying that it is being incurred pursuant to this </w:t>
      </w:r>
      <w:r>
        <w:rPr>
          <w:rFonts w:ascii="Arial" w:cs="Arial" w:eastAsia="Arial" w:hAnsi="Arial"/>
          <w:sz w:val="20"/>
          <w:szCs w:val="20"/>
          <w:u w:val="single" w:color="auto"/>
          <w:color w:val="auto"/>
        </w:rPr>
        <w:t>clause (h)</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aggregate amount of Indebtedness incurred by a</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ectPr>
          <w:pgSz w:w="11900" w:h="16838" w:orient="portrait"/>
          <w:cols w:equalWidth="0" w:num="1">
            <w:col w:w="11420"/>
          </w:cols>
          <w:pgMar w:left="240" w:top="825" w:right="239" w:bottom="1440" w:gutter="0" w:footer="0" w:header="0"/>
        </w:sectPr>
      </w:pPr>
    </w:p>
    <w:bookmarkStart w:id="266" w:name="page267"/>
    <w:bookmarkEnd w:id="266"/>
    <w:p>
      <w:pPr>
        <w:spacing w:after="0" w:line="289" w:lineRule="auto"/>
        <w:rPr>
          <w:sz w:val="20"/>
          <w:szCs w:val="20"/>
          <w:color w:val="auto"/>
        </w:rPr>
      </w:pPr>
      <w:r>
        <w:rPr>
          <w:rFonts w:ascii="Arial" w:cs="Arial" w:eastAsia="Arial" w:hAnsi="Arial"/>
          <w:sz w:val="20"/>
          <w:szCs w:val="20"/>
          <w:color w:val="auto"/>
        </w:rPr>
        <w:t xml:space="preserve">Subsidiary that is not a Loan Party under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01(h)</w:t>
      </w:r>
      <w:r>
        <w:rPr>
          <w:rFonts w:ascii="Arial" w:cs="Arial" w:eastAsia="Arial" w:hAnsi="Arial"/>
          <w:sz w:val="20"/>
          <w:szCs w:val="20"/>
          <w:color w:val="auto"/>
        </w:rPr>
        <w:t xml:space="preserve"> shall not exceed the greater of (x) $30,000,000 and (y) 3% of Consolidated Total Assets (at the time of incurrence);</w:t>
      </w:r>
    </w:p>
    <w:p>
      <w:pPr>
        <w:spacing w:after="0" w:line="175" w:lineRule="exact"/>
        <w:rPr>
          <w:sz w:val="20"/>
          <w:szCs w:val="20"/>
          <w:color w:val="auto"/>
        </w:rPr>
      </w:pPr>
    </w:p>
    <w:p>
      <w:pPr>
        <w:ind w:firstLine="656"/>
        <w:spacing w:after="0" w:line="316" w:lineRule="auto"/>
        <w:tabs>
          <w:tab w:leader="none" w:pos="1483"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Indebtedness incurred in the ordinary course of business and owed in respect of any overdrafts and related liabilities arising from treasury, depository and cash management services or in connection with any automated clearing-house transfers of funds;</w:t>
      </w:r>
    </w:p>
    <w:p>
      <w:pPr>
        <w:spacing w:after="0" w:line="153" w:lineRule="exact"/>
        <w:rPr>
          <w:rFonts w:ascii="Arial" w:cs="Arial" w:eastAsia="Arial" w:hAnsi="Arial"/>
          <w:sz w:val="19"/>
          <w:szCs w:val="19"/>
          <w:color w:val="auto"/>
        </w:rPr>
      </w:pPr>
    </w:p>
    <w:p>
      <w:pPr>
        <w:jc w:val="both"/>
        <w:ind w:firstLine="656"/>
        <w:spacing w:after="0" w:line="307" w:lineRule="auto"/>
        <w:tabs>
          <w:tab w:leader="none" w:pos="1483" w:val="left"/>
        </w:tabs>
        <w:numPr>
          <w:ilvl w:val="0"/>
          <w:numId w:val="303"/>
        </w:numPr>
        <w:rPr>
          <w:rFonts w:ascii="Arial" w:cs="Arial" w:eastAsia="Arial" w:hAnsi="Arial"/>
          <w:sz w:val="18"/>
          <w:szCs w:val="18"/>
          <w:color w:val="auto"/>
        </w:rPr>
      </w:pPr>
      <w:r>
        <w:rPr>
          <w:rFonts w:ascii="Arial" w:cs="Arial" w:eastAsia="Arial" w:hAnsi="Arial"/>
          <w:sz w:val="18"/>
          <w:szCs w:val="18"/>
          <w:color w:val="auto"/>
        </w:rPr>
        <w:t>Indebtedness in respect of (1) letters of credit, bank guarantees and similar instruments issued for the account of, and (2) lines of credit established for the account of, the Company or any Subsidiary, in the case of each of clauses (1) and (2) in the ordinary course of business supporting or drawn to support, as applicable, obligations under (i) workers’ compensation, health, disability or other employee benefits, casualty or liability insurance, unemployment insurance and other social security laws and local state and federal payroll taxes, (ii) obligations in connection with self-insurance arrangements in the ordinary course of business and (iii) bids, trade contracts, leases, statutory obligations, surety and appeal bonds, performance and reclamation bonds and obligations of a like nature;</w:t>
      </w:r>
    </w:p>
    <w:p>
      <w:pPr>
        <w:spacing w:after="0" w:line="167" w:lineRule="exact"/>
        <w:rPr>
          <w:rFonts w:ascii="Arial" w:cs="Arial" w:eastAsia="Arial" w:hAnsi="Arial"/>
          <w:sz w:val="18"/>
          <w:szCs w:val="18"/>
          <w:color w:val="auto"/>
        </w:rPr>
      </w:pPr>
    </w:p>
    <w:p>
      <w:pPr>
        <w:ind w:firstLine="656"/>
        <w:spacing w:after="0" w:line="289" w:lineRule="auto"/>
        <w:tabs>
          <w:tab w:leader="none" w:pos="152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consisting of (i) client advances or deposits received in the ordinary course of business and (ii) obligations in respect of Repurchase Agreements;</w:t>
      </w:r>
    </w:p>
    <w:p>
      <w:pPr>
        <w:spacing w:after="0" w:line="175" w:lineRule="exact"/>
        <w:rPr>
          <w:rFonts w:ascii="Arial" w:cs="Arial" w:eastAsia="Arial" w:hAnsi="Arial"/>
          <w:sz w:val="20"/>
          <w:szCs w:val="20"/>
          <w:color w:val="auto"/>
        </w:rPr>
      </w:pPr>
    </w:p>
    <w:p>
      <w:pPr>
        <w:jc w:val="both"/>
        <w:ind w:firstLine="656"/>
        <w:spacing w:after="0" w:line="274" w:lineRule="auto"/>
        <w:tabs>
          <w:tab w:leader="none" w:pos="1483"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Indebtedness of the Company or any Subsidiary in the form of purchase price adjustments (including in respect of working capital), earnouts, deferred compensation, indemnification or other arrangements representing acquisition consideration or deferred payments of a similar nature incurred in connection with any Permitted Acquisition or other Investments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xml:space="preserve"> or Dispositions permitted under </w:t>
      </w:r>
      <w:r>
        <w:rPr>
          <w:rFonts w:ascii="Arial" w:cs="Arial" w:eastAsia="Arial" w:hAnsi="Arial"/>
          <w:sz w:val="20"/>
          <w:szCs w:val="20"/>
          <w:u w:val="single" w:color="auto"/>
          <w:color w:val="auto"/>
        </w:rPr>
        <w:t>Section 6.05</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582" w:val="left"/>
        </w:tabs>
        <w:numPr>
          <w:ilvl w:val="0"/>
          <w:numId w:val="303"/>
        </w:numPr>
        <w:rPr>
          <w:rFonts w:ascii="Arial" w:cs="Arial" w:eastAsia="Arial" w:hAnsi="Arial"/>
          <w:sz w:val="20"/>
          <w:szCs w:val="20"/>
          <w:color w:val="auto"/>
        </w:rPr>
      </w:pPr>
      <w:r>
        <w:rPr>
          <w:rFonts w:ascii="Arial" w:cs="Arial" w:eastAsia="Arial" w:hAnsi="Arial"/>
          <w:sz w:val="20"/>
          <w:szCs w:val="20"/>
          <w:color w:val="auto"/>
        </w:rPr>
        <w:t xml:space="preserve">Indebtedness of Foreign Subsidiaries and Refinancing Indebtedness in respect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principal amount of Indebtedness permitted by this </w:t>
      </w:r>
      <w:r>
        <w:rPr>
          <w:rFonts w:ascii="Arial" w:cs="Arial" w:eastAsia="Arial" w:hAnsi="Arial"/>
          <w:sz w:val="20"/>
          <w:szCs w:val="20"/>
          <w:u w:val="single" w:color="auto"/>
          <w:color w:val="auto"/>
        </w:rPr>
        <w:t>clause (m)</w:t>
      </w:r>
      <w:r>
        <w:rPr>
          <w:rFonts w:ascii="Arial" w:cs="Arial" w:eastAsia="Arial" w:hAnsi="Arial"/>
          <w:sz w:val="20"/>
          <w:szCs w:val="20"/>
          <w:color w:val="auto"/>
        </w:rPr>
        <w:t xml:space="preserve"> shall not exceed the greater of (x) $50,000,000 and (y) 5% of Consolidated Total Assets (at the time of incurrence);</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relating to premium financing arrangements for property and casualty insurance plans and health and welfare benefit plans (including health and workers compensation insurance, employment practices liability insurance and directors and officers insurance), if incurred in the ordinary course of business;</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other unsecured and Subordinated Indebtedness not otherwise described above, and Refinancing Indebtedness in respect thereof, in an aggregate principal amount at any time outstanding not in excess of the greater of (x) $50,000,000 and (y) 5% of Consolidated Total Assets;</w:t>
      </w:r>
    </w:p>
    <w:p>
      <w:pPr>
        <w:spacing w:after="0" w:line="186" w:lineRule="exact"/>
        <w:rPr>
          <w:rFonts w:ascii="Arial" w:cs="Arial" w:eastAsia="Arial" w:hAnsi="Arial"/>
          <w:sz w:val="20"/>
          <w:szCs w:val="20"/>
          <w:color w:val="auto"/>
        </w:rPr>
      </w:pPr>
    </w:p>
    <w:p>
      <w:pPr>
        <w:ind w:firstLine="656"/>
        <w:spacing w:after="0" w:line="289" w:lineRule="auto"/>
        <w:tabs>
          <w:tab w:leader="none" w:pos="1527" w:val="left"/>
        </w:tabs>
        <w:numPr>
          <w:ilvl w:val="0"/>
          <w:numId w:val="303"/>
        </w:numPr>
        <w:rPr>
          <w:rFonts w:ascii="Arial" w:cs="Arial" w:eastAsia="Arial" w:hAnsi="Arial"/>
          <w:sz w:val="20"/>
          <w:szCs w:val="20"/>
          <w:color w:val="auto"/>
        </w:rPr>
      </w:pPr>
      <w:r>
        <w:rPr>
          <w:rFonts w:ascii="Arial" w:cs="Arial" w:eastAsia="Arial" w:hAnsi="Arial"/>
          <w:sz w:val="20"/>
          <w:szCs w:val="20"/>
          <w:color w:val="auto"/>
        </w:rPr>
        <w:t>unfunded pension fund and other employee benefit plan obligations and liabilities to the extent they are permitted to remain unfunded under applicable law;</w:t>
      </w:r>
    </w:p>
    <w:p>
      <w:pPr>
        <w:spacing w:after="0" w:line="175" w:lineRule="exact"/>
        <w:rPr>
          <w:rFonts w:ascii="Arial" w:cs="Arial" w:eastAsia="Arial" w:hAnsi="Arial"/>
          <w:sz w:val="20"/>
          <w:szCs w:val="20"/>
          <w:color w:val="auto"/>
        </w:rPr>
      </w:pPr>
    </w:p>
    <w:p>
      <w:pPr>
        <w:jc w:val="both"/>
        <w:ind w:firstLine="656"/>
        <w:spacing w:after="0" w:line="299" w:lineRule="auto"/>
        <w:tabs>
          <w:tab w:leader="none" w:pos="1527" w:val="left"/>
        </w:tabs>
        <w:numPr>
          <w:ilvl w:val="0"/>
          <w:numId w:val="303"/>
        </w:numPr>
        <w:rPr>
          <w:rFonts w:ascii="Arial" w:cs="Arial" w:eastAsia="Arial" w:hAnsi="Arial"/>
          <w:sz w:val="19"/>
          <w:szCs w:val="19"/>
          <w:color w:val="auto"/>
        </w:rPr>
      </w:pPr>
      <w:r>
        <w:rPr>
          <w:rFonts w:ascii="Arial" w:cs="Arial" w:eastAsia="Arial" w:hAnsi="Arial"/>
          <w:sz w:val="19"/>
          <w:szCs w:val="19"/>
          <w:color w:val="auto"/>
        </w:rPr>
        <w:t>Indebtedness of the Company or any of its Subsidiaries in respect of performance bonds, bid bonds, appeal bonds, surety bonds and similar obligations, in each case provided in the ordinary course of business, including guarantees or obligations with respect to letters of credit supporting such performance bonds, bid bonds, appeal bonds, surety bonds and similar obligations;</w:t>
      </w:r>
    </w:p>
    <w:p>
      <w:pPr>
        <w:spacing w:after="0" w:line="169" w:lineRule="exact"/>
        <w:rPr>
          <w:rFonts w:ascii="Arial" w:cs="Arial" w:eastAsia="Arial" w:hAnsi="Arial"/>
          <w:sz w:val="19"/>
          <w:szCs w:val="19"/>
          <w:color w:val="auto"/>
        </w:rPr>
      </w:pPr>
    </w:p>
    <w:p>
      <w:pPr>
        <w:ind w:left="1500" w:hanging="844"/>
        <w:spacing w:after="0"/>
        <w:tabs>
          <w:tab w:leader="none" w:pos="150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in respect to judgments or awards under circumstances not giving rise to an Event of Default;</w:t>
      </w:r>
    </w:p>
    <w:p>
      <w:pPr>
        <w:spacing w:after="0" w:line="242" w:lineRule="exact"/>
        <w:rPr>
          <w:rFonts w:ascii="Arial" w:cs="Arial" w:eastAsia="Arial" w:hAnsi="Arial"/>
          <w:sz w:val="20"/>
          <w:szCs w:val="20"/>
          <w:color w:val="auto"/>
        </w:rPr>
      </w:pPr>
    </w:p>
    <w:p>
      <w:pPr>
        <w:ind w:left="1520" w:hanging="864"/>
        <w:spacing w:after="0"/>
        <w:tabs>
          <w:tab w:leader="none" w:pos="152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Indebtedness in respect of obligations that are being contested in accordance with Section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ectPr>
          <w:pgSz w:w="11900" w:h="16838" w:orient="portrait"/>
          <w:cols w:equalWidth="0" w:num="1">
            <w:col w:w="11420"/>
          </w:cols>
          <w:pgMar w:left="240" w:top="825" w:right="239" w:bottom="1440" w:gutter="0" w:footer="0" w:header="0"/>
        </w:sectPr>
      </w:pPr>
    </w:p>
    <w:bookmarkStart w:id="267" w:name="page268"/>
    <w:bookmarkEnd w:id="267"/>
    <w:p>
      <w:pPr>
        <w:spacing w:after="0"/>
        <w:rPr>
          <w:sz w:val="20"/>
          <w:szCs w:val="20"/>
          <w:color w:val="auto"/>
        </w:rPr>
      </w:pPr>
      <w:r>
        <w:rPr>
          <w:rFonts w:ascii="Arial" w:cs="Arial" w:eastAsia="Arial" w:hAnsi="Arial"/>
          <w:sz w:val="20"/>
          <w:szCs w:val="20"/>
          <w:color w:val="auto"/>
        </w:rPr>
        <w:t>5.04;</w:t>
      </w:r>
    </w:p>
    <w:p>
      <w:pPr>
        <w:spacing w:after="0" w:line="243" w:lineRule="exact"/>
        <w:rPr>
          <w:sz w:val="20"/>
          <w:szCs w:val="20"/>
          <w:color w:val="auto"/>
        </w:rPr>
      </w:pPr>
    </w:p>
    <w:p>
      <w:pPr>
        <w:jc w:val="both"/>
        <w:ind w:firstLine="656"/>
        <w:spacing w:after="0" w:line="278" w:lineRule="auto"/>
        <w:tabs>
          <w:tab w:leader="none" w:pos="1483"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Indebtedness representing deferred compensation, severance, pension, and health and welfare retirement benefits or the equivalent to current and former employees of the Company and its Subsidiaries incurred in the ordinary course of business or existing on the Effective Date; and</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04"/>
        </w:numPr>
        <w:rPr>
          <w:rFonts w:ascii="Arial" w:cs="Arial" w:eastAsia="Arial" w:hAnsi="Arial"/>
          <w:sz w:val="20"/>
          <w:szCs w:val="20"/>
          <w:color w:val="auto"/>
        </w:rPr>
      </w:pPr>
      <w:r>
        <w:rPr>
          <w:rFonts w:ascii="Arial" w:cs="Arial" w:eastAsia="Arial" w:hAnsi="Arial"/>
          <w:sz w:val="20"/>
          <w:szCs w:val="20"/>
          <w:color w:val="auto"/>
        </w:rPr>
        <w:t>Indebtedness consisting of promissory notes issued by the Company or any Subsidiary to present or former employees, officers, directors or consultants (or their estates or beneficiaries under their estates) to finance the purchase or redemption of Equity Interests of the Company permitted by Section 6.09.</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For purposes of determining compliance with this Section 6.01, in the event that an item of Indebtedness (or any portion thereof) meets the criteria of more than one of the categories of permitted Indebtedness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(u)</w:t>
      </w:r>
      <w:r>
        <w:rPr>
          <w:rFonts w:ascii="Arial" w:cs="Arial" w:eastAsia="Arial" w:hAnsi="Arial"/>
          <w:sz w:val="20"/>
          <w:szCs w:val="20"/>
          <w:color w:val="auto"/>
        </w:rPr>
        <w:t xml:space="preserve"> above, the Company, in its sole discretion, will be permitted to divide and classify such item of Indebtedness (or any portion thereof) on the date of incurrence, and at any time and from time to time may later reclassify all or any portion of any item of Indebtedness as having been incurred under any category of permitted Indebtedness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(u)</w:t>
      </w:r>
      <w:r>
        <w:rPr>
          <w:rFonts w:ascii="Arial" w:cs="Arial" w:eastAsia="Arial" w:hAnsi="Arial"/>
          <w:sz w:val="20"/>
          <w:szCs w:val="20"/>
          <w:color w:val="auto"/>
        </w:rPr>
        <w:t xml:space="preserve"> above so long as such Indebtedness is permitted to be incurred pursuant to such provision at the time of reclassification.</w:t>
      </w:r>
    </w:p>
    <w:p>
      <w:pPr>
        <w:spacing w:after="0" w:line="22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Liens.</w:t>
      </w:r>
      <w:r>
        <w:rPr>
          <w:rFonts w:ascii="Arial" w:cs="Arial" w:eastAsia="Arial" w:hAnsi="Arial"/>
          <w:sz w:val="20"/>
          <w:szCs w:val="20"/>
          <w:color w:val="auto"/>
        </w:rPr>
        <w:t xml:space="preserve"> No Loan Party will,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187" w:lineRule="exact"/>
        <w:rPr>
          <w:sz w:val="20"/>
          <w:szCs w:val="20"/>
          <w:color w:val="auto"/>
        </w:rPr>
      </w:pPr>
    </w:p>
    <w:p>
      <w:pPr>
        <w:jc w:val="both"/>
        <w:ind w:firstLine="656"/>
        <w:spacing w:after="0" w:line="299" w:lineRule="auto"/>
        <w:tabs>
          <w:tab w:leader="none" w:pos="1516" w:val="left"/>
        </w:tabs>
        <w:numPr>
          <w:ilvl w:val="1"/>
          <w:numId w:val="305"/>
        </w:numPr>
        <w:rPr>
          <w:rFonts w:ascii="Arial" w:cs="Arial" w:eastAsia="Arial" w:hAnsi="Arial"/>
          <w:sz w:val="19"/>
          <w:szCs w:val="19"/>
          <w:color w:val="auto"/>
        </w:rPr>
      </w:pPr>
      <w:r>
        <w:rPr>
          <w:rFonts w:ascii="Arial" w:cs="Arial" w:eastAsia="Arial" w:hAnsi="Arial"/>
          <w:sz w:val="19"/>
          <w:szCs w:val="19"/>
          <w:color w:val="auto"/>
        </w:rPr>
        <w:t xml:space="preserve">(i) Liens created under the Loan Documents and (ii) Lien on Collateral of the Loan Parties securing Indebtedness under the Term Loan Agreement incurred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01(a)(ii)</w:t>
      </w:r>
      <w:r>
        <w:rPr>
          <w:rFonts w:ascii="Arial" w:cs="Arial" w:eastAsia="Arial" w:hAnsi="Arial"/>
          <w:sz w:val="19"/>
          <w:szCs w:val="19"/>
          <w:color w:val="auto"/>
        </w:rPr>
        <w:t xml:space="preserve"> (which Liens shall be subject to the ABL/Term Loan Intercreditor Agreement and, to the extent on ABL Priority Collateral, shall be junior to the Liens securing the Secured Obligations);</w:t>
      </w:r>
    </w:p>
    <w:p>
      <w:pPr>
        <w:spacing w:after="0" w:line="169" w:lineRule="exact"/>
        <w:rPr>
          <w:rFonts w:ascii="Arial" w:cs="Arial" w:eastAsia="Arial" w:hAnsi="Arial"/>
          <w:sz w:val="19"/>
          <w:szCs w:val="19"/>
          <w:color w:val="auto"/>
        </w:rPr>
      </w:pPr>
    </w:p>
    <w:p>
      <w:pPr>
        <w:ind w:left="1540" w:hanging="884"/>
        <w:spacing w:after="0"/>
        <w:tabs>
          <w:tab w:leader="none" w:pos="1540" w:val="left"/>
        </w:tabs>
        <w:numPr>
          <w:ilvl w:val="1"/>
          <w:numId w:val="305"/>
        </w:numPr>
        <w:rPr>
          <w:rFonts w:ascii="Arial" w:cs="Arial" w:eastAsia="Arial" w:hAnsi="Arial"/>
          <w:sz w:val="20"/>
          <w:szCs w:val="20"/>
          <w:color w:val="auto"/>
        </w:rPr>
      </w:pPr>
      <w:r>
        <w:rPr>
          <w:rFonts w:ascii="Arial" w:cs="Arial" w:eastAsia="Arial" w:hAnsi="Arial"/>
          <w:sz w:val="20"/>
          <w:szCs w:val="20"/>
          <w:color w:val="auto"/>
        </w:rPr>
        <w:t>Permitted Encumbrances;</w:t>
      </w:r>
    </w:p>
    <w:p>
      <w:pPr>
        <w:spacing w:after="0" w:line="242" w:lineRule="exact"/>
        <w:rPr>
          <w:rFonts w:ascii="Arial" w:cs="Arial" w:eastAsia="Arial" w:hAnsi="Arial"/>
          <w:sz w:val="20"/>
          <w:szCs w:val="20"/>
          <w:color w:val="auto"/>
        </w:rPr>
      </w:pPr>
    </w:p>
    <w:p>
      <w:pPr>
        <w:jc w:val="both"/>
        <w:ind w:firstLine="656"/>
        <w:spacing w:after="0" w:line="305" w:lineRule="auto"/>
        <w:tabs>
          <w:tab w:leader="none" w:pos="1516"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any Lien on any asset of the Company or any Subsidiary existing on the Effective Date and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r>
        <w:rPr>
          <w:rFonts w:ascii="Arial" w:cs="Arial" w:eastAsia="Arial" w:hAnsi="Arial"/>
          <w:sz w:val="18"/>
          <w:szCs w:val="18"/>
          <w:u w:val="single" w:color="auto"/>
          <w:color w:val="auto"/>
        </w:rPr>
        <w:t>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asset of the Company or any Subsidiary other than (A) after-acquired property that is affixed or incorporated into the property covered by such Lien or financed by Indebtedness permitted under Section 6.01 and (B) proceeds and products thereof and (ii) such Lien shall secure only those obligations that it secures on the Effective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Indebtedness, that are permitted under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01(b)</w:t>
      </w:r>
      <w:r>
        <w:rPr>
          <w:rFonts w:ascii="Arial" w:cs="Arial" w:eastAsia="Arial" w:hAnsi="Arial"/>
          <w:sz w:val="18"/>
          <w:szCs w:val="18"/>
          <w:color w:val="auto"/>
        </w:rPr>
        <w:t xml:space="preserve"> as Refinancing Indebtedness in respect thereof;</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527" w:val="left"/>
        </w:tabs>
        <w:numPr>
          <w:ilvl w:val="1"/>
          <w:numId w:val="305"/>
        </w:numPr>
        <w:rPr>
          <w:rFonts w:ascii="Arial" w:cs="Arial" w:eastAsia="Arial" w:hAnsi="Arial"/>
          <w:sz w:val="18"/>
          <w:szCs w:val="18"/>
          <w:color w:val="auto"/>
        </w:rPr>
      </w:pPr>
      <w:r>
        <w:rPr>
          <w:rFonts w:ascii="Arial" w:cs="Arial" w:eastAsia="Arial" w:hAnsi="Arial"/>
          <w:sz w:val="18"/>
          <w:szCs w:val="18"/>
          <w:color w:val="auto"/>
        </w:rPr>
        <w:t xml:space="preserve">any Lien existing on any asset prior to the acquisition thereof by the Company or any Subsidiary or existing on any asset of any Person that becomes a Subsidiary (or of any Person not previously a Subsidiary that is merged or consolidated with or into a Subsidiary in a transaction permitted hereunder) after the Effective Date prior to the time such Person becomes a Subsidiary (or is so merged or consolidated);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is not created in contemplation of or in connection with such acquisition or such Person becoming a Subsidiary (or such merger or consolidation), (ii) such Lien shall not apply to any other asset of the Company or any Subsidiary (other than</w:t>
      </w:r>
    </w:p>
    <w:p>
      <w:pPr>
        <w:spacing w:after="0" w:line="2" w:lineRule="exact"/>
        <w:rPr>
          <w:rFonts w:ascii="Arial" w:cs="Arial" w:eastAsia="Arial" w:hAnsi="Arial"/>
          <w:sz w:val="18"/>
          <w:szCs w:val="18"/>
          <w:color w:val="auto"/>
        </w:rPr>
      </w:pPr>
    </w:p>
    <w:p>
      <w:pPr>
        <w:jc w:val="both"/>
        <w:ind w:firstLine="8"/>
        <w:spacing w:after="0" w:line="274" w:lineRule="auto"/>
        <w:tabs>
          <w:tab w:leader="none" w:pos="361" w:val="left"/>
        </w:tabs>
        <w:numPr>
          <w:ilvl w:val="0"/>
          <w:numId w:val="306"/>
        </w:numPr>
        <w:rPr>
          <w:rFonts w:ascii="Arial" w:cs="Arial" w:eastAsia="Arial" w:hAnsi="Arial"/>
          <w:sz w:val="20"/>
          <w:szCs w:val="20"/>
          <w:color w:val="auto"/>
        </w:rPr>
      </w:pPr>
      <w:r>
        <w:rPr>
          <w:rFonts w:ascii="Arial" w:cs="Arial" w:eastAsia="Arial" w:hAnsi="Arial"/>
          <w:sz w:val="20"/>
          <w:szCs w:val="20"/>
          <w:color w:val="auto"/>
        </w:rPr>
        <w:t>the proceeds or products of such assets, (B) after-acquired property subjected to a Lien securing Indebtedness and other obligations incurred prior to such time and which Indebtedness and other obligations are permitted hereunder that require, pursuant to their terms at such time, a pledge of after-acquired property, it being understood that such requirement shall not be permitted to apply to any property to which such requirement would not have applied but for such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ectPr>
          <w:pgSz w:w="11900" w:h="16838" w:orient="portrait"/>
          <w:cols w:equalWidth="0" w:num="1">
            <w:col w:w="11420"/>
          </w:cols>
          <w:pgMar w:left="240" w:top="825" w:right="239" w:bottom="1440" w:gutter="0" w:footer="0" w:header="0"/>
        </w:sectPr>
      </w:pPr>
    </w:p>
    <w:bookmarkStart w:id="268" w:name="page269"/>
    <w:bookmarkEnd w:id="268"/>
    <w:p>
      <w:pPr>
        <w:jc w:val="both"/>
        <w:spacing w:after="0" w:line="288" w:lineRule="auto"/>
        <w:rPr>
          <w:sz w:val="20"/>
          <w:szCs w:val="20"/>
          <w:color w:val="auto"/>
        </w:rPr>
      </w:pPr>
      <w:r>
        <w:rPr>
          <w:rFonts w:ascii="Arial" w:cs="Arial" w:eastAsia="Arial" w:hAnsi="Arial"/>
          <w:sz w:val="19"/>
          <w:szCs w:val="19"/>
          <w:color w:val="auto"/>
        </w:rPr>
        <w:t xml:space="preserve">acquisition, and (C) in the case of any such merger or consolidation, the assets of any Subsidiary without significant assets that was formed solely for the purpose of effecting such acquisition) and (iii) such Lien shall secure only those obligations that it secures on the date of such acquisition or the date such Person becomes a Subsidiary (or is so merged or consolidated) and extensions, renewals, replacements and refinancings thereof so long as the principal amount of such extensions, renewals and replacements does not exceed the principal amount of the obligations being extended, renewed or replaced or, in the case of any such obligations constituting Indebtedness, that are permitted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01(g)</w:t>
      </w:r>
      <w:r>
        <w:rPr>
          <w:rFonts w:ascii="Arial" w:cs="Arial" w:eastAsia="Arial" w:hAnsi="Arial"/>
          <w:sz w:val="19"/>
          <w:szCs w:val="19"/>
          <w:color w:val="auto"/>
        </w:rPr>
        <w:t xml:space="preserve"> as Refinancing Indebtedness in respect thereof;</w:t>
      </w:r>
    </w:p>
    <w:p>
      <w:pPr>
        <w:spacing w:after="0" w:line="183" w:lineRule="exact"/>
        <w:rPr>
          <w:sz w:val="20"/>
          <w:szCs w:val="20"/>
          <w:color w:val="auto"/>
        </w:rPr>
      </w:pPr>
    </w:p>
    <w:p>
      <w:pPr>
        <w:jc w:val="both"/>
        <w:ind w:firstLine="656"/>
        <w:spacing w:after="0" w:line="271" w:lineRule="auto"/>
        <w:tabs>
          <w:tab w:leader="none" w:pos="1516"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Liens on fixed or capital assets acquired, constructed or improved (including any such assets made the subject of a Capital Lease Obligation incurred) by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Liens secure Indebtedness incurred to finance such acquisition, construction or improvement and permitted by </w:t>
      </w:r>
      <w:r>
        <w:rPr>
          <w:rFonts w:ascii="Arial" w:cs="Arial" w:eastAsia="Arial" w:hAnsi="Arial"/>
          <w:sz w:val="20"/>
          <w:szCs w:val="20"/>
          <w:u w:val="single" w:color="auto"/>
          <w:color w:val="auto"/>
        </w:rPr>
        <w:t>clause (f)(i)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or any Refinancing Indebtedness in respect thereof permitted by </w:t>
      </w:r>
      <w:r>
        <w:rPr>
          <w:rFonts w:ascii="Arial" w:cs="Arial" w:eastAsia="Arial" w:hAnsi="Arial"/>
          <w:sz w:val="20"/>
          <w:szCs w:val="20"/>
          <w:u w:val="single" w:color="auto"/>
          <w:color w:val="auto"/>
        </w:rPr>
        <w:t>clause (f)(ii)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and (ii) such Liens shall not apply to any other assets (except for replacements, additions and accessions to such assets) of the Company or any Subsidiary, other than the proceeds and products of such fixed or capital assets;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individual financings of equipment provided by one lender may be cross collateralized to other financings of equipment provided by such lender;</w:t>
      </w:r>
    </w:p>
    <w:p>
      <w:pPr>
        <w:spacing w:after="0" w:line="194" w:lineRule="exact"/>
        <w:rPr>
          <w:rFonts w:ascii="Arial" w:cs="Arial" w:eastAsia="Arial" w:hAnsi="Arial"/>
          <w:sz w:val="20"/>
          <w:szCs w:val="20"/>
          <w:color w:val="auto"/>
        </w:rPr>
      </w:pPr>
    </w:p>
    <w:p>
      <w:pPr>
        <w:ind w:firstLine="656"/>
        <w:spacing w:after="0" w:line="316" w:lineRule="auto"/>
        <w:tabs>
          <w:tab w:leader="none" w:pos="1494" w:val="left"/>
        </w:tabs>
        <w:numPr>
          <w:ilvl w:val="0"/>
          <w:numId w:val="307"/>
        </w:numPr>
        <w:rPr>
          <w:rFonts w:ascii="Arial" w:cs="Arial" w:eastAsia="Arial" w:hAnsi="Arial"/>
          <w:sz w:val="19"/>
          <w:szCs w:val="19"/>
          <w:color w:val="auto"/>
        </w:rPr>
      </w:pPr>
      <w:r>
        <w:rPr>
          <w:rFonts w:ascii="Arial" w:cs="Arial" w:eastAsia="Arial" w:hAnsi="Arial"/>
          <w:sz w:val="19"/>
          <w:szCs w:val="19"/>
          <w:color w:val="auto"/>
        </w:rPr>
        <w:t xml:space="preserve">in connection with the sale or transfer of any Equity Interests or other assets in a transaction permitted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05</w:t>
      </w:r>
      <w:r>
        <w:rPr>
          <w:rFonts w:ascii="Arial" w:cs="Arial" w:eastAsia="Arial" w:hAnsi="Arial"/>
          <w:sz w:val="19"/>
          <w:szCs w:val="19"/>
          <w:color w:val="auto"/>
        </w:rPr>
        <w:t>, customary rights and restrictions contained in agreements relating to such sale or transfer pending the completion thereof;</w:t>
      </w:r>
    </w:p>
    <w:p>
      <w:pPr>
        <w:spacing w:after="0" w:line="153" w:lineRule="exact"/>
        <w:rPr>
          <w:rFonts w:ascii="Arial" w:cs="Arial" w:eastAsia="Arial" w:hAnsi="Arial"/>
          <w:sz w:val="19"/>
          <w:szCs w:val="19"/>
          <w:color w:val="auto"/>
        </w:rPr>
      </w:pPr>
    </w:p>
    <w:p>
      <w:pPr>
        <w:jc w:val="both"/>
        <w:ind w:firstLine="656"/>
        <w:spacing w:after="0" w:line="274" w:lineRule="auto"/>
        <w:tabs>
          <w:tab w:leader="none" w:pos="1527" w:val="left"/>
        </w:tabs>
        <w:numPr>
          <w:ilvl w:val="0"/>
          <w:numId w:val="307"/>
        </w:numPr>
        <w:rPr>
          <w:rFonts w:ascii="Arial" w:cs="Arial" w:eastAsia="Arial" w:hAnsi="Arial"/>
          <w:sz w:val="20"/>
          <w:szCs w:val="20"/>
          <w:color w:val="auto"/>
        </w:rPr>
      </w:pPr>
      <w:r>
        <w:rPr>
          <w:rFonts w:ascii="Arial" w:cs="Arial" w:eastAsia="Arial" w:hAnsi="Arial"/>
          <w:sz w:val="20"/>
          <w:szCs w:val="20"/>
          <w:color w:val="auto"/>
        </w:rPr>
        <w:t>in the case of (i) any Subsidiary that is not a wholly-owned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192"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any Lien on assets of any Foreign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such Lien shall not apply to any Collateral (including any Equity Interests in any Subsidiary that constitute Collateral) or any other assets of the Company or any other Loan Party and (ii) such Lien shall secure only Indebtedness or other obligations of such Foreign Subsidiary permitted hereunder;</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48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Liens solely on any cash earnest money deposits, escrow arrangements or similar arrangements made by the Company or any Subsidiary in connection with any letter of intent or purchase agreement for a Permitted Acquisition or other transaction permitted hereunder;</w:t>
      </w:r>
    </w:p>
    <w:p>
      <w:pPr>
        <w:spacing w:after="0" w:line="186" w:lineRule="exact"/>
        <w:rPr>
          <w:rFonts w:ascii="Arial" w:cs="Arial" w:eastAsia="Arial" w:hAnsi="Arial"/>
          <w:sz w:val="20"/>
          <w:szCs w:val="20"/>
          <w:color w:val="auto"/>
        </w:rPr>
      </w:pPr>
    </w:p>
    <w:p>
      <w:pPr>
        <w:ind w:right="20" w:firstLine="656"/>
        <w:spacing w:after="0" w:line="289" w:lineRule="auto"/>
        <w:tabs>
          <w:tab w:leader="none" w:pos="148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Liens granted (i) by a Subsidiary that is not a Loan Party in respect of Indebtedness permitted to be incurred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6</w:t>
      </w:r>
      <w:r>
        <w:rPr>
          <w:rFonts w:ascii="Arial" w:cs="Arial" w:eastAsia="Arial" w:hAnsi="Arial"/>
          <w:sz w:val="20"/>
          <w:szCs w:val="20"/>
          <w:color w:val="auto"/>
        </w:rPr>
        <w:t>.</w:t>
      </w:r>
      <w:r>
        <w:rPr>
          <w:rFonts w:ascii="Arial" w:cs="Arial" w:eastAsia="Arial" w:hAnsi="Arial"/>
          <w:sz w:val="20"/>
          <w:szCs w:val="20"/>
          <w:u w:val="single" w:color="auto"/>
          <w:color w:val="auto"/>
        </w:rPr>
        <w:t>01(c)</w:t>
      </w:r>
      <w:r>
        <w:rPr>
          <w:rFonts w:ascii="Arial" w:cs="Arial" w:eastAsia="Arial" w:hAnsi="Arial"/>
          <w:sz w:val="20"/>
          <w:szCs w:val="20"/>
          <w:color w:val="auto"/>
        </w:rPr>
        <w:t xml:space="preserve"> and (ii) by any Subsidiary in favor of any Loan Party;</w:t>
      </w:r>
    </w:p>
    <w:p>
      <w:pPr>
        <w:spacing w:after="0" w:line="175" w:lineRule="exact"/>
        <w:rPr>
          <w:rFonts w:ascii="Arial" w:cs="Arial" w:eastAsia="Arial" w:hAnsi="Arial"/>
          <w:sz w:val="20"/>
          <w:szCs w:val="20"/>
          <w:color w:val="auto"/>
        </w:rPr>
      </w:pPr>
    </w:p>
    <w:p>
      <w:pPr>
        <w:ind w:left="1540" w:hanging="884"/>
        <w:spacing w:after="0"/>
        <w:tabs>
          <w:tab w:leader="none" w:pos="154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 xml:space="preserve">Liens securing judgments for the payment of money not constituting an Event of Default under </w:t>
      </w:r>
      <w:r>
        <w:rPr>
          <w:rFonts w:ascii="Arial" w:cs="Arial" w:eastAsia="Arial" w:hAnsi="Arial"/>
          <w:sz w:val="20"/>
          <w:szCs w:val="20"/>
          <w:u w:val="single" w:color="auto"/>
          <w:color w:val="auto"/>
        </w:rPr>
        <w:t>Article VII</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firstLine="656"/>
        <w:spacing w:after="0" w:line="289" w:lineRule="auto"/>
        <w:tabs>
          <w:tab w:leader="none" w:pos="1483" w:val="left"/>
        </w:tabs>
        <w:numPr>
          <w:ilvl w:val="0"/>
          <w:numId w:val="307"/>
        </w:numPr>
        <w:rPr>
          <w:rFonts w:ascii="Arial" w:cs="Arial" w:eastAsia="Arial" w:hAnsi="Arial"/>
          <w:sz w:val="20"/>
          <w:szCs w:val="20"/>
          <w:color w:val="auto"/>
        </w:rPr>
      </w:pPr>
      <w:r>
        <w:rPr>
          <w:rFonts w:ascii="Arial" w:cs="Arial" w:eastAsia="Arial" w:hAnsi="Arial"/>
          <w:sz w:val="20"/>
          <w:szCs w:val="20"/>
          <w:color w:val="auto"/>
        </w:rPr>
        <w:t>other Liens securing Indebtedness or other obligations in an aggregate principal amount not to exceed the greater of (x) $30,000,000 and (y) 3% of Consolidated Total Assets at any time outstanding;</w:t>
      </w:r>
    </w:p>
    <w:p>
      <w:pPr>
        <w:spacing w:after="0" w:line="175" w:lineRule="exact"/>
        <w:rPr>
          <w:rFonts w:ascii="Arial" w:cs="Arial" w:eastAsia="Arial" w:hAnsi="Arial"/>
          <w:sz w:val="20"/>
          <w:szCs w:val="20"/>
          <w:color w:val="auto"/>
        </w:rPr>
      </w:pPr>
    </w:p>
    <w:p>
      <w:pPr>
        <w:ind w:firstLine="656"/>
        <w:spacing w:after="0" w:line="289" w:lineRule="auto"/>
        <w:tabs>
          <w:tab w:leader="none" w:pos="1582" w:val="left"/>
        </w:tabs>
        <w:numPr>
          <w:ilvl w:val="0"/>
          <w:numId w:val="307"/>
        </w:numPr>
        <w:rPr>
          <w:rFonts w:ascii="Arial" w:cs="Arial" w:eastAsia="Arial" w:hAnsi="Arial"/>
          <w:sz w:val="20"/>
          <w:szCs w:val="20"/>
          <w:color w:val="auto"/>
        </w:rPr>
      </w:pPr>
      <w:r>
        <w:rPr>
          <w:rFonts w:ascii="Arial" w:cs="Arial" w:eastAsia="Arial" w:hAnsi="Arial"/>
          <w:sz w:val="20"/>
          <w:szCs w:val="20"/>
          <w:color w:val="auto"/>
        </w:rPr>
        <w:t>Liens arising out of any conditional sale, title retention, consignment or other similar arrangements for the sale of goods entered into by the Company or any Subsidiary in the ordinary course of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1420"/>
          </w:cols>
          <w:pgMar w:left="240" w:top="825" w:right="239" w:bottom="1440" w:gutter="0" w:footer="0" w:header="0"/>
        </w:sectPr>
      </w:pPr>
    </w:p>
    <w:bookmarkStart w:id="269" w:name="page270"/>
    <w:bookmarkEnd w:id="269"/>
    <w:p>
      <w:pPr>
        <w:ind w:left="1540" w:hanging="884"/>
        <w:spacing w:after="0"/>
        <w:tabs>
          <w:tab w:leader="none" w:pos="1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securing Indebtedness permitted hereunder to finance insurance premiums solely to the extent of such premiums;</w:t>
      </w:r>
    </w:p>
    <w:p>
      <w:pPr>
        <w:spacing w:after="0" w:line="265" w:lineRule="exact"/>
        <w:rPr>
          <w:rFonts w:ascii="Arial" w:cs="Arial" w:eastAsia="Arial" w:hAnsi="Arial"/>
          <w:sz w:val="18"/>
          <w:szCs w:val="18"/>
          <w:color w:val="auto"/>
        </w:rPr>
      </w:pPr>
    </w:p>
    <w:p>
      <w:pPr>
        <w:jc w:val="both"/>
        <w:ind w:firstLine="656"/>
        <w:spacing w:after="0" w:line="293" w:lineRule="auto"/>
        <w:tabs>
          <w:tab w:leader="none" w:pos="1527" w:val="left"/>
        </w:tabs>
        <w:numPr>
          <w:ilvl w:val="0"/>
          <w:numId w:val="308"/>
        </w:numPr>
        <w:rPr>
          <w:rFonts w:ascii="Arial" w:cs="Arial" w:eastAsia="Arial" w:hAnsi="Arial"/>
          <w:sz w:val="19"/>
          <w:szCs w:val="19"/>
          <w:color w:val="auto"/>
        </w:rPr>
      </w:pPr>
      <w:r>
        <w:rPr>
          <w:rFonts w:ascii="Arial" w:cs="Arial" w:eastAsia="Arial" w:hAnsi="Arial"/>
          <w:sz w:val="19"/>
          <w:szCs w:val="19"/>
          <w:color w:val="auto"/>
        </w:rPr>
        <w:t>statutory and common law rights of setoff and other Liens, similar rights and remedies arising as a matter of law encumbering deposits of cash, securities, commodities and other funds in favor of banks, financial institutions, other depository institutions, securities or commodities intermediaries or brokerage, and Liens of a collecting bank arising under Section 4-208 or 4-210 of the UCC in effect in the relevant jurisdiction or any similar law of any foreign jurisdiction on items in the course of collection;</w:t>
      </w:r>
    </w:p>
    <w:p>
      <w:pPr>
        <w:spacing w:after="0" w:line="175" w:lineRule="exact"/>
        <w:rPr>
          <w:rFonts w:ascii="Arial" w:cs="Arial" w:eastAsia="Arial" w:hAnsi="Arial"/>
          <w:sz w:val="19"/>
          <w:szCs w:val="19"/>
          <w:color w:val="auto"/>
        </w:rPr>
      </w:pPr>
    </w:p>
    <w:p>
      <w:pPr>
        <w:ind w:right="20" w:firstLine="656"/>
        <w:spacing w:after="0" w:line="316" w:lineRule="auto"/>
        <w:tabs>
          <w:tab w:leader="none" w:pos="1527" w:val="left"/>
        </w:tabs>
        <w:numPr>
          <w:ilvl w:val="0"/>
          <w:numId w:val="308"/>
        </w:numPr>
        <w:rPr>
          <w:rFonts w:ascii="Arial" w:cs="Arial" w:eastAsia="Arial" w:hAnsi="Arial"/>
          <w:sz w:val="19"/>
          <w:szCs w:val="19"/>
          <w:color w:val="auto"/>
        </w:rPr>
      </w:pPr>
      <w:r>
        <w:rPr>
          <w:rFonts w:ascii="Arial" w:cs="Arial" w:eastAsia="Arial" w:hAnsi="Arial"/>
          <w:sz w:val="19"/>
          <w:szCs w:val="19"/>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53" w:lineRule="exact"/>
        <w:rPr>
          <w:rFonts w:ascii="Arial" w:cs="Arial" w:eastAsia="Arial" w:hAnsi="Arial"/>
          <w:sz w:val="19"/>
          <w:szCs w:val="19"/>
          <w:color w:val="auto"/>
        </w:rPr>
      </w:pPr>
    </w:p>
    <w:p>
      <w:pPr>
        <w:jc w:val="both"/>
        <w:ind w:firstLine="656"/>
        <w:spacing w:after="0" w:line="314" w:lineRule="auto"/>
        <w:tabs>
          <w:tab w:leader="none" w:pos="152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Liens that are contractual rights of set-off or rights of pledge (i) relating to the establishment of depository relations with banks not given in connection with the issuance of Indebtedness, (ii) relating to pooled deposit or sweep accounts of the Company or any Subsidiary to permit satisfaction of overdraft or similar obligations incurred in the ordinary course of business of the or (3) relating to purchase orders and other agreements entered into with customers of the Company or any of Subsidiary in the ordinary course of business;</w:t>
      </w:r>
    </w:p>
    <w:p>
      <w:pPr>
        <w:spacing w:after="0" w:line="159" w:lineRule="exact"/>
        <w:rPr>
          <w:rFonts w:ascii="Arial" w:cs="Arial" w:eastAsia="Arial" w:hAnsi="Arial"/>
          <w:sz w:val="18"/>
          <w:szCs w:val="18"/>
          <w:color w:val="auto"/>
        </w:rPr>
      </w:pPr>
    </w:p>
    <w:p>
      <w:pPr>
        <w:ind w:left="1500" w:hanging="844"/>
        <w:spacing w:after="0"/>
        <w:tabs>
          <w:tab w:leader="none" w:pos="150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Liens deemed to exist in connection with Investments in repurchase agreements under Section 6.04;</w:t>
      </w:r>
    </w:p>
    <w:p>
      <w:pPr>
        <w:spacing w:after="0" w:line="242" w:lineRule="exact"/>
        <w:rPr>
          <w:rFonts w:ascii="Arial" w:cs="Arial" w:eastAsia="Arial" w:hAnsi="Arial"/>
          <w:sz w:val="20"/>
          <w:szCs w:val="20"/>
          <w:color w:val="auto"/>
        </w:rPr>
      </w:pPr>
    </w:p>
    <w:p>
      <w:pPr>
        <w:jc w:val="both"/>
        <w:ind w:firstLine="656"/>
        <w:spacing w:after="0" w:line="293" w:lineRule="auto"/>
        <w:tabs>
          <w:tab w:leader="none" w:pos="1505"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the modification, replacement, renewal or extension of any Lien permitted by </w:t>
      </w:r>
      <w:r>
        <w:rPr>
          <w:rFonts w:ascii="Arial" w:cs="Arial" w:eastAsia="Arial" w:hAnsi="Arial"/>
          <w:sz w:val="19"/>
          <w:szCs w:val="19"/>
          <w:u w:val="single" w:color="auto"/>
          <w:color w:val="auto"/>
        </w:rPr>
        <w:t>clauses (d)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02</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Lien does not extend to any additional property, other than (A) after-acquired property that is affixed or incorporated into the property covered by such Lien and (B) proceeds and products thereof, and (ii) the renewal, extension or refinancing of the obligations secured or benefited by such Liens is permitted by Section 6.01 (to the extent constituting Indebtedness);</w:t>
      </w:r>
    </w:p>
    <w:p>
      <w:pPr>
        <w:spacing w:after="0" w:line="175" w:lineRule="exact"/>
        <w:rPr>
          <w:rFonts w:ascii="Arial" w:cs="Arial" w:eastAsia="Arial" w:hAnsi="Arial"/>
          <w:sz w:val="19"/>
          <w:szCs w:val="19"/>
          <w:color w:val="auto"/>
        </w:rPr>
      </w:pPr>
    </w:p>
    <w:p>
      <w:pPr>
        <w:jc w:val="both"/>
        <w:ind w:firstLine="656"/>
        <w:spacing w:after="0" w:line="363" w:lineRule="auto"/>
        <w:tabs>
          <w:tab w:leader="none" w:pos="1483"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 Liens in favor of customs and revenue authorities arising as a matter of law to secure payment of customs duties in connection with the importation of goods in the ordinary course of business and (ii) Liens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other goods in the ordinary course of business; and</w:t>
      </w:r>
    </w:p>
    <w:p>
      <w:pPr>
        <w:spacing w:after="0" w:line="129" w:lineRule="exact"/>
        <w:rPr>
          <w:rFonts w:ascii="Arial" w:cs="Arial" w:eastAsia="Arial" w:hAnsi="Arial"/>
          <w:sz w:val="16"/>
          <w:szCs w:val="16"/>
          <w:color w:val="auto"/>
        </w:rPr>
      </w:pPr>
    </w:p>
    <w:p>
      <w:pPr>
        <w:jc w:val="both"/>
        <w:ind w:firstLine="656"/>
        <w:spacing w:after="0" w:line="286" w:lineRule="auto"/>
        <w:tabs>
          <w:tab w:leader="none" w:pos="1527" w:val="left"/>
        </w:tabs>
        <w:numPr>
          <w:ilvl w:val="0"/>
          <w:numId w:val="308"/>
        </w:numPr>
        <w:rPr>
          <w:rFonts w:ascii="Arial" w:cs="Arial" w:eastAsia="Arial" w:hAnsi="Arial"/>
          <w:sz w:val="19"/>
          <w:szCs w:val="19"/>
          <w:color w:val="auto"/>
        </w:rPr>
      </w:pPr>
      <w:r>
        <w:rPr>
          <w:rFonts w:ascii="Arial" w:cs="Arial" w:eastAsia="Arial" w:hAnsi="Arial"/>
          <w:sz w:val="19"/>
          <w:szCs w:val="19"/>
          <w:color w:val="auto"/>
        </w:rPr>
        <w:t xml:space="preserve">Liens on the Collateral securing (i) Permitted First Priority Refinancing Indebtedness permitted under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of the Term Loan Agreement (as in effect on the Effective Date) on a pari passu basis with the Liens on the Collateral securing the Secured Obligations, and, if secured by the Collateral,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trustee, collateral agent, security agent or other Person acting on behalf of the holders of such Indebtedness has entered into an Intercreditor Agreement and (ii) Permitted Second Priority Refinancing Indebtedness permitted under </w:t>
      </w:r>
      <w:r>
        <w:rPr>
          <w:rFonts w:ascii="Arial" w:cs="Arial" w:eastAsia="Arial" w:hAnsi="Arial"/>
          <w:sz w:val="19"/>
          <w:szCs w:val="19"/>
          <w:u w:val="single" w:color="auto"/>
          <w:color w:val="auto"/>
        </w:rPr>
        <w:t>Section 6.01(e)</w:t>
      </w:r>
      <w:r>
        <w:rPr>
          <w:rFonts w:ascii="Arial" w:cs="Arial" w:eastAsia="Arial" w:hAnsi="Arial"/>
          <w:sz w:val="19"/>
          <w:szCs w:val="19"/>
          <w:color w:val="auto"/>
        </w:rPr>
        <w:t xml:space="preserve"> of the Term Loan Agreement (as in effect on the Effective Date) on a junior basis to the Liens on the Collateral securing the Secured Obligations and, if secured by the Collateral,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trustee, collateral agent, security agent or other Person acting on behalf of the holders of such Indebtedness has entered into an Intercreditor Agreement.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 xml:space="preserve">For purposes of determining compliance with this Section 6.02, (A) a Lien securing an item of Indebtedness need not be permitted solely by reference to one category of permitted Liens (or any portion thereof)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(u)</w:t>
      </w:r>
      <w:r>
        <w:rPr>
          <w:rFonts w:ascii="Arial" w:cs="Arial" w:eastAsia="Arial" w:hAnsi="Arial"/>
          <w:sz w:val="20"/>
          <w:szCs w:val="20"/>
          <w:color w:val="auto"/>
        </w:rPr>
        <w:t xml:space="preserve"> but may be permitted in part under any combination thereof and (B) in the event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1420"/>
          </w:cols>
          <w:pgMar w:left="240" w:top="825" w:right="239" w:bottom="1440" w:gutter="0" w:footer="0" w:header="0"/>
        </w:sectPr>
      </w:pPr>
    </w:p>
    <w:bookmarkStart w:id="270" w:name="page271"/>
    <w:bookmarkEnd w:id="270"/>
    <w:p>
      <w:pPr>
        <w:jc w:val="both"/>
        <w:spacing w:after="0" w:line="243" w:lineRule="auto"/>
        <w:rPr>
          <w:sz w:val="20"/>
          <w:szCs w:val="20"/>
          <w:color w:val="auto"/>
        </w:rPr>
      </w:pPr>
      <w:r>
        <w:rPr>
          <w:rFonts w:ascii="Arial" w:cs="Arial" w:eastAsia="Arial" w:hAnsi="Arial"/>
          <w:sz w:val="20"/>
          <w:szCs w:val="20"/>
          <w:color w:val="auto"/>
        </w:rPr>
        <w:t xml:space="preserve">that a Lien securing an item of Indebtedness (or any portion thereof) meets the criteria of one or more of the categories of permitted Liens (or any portion thereof)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(u)</w:t>
      </w:r>
      <w:r>
        <w:rPr>
          <w:rFonts w:ascii="Arial" w:cs="Arial" w:eastAsia="Arial" w:hAnsi="Arial"/>
          <w:sz w:val="20"/>
          <w:szCs w:val="20"/>
          <w:color w:val="auto"/>
        </w:rPr>
        <w:t>, the Company may, in its sole discretion, classify or divide such Lien securing such item of Indebtedness (or any portion thereof) in any manner that complies with this Section 6.02 and will be entitled to only include the amount and type of such Lien or such item of Indebtedness secured by such Lien (or any portion thereof) in one of the above clauses and such Lien securing such item of Indebtedness (or portion thereof) will be treated as being incurred or existing pursuant to only such clause or clauses (or any portion thereof).</w:t>
      </w:r>
    </w:p>
    <w:p>
      <w:pPr>
        <w:spacing w:after="0" w:line="22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6.03</w:t>
      </w:r>
      <w:r>
        <w:rPr>
          <w:sz w:val="20"/>
          <w:szCs w:val="20"/>
          <w:color w:val="auto"/>
        </w:rPr>
        <w:tab/>
      </w:r>
      <w:r>
        <w:rPr>
          <w:rFonts w:ascii="Arial" w:cs="Arial" w:eastAsia="Arial" w:hAnsi="Arial"/>
          <w:sz w:val="16"/>
          <w:szCs w:val="16"/>
          <w:u w:val="single" w:color="auto"/>
          <w:color w:val="auto"/>
        </w:rPr>
        <w:t>Fundamental Changes.</w:t>
      </w:r>
    </w:p>
    <w:p>
      <w:pPr>
        <w:spacing w:after="0" w:line="243" w:lineRule="exact"/>
        <w:rPr>
          <w:sz w:val="20"/>
          <w:szCs w:val="20"/>
          <w:color w:val="auto"/>
        </w:rPr>
      </w:pPr>
    </w:p>
    <w:p>
      <w:pPr>
        <w:jc w:val="both"/>
        <w:ind w:firstLine="656"/>
        <w:spacing w:after="0" w:line="278" w:lineRule="auto"/>
        <w:tabs>
          <w:tab w:leader="none" w:pos="1516" w:val="left"/>
        </w:tabs>
        <w:numPr>
          <w:ilvl w:val="0"/>
          <w:numId w:val="309"/>
        </w:numPr>
        <w:rPr>
          <w:rFonts w:ascii="Arial" w:cs="Arial" w:eastAsia="Arial" w:hAnsi="Arial"/>
          <w:sz w:val="20"/>
          <w:szCs w:val="20"/>
          <w:color w:val="auto"/>
        </w:rPr>
      </w:pPr>
      <w:r>
        <w:rPr>
          <w:rFonts w:ascii="Arial" w:cs="Arial" w:eastAsia="Arial" w:hAnsi="Arial"/>
          <w:sz w:val="20"/>
          <w:szCs w:val="20"/>
          <w:color w:val="auto"/>
        </w:rPr>
        <w:t>None of the Company or any Subsidiary will merge into or consolidate with any other Person, or permit any other Person to merge into or consolidate with it, or liquidate or dissolve, except that, if at the time thereof and immediately after giving effect thereto no Default shall have occurred and be continuing:</w:t>
      </w:r>
    </w:p>
    <w:p>
      <w:pPr>
        <w:spacing w:after="0" w:line="186" w:lineRule="exact"/>
        <w:rPr>
          <w:rFonts w:ascii="Arial" w:cs="Arial" w:eastAsia="Arial" w:hAnsi="Arial"/>
          <w:sz w:val="20"/>
          <w:szCs w:val="20"/>
          <w:color w:val="auto"/>
        </w:rPr>
      </w:pPr>
    </w:p>
    <w:p>
      <w:pPr>
        <w:jc w:val="both"/>
        <w:ind w:left="660" w:firstLine="645"/>
        <w:spacing w:after="0" w:line="272" w:lineRule="auto"/>
        <w:tabs>
          <w:tab w:leader="none" w:pos="2143" w:val="left"/>
        </w:tabs>
        <w:numPr>
          <w:ilvl w:val="1"/>
          <w:numId w:val="309"/>
        </w:numPr>
        <w:rPr>
          <w:rFonts w:ascii="Arial" w:cs="Arial" w:eastAsia="Arial" w:hAnsi="Arial"/>
          <w:sz w:val="20"/>
          <w:szCs w:val="20"/>
          <w:color w:val="auto"/>
        </w:rPr>
      </w:pPr>
      <w:r>
        <w:rPr>
          <w:rFonts w:ascii="Arial" w:cs="Arial" w:eastAsia="Arial" w:hAnsi="Arial"/>
          <w:sz w:val="20"/>
          <w:szCs w:val="20"/>
          <w:color w:val="auto"/>
        </w:rPr>
        <w:t xml:space="preserve">any Person (other than the Company or any Subsidiary) may merge or consolidate with the Company or any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or consolidation involving (A) the Company must result in the Company as the surviving entity, (B) any Borrower must result in such Borrower as the surviving entity and (C) a Loan Party must result in such Loan Party as the surviving entity or, if such Loan Party is not the surviving entity of such merger or consolidation, the Person surviving such merger or consolidation becomes a Loan Party following the consummation of such merger or consolidation in accordance with Section 5.14(a);</w:t>
      </w:r>
    </w:p>
    <w:p>
      <w:pPr>
        <w:spacing w:after="0" w:line="191" w:lineRule="exact"/>
        <w:rPr>
          <w:rFonts w:ascii="Arial" w:cs="Arial" w:eastAsia="Arial" w:hAnsi="Arial"/>
          <w:sz w:val="20"/>
          <w:szCs w:val="20"/>
          <w:color w:val="auto"/>
        </w:rPr>
      </w:pPr>
    </w:p>
    <w:p>
      <w:pPr>
        <w:jc w:val="both"/>
        <w:ind w:left="660" w:right="20" w:firstLine="645"/>
        <w:spacing w:after="0" w:line="278" w:lineRule="auto"/>
        <w:tabs>
          <w:tab w:leader="none" w:pos="2198" w:val="left"/>
        </w:tabs>
        <w:numPr>
          <w:ilvl w:val="1"/>
          <w:numId w:val="309"/>
        </w:numPr>
        <w:rPr>
          <w:rFonts w:ascii="Arial" w:cs="Arial" w:eastAsia="Arial" w:hAnsi="Arial"/>
          <w:sz w:val="20"/>
          <w:szCs w:val="20"/>
          <w:color w:val="auto"/>
        </w:rPr>
      </w:pPr>
      <w:r>
        <w:rPr>
          <w:rFonts w:ascii="Arial" w:cs="Arial" w:eastAsia="Arial" w:hAnsi="Arial"/>
          <w:sz w:val="20"/>
          <w:szCs w:val="20"/>
          <w:color w:val="auto"/>
        </w:rPr>
        <w:t>any Subsidiary may merge into or consolidate with a Loan Party in a transaction in which the surviving entity is such Loan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merger involving (A) the Company must result in the Company as the surviving entity and (B) a Borrower must result in such Borrower as the surviving entity);</w:t>
      </w:r>
    </w:p>
    <w:p>
      <w:pPr>
        <w:spacing w:after="0" w:line="186" w:lineRule="exact"/>
        <w:rPr>
          <w:rFonts w:ascii="Arial" w:cs="Arial" w:eastAsia="Arial" w:hAnsi="Arial"/>
          <w:sz w:val="20"/>
          <w:szCs w:val="20"/>
          <w:color w:val="auto"/>
        </w:rPr>
      </w:pPr>
    </w:p>
    <w:p>
      <w:pPr>
        <w:ind w:left="2240" w:hanging="935"/>
        <w:spacing w:after="0"/>
        <w:tabs>
          <w:tab w:leader="none" w:pos="224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Subsidiary that is not a Loan Party may merge into or consolidate with another Subsidiary that is not a Loan</w:t>
      </w:r>
    </w:p>
    <w:p>
      <w:pPr>
        <w:spacing w:after="0" w:line="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Party;</w:t>
      </w:r>
    </w:p>
    <w:p>
      <w:pPr>
        <w:spacing w:after="0" w:line="242" w:lineRule="exact"/>
        <w:rPr>
          <w:rFonts w:ascii="Arial" w:cs="Arial" w:eastAsia="Arial" w:hAnsi="Arial"/>
          <w:sz w:val="18"/>
          <w:szCs w:val="18"/>
          <w:color w:val="auto"/>
        </w:rPr>
      </w:pPr>
    </w:p>
    <w:p>
      <w:pPr>
        <w:jc w:val="both"/>
        <w:ind w:left="660" w:firstLine="645"/>
        <w:spacing w:after="0" w:line="278" w:lineRule="auto"/>
        <w:tabs>
          <w:tab w:leader="none" w:pos="2242" w:val="left"/>
        </w:tabs>
        <w:numPr>
          <w:ilvl w:val="1"/>
          <w:numId w:val="309"/>
        </w:numPr>
        <w:rPr>
          <w:rFonts w:ascii="Arial" w:cs="Arial" w:eastAsia="Arial" w:hAnsi="Arial"/>
          <w:sz w:val="20"/>
          <w:szCs w:val="20"/>
          <w:color w:val="auto"/>
        </w:rPr>
      </w:pPr>
      <w:r>
        <w:rPr>
          <w:rFonts w:ascii="Arial" w:cs="Arial" w:eastAsia="Arial" w:hAnsi="Arial"/>
          <w:sz w:val="20"/>
          <w:szCs w:val="20"/>
          <w:color w:val="auto"/>
        </w:rPr>
        <w:t>any Subsidiary that is not a Loan Party may liquidate, wind up or dissolve if the Company determines in good faith that such liquidation, winding up or dissolution is in the best interests of the Company and its Subsidiaries and is not materially disadvantageous to the Lenders; and</w:t>
      </w:r>
    </w:p>
    <w:p>
      <w:pPr>
        <w:spacing w:after="0" w:line="186" w:lineRule="exact"/>
        <w:rPr>
          <w:rFonts w:ascii="Arial" w:cs="Arial" w:eastAsia="Arial" w:hAnsi="Arial"/>
          <w:sz w:val="20"/>
          <w:szCs w:val="20"/>
          <w:color w:val="auto"/>
        </w:rPr>
      </w:pPr>
    </w:p>
    <w:p>
      <w:pPr>
        <w:ind w:left="660" w:firstLine="645"/>
        <w:spacing w:after="0" w:line="289" w:lineRule="auto"/>
        <w:tabs>
          <w:tab w:leader="none" w:pos="2187" w:val="left"/>
        </w:tabs>
        <w:numPr>
          <w:ilvl w:val="1"/>
          <w:numId w:val="309"/>
        </w:numPr>
        <w:rPr>
          <w:rFonts w:ascii="Arial" w:cs="Arial" w:eastAsia="Arial" w:hAnsi="Arial"/>
          <w:sz w:val="20"/>
          <w:szCs w:val="20"/>
          <w:color w:val="auto"/>
        </w:rPr>
      </w:pPr>
      <w:r>
        <w:rPr>
          <w:rFonts w:ascii="Arial" w:cs="Arial" w:eastAsia="Arial" w:hAnsi="Arial"/>
          <w:sz w:val="20"/>
          <w:szCs w:val="20"/>
          <w:color w:val="auto"/>
        </w:rPr>
        <w:t>any Subsidiary may liquidate, wind up or dissolve if its assets are transferred to the Company or any Loan Party or, if such Subsidiary is not a Loan Party, to any other Subsidiary.</w:t>
      </w:r>
    </w:p>
    <w:p>
      <w:pPr>
        <w:spacing w:after="0" w:line="175" w:lineRule="exact"/>
        <w:rPr>
          <w:rFonts w:ascii="Arial" w:cs="Arial" w:eastAsia="Arial" w:hAnsi="Arial"/>
          <w:sz w:val="20"/>
          <w:szCs w:val="20"/>
          <w:color w:val="auto"/>
        </w:rPr>
      </w:pPr>
    </w:p>
    <w:p>
      <w:pPr>
        <w:jc w:val="both"/>
        <w:ind w:firstLine="656"/>
        <w:spacing w:after="0" w:line="322" w:lineRule="auto"/>
        <w:tabs>
          <w:tab w:leader="none" w:pos="152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 Loan Party will, nor will it permit any of its Subsidiaries to, engage to any material extent in any business substantially different from businesses of the type conducted by the Company and its Subsidiaries (taken as a whole) on the Effective Date and businesses reasonably related, ancillary, similar, complementary or synergistic thereto or reasonable extensions, development or expansion thereof.</w:t>
      </w:r>
    </w:p>
    <w:p>
      <w:pPr>
        <w:spacing w:after="0" w:line="152" w:lineRule="exact"/>
        <w:rPr>
          <w:rFonts w:ascii="Arial" w:cs="Arial" w:eastAsia="Arial" w:hAnsi="Arial"/>
          <w:sz w:val="18"/>
          <w:szCs w:val="18"/>
          <w:color w:val="auto"/>
        </w:rPr>
      </w:pPr>
    </w:p>
    <w:p>
      <w:pPr>
        <w:jc w:val="both"/>
        <w:ind w:firstLine="656"/>
        <w:spacing w:after="0" w:line="293" w:lineRule="auto"/>
        <w:tabs>
          <w:tab w:leader="none" w:pos="1516" w:val="left"/>
        </w:tabs>
        <w:numPr>
          <w:ilvl w:val="0"/>
          <w:numId w:val="309"/>
        </w:numPr>
        <w:rPr>
          <w:rFonts w:ascii="Arial" w:cs="Arial" w:eastAsia="Arial" w:hAnsi="Arial"/>
          <w:sz w:val="19"/>
          <w:szCs w:val="19"/>
          <w:color w:val="auto"/>
        </w:rPr>
      </w:pPr>
      <w:r>
        <w:rPr>
          <w:rFonts w:ascii="Arial" w:cs="Arial" w:eastAsia="Arial" w:hAnsi="Arial"/>
          <w:sz w:val="19"/>
          <w:szCs w:val="19"/>
          <w:color w:val="auto"/>
        </w:rPr>
        <w:t xml:space="preserve">No Loan Party will, nor will it permit any of its Subsidiaries to, change its fiscal year from the basis in effect on the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Loan Parties and their Subsidiaries may change their fiscal year from the basis in effect on the Effective Date, subject to such adjustments to this Agreement as the Borrower Representative and the Administrative Agent shall reasonably agree are necessary or appropriate in connection with such change (and the parties hereto hereby authorize the Borrower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ectPr>
          <w:pgSz w:w="11900" w:h="16838" w:orient="portrait"/>
          <w:cols w:equalWidth="0" w:num="1">
            <w:col w:w="11420"/>
          </w:cols>
          <w:pgMar w:left="240" w:top="812" w:right="239" w:bottom="1440" w:gutter="0" w:footer="0" w:header="0"/>
        </w:sectPr>
      </w:pPr>
    </w:p>
    <w:bookmarkStart w:id="271" w:name="page272"/>
    <w:bookmarkEnd w:id="271"/>
    <w:p>
      <w:pPr>
        <w:spacing w:after="0" w:line="260" w:lineRule="auto"/>
        <w:rPr>
          <w:sz w:val="20"/>
          <w:szCs w:val="20"/>
          <w:color w:val="auto"/>
        </w:rPr>
      </w:pPr>
      <w:r>
        <w:rPr>
          <w:rFonts w:ascii="Arial" w:cs="Arial" w:eastAsia="Arial" w:hAnsi="Arial"/>
          <w:sz w:val="20"/>
          <w:szCs w:val="20"/>
          <w:color w:val="auto"/>
        </w:rPr>
        <w:t>Representative and the Administrative Agent to make any such amendments to this Agreement as they jointly deem necessary to give effect to the foregoing).</w:t>
      </w:r>
    </w:p>
    <w:p>
      <w:pPr>
        <w:spacing w:after="0" w:line="190" w:lineRule="exact"/>
        <w:rPr>
          <w:sz w:val="20"/>
          <w:szCs w:val="20"/>
          <w:color w:val="auto"/>
        </w:rPr>
      </w:pPr>
    </w:p>
    <w:p>
      <w:pPr>
        <w:jc w:val="both"/>
        <w:ind w:firstLine="656"/>
        <w:spacing w:after="0" w:line="278" w:lineRule="auto"/>
        <w:tabs>
          <w:tab w:leader="none" w:pos="1527" w:val="left"/>
        </w:tabs>
        <w:numPr>
          <w:ilvl w:val="0"/>
          <w:numId w:val="310"/>
        </w:numPr>
        <w:rPr>
          <w:rFonts w:ascii="Arial" w:cs="Arial" w:eastAsia="Arial" w:hAnsi="Arial"/>
          <w:sz w:val="20"/>
          <w:szCs w:val="20"/>
          <w:color w:val="auto"/>
        </w:rPr>
      </w:pPr>
      <w:r>
        <w:rPr>
          <w:rFonts w:ascii="Arial" w:cs="Arial" w:eastAsia="Arial" w:hAnsi="Arial"/>
          <w:sz w:val="20"/>
          <w:szCs w:val="20"/>
          <w:color w:val="auto"/>
        </w:rPr>
        <w:t>No Loan Party will, nor will it permit any of its Subsidiaries to, amend, modify or waive any of its rights under its certificate of incorporation, bylaws or other organizational documents, in each case to the extent such amendment, modification or waiver would be materially adverse to the Lenders.</w:t>
      </w:r>
    </w:p>
    <w:p>
      <w:pPr>
        <w:spacing w:after="0" w:line="18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6.04</w:t>
      </w:r>
      <w:r>
        <w:rPr>
          <w:sz w:val="20"/>
          <w:szCs w:val="20"/>
          <w:color w:val="auto"/>
        </w:rPr>
        <w:tab/>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No Loan Party will, nor will it permit any</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Subsidiary to, purchase, hold, acquire (including pursuant to any merger or consolidation with any Person that was not a wholly-owned</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Subsidiary prior thereto), make or otherwise permit to exist any Investment in any other Person, except:</w:t>
      </w:r>
    </w:p>
    <w:p>
      <w:pPr>
        <w:spacing w:after="0" w:line="243" w:lineRule="exact"/>
        <w:rPr>
          <w:sz w:val="20"/>
          <w:szCs w:val="20"/>
          <w:color w:val="auto"/>
        </w:rPr>
      </w:pPr>
    </w:p>
    <w:p>
      <w:pPr>
        <w:ind w:left="2180" w:hanging="875"/>
        <w:spacing w:after="0"/>
        <w:tabs>
          <w:tab w:leader="none" w:pos="21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the Grand Design Acquisition and, to the extent constituting Investments, the Transactions;</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1"/>
          <w:numId w:val="311"/>
        </w:numPr>
        <w:rPr>
          <w:rFonts w:ascii="Arial" w:cs="Arial" w:eastAsia="Arial" w:hAnsi="Arial"/>
          <w:sz w:val="20"/>
          <w:szCs w:val="20"/>
          <w:color w:val="auto"/>
        </w:rPr>
      </w:pPr>
      <w:r>
        <w:rPr>
          <w:rFonts w:ascii="Arial" w:cs="Arial" w:eastAsia="Arial" w:hAnsi="Arial"/>
          <w:sz w:val="20"/>
          <w:szCs w:val="20"/>
          <w:color w:val="auto"/>
        </w:rPr>
        <w:t>cash and Permitted Investments;</w:t>
      </w:r>
    </w:p>
    <w:p>
      <w:pPr>
        <w:spacing w:after="0" w:line="242" w:lineRule="exact"/>
        <w:rPr>
          <w:rFonts w:ascii="Arial" w:cs="Arial" w:eastAsia="Arial" w:hAnsi="Arial"/>
          <w:sz w:val="20"/>
          <w:szCs w:val="20"/>
          <w:color w:val="auto"/>
        </w:rPr>
      </w:pPr>
    </w:p>
    <w:p>
      <w:pPr>
        <w:jc w:val="both"/>
        <w:ind w:left="660" w:firstLine="645"/>
        <w:spacing w:after="0" w:line="273" w:lineRule="auto"/>
        <w:tabs>
          <w:tab w:leader="none" w:pos="2176" w:val="left"/>
        </w:tabs>
        <w:numPr>
          <w:ilvl w:val="1"/>
          <w:numId w:val="311"/>
        </w:numPr>
        <w:rPr>
          <w:rFonts w:ascii="Arial" w:cs="Arial" w:eastAsia="Arial" w:hAnsi="Arial"/>
          <w:sz w:val="20"/>
          <w:szCs w:val="20"/>
          <w:color w:val="auto"/>
        </w:rPr>
      </w:pPr>
      <w:r>
        <w:rPr>
          <w:rFonts w:ascii="Arial" w:cs="Arial" w:eastAsia="Arial" w:hAnsi="Arial"/>
          <w:sz w:val="20"/>
          <w:szCs w:val="20"/>
          <w:color w:val="auto"/>
        </w:rPr>
        <w:t xml:space="preserve">(i) Investments existing on the Effective Date in Subsidiaries and (ii) other Investments existing or contemplated on the Effective Date and set forth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xml:space="preserve"> and any modification, replacement, renewal, reinvestment or extension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amount of any Investment permitted pursuant to this Section 6.04(c) is not increased from the amount of such Investment on the Effective Date except pursuant to the terms of such Investment as of the Effective Date or as otherwise permitted by this Section 6.04;</w:t>
      </w:r>
    </w:p>
    <w:p>
      <w:pPr>
        <w:spacing w:after="0" w:line="191" w:lineRule="exact"/>
        <w:rPr>
          <w:rFonts w:ascii="Arial" w:cs="Arial" w:eastAsia="Arial" w:hAnsi="Arial"/>
          <w:sz w:val="20"/>
          <w:szCs w:val="20"/>
          <w:color w:val="auto"/>
        </w:rPr>
      </w:pPr>
    </w:p>
    <w:p>
      <w:pPr>
        <w:jc w:val="both"/>
        <w:ind w:left="660" w:firstLine="645"/>
        <w:spacing w:after="0" w:line="334" w:lineRule="auto"/>
        <w:tabs>
          <w:tab w:leader="none" w:pos="2187"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(i) additional Investments by the Company in any Loan Party and by any Loan Party in the Company or in another Loan Party, and (ii) Investments (including by way of capital contributions) by the Company and the Subsidiaries in Equity Interests in their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that (x) any such Equity Interests held by the Company or any Loan Party shall be pledged in accordance with the requirements of Section 5.14 and (y) the aggregate amount of Investments made by the Company or any Loan Party in any Subsidiary that is not a Loan Party in reliance on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when combined with the aggregate amount of Guarantees made by the Company or any Loan Party of Indebtedness (excluding, for the avoidance of doubt, Guarantees of obligations not constituting Indebtedness) of any Subsidiary that is not a Loan Party in reliance on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below, shall not exceed the greater of</w:t>
      </w:r>
    </w:p>
    <w:p>
      <w:pPr>
        <w:spacing w:after="0" w:line="3" w:lineRule="exact"/>
        <w:rPr>
          <w:rFonts w:ascii="Arial" w:cs="Arial" w:eastAsia="Arial" w:hAnsi="Arial"/>
          <w:sz w:val="16"/>
          <w:szCs w:val="16"/>
          <w:color w:val="auto"/>
        </w:rPr>
      </w:pPr>
    </w:p>
    <w:p>
      <w:pPr>
        <w:ind w:left="940" w:hanging="284"/>
        <w:spacing w:after="0"/>
        <w:tabs>
          <w:tab w:leader="none" w:pos="9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$30,000,000 and (y) 3% of Consolidated Total Assets (at the time made);</w:t>
      </w:r>
    </w:p>
    <w:p>
      <w:pPr>
        <w:spacing w:after="0" w:line="242" w:lineRule="exact"/>
        <w:rPr>
          <w:rFonts w:ascii="Arial" w:cs="Arial" w:eastAsia="Arial" w:hAnsi="Arial"/>
          <w:sz w:val="20"/>
          <w:szCs w:val="20"/>
          <w:color w:val="auto"/>
        </w:rPr>
      </w:pPr>
    </w:p>
    <w:p>
      <w:pPr>
        <w:jc w:val="both"/>
        <w:ind w:left="660" w:firstLine="645"/>
        <w:spacing w:after="0" w:line="303" w:lineRule="auto"/>
        <w:tabs>
          <w:tab w:leader="none" w:pos="2176" w:val="left"/>
        </w:tabs>
        <w:numPr>
          <w:ilvl w:val="1"/>
          <w:numId w:val="312"/>
        </w:numPr>
        <w:rPr>
          <w:rFonts w:ascii="Arial" w:cs="Arial" w:eastAsia="Arial" w:hAnsi="Arial"/>
          <w:sz w:val="18"/>
          <w:szCs w:val="18"/>
          <w:color w:val="auto"/>
        </w:rPr>
      </w:pPr>
      <w:r>
        <w:rPr>
          <w:rFonts w:ascii="Arial" w:cs="Arial" w:eastAsia="Arial" w:hAnsi="Arial"/>
          <w:sz w:val="18"/>
          <w:szCs w:val="18"/>
          <w:color w:val="auto"/>
        </w:rPr>
        <w:t xml:space="preserve">Guarantees by the Company or any Subsidiary of Indebtedness or other obligations of the Company or any Subsidiary (including any such Guarantees arising as a result of any such Person being a joint and several co-applicant with respect to any letter of credit or letter of guaranty);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Guarantee of Subordinated Indebtedness is subordinated to the Secured Obligations on terms no less favorable to the Lenders than those of the Subordinated Indebtedness, (ii) any such Guarantee constituting Indebtedness is permitted by Section 6.01 (other than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thereof) and (iii) the aggregate amount of Guarantees made by the Company or any Loan Party of Indebtedness (excluding, for the avoidance of doubt, Guarantees of obligations not constituting Indebtedness) of any Subsidiary that is not a Loan Party in reliance on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when combined with the aggregate amount of Investments made by the Company or any Loan Party in any Subsidiary that is not a Loan Party in reliance on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above, shall not exceed the greater of (x) $30,000,000 and (y) 3% of Consolidated Total Assets (at the time made);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ectPr>
          <w:pgSz w:w="11900" w:h="16838" w:orient="portrait"/>
          <w:cols w:equalWidth="0" w:num="1">
            <w:col w:w="11420"/>
          </w:cols>
          <w:pgMar w:left="240" w:top="811" w:right="239" w:bottom="1440" w:gutter="0" w:footer="0" w:header="0"/>
        </w:sectPr>
      </w:pPr>
    </w:p>
    <w:bookmarkStart w:id="272" w:name="page273"/>
    <w:bookmarkEnd w:id="272"/>
    <w:p>
      <w:pPr>
        <w:ind w:left="1504" w:hanging="855"/>
        <w:spacing w:after="0"/>
        <w:tabs>
          <w:tab w:leader="none" w:pos="150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loans, advances or other extensions of credit to officers, directors and employees of the Company or any Subsidiary</w:t>
      </w:r>
    </w:p>
    <w:p>
      <w:pPr>
        <w:spacing w:after="0" w:line="49" w:lineRule="exact"/>
        <w:rPr>
          <w:rFonts w:ascii="Arial" w:cs="Arial" w:eastAsia="Arial" w:hAnsi="Arial"/>
          <w:sz w:val="18"/>
          <w:szCs w:val="18"/>
          <w:color w:val="auto"/>
        </w:rPr>
      </w:pPr>
    </w:p>
    <w:p>
      <w:pPr>
        <w:jc w:val="both"/>
        <w:ind w:left="4" w:hanging="4"/>
        <w:spacing w:after="0" w:line="314" w:lineRule="auto"/>
        <w:tabs>
          <w:tab w:leader="none" w:pos="246"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to finance the purchase of Equity Interests of the Company pursuant to employee plans, (ii) for reasonable and customary business-related travel, entertainment, and moving and relocation, business machines or supplies, automobiles and other similar expenses and advances, in each case incurred in the ordinary course of business, and (iii) for purposes not described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(ii), in an aggregate principal amount outstanding at any time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not to exceed $5,000,000;</w:t>
      </w:r>
    </w:p>
    <w:p>
      <w:pPr>
        <w:spacing w:after="0" w:line="159" w:lineRule="exact"/>
        <w:rPr>
          <w:rFonts w:ascii="Arial" w:cs="Arial" w:eastAsia="Arial" w:hAnsi="Arial"/>
          <w:sz w:val="18"/>
          <w:szCs w:val="18"/>
          <w:color w:val="auto"/>
        </w:rPr>
      </w:pPr>
    </w:p>
    <w:p>
      <w:pPr>
        <w:jc w:val="both"/>
        <w:ind w:left="4" w:firstLine="645"/>
        <w:spacing w:after="0" w:line="293" w:lineRule="auto"/>
        <w:tabs>
          <w:tab w:leader="none" w:pos="1531" w:val="left"/>
        </w:tabs>
        <w:numPr>
          <w:ilvl w:val="1"/>
          <w:numId w:val="314"/>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or settlement of delinquent accounts and disputes with, customers and suppliers, or consisting of securities acquired in connection with the satisfaction or enforcement of claims due or owing to the Company or any Subsidiary, in each case in the ordinary course of business or upon the foreclosure with respect to any secured Investment or other transfer of title with respect to any secured Investment;</w:t>
      </w:r>
    </w:p>
    <w:p>
      <w:pPr>
        <w:spacing w:after="0" w:line="175" w:lineRule="exact"/>
        <w:rPr>
          <w:rFonts w:ascii="Arial" w:cs="Arial" w:eastAsia="Arial" w:hAnsi="Arial"/>
          <w:sz w:val="19"/>
          <w:szCs w:val="19"/>
          <w:color w:val="auto"/>
        </w:rPr>
      </w:pPr>
    </w:p>
    <w:p>
      <w:pPr>
        <w:ind w:left="4" w:firstLine="645"/>
        <w:spacing w:after="0" w:line="316" w:lineRule="auto"/>
        <w:tabs>
          <w:tab w:leader="none" w:pos="1531" w:val="left"/>
        </w:tabs>
        <w:numPr>
          <w:ilvl w:val="1"/>
          <w:numId w:val="314"/>
        </w:numPr>
        <w:rPr>
          <w:rFonts w:ascii="Arial" w:cs="Arial" w:eastAsia="Arial" w:hAnsi="Arial"/>
          <w:sz w:val="19"/>
          <w:szCs w:val="19"/>
          <w:color w:val="auto"/>
        </w:rPr>
      </w:pPr>
      <w:r>
        <w:rPr>
          <w:rFonts w:ascii="Arial" w:cs="Arial" w:eastAsia="Arial" w:hAnsi="Arial"/>
          <w:sz w:val="19"/>
          <w:szCs w:val="19"/>
          <w:color w:val="auto"/>
        </w:rPr>
        <w:t xml:space="preserve">Permitted Acquisitions (including any intercompany investments, loans and advances used to consummate Permitted Acquisitions);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Condition shall be satisfied with respect to such Acquisition;</w:t>
      </w:r>
    </w:p>
    <w:p>
      <w:pPr>
        <w:spacing w:after="0" w:line="153" w:lineRule="exact"/>
        <w:rPr>
          <w:rFonts w:ascii="Arial" w:cs="Arial" w:eastAsia="Arial" w:hAnsi="Arial"/>
          <w:sz w:val="19"/>
          <w:szCs w:val="19"/>
          <w:color w:val="auto"/>
        </w:rPr>
      </w:pPr>
    </w:p>
    <w:p>
      <w:pPr>
        <w:jc w:val="both"/>
        <w:ind w:left="4" w:firstLine="645"/>
        <w:spacing w:after="0" w:line="274" w:lineRule="auto"/>
        <w:tabs>
          <w:tab w:leader="none" w:pos="1487" w:val="left"/>
        </w:tabs>
        <w:numPr>
          <w:ilvl w:val="1"/>
          <w:numId w:val="314"/>
        </w:numPr>
        <w:rPr>
          <w:rFonts w:ascii="Arial" w:cs="Arial" w:eastAsia="Arial" w:hAnsi="Arial"/>
          <w:sz w:val="20"/>
          <w:szCs w:val="20"/>
          <w:color w:val="auto"/>
        </w:rPr>
      </w:pPr>
      <w:r>
        <w:rPr>
          <w:rFonts w:ascii="Arial" w:cs="Arial" w:eastAsia="Arial" w:hAnsi="Arial"/>
          <w:sz w:val="20"/>
          <w:szCs w:val="20"/>
          <w:color w:val="auto"/>
        </w:rPr>
        <w:t>Investments held by a Subsidiary acquired after the Effective Date or of a Person merged or consolidated with or into the Company or a Subsidiary after the Effective Date, in each case as permitted hereunder, to the extent that such Investments were not made in contemplation of or in connection with such acquisition, merger or consolidation and were in existence on the date of such acquisition, merger or consolidation;</w:t>
      </w:r>
    </w:p>
    <w:p>
      <w:pPr>
        <w:spacing w:after="0" w:line="192" w:lineRule="exact"/>
        <w:rPr>
          <w:rFonts w:ascii="Arial" w:cs="Arial" w:eastAsia="Arial" w:hAnsi="Arial"/>
          <w:sz w:val="20"/>
          <w:szCs w:val="20"/>
          <w:color w:val="auto"/>
        </w:rPr>
      </w:pPr>
    </w:p>
    <w:p>
      <w:pPr>
        <w:ind w:left="4" w:firstLine="645"/>
        <w:spacing w:after="0" w:line="289" w:lineRule="auto"/>
        <w:tabs>
          <w:tab w:leader="none" w:pos="1487" w:val="left"/>
        </w:tabs>
        <w:numPr>
          <w:ilvl w:val="1"/>
          <w:numId w:val="314"/>
        </w:numPr>
        <w:rPr>
          <w:rFonts w:ascii="Arial" w:cs="Arial" w:eastAsia="Arial" w:hAnsi="Arial"/>
          <w:sz w:val="20"/>
          <w:szCs w:val="20"/>
          <w:color w:val="auto"/>
        </w:rPr>
      </w:pPr>
      <w:r>
        <w:rPr>
          <w:rFonts w:ascii="Arial" w:cs="Arial" w:eastAsia="Arial" w:hAnsi="Arial"/>
          <w:sz w:val="20"/>
          <w:szCs w:val="20"/>
          <w:color w:val="auto"/>
        </w:rPr>
        <w:t>Investments constituting, or made as a result of the receipt of noncash consideration from a sale, transfer, lease or other disposition of any asset in compliance with Section 6.05;</w:t>
      </w:r>
    </w:p>
    <w:p>
      <w:pPr>
        <w:spacing w:after="0" w:line="175" w:lineRule="exact"/>
        <w:rPr>
          <w:rFonts w:ascii="Arial" w:cs="Arial" w:eastAsia="Arial" w:hAnsi="Arial"/>
          <w:sz w:val="20"/>
          <w:szCs w:val="20"/>
          <w:color w:val="auto"/>
        </w:rPr>
      </w:pPr>
    </w:p>
    <w:p>
      <w:pPr>
        <w:jc w:val="both"/>
        <w:ind w:left="4" w:firstLine="645"/>
        <w:spacing w:after="0" w:line="278" w:lineRule="auto"/>
        <w:tabs>
          <w:tab w:leader="none" w:pos="1531" w:val="left"/>
        </w:tabs>
        <w:numPr>
          <w:ilvl w:val="1"/>
          <w:numId w:val="314"/>
        </w:numPr>
        <w:rPr>
          <w:rFonts w:ascii="Arial" w:cs="Arial" w:eastAsia="Arial" w:hAnsi="Arial"/>
          <w:sz w:val="20"/>
          <w:szCs w:val="20"/>
          <w:color w:val="auto"/>
        </w:rPr>
      </w:pPr>
      <w:r>
        <w:rPr>
          <w:rFonts w:ascii="Arial" w:cs="Arial" w:eastAsia="Arial" w:hAnsi="Arial"/>
          <w:sz w:val="20"/>
          <w:szCs w:val="20"/>
          <w:color w:val="auto"/>
        </w:rPr>
        <w:t>Investments by the Company or any Subsidiary that result solely from the receipt by the Company or such Subsidiary from any of its subsidiaries of a dividend or other Restricted Payment in the form of Equity Interests, evidences of Indebtedness or other securities (but not any additions thereto made after the date of the receipt thereof);</w:t>
      </w:r>
    </w:p>
    <w:p>
      <w:pPr>
        <w:spacing w:after="0" w:line="186" w:lineRule="exact"/>
        <w:rPr>
          <w:rFonts w:ascii="Arial" w:cs="Arial" w:eastAsia="Arial" w:hAnsi="Arial"/>
          <w:sz w:val="20"/>
          <w:szCs w:val="20"/>
          <w:color w:val="auto"/>
        </w:rPr>
      </w:pPr>
    </w:p>
    <w:p>
      <w:pPr>
        <w:ind w:left="1484" w:hanging="835"/>
        <w:spacing w:after="0"/>
        <w:tabs>
          <w:tab w:leader="none" w:pos="1484" w:val="left"/>
        </w:tabs>
        <w:numPr>
          <w:ilvl w:val="1"/>
          <w:numId w:val="314"/>
        </w:numPr>
        <w:rPr>
          <w:rFonts w:ascii="Arial" w:cs="Arial" w:eastAsia="Arial" w:hAnsi="Arial"/>
          <w:sz w:val="20"/>
          <w:szCs w:val="20"/>
          <w:color w:val="auto"/>
        </w:rPr>
      </w:pPr>
      <w:r>
        <w:rPr>
          <w:rFonts w:ascii="Arial" w:cs="Arial" w:eastAsia="Arial" w:hAnsi="Arial"/>
          <w:sz w:val="20"/>
          <w:szCs w:val="20"/>
          <w:color w:val="auto"/>
        </w:rPr>
        <w:t xml:space="preserve">Investments in the form of Swap Agreements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07</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4" w:firstLine="645"/>
        <w:spacing w:after="0" w:line="289" w:lineRule="auto"/>
        <w:tabs>
          <w:tab w:leader="none" w:pos="1586" w:val="left"/>
        </w:tabs>
        <w:numPr>
          <w:ilvl w:val="1"/>
          <w:numId w:val="314"/>
        </w:numPr>
        <w:rPr>
          <w:rFonts w:ascii="Arial" w:cs="Arial" w:eastAsia="Arial" w:hAnsi="Arial"/>
          <w:sz w:val="20"/>
          <w:szCs w:val="20"/>
          <w:color w:val="auto"/>
        </w:rPr>
      </w:pPr>
      <w:r>
        <w:rPr>
          <w:rFonts w:ascii="Arial" w:cs="Arial" w:eastAsia="Arial" w:hAnsi="Arial"/>
          <w:sz w:val="20"/>
          <w:szCs w:val="20"/>
          <w:color w:val="auto"/>
        </w:rPr>
        <w:t>Investments by Foreign Subsidiaries in other Foreign Subsidiaries or by any Subsidiary that is not a Loan Party in any other Subsidiary that is not a Loan Party;</w:t>
      </w:r>
    </w:p>
    <w:p>
      <w:pPr>
        <w:spacing w:after="0" w:line="175" w:lineRule="exact"/>
        <w:rPr>
          <w:rFonts w:ascii="Arial" w:cs="Arial" w:eastAsia="Arial" w:hAnsi="Arial"/>
          <w:sz w:val="20"/>
          <w:szCs w:val="20"/>
          <w:color w:val="auto"/>
        </w:rPr>
      </w:pPr>
    </w:p>
    <w:p>
      <w:pPr>
        <w:ind w:left="1524" w:hanging="875"/>
        <w:spacing w:after="0"/>
        <w:tabs>
          <w:tab w:leader="none" w:pos="152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Investments constituting deposits described in clauses (c) and (d) of the definition of “Permitted Encumbrances”;</w:t>
      </w:r>
    </w:p>
    <w:p>
      <w:pPr>
        <w:spacing w:after="0" w:line="265" w:lineRule="exact"/>
        <w:rPr>
          <w:rFonts w:ascii="Arial" w:cs="Arial" w:eastAsia="Arial" w:hAnsi="Arial"/>
          <w:sz w:val="18"/>
          <w:szCs w:val="18"/>
          <w:color w:val="auto"/>
        </w:rPr>
      </w:pPr>
    </w:p>
    <w:p>
      <w:pPr>
        <w:jc w:val="both"/>
        <w:ind w:left="4" w:firstLine="645"/>
        <w:spacing w:after="0" w:line="305" w:lineRule="auto"/>
        <w:tabs>
          <w:tab w:leader="none" w:pos="1531"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Investments consisting of (i) extensions of trade credit, (ii) deposits made in connection with the purchase of goods or services or the performance of leases, licenses or contracts, in each case, in the ordinary course of business, (iii) notes receivable of, or prepaid royalties and other extensions of credit to, customers and suppliers that are not Affiliates of the Company and that are made in the ordinary course of business, (iv) Guarantees made in the ordinary course of business in support of obligations of the Company or any of its Subsidiaries not constituting Indebtedness for borrowed money, including operating leases and obligations owing to suppliers, customers and licensees and (v) loans, advances or other extensions of credit to one or more customers by the Company or any Subsidiary pursuant to arm’s-length terms (or terms otherwise acceptable to the</w:t>
      </w:r>
    </w:p>
    <w:p>
      <w:pPr>
        <w:spacing w:after="0" w:line="200" w:lineRule="exact"/>
        <w:rPr>
          <w:sz w:val="20"/>
          <w:szCs w:val="20"/>
          <w:color w:val="auto"/>
        </w:rPr>
      </w:pPr>
    </w:p>
    <w:p>
      <w:pPr>
        <w:spacing w:after="0" w:line="201" w:lineRule="exact"/>
        <w:rPr>
          <w:sz w:val="20"/>
          <w:szCs w:val="20"/>
          <w:color w:val="auto"/>
        </w:rPr>
      </w:pPr>
    </w:p>
    <w:p>
      <w:pPr>
        <w:ind w:left="4964"/>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0764"/>
          </w:cols>
          <w:pgMar w:left="896" w:top="825" w:right="239" w:bottom="1440" w:gutter="0" w:footer="0" w:header="0"/>
        </w:sectPr>
      </w:pPr>
    </w:p>
    <w:bookmarkStart w:id="273" w:name="page274"/>
    <w:bookmarkEnd w:id="273"/>
    <w:p>
      <w:pPr>
        <w:jc w:val="both"/>
        <w:spacing w:after="0" w:line="291" w:lineRule="auto"/>
        <w:rPr>
          <w:sz w:val="20"/>
          <w:szCs w:val="20"/>
          <w:color w:val="auto"/>
        </w:rPr>
      </w:pPr>
      <w:r>
        <w:rPr>
          <w:rFonts w:ascii="Arial" w:cs="Arial" w:eastAsia="Arial" w:hAnsi="Arial"/>
          <w:sz w:val="18"/>
          <w:szCs w:val="18"/>
          <w:color w:val="auto"/>
        </w:rPr>
        <w:t xml:space="preserve">Administrative Agent in its reasonable discretion) in order to finance such customer’s purchase of chassis that are used by the Company or any Subsidiary to manufacture recreational vehicles for such customer;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such loans, advances and extensions of credit outstanding at any time in reliance on this </w:t>
      </w:r>
      <w:r>
        <w:rPr>
          <w:rFonts w:ascii="Arial" w:cs="Arial" w:eastAsia="Arial" w:hAnsi="Arial"/>
          <w:sz w:val="18"/>
          <w:szCs w:val="18"/>
          <w:u w:val="single" w:color="auto"/>
          <w:color w:val="auto"/>
        </w:rPr>
        <w:t>clause (o)(v)</w:t>
      </w:r>
      <w:r>
        <w:rPr>
          <w:rFonts w:ascii="Arial" w:cs="Arial" w:eastAsia="Arial" w:hAnsi="Arial"/>
          <w:sz w:val="18"/>
          <w:szCs w:val="18"/>
          <w:color w:val="auto"/>
        </w:rPr>
        <w:t xml:space="preserve"> shall not exceed $15,000,000;</w:t>
      </w:r>
    </w:p>
    <w:p>
      <w:pPr>
        <w:spacing w:after="0" w:line="165" w:lineRule="exact"/>
        <w:rPr>
          <w:sz w:val="20"/>
          <w:szCs w:val="20"/>
          <w:color w:val="auto"/>
        </w:rPr>
      </w:pPr>
    </w:p>
    <w:p>
      <w:pPr>
        <w:ind w:right="20" w:firstLine="645"/>
        <w:spacing w:after="0" w:line="289" w:lineRule="auto"/>
        <w:tabs>
          <w:tab w:leader="none" w:pos="1527" w:val="left"/>
        </w:tabs>
        <w:numPr>
          <w:ilvl w:val="0"/>
          <w:numId w:val="315"/>
        </w:numPr>
        <w:rPr>
          <w:rFonts w:ascii="Arial" w:cs="Arial" w:eastAsia="Arial" w:hAnsi="Arial"/>
          <w:sz w:val="20"/>
          <w:szCs w:val="20"/>
          <w:color w:val="auto"/>
        </w:rPr>
      </w:pPr>
      <w:r>
        <w:rPr>
          <w:rFonts w:ascii="Arial" w:cs="Arial" w:eastAsia="Arial" w:hAnsi="Arial"/>
          <w:sz w:val="20"/>
          <w:szCs w:val="20"/>
          <w:color w:val="auto"/>
        </w:rPr>
        <w:t>mergers and consolidations permitted under Section 6.03 that do not involve any Person other than the Company and Subsidiaries that are wholly-owned Subsidiaries;</w:t>
      </w:r>
    </w:p>
    <w:p>
      <w:pPr>
        <w:spacing w:after="0" w:line="175" w:lineRule="exact"/>
        <w:rPr>
          <w:rFonts w:ascii="Arial" w:cs="Arial" w:eastAsia="Arial" w:hAnsi="Arial"/>
          <w:sz w:val="20"/>
          <w:szCs w:val="20"/>
          <w:color w:val="auto"/>
        </w:rPr>
      </w:pPr>
    </w:p>
    <w:p>
      <w:pPr>
        <w:jc w:val="both"/>
        <w:ind w:firstLine="645"/>
        <w:spacing w:after="0" w:line="322" w:lineRule="auto"/>
        <w:tabs>
          <w:tab w:leader="none" w:pos="152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spacing w:after="0" w:line="152" w:lineRule="exact"/>
        <w:rPr>
          <w:rFonts w:ascii="Arial" w:cs="Arial" w:eastAsia="Arial" w:hAnsi="Arial"/>
          <w:sz w:val="18"/>
          <w:szCs w:val="18"/>
          <w:color w:val="auto"/>
        </w:rPr>
      </w:pPr>
    </w:p>
    <w:p>
      <w:pPr>
        <w:ind w:right="20" w:firstLine="645"/>
        <w:spacing w:after="0" w:line="289" w:lineRule="auto"/>
        <w:tabs>
          <w:tab w:leader="none" w:pos="1494"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Investments consisting of Guarantees in the ordinary course of business to support the obligations of any Subsidiary under its worker’s compensation and general insurance agreements;</w:t>
      </w:r>
    </w:p>
    <w:p>
      <w:pPr>
        <w:spacing w:after="0" w:line="175" w:lineRule="exact"/>
        <w:rPr>
          <w:rFonts w:ascii="Arial" w:cs="Arial" w:eastAsia="Arial" w:hAnsi="Arial"/>
          <w:sz w:val="20"/>
          <w:szCs w:val="20"/>
          <w:color w:val="auto"/>
        </w:rPr>
      </w:pPr>
    </w:p>
    <w:p>
      <w:pPr>
        <w:ind w:firstLine="645"/>
        <w:spacing w:after="0" w:line="289" w:lineRule="auto"/>
        <w:tabs>
          <w:tab w:leader="none" w:pos="1505"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the Company’s entry into (including payments of premiums in connection therewith), and the performance of obligations under, Permitted Call Spread Swap Agreements in accordance with their terms;</w:t>
      </w:r>
    </w:p>
    <w:p>
      <w:pPr>
        <w:spacing w:after="0" w:line="175" w:lineRule="exact"/>
        <w:rPr>
          <w:rFonts w:ascii="Arial" w:cs="Arial" w:eastAsia="Arial" w:hAnsi="Arial"/>
          <w:sz w:val="20"/>
          <w:szCs w:val="20"/>
          <w:color w:val="auto"/>
        </w:rPr>
      </w:pPr>
    </w:p>
    <w:p>
      <w:pPr>
        <w:jc w:val="both"/>
        <w:ind w:firstLine="645"/>
        <w:spacing w:after="0" w:line="293" w:lineRule="auto"/>
        <w:tabs>
          <w:tab w:leader="none" w:pos="1483" w:val="left"/>
        </w:tabs>
        <w:numPr>
          <w:ilvl w:val="0"/>
          <w:numId w:val="315"/>
        </w:numPr>
        <w:rPr>
          <w:rFonts w:ascii="Arial" w:cs="Arial" w:eastAsia="Arial" w:hAnsi="Arial"/>
          <w:sz w:val="19"/>
          <w:szCs w:val="19"/>
          <w:color w:val="auto"/>
        </w:rPr>
      </w:pPr>
      <w:r>
        <w:rPr>
          <w:rFonts w:ascii="Arial" w:cs="Arial" w:eastAsia="Arial" w:hAnsi="Arial"/>
          <w:sz w:val="19"/>
          <w:szCs w:val="19"/>
          <w:color w:val="auto"/>
        </w:rPr>
        <w:t xml:space="preserve">Investments in joint ventures of the Company or any Subsidiary, taken together with all other Investments made pursuant to this </w:t>
      </w:r>
      <w:r>
        <w:rPr>
          <w:rFonts w:ascii="Arial" w:cs="Arial" w:eastAsia="Arial" w:hAnsi="Arial"/>
          <w:sz w:val="19"/>
          <w:szCs w:val="19"/>
          <w:u w:val="single" w:color="auto"/>
          <w:color w:val="auto"/>
        </w:rPr>
        <w:t>clause (t)</w:t>
      </w:r>
      <w:r>
        <w:rPr>
          <w:rFonts w:ascii="Arial" w:cs="Arial" w:eastAsia="Arial" w:hAnsi="Arial"/>
          <w:sz w:val="19"/>
          <w:szCs w:val="19"/>
          <w:color w:val="auto"/>
        </w:rPr>
        <w:t xml:space="preserve"> that are at that time outstanding, not to exceed the greater of (x) $50,000,000 and (y) 5% of Consolidated Total Assets (in each case, determined on the date such Investment is made, with the fair market value of each Investment being measured at the time made and without giving effect to subsequent changes in value);</w:t>
      </w:r>
    </w:p>
    <w:p>
      <w:pPr>
        <w:spacing w:after="0" w:line="175" w:lineRule="exact"/>
        <w:rPr>
          <w:rFonts w:ascii="Arial" w:cs="Arial" w:eastAsia="Arial" w:hAnsi="Arial"/>
          <w:sz w:val="19"/>
          <w:szCs w:val="19"/>
          <w:color w:val="auto"/>
        </w:rPr>
      </w:pPr>
    </w:p>
    <w:p>
      <w:pPr>
        <w:ind w:left="1520" w:hanging="875"/>
        <w:spacing w:after="0"/>
        <w:tabs>
          <w:tab w:leader="none" w:pos="152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advances of payroll payments to employees in the ordinary course of business;</w:t>
      </w:r>
    </w:p>
    <w:p>
      <w:pPr>
        <w:spacing w:after="0" w:line="242" w:lineRule="exact"/>
        <w:rPr>
          <w:rFonts w:ascii="Arial" w:cs="Arial" w:eastAsia="Arial" w:hAnsi="Arial"/>
          <w:sz w:val="20"/>
          <w:szCs w:val="20"/>
          <w:color w:val="auto"/>
        </w:rPr>
      </w:pPr>
    </w:p>
    <w:p>
      <w:pPr>
        <w:ind w:firstLine="645"/>
        <w:spacing w:after="0" w:line="289" w:lineRule="auto"/>
        <w:tabs>
          <w:tab w:leader="none" w:pos="1527"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Investments to the extent that payment for such Investments is made solely with Equity Interests (other than Disqualified Equity Interests) of the Company;</w:t>
      </w:r>
    </w:p>
    <w:p>
      <w:pPr>
        <w:spacing w:after="0" w:line="175" w:lineRule="exact"/>
        <w:rPr>
          <w:rFonts w:ascii="Arial" w:cs="Arial" w:eastAsia="Arial" w:hAnsi="Arial"/>
          <w:sz w:val="20"/>
          <w:szCs w:val="20"/>
          <w:color w:val="auto"/>
        </w:rPr>
      </w:pPr>
    </w:p>
    <w:p>
      <w:pPr>
        <w:ind w:left="1560" w:hanging="915"/>
        <w:spacing w:after="0"/>
        <w:tabs>
          <w:tab w:leader="none" w:pos="15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forgiveness or conversion to equity of any Indebtedness owed by the Company or any Subsidiary and permitted</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by Section 6.01;</w:t>
      </w:r>
    </w:p>
    <w:p>
      <w:pPr>
        <w:spacing w:after="0" w:line="242" w:lineRule="exact"/>
        <w:rPr>
          <w:rFonts w:ascii="Arial" w:cs="Arial" w:eastAsia="Arial" w:hAnsi="Arial"/>
          <w:sz w:val="18"/>
          <w:szCs w:val="18"/>
          <w:color w:val="auto"/>
        </w:rPr>
      </w:pPr>
    </w:p>
    <w:p>
      <w:pPr>
        <w:jc w:val="both"/>
        <w:ind w:firstLine="645"/>
        <w:spacing w:after="0" w:line="278" w:lineRule="auto"/>
        <w:tabs>
          <w:tab w:leader="none" w:pos="1527" w:val="left"/>
        </w:tabs>
        <w:numPr>
          <w:ilvl w:val="0"/>
          <w:numId w:val="315"/>
        </w:numPr>
        <w:rPr>
          <w:rFonts w:ascii="Arial" w:cs="Arial" w:eastAsia="Arial" w:hAnsi="Arial"/>
          <w:sz w:val="20"/>
          <w:szCs w:val="20"/>
          <w:color w:val="auto"/>
        </w:rPr>
      </w:pPr>
      <w:r>
        <w:rPr>
          <w:rFonts w:ascii="Arial" w:cs="Arial" w:eastAsia="Arial" w:hAnsi="Arial"/>
          <w:sz w:val="20"/>
          <w:szCs w:val="20"/>
          <w:color w:val="auto"/>
        </w:rPr>
        <w:t>to the extent that they constitute Investments, purchases and acquisitions of inventory, supplies, materials or equipment or purchases, acquisitions, licenses or leases of other assets, Intellectual Property, or other rights, in each case in the ordinary course of business; and</w:t>
      </w:r>
    </w:p>
    <w:p>
      <w:pPr>
        <w:spacing w:after="0" w:line="186" w:lineRule="exact"/>
        <w:rPr>
          <w:rFonts w:ascii="Arial" w:cs="Arial" w:eastAsia="Arial" w:hAnsi="Arial"/>
          <w:sz w:val="20"/>
          <w:szCs w:val="20"/>
          <w:color w:val="auto"/>
        </w:rPr>
      </w:pPr>
    </w:p>
    <w:p>
      <w:pPr>
        <w:ind w:left="1520" w:hanging="875"/>
        <w:spacing w:after="0"/>
        <w:tabs>
          <w:tab w:leader="none" w:pos="1520"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Investments arising as a result of Sale and Leaseback Transactions;</w:t>
      </w:r>
    </w:p>
    <w:p>
      <w:pPr>
        <w:spacing w:after="0" w:line="242" w:lineRule="exact"/>
        <w:rPr>
          <w:rFonts w:ascii="Arial" w:cs="Arial" w:eastAsia="Arial" w:hAnsi="Arial"/>
          <w:sz w:val="20"/>
          <w:szCs w:val="20"/>
          <w:color w:val="auto"/>
        </w:rPr>
      </w:pPr>
    </w:p>
    <w:p>
      <w:pPr>
        <w:ind w:left="1520" w:hanging="875"/>
        <w:spacing w:after="0"/>
        <w:tabs>
          <w:tab w:leader="none" w:pos="152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Investments in the Term Loans in accordance with Section 9.04(f) of the Term Loan Agreement (as in effect on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Effective Date);</w:t>
      </w:r>
    </w:p>
    <w:p>
      <w:pPr>
        <w:spacing w:after="0" w:line="243" w:lineRule="exact"/>
        <w:rPr>
          <w:sz w:val="20"/>
          <w:szCs w:val="20"/>
          <w:color w:val="auto"/>
        </w:rPr>
      </w:pPr>
    </w:p>
    <w:p>
      <w:pPr>
        <w:jc w:val="both"/>
        <w:ind w:firstLine="645"/>
        <w:spacing w:after="0" w:line="274" w:lineRule="auto"/>
        <w:tabs>
          <w:tab w:leader="none" w:pos="1604" w:val="left"/>
        </w:tabs>
        <w:numPr>
          <w:ilvl w:val="0"/>
          <w:numId w:val="316"/>
        </w:numPr>
        <w:rPr>
          <w:rFonts w:ascii="Arial" w:cs="Arial" w:eastAsia="Arial" w:hAnsi="Arial"/>
          <w:sz w:val="20"/>
          <w:szCs w:val="20"/>
          <w:color w:val="auto"/>
        </w:rPr>
      </w:pPr>
      <w:r>
        <w:rPr>
          <w:rFonts w:ascii="Arial" w:cs="Arial" w:eastAsia="Arial" w:hAnsi="Arial"/>
          <w:sz w:val="20"/>
          <w:szCs w:val="20"/>
          <w:color w:val="auto"/>
        </w:rPr>
        <w:t>to the extent constituting Investments, intercompany loans or other intercompany Investments made by Loan Parties in the ordinary course of business to or in any Foreign Subsidiary to provide funds as necessary to enable the applicable Foreign Subsidiary to comply with changes in statutory or contractual capital requirements (other than any contractual requirement that constitutes a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98</w:t>
      </w:r>
    </w:p>
    <w:p>
      <w:pPr>
        <w:sectPr>
          <w:pgSz w:w="11900" w:h="16838" w:orient="portrait"/>
          <w:cols w:equalWidth="0" w:num="1">
            <w:col w:w="10760"/>
          </w:cols>
          <w:pgMar w:left="900" w:top="812" w:right="239" w:bottom="1440" w:gutter="0" w:footer="0" w:header="0"/>
        </w:sectPr>
      </w:pPr>
    </w:p>
    <w:bookmarkStart w:id="274" w:name="page275"/>
    <w:bookmarkEnd w:id="274"/>
    <w:p>
      <w:pPr>
        <w:jc w:val="both"/>
        <w:ind w:left="660" w:firstLine="645"/>
        <w:spacing w:after="0" w:line="305" w:lineRule="auto"/>
        <w:tabs>
          <w:tab w:leader="none" w:pos="2286"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Investments consisting of the acquisition of real property (and any improvements thereon) located at, and commonly known as, 11333 CR2, Middlebury, Indiana 46540 and Vacant Land, CR2, Middlebury, Indiana 46540, pursuant to the exercise by Grand Design of its right of first offer to purchase such property pursuant to the terms of each Lease Agreement, dated as of the date hereof, by and between Three Oaks, LLC, as landlord, and Grand Design, as tenant (or such other terms as may be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both immediately before and immediately after giving pro forma effect to any such Investment pursuant to this </w:t>
      </w:r>
      <w:r>
        <w:rPr>
          <w:rFonts w:ascii="Arial" w:cs="Arial" w:eastAsia="Arial" w:hAnsi="Arial"/>
          <w:sz w:val="18"/>
          <w:szCs w:val="18"/>
          <w:u w:val="single" w:color="auto"/>
          <w:color w:val="auto"/>
        </w:rPr>
        <w:t>clause (bb)</w:t>
      </w:r>
      <w:r>
        <w:rPr>
          <w:rFonts w:ascii="Arial" w:cs="Arial" w:eastAsia="Arial" w:hAnsi="Arial"/>
          <w:sz w:val="18"/>
          <w:szCs w:val="18"/>
          <w:color w:val="auto"/>
        </w:rPr>
        <w:t xml:space="preserve">, no Event of Default shall have occurred and be continuing and (ii) the aggregate amount of Investments permitted in reliance on this </w:t>
      </w:r>
      <w:r>
        <w:rPr>
          <w:rFonts w:ascii="Arial" w:cs="Arial" w:eastAsia="Arial" w:hAnsi="Arial"/>
          <w:sz w:val="18"/>
          <w:szCs w:val="18"/>
          <w:u w:val="single" w:color="auto"/>
          <w:color w:val="auto"/>
        </w:rPr>
        <w:t>clause (bb)</w:t>
      </w:r>
      <w:r>
        <w:rPr>
          <w:rFonts w:ascii="Arial" w:cs="Arial" w:eastAsia="Arial" w:hAnsi="Arial"/>
          <w:sz w:val="18"/>
          <w:szCs w:val="18"/>
          <w:color w:val="auto"/>
        </w:rPr>
        <w:t xml:space="preserve"> shall not exceed $20,000,000 (at the time made); and</w:t>
      </w:r>
    </w:p>
    <w:p>
      <w:pPr>
        <w:spacing w:after="0" w:line="170" w:lineRule="exact"/>
        <w:rPr>
          <w:rFonts w:ascii="Arial" w:cs="Arial" w:eastAsia="Arial" w:hAnsi="Arial"/>
          <w:sz w:val="18"/>
          <w:szCs w:val="18"/>
          <w:color w:val="auto"/>
        </w:rPr>
      </w:pPr>
    </w:p>
    <w:p>
      <w:pPr>
        <w:jc w:val="both"/>
        <w:ind w:left="660" w:firstLine="645"/>
        <w:spacing w:after="0" w:line="274" w:lineRule="auto"/>
        <w:tabs>
          <w:tab w:leader="none" w:pos="2264" w:val="left"/>
        </w:tabs>
        <w:numPr>
          <w:ilvl w:val="0"/>
          <w:numId w:val="317"/>
        </w:numPr>
        <w:rPr>
          <w:rFonts w:ascii="Arial" w:cs="Arial" w:eastAsia="Arial" w:hAnsi="Arial"/>
          <w:sz w:val="20"/>
          <w:szCs w:val="20"/>
          <w:color w:val="auto"/>
        </w:rPr>
      </w:pPr>
      <w:r>
        <w:rPr>
          <w:rFonts w:ascii="Arial" w:cs="Arial" w:eastAsia="Arial" w:hAnsi="Arial"/>
          <w:sz w:val="20"/>
          <w:szCs w:val="20"/>
          <w:color w:val="auto"/>
        </w:rPr>
        <w:t xml:space="preserve">any other Investments (including Acquisitions) whether or not of a type described above;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 both immediately before and immediately after giving pro forma effect to any such Investment pursuant to this </w:t>
      </w:r>
      <w:r>
        <w:rPr>
          <w:rFonts w:ascii="Arial" w:cs="Arial" w:eastAsia="Arial" w:hAnsi="Arial"/>
          <w:sz w:val="20"/>
          <w:szCs w:val="20"/>
          <w:u w:val="single" w:color="auto"/>
          <w:color w:val="auto"/>
        </w:rPr>
        <w:t>clause (cc)</w:t>
      </w:r>
      <w:r>
        <w:rPr>
          <w:rFonts w:ascii="Arial" w:cs="Arial" w:eastAsia="Arial" w:hAnsi="Arial"/>
          <w:sz w:val="20"/>
          <w:szCs w:val="20"/>
          <w:color w:val="auto"/>
        </w:rPr>
        <w:t xml:space="preserve">, no Event of Default shall have occurred and be continuing and the Payment Condition shall be satisfied with respect to such Investment and (ii) any Acquisitions made pursuant to this </w:t>
      </w:r>
      <w:r>
        <w:rPr>
          <w:rFonts w:ascii="Arial" w:cs="Arial" w:eastAsia="Arial" w:hAnsi="Arial"/>
          <w:sz w:val="20"/>
          <w:szCs w:val="20"/>
          <w:u w:val="single" w:color="auto"/>
          <w:color w:val="auto"/>
        </w:rPr>
        <w:t>clause (cc)</w:t>
      </w:r>
      <w:r>
        <w:rPr>
          <w:rFonts w:ascii="Arial" w:cs="Arial" w:eastAsia="Arial" w:hAnsi="Arial"/>
          <w:sz w:val="20"/>
          <w:szCs w:val="20"/>
          <w:color w:val="auto"/>
        </w:rPr>
        <w:t xml:space="preserve"> must constitute a Permitted Acquisition.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Notwithstanding the foregoing, any Acquisition made in reliance on any provision of this </w:t>
      </w:r>
      <w:r>
        <w:rPr>
          <w:rFonts w:ascii="Arial" w:cs="Arial" w:eastAsia="Arial" w:hAnsi="Arial"/>
          <w:sz w:val="20"/>
          <w:szCs w:val="20"/>
          <w:u w:val="single" w:color="auto"/>
          <w:color w:val="auto"/>
        </w:rPr>
        <w:t>Section 6.04</w:t>
      </w:r>
      <w:r>
        <w:rPr>
          <w:rFonts w:ascii="Arial" w:cs="Arial" w:eastAsia="Arial" w:hAnsi="Arial"/>
          <w:sz w:val="20"/>
          <w:szCs w:val="20"/>
          <w:color w:val="auto"/>
        </w:rPr>
        <w:t xml:space="preserve"> must satisfy the requirements of a Permitted Acquisition.</w:t>
      </w:r>
    </w:p>
    <w:p>
      <w:pPr>
        <w:spacing w:after="0" w:line="177"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Notwithstanding anything contrary set forth above, if any Investment is denominated in a foreign currency, no fluctuation in currency values shall result in a breach of this Section 6.04.</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For purposes of determining compliance with this Section 6.04, in the event that an Investment (or any portion thereof) meets the criteria of more than one of the categories of permitted Investments described in clauses (a) through (cc) above, the Company and the Subsidiaries, in their sole discretion, will be permitted to divide and classify such Investment (or any portion thereof) on the date of incurrence, and at any time and from time to time may later reclassify all or any portion of any Investment as having been incurred under any category of permitted Investments described in clauses (a) through (cc) above so long as such Investment is permitted to be incurred pursuant to such provision at the time of reclassification. For the avoidance of doubt, an Investment entered into in reliance on clause (cc) above that was permitted at the time entered into shall continue to be permitted under such clause notwithstanding any failure to satisfy the Payment Condition (or any other condition in such clause) at a later date with respect to any subsequent Investment.</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For purposes of determining the amount of any Investment outstanding,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u w:val="single" w:color="auto"/>
          <w:color w:val="auto"/>
        </w:rPr>
        <w:t>Asset Sales</w:t>
      </w:r>
      <w:r>
        <w:rPr>
          <w:rFonts w:ascii="Arial" w:cs="Arial" w:eastAsia="Arial" w:hAnsi="Arial"/>
          <w:sz w:val="20"/>
          <w:szCs w:val="20"/>
          <w:color w:val="auto"/>
        </w:rPr>
        <w:t>. No Loan Party will, nor will it permit any Subsidiary to, sell, transfer, lease or otherwise dispose of any asset, including any Equity Interest owned by it, nor will any Subsidiary issue any additional Equity Interest in such Subsidiary (other than issuing directors’ qualifying shares and other than issuing Equity Interests to the Company or another Subsidiary in compliance with Section 6.04(d)) (each, a “</w:t>
      </w:r>
      <w:r>
        <w:rPr>
          <w:rFonts w:ascii="Arial" w:cs="Arial" w:eastAsia="Arial" w:hAnsi="Arial"/>
          <w:sz w:val="20"/>
          <w:szCs w:val="20"/>
          <w:u w:val="single" w:color="auto"/>
          <w:color w:val="auto"/>
        </w:rPr>
        <w:t>Disposition</w:t>
      </w:r>
      <w:r>
        <w:rPr>
          <w:rFonts w:ascii="Arial" w:cs="Arial" w:eastAsia="Arial" w:hAnsi="Arial"/>
          <w:sz w:val="20"/>
          <w:szCs w:val="20"/>
          <w:color w:val="auto"/>
        </w:rPr>
        <w:t>”), except:</w:t>
      </w:r>
    </w:p>
    <w:p>
      <w:pPr>
        <w:spacing w:after="0" w:line="192" w:lineRule="exact"/>
        <w:rPr>
          <w:sz w:val="20"/>
          <w:szCs w:val="20"/>
          <w:color w:val="auto"/>
        </w:rPr>
      </w:pPr>
    </w:p>
    <w:p>
      <w:pPr>
        <w:jc w:val="both"/>
        <w:ind w:left="660" w:firstLine="645"/>
        <w:spacing w:after="0" w:line="293" w:lineRule="auto"/>
        <w:tabs>
          <w:tab w:leader="none" w:pos="2176" w:val="left"/>
        </w:tabs>
        <w:numPr>
          <w:ilvl w:val="0"/>
          <w:numId w:val="318"/>
        </w:numPr>
        <w:rPr>
          <w:rFonts w:ascii="Arial" w:cs="Arial" w:eastAsia="Arial" w:hAnsi="Arial"/>
          <w:sz w:val="19"/>
          <w:szCs w:val="19"/>
          <w:color w:val="auto"/>
        </w:rPr>
      </w:pPr>
      <w:r>
        <w:rPr>
          <w:rFonts w:ascii="Arial" w:cs="Arial" w:eastAsia="Arial" w:hAnsi="Arial"/>
          <w:sz w:val="19"/>
          <w:szCs w:val="19"/>
          <w:color w:val="auto"/>
        </w:rPr>
        <w:t>Dispositions of (i) inventory or goods held for sale (including, for the avoidance of doubt, such Dispositions made by the Company or any other Loan Party to Subsidiaries that are not Loan Parties, so long as such Dispositions are at prices and on terms and conditions at least substantially as favorable to the Company or such Loan Party as those that could be obtained at the time in a comparable arm’s-length transaction with a Person that is not a Subsidiary), (ii) immaterial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ectPr>
          <w:pgSz w:w="11900" w:h="16838" w:orient="portrait"/>
          <w:cols w:equalWidth="0" w:num="1">
            <w:col w:w="11420"/>
          </w:cols>
          <w:pgMar w:left="240" w:top="825" w:right="239" w:bottom="1440" w:gutter="0" w:footer="0" w:header="0"/>
        </w:sectPr>
      </w:pPr>
    </w:p>
    <w:bookmarkStart w:id="275" w:name="page276"/>
    <w:bookmarkEnd w:id="275"/>
    <w:p>
      <w:pPr>
        <w:jc w:val="both"/>
        <w:spacing w:after="0" w:line="299" w:lineRule="auto"/>
        <w:rPr>
          <w:sz w:val="20"/>
          <w:szCs w:val="20"/>
          <w:color w:val="auto"/>
        </w:rPr>
      </w:pPr>
      <w:r>
        <w:rPr>
          <w:rFonts w:ascii="Arial" w:cs="Arial" w:eastAsia="Arial" w:hAnsi="Arial"/>
          <w:sz w:val="19"/>
          <w:szCs w:val="19"/>
          <w:color w:val="auto"/>
        </w:rPr>
        <w:t>assets (including allowing any registrations or any applications for registration of any immaterial intellectual property to lapse or go abandoned in the ordinary course of business), (iii) used, obsolete, damaged or surplus property or equipment, whether now owned or hereafter acquired, and (iv) cash and Permitted Investments, in each case in the ordinary course of business;</w:t>
      </w:r>
    </w:p>
    <w:p>
      <w:pPr>
        <w:spacing w:after="0" w:line="169" w:lineRule="exact"/>
        <w:rPr>
          <w:sz w:val="20"/>
          <w:szCs w:val="20"/>
          <w:color w:val="auto"/>
        </w:rPr>
      </w:pPr>
    </w:p>
    <w:p>
      <w:pPr>
        <w:jc w:val="both"/>
        <w:ind w:firstLine="645"/>
        <w:spacing w:after="0" w:line="273" w:lineRule="auto"/>
        <w:tabs>
          <w:tab w:leader="none" w:pos="1527"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Dispositions to the Company or a Subsidiary;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such Disposition to a Subsidiary that is not a Loan Party (i) shall be made in compliance with </w:t>
      </w:r>
      <w:r>
        <w:rPr>
          <w:rFonts w:ascii="Arial" w:cs="Arial" w:eastAsia="Arial" w:hAnsi="Arial"/>
          <w:sz w:val="20"/>
          <w:szCs w:val="20"/>
          <w:u w:val="single" w:color="auto"/>
          <w:color w:val="auto"/>
        </w:rPr>
        <w:t>Sections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w:t>
      </w:r>
      <w:r>
        <w:rPr>
          <w:rFonts w:ascii="Arial" w:cs="Arial" w:eastAsia="Arial" w:hAnsi="Arial"/>
          <w:sz w:val="20"/>
          <w:szCs w:val="20"/>
          <w:color w:val="auto"/>
        </w:rPr>
        <w:t>.</w:t>
      </w:r>
      <w:r>
        <w:rPr>
          <w:rFonts w:ascii="Arial" w:cs="Arial" w:eastAsia="Arial" w:hAnsi="Arial"/>
          <w:sz w:val="20"/>
          <w:szCs w:val="20"/>
          <w:u w:val="single" w:color="auto"/>
          <w:color w:val="auto"/>
        </w:rPr>
        <w:t>08</w:t>
      </w:r>
      <w:r>
        <w:rPr>
          <w:rFonts w:ascii="Arial" w:cs="Arial" w:eastAsia="Arial" w:hAnsi="Arial"/>
          <w:sz w:val="20"/>
          <w:szCs w:val="20"/>
          <w:color w:val="auto"/>
        </w:rPr>
        <w:t xml:space="preserve"> if and to the extent applicable and (ii) shall not, in the case of any Disposition by the Company or any other Loan Party to Subsidiaries that are not Loan Parties in any fiscal year that are not made as Investments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 involve assets having an aggregate fair market value for all such assets so Disposed in such fiscal year in excess of $7,500,000;</w:t>
      </w:r>
    </w:p>
    <w:p>
      <w:pPr>
        <w:spacing w:after="0" w:line="191" w:lineRule="exact"/>
        <w:rPr>
          <w:rFonts w:ascii="Arial" w:cs="Arial" w:eastAsia="Arial" w:hAnsi="Arial"/>
          <w:sz w:val="20"/>
          <w:szCs w:val="20"/>
          <w:color w:val="auto"/>
        </w:rPr>
      </w:pPr>
    </w:p>
    <w:p>
      <w:pPr>
        <w:ind w:firstLine="645"/>
        <w:spacing w:after="0" w:line="316" w:lineRule="auto"/>
        <w:tabs>
          <w:tab w:leader="none" w:pos="1516" w:val="left"/>
        </w:tabs>
        <w:numPr>
          <w:ilvl w:val="0"/>
          <w:numId w:val="319"/>
        </w:numPr>
        <w:rPr>
          <w:rFonts w:ascii="Arial" w:cs="Arial" w:eastAsia="Arial" w:hAnsi="Arial"/>
          <w:sz w:val="19"/>
          <w:szCs w:val="19"/>
          <w:color w:val="auto"/>
        </w:rPr>
      </w:pPr>
      <w:r>
        <w:rPr>
          <w:rFonts w:ascii="Arial" w:cs="Arial" w:eastAsia="Arial" w:hAnsi="Arial"/>
          <w:sz w:val="19"/>
          <w:szCs w:val="19"/>
          <w:color w:val="auto"/>
        </w:rPr>
        <w:t>Dispositions of accounts receivable in connection with the compromise, settlement or collection thereof in the ordinary course of business consistent with past practice and not as part of any accounts receivables financing transaction;</w:t>
      </w:r>
    </w:p>
    <w:p>
      <w:pPr>
        <w:spacing w:after="0" w:line="153" w:lineRule="exact"/>
        <w:rPr>
          <w:rFonts w:ascii="Arial" w:cs="Arial" w:eastAsia="Arial" w:hAnsi="Arial"/>
          <w:sz w:val="19"/>
          <w:szCs w:val="19"/>
          <w:color w:val="auto"/>
        </w:rPr>
      </w:pPr>
    </w:p>
    <w:p>
      <w:pPr>
        <w:jc w:val="both"/>
        <w:ind w:firstLine="645"/>
        <w:spacing w:after="0" w:line="322" w:lineRule="auto"/>
        <w:tabs>
          <w:tab w:leader="none" w:pos="1527"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(i) to the extent constituting Dispositions, transactions permitted by </w:t>
      </w:r>
      <w:r>
        <w:rPr>
          <w:rFonts w:ascii="Arial" w:cs="Arial" w:eastAsia="Arial" w:hAnsi="Arial"/>
          <w:sz w:val="18"/>
          <w:szCs w:val="18"/>
          <w:u w:val="single" w:color="auto"/>
          <w:color w:val="auto"/>
        </w:rPr>
        <w:t>Sections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w:t>
      </w:r>
      <w:r>
        <w:rPr>
          <w:rFonts w:ascii="Arial" w:cs="Arial" w:eastAsia="Arial" w:hAnsi="Arial"/>
          <w:sz w:val="18"/>
          <w:szCs w:val="18"/>
          <w:u w:val="single" w:color="auto"/>
          <w:color w:val="auto"/>
        </w:rPr>
        <w:t>03</w:t>
      </w:r>
      <w:r>
        <w:rPr>
          <w:rFonts w:ascii="Arial" w:cs="Arial" w:eastAsia="Arial" w:hAnsi="Arial"/>
          <w:sz w:val="18"/>
          <w:szCs w:val="18"/>
          <w:color w:val="auto"/>
        </w:rPr>
        <w:t xml:space="preserve">, (ii) Dispositions of assets to the extent that such Disposition constitutes an Investment referred to in and permitted by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04</w:t>
      </w:r>
      <w:r>
        <w:rPr>
          <w:rFonts w:ascii="Arial" w:cs="Arial" w:eastAsia="Arial" w:hAnsi="Arial"/>
          <w:sz w:val="18"/>
          <w:szCs w:val="18"/>
          <w:color w:val="auto"/>
        </w:rPr>
        <w:t xml:space="preserve"> and (iii) Dispositions of assets to the extent that such Disposition constitute a Restricted Payment referred to in and permitted by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09</w:t>
      </w:r>
      <w:r>
        <w:rPr>
          <w:rFonts w:ascii="Arial" w:cs="Arial" w:eastAsia="Arial" w:hAnsi="Arial"/>
          <w:sz w:val="18"/>
          <w:szCs w:val="18"/>
          <w:color w:val="auto"/>
        </w:rPr>
        <w:t>;</w:t>
      </w:r>
    </w:p>
    <w:p>
      <w:pPr>
        <w:spacing w:after="0" w:line="152" w:lineRule="exact"/>
        <w:rPr>
          <w:rFonts w:ascii="Arial" w:cs="Arial" w:eastAsia="Arial" w:hAnsi="Arial"/>
          <w:sz w:val="18"/>
          <w:szCs w:val="18"/>
          <w:color w:val="auto"/>
        </w:rPr>
      </w:pPr>
    </w:p>
    <w:p>
      <w:pPr>
        <w:ind w:left="1520" w:hanging="875"/>
        <w:spacing w:after="0"/>
        <w:tabs>
          <w:tab w:leader="none" w:pos="1520" w:val="left"/>
        </w:tabs>
        <w:numPr>
          <w:ilvl w:val="0"/>
          <w:numId w:val="319"/>
        </w:numPr>
        <w:rPr>
          <w:rFonts w:ascii="Arial" w:cs="Arial" w:eastAsia="Arial" w:hAnsi="Arial"/>
          <w:sz w:val="20"/>
          <w:szCs w:val="20"/>
          <w:color w:val="auto"/>
        </w:rPr>
      </w:pPr>
      <w:r>
        <w:rPr>
          <w:rFonts w:ascii="Arial" w:cs="Arial" w:eastAsia="Arial" w:hAnsi="Arial"/>
          <w:sz w:val="20"/>
          <w:szCs w:val="20"/>
          <w:color w:val="auto"/>
        </w:rPr>
        <w:t xml:space="preserve">Sale and Leaseback Transactions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06</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firstLine="645"/>
        <w:spacing w:after="0" w:line="278" w:lineRule="auto"/>
        <w:tabs>
          <w:tab w:leader="none" w:pos="1494" w:val="left"/>
        </w:tabs>
        <w:numPr>
          <w:ilvl w:val="0"/>
          <w:numId w:val="319"/>
        </w:numPr>
        <w:rPr>
          <w:rFonts w:ascii="Arial" w:cs="Arial" w:eastAsia="Arial" w:hAnsi="Arial"/>
          <w:sz w:val="20"/>
          <w:szCs w:val="20"/>
          <w:color w:val="auto"/>
        </w:rPr>
      </w:pPr>
      <w:r>
        <w:rPr>
          <w:rFonts w:ascii="Arial" w:cs="Arial" w:eastAsia="Arial" w:hAnsi="Arial"/>
          <w:sz w:val="20"/>
          <w:szCs w:val="20"/>
          <w:color w:val="auto"/>
        </w:rPr>
        <w:t>Licenses, leases or subleases entered into in the ordinary course of business, including in connection with effectuating any tax subsidy arrangement, including a payment-in-lieu of taxes arrangement, to the extent that they do not materially interfere with the business of the Company or any Subsidiary;</w:t>
      </w:r>
    </w:p>
    <w:p>
      <w:pPr>
        <w:spacing w:after="0" w:line="186" w:lineRule="exact"/>
        <w:rPr>
          <w:rFonts w:ascii="Arial" w:cs="Arial" w:eastAsia="Arial" w:hAnsi="Arial"/>
          <w:sz w:val="20"/>
          <w:szCs w:val="20"/>
          <w:color w:val="auto"/>
        </w:rPr>
      </w:pPr>
    </w:p>
    <w:p>
      <w:pPr>
        <w:ind w:firstLine="645"/>
        <w:spacing w:after="0" w:line="289" w:lineRule="auto"/>
        <w:tabs>
          <w:tab w:leader="none" w:pos="1597" w:val="left"/>
        </w:tabs>
        <w:numPr>
          <w:ilvl w:val="0"/>
          <w:numId w:val="319"/>
        </w:numPr>
        <w:rPr>
          <w:rFonts w:ascii="Arial" w:cs="Arial" w:eastAsia="Arial" w:hAnsi="Arial"/>
          <w:sz w:val="20"/>
          <w:szCs w:val="20"/>
          <w:color w:val="auto"/>
        </w:rPr>
      </w:pPr>
      <w:r>
        <w:rPr>
          <w:rFonts w:ascii="Arial" w:cs="Arial" w:eastAsia="Arial" w:hAnsi="Arial"/>
          <w:sz w:val="20"/>
          <w:szCs w:val="20"/>
          <w:color w:val="auto"/>
        </w:rPr>
        <w:t>Licenses or sublicenses of intellectual property in the ordinary course of business, to the extent that they do not materially interfere with the business of the Company or any Subsidiary;</w:t>
      </w:r>
    </w:p>
    <w:p>
      <w:pPr>
        <w:spacing w:after="0" w:line="175" w:lineRule="exact"/>
        <w:rPr>
          <w:rFonts w:ascii="Arial" w:cs="Arial" w:eastAsia="Arial" w:hAnsi="Arial"/>
          <w:sz w:val="20"/>
          <w:szCs w:val="20"/>
          <w:color w:val="auto"/>
        </w:rPr>
      </w:pPr>
    </w:p>
    <w:p>
      <w:pPr>
        <w:ind w:right="20" w:firstLine="645"/>
        <w:spacing w:after="0" w:line="289" w:lineRule="auto"/>
        <w:tabs>
          <w:tab w:leader="none" w:pos="1527" w:val="left"/>
        </w:tabs>
        <w:numPr>
          <w:ilvl w:val="0"/>
          <w:numId w:val="319"/>
        </w:numPr>
        <w:rPr>
          <w:rFonts w:ascii="Arial" w:cs="Arial" w:eastAsia="Arial" w:hAnsi="Arial"/>
          <w:sz w:val="20"/>
          <w:szCs w:val="20"/>
          <w:color w:val="auto"/>
        </w:rPr>
      </w:pPr>
      <w:r>
        <w:rPr>
          <w:rFonts w:ascii="Arial" w:cs="Arial" w:eastAsia="Arial" w:hAnsi="Arial"/>
          <w:sz w:val="20"/>
          <w:szCs w:val="20"/>
          <w:color w:val="auto"/>
        </w:rPr>
        <w:t>Dispositions resulting from any casualty or other insured damage to, or any taking under power of eminent domain or by condemnation or similar proceeding of, any asset of any of the Company or any Subsidiary;</w:t>
      </w:r>
    </w:p>
    <w:p>
      <w:pPr>
        <w:spacing w:after="0" w:line="175" w:lineRule="exact"/>
        <w:rPr>
          <w:rFonts w:ascii="Arial" w:cs="Arial" w:eastAsia="Arial" w:hAnsi="Arial"/>
          <w:sz w:val="20"/>
          <w:szCs w:val="20"/>
          <w:color w:val="auto"/>
        </w:rPr>
      </w:pPr>
    </w:p>
    <w:p>
      <w:pPr>
        <w:jc w:val="both"/>
        <w:ind w:firstLine="645"/>
        <w:spacing w:after="0" w:line="322" w:lineRule="auto"/>
        <w:tabs>
          <w:tab w:leader="none" w:pos="1483" w:val="left"/>
        </w:tabs>
        <w:numPr>
          <w:ilvl w:val="0"/>
          <w:numId w:val="319"/>
        </w:numPr>
        <w:rPr>
          <w:rFonts w:ascii="Arial" w:cs="Arial" w:eastAsia="Arial" w:hAnsi="Arial"/>
          <w:sz w:val="18"/>
          <w:szCs w:val="18"/>
          <w:color w:val="auto"/>
        </w:rPr>
      </w:pPr>
      <w:r>
        <w:rPr>
          <w:rFonts w:ascii="Arial" w:cs="Arial" w:eastAsia="Arial" w:hAnsi="Arial"/>
          <w:sz w:val="18"/>
          <w:szCs w:val="18"/>
          <w:color w:val="auto"/>
        </w:rPr>
        <w:t>Dispositions of assets (including as a result of like-kind exchanges) to the extent that (i) such assets are exchanged for credit (on a fair market value basis) against the purchase price of similar or replacement assets or (ii) such asset is Disposed of for fair market value and the proceeds of such Disposition are promptly applied to the purchase price of similar or replacement assets;</w:t>
      </w:r>
    </w:p>
    <w:p>
      <w:pPr>
        <w:spacing w:after="0" w:line="152" w:lineRule="exact"/>
        <w:rPr>
          <w:rFonts w:ascii="Arial" w:cs="Arial" w:eastAsia="Arial" w:hAnsi="Arial"/>
          <w:sz w:val="18"/>
          <w:szCs w:val="18"/>
          <w:color w:val="auto"/>
        </w:rPr>
      </w:pPr>
    </w:p>
    <w:p>
      <w:pPr>
        <w:ind w:firstLine="645"/>
        <w:spacing w:after="0" w:line="289" w:lineRule="auto"/>
        <w:tabs>
          <w:tab w:leader="none" w:pos="1483" w:val="left"/>
        </w:tabs>
        <w:numPr>
          <w:ilvl w:val="0"/>
          <w:numId w:val="319"/>
        </w:numPr>
        <w:rPr>
          <w:rFonts w:ascii="Arial" w:cs="Arial" w:eastAsia="Arial" w:hAnsi="Arial"/>
          <w:sz w:val="20"/>
          <w:szCs w:val="20"/>
          <w:color w:val="auto"/>
        </w:rPr>
      </w:pPr>
      <w:r>
        <w:rPr>
          <w:rFonts w:ascii="Arial" w:cs="Arial" w:eastAsia="Arial" w:hAnsi="Arial"/>
          <w:sz w:val="20"/>
          <w:szCs w:val="20"/>
          <w:color w:val="auto"/>
        </w:rPr>
        <w:t>Dispositions of Investments in joint ventures to the extent required by, or made pursuant to customary buy/sell arrangements between, the joint venture parties set forth in joint venture arrangements;</w:t>
      </w:r>
    </w:p>
    <w:p>
      <w:pPr>
        <w:spacing w:after="0" w:line="175" w:lineRule="exact"/>
        <w:rPr>
          <w:rFonts w:ascii="Arial" w:cs="Arial" w:eastAsia="Arial" w:hAnsi="Arial"/>
          <w:sz w:val="20"/>
          <w:szCs w:val="20"/>
          <w:color w:val="auto"/>
        </w:rPr>
      </w:pPr>
    </w:p>
    <w:p>
      <w:pPr>
        <w:jc w:val="both"/>
        <w:ind w:firstLine="645"/>
        <w:spacing w:after="0" w:line="278" w:lineRule="auto"/>
        <w:tabs>
          <w:tab w:leader="none" w:pos="1527" w:val="left"/>
        </w:tabs>
        <w:numPr>
          <w:ilvl w:val="0"/>
          <w:numId w:val="319"/>
        </w:numPr>
        <w:rPr>
          <w:rFonts w:ascii="Arial" w:cs="Arial" w:eastAsia="Arial" w:hAnsi="Arial"/>
          <w:sz w:val="20"/>
          <w:szCs w:val="20"/>
          <w:color w:val="auto"/>
        </w:rPr>
      </w:pPr>
      <w:r>
        <w:rPr>
          <w:rFonts w:ascii="Arial" w:cs="Arial" w:eastAsia="Arial" w:hAnsi="Arial"/>
          <w:sz w:val="20"/>
          <w:szCs w:val="20"/>
          <w:color w:val="auto"/>
        </w:rPr>
        <w:t>the abandonment, cancellation, non-renewal or discontinuance of use or maintenance of non-material intellectual property or rights relating thereto (including registrations and applications for registration) that the Company determines in its reasonable judgment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100</w:t>
      </w:r>
    </w:p>
    <w:p>
      <w:pPr>
        <w:sectPr>
          <w:pgSz w:w="11900" w:h="16838" w:orient="portrait"/>
          <w:cols w:equalWidth="0" w:num="1">
            <w:col w:w="10760"/>
          </w:cols>
          <w:pgMar w:left="900" w:top="825" w:right="239" w:bottom="1440" w:gutter="0" w:footer="0" w:header="0"/>
        </w:sectPr>
      </w:pPr>
    </w:p>
    <w:bookmarkStart w:id="276" w:name="page277"/>
    <w:bookmarkEnd w:id="276"/>
    <w:p>
      <w:pPr>
        <w:ind w:left="4"/>
        <w:spacing w:after="0"/>
        <w:rPr>
          <w:sz w:val="20"/>
          <w:szCs w:val="20"/>
          <w:color w:val="auto"/>
        </w:rPr>
      </w:pPr>
      <w:r>
        <w:rPr>
          <w:rFonts w:ascii="Arial" w:cs="Arial" w:eastAsia="Arial" w:hAnsi="Arial"/>
          <w:sz w:val="20"/>
          <w:szCs w:val="20"/>
          <w:color w:val="auto"/>
        </w:rPr>
        <w:t>desirable to the conduct of its business and not materially disadvantageous to the interests of the Lenders;</w:t>
      </w:r>
    </w:p>
    <w:p>
      <w:pPr>
        <w:spacing w:after="0" w:line="229" w:lineRule="exact"/>
        <w:rPr>
          <w:sz w:val="20"/>
          <w:szCs w:val="20"/>
          <w:color w:val="auto"/>
        </w:rPr>
      </w:pPr>
    </w:p>
    <w:p>
      <w:pPr>
        <w:jc w:val="both"/>
        <w:ind w:left="4" w:firstLine="645"/>
        <w:spacing w:after="0" w:line="278" w:lineRule="auto"/>
        <w:tabs>
          <w:tab w:leader="none" w:pos="1487" w:val="left"/>
        </w:tabs>
        <w:numPr>
          <w:ilvl w:val="1"/>
          <w:numId w:val="320"/>
        </w:numPr>
        <w:rPr>
          <w:rFonts w:ascii="Arial" w:cs="Arial" w:eastAsia="Arial" w:hAnsi="Arial"/>
          <w:sz w:val="20"/>
          <w:szCs w:val="20"/>
          <w:color w:val="auto"/>
        </w:rPr>
      </w:pPr>
      <w:r>
        <w:rPr>
          <w:rFonts w:ascii="Arial" w:cs="Arial" w:eastAsia="Arial" w:hAnsi="Arial"/>
          <w:sz w:val="20"/>
          <w:szCs w:val="20"/>
          <w:color w:val="auto"/>
        </w:rPr>
        <w:t>Dispositions of assets acquired pursuant to or in order to effectuate a Permitted Acquisition which assets are not used or useful to the core or principal business of the Company and its Subsidiaries in an aggregate amount not to exceed 30% of the aggregate consideration in respect of such Permitted Acquisition;</w:t>
      </w:r>
    </w:p>
    <w:p>
      <w:pPr>
        <w:spacing w:after="0" w:line="186" w:lineRule="exact"/>
        <w:rPr>
          <w:rFonts w:ascii="Arial" w:cs="Arial" w:eastAsia="Arial" w:hAnsi="Arial"/>
          <w:sz w:val="20"/>
          <w:szCs w:val="20"/>
          <w:color w:val="auto"/>
        </w:rPr>
      </w:pPr>
    </w:p>
    <w:p>
      <w:pPr>
        <w:jc w:val="both"/>
        <w:ind w:left="4" w:firstLine="645"/>
        <w:spacing w:after="0" w:line="378" w:lineRule="auto"/>
        <w:tabs>
          <w:tab w:leader="none" w:pos="1586" w:val="left"/>
        </w:tabs>
        <w:numPr>
          <w:ilvl w:val="1"/>
          <w:numId w:val="320"/>
        </w:numPr>
        <w:rPr>
          <w:rFonts w:ascii="Arial" w:cs="Arial" w:eastAsia="Arial" w:hAnsi="Arial"/>
          <w:sz w:val="16"/>
          <w:szCs w:val="16"/>
          <w:color w:val="auto"/>
        </w:rPr>
      </w:pPr>
      <w:r>
        <w:rPr>
          <w:rFonts w:ascii="Arial" w:cs="Arial" w:eastAsia="Arial" w:hAnsi="Arial"/>
          <w:sz w:val="16"/>
          <w:szCs w:val="16"/>
          <w:color w:val="auto"/>
        </w:rPr>
        <w:t xml:space="preserve">Dispositions of assets that the Company determines in its reasonable judgment to be no longer used or useful in the conduct of the business of the Company or any Subsidiary outside the ordinary course of business (and for consideration complying with the requirements applicable to Dispositions pursuant to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below) in an aggregate amount not to exceed $15,000,000;</w:t>
      </w:r>
    </w:p>
    <w:p>
      <w:pPr>
        <w:spacing w:after="0" w:line="116" w:lineRule="exact"/>
        <w:rPr>
          <w:rFonts w:ascii="Arial" w:cs="Arial" w:eastAsia="Arial" w:hAnsi="Arial"/>
          <w:sz w:val="16"/>
          <w:szCs w:val="16"/>
          <w:color w:val="auto"/>
        </w:rPr>
      </w:pPr>
    </w:p>
    <w:p>
      <w:pPr>
        <w:ind w:left="4" w:firstLine="645"/>
        <w:spacing w:after="0" w:line="316" w:lineRule="auto"/>
        <w:tabs>
          <w:tab w:leader="none" w:pos="1531" w:val="left"/>
        </w:tabs>
        <w:numPr>
          <w:ilvl w:val="1"/>
          <w:numId w:val="320"/>
        </w:numPr>
        <w:rPr>
          <w:rFonts w:ascii="Arial" w:cs="Arial" w:eastAsia="Arial" w:hAnsi="Arial"/>
          <w:sz w:val="19"/>
          <w:szCs w:val="19"/>
          <w:color w:val="auto"/>
        </w:rPr>
      </w:pPr>
      <w:r>
        <w:rPr>
          <w:rFonts w:ascii="Arial" w:cs="Arial" w:eastAsia="Arial" w:hAnsi="Arial"/>
          <w:sz w:val="19"/>
          <w:szCs w:val="19"/>
          <w:color w:val="auto"/>
        </w:rPr>
        <w:t>any swap of assets in exchange for services or other assets of comparable or greater value or usefulness to the business of the Company and the Subsidiaries as a whole, as determined in good faith by the Company;</w:t>
      </w:r>
    </w:p>
    <w:p>
      <w:pPr>
        <w:spacing w:after="0" w:line="153" w:lineRule="exact"/>
        <w:rPr>
          <w:rFonts w:ascii="Arial" w:cs="Arial" w:eastAsia="Arial" w:hAnsi="Arial"/>
          <w:sz w:val="19"/>
          <w:szCs w:val="19"/>
          <w:color w:val="auto"/>
        </w:rPr>
      </w:pPr>
    </w:p>
    <w:p>
      <w:pPr>
        <w:ind w:left="4" w:firstLine="645"/>
        <w:spacing w:after="0" w:line="316" w:lineRule="auto"/>
        <w:tabs>
          <w:tab w:leader="none" w:pos="1531" w:val="left"/>
        </w:tabs>
        <w:numPr>
          <w:ilvl w:val="1"/>
          <w:numId w:val="320"/>
        </w:numPr>
        <w:rPr>
          <w:rFonts w:ascii="Arial" w:cs="Arial" w:eastAsia="Arial" w:hAnsi="Arial"/>
          <w:sz w:val="19"/>
          <w:szCs w:val="19"/>
          <w:color w:val="auto"/>
        </w:rPr>
      </w:pPr>
      <w:r>
        <w:rPr>
          <w:rFonts w:ascii="Arial" w:cs="Arial" w:eastAsia="Arial" w:hAnsi="Arial"/>
          <w:sz w:val="19"/>
          <w:szCs w:val="19"/>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3" w:lineRule="exact"/>
        <w:rPr>
          <w:rFonts w:ascii="Arial" w:cs="Arial" w:eastAsia="Arial" w:hAnsi="Arial"/>
          <w:sz w:val="19"/>
          <w:szCs w:val="19"/>
          <w:color w:val="auto"/>
        </w:rPr>
      </w:pPr>
    </w:p>
    <w:p>
      <w:pPr>
        <w:ind w:left="1524" w:hanging="875"/>
        <w:spacing w:after="0"/>
        <w:tabs>
          <w:tab w:leader="none" w:pos="1524" w:val="left"/>
        </w:tabs>
        <w:numPr>
          <w:ilvl w:val="1"/>
          <w:numId w:val="320"/>
        </w:numPr>
        <w:rPr>
          <w:rFonts w:ascii="Arial" w:cs="Arial" w:eastAsia="Arial" w:hAnsi="Arial"/>
          <w:sz w:val="20"/>
          <w:szCs w:val="20"/>
          <w:color w:val="auto"/>
        </w:rPr>
      </w:pPr>
      <w:r>
        <w:rPr>
          <w:rFonts w:ascii="Arial" w:cs="Arial" w:eastAsia="Arial" w:hAnsi="Arial"/>
          <w:sz w:val="20"/>
          <w:szCs w:val="20"/>
          <w:color w:val="auto"/>
        </w:rPr>
        <w:t>the unwinding of any Swap Contract pursuant to its terms;</w:t>
      </w:r>
    </w:p>
    <w:p>
      <w:pPr>
        <w:spacing w:after="0" w:line="242" w:lineRule="exact"/>
        <w:rPr>
          <w:rFonts w:ascii="Arial" w:cs="Arial" w:eastAsia="Arial" w:hAnsi="Arial"/>
          <w:sz w:val="20"/>
          <w:szCs w:val="20"/>
          <w:color w:val="auto"/>
        </w:rPr>
      </w:pPr>
    </w:p>
    <w:p>
      <w:pPr>
        <w:ind w:left="1524" w:hanging="875"/>
        <w:spacing w:after="0"/>
        <w:tabs>
          <w:tab w:leader="none" w:pos="1524" w:val="left"/>
        </w:tabs>
        <w:numPr>
          <w:ilvl w:val="1"/>
          <w:numId w:val="320"/>
        </w:numPr>
        <w:rPr>
          <w:rFonts w:ascii="Arial" w:cs="Arial" w:eastAsia="Arial" w:hAnsi="Arial"/>
          <w:sz w:val="20"/>
          <w:szCs w:val="20"/>
          <w:color w:val="auto"/>
        </w:rPr>
      </w:pPr>
      <w:r>
        <w:rPr>
          <w:rFonts w:ascii="Arial" w:cs="Arial" w:eastAsia="Arial" w:hAnsi="Arial"/>
          <w:sz w:val="20"/>
          <w:szCs w:val="20"/>
          <w:color w:val="auto"/>
        </w:rPr>
        <w:t>sales or other issuances of Equity Interests in the Company;</w:t>
      </w:r>
    </w:p>
    <w:p>
      <w:pPr>
        <w:spacing w:after="0" w:line="242" w:lineRule="exact"/>
        <w:rPr>
          <w:rFonts w:ascii="Arial" w:cs="Arial" w:eastAsia="Arial" w:hAnsi="Arial"/>
          <w:sz w:val="20"/>
          <w:szCs w:val="20"/>
          <w:color w:val="auto"/>
        </w:rPr>
      </w:pPr>
    </w:p>
    <w:p>
      <w:pPr>
        <w:ind w:left="1504" w:hanging="855"/>
        <w:spacing w:after="0"/>
        <w:tabs>
          <w:tab w:leader="none" w:pos="1504" w:val="left"/>
        </w:tabs>
        <w:numPr>
          <w:ilvl w:val="1"/>
          <w:numId w:val="320"/>
        </w:numPr>
        <w:rPr>
          <w:rFonts w:ascii="Arial" w:cs="Arial" w:eastAsia="Arial" w:hAnsi="Arial"/>
          <w:sz w:val="20"/>
          <w:szCs w:val="20"/>
          <w:color w:val="auto"/>
        </w:rPr>
      </w:pPr>
      <w:r>
        <w:rPr>
          <w:rFonts w:ascii="Arial" w:cs="Arial" w:eastAsia="Arial" w:hAnsi="Arial"/>
          <w:sz w:val="20"/>
          <w:szCs w:val="20"/>
          <w:color w:val="auto"/>
        </w:rPr>
        <w:t xml:space="preserve">Dispositions contemplated as of the Effective Date and listed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05</w:t>
      </w:r>
      <w:r>
        <w:rPr>
          <w:rFonts w:ascii="Arial" w:cs="Arial" w:eastAsia="Arial" w:hAnsi="Arial"/>
          <w:sz w:val="20"/>
          <w:szCs w:val="20"/>
          <w:color w:val="auto"/>
        </w:rPr>
        <w:t>; and</w:t>
      </w:r>
    </w:p>
    <w:p>
      <w:pPr>
        <w:spacing w:after="0" w:line="242" w:lineRule="exact"/>
        <w:rPr>
          <w:rFonts w:ascii="Arial" w:cs="Arial" w:eastAsia="Arial" w:hAnsi="Arial"/>
          <w:sz w:val="20"/>
          <w:szCs w:val="20"/>
          <w:color w:val="auto"/>
        </w:rPr>
      </w:pPr>
    </w:p>
    <w:p>
      <w:pPr>
        <w:jc w:val="both"/>
        <w:ind w:left="4" w:firstLine="645"/>
        <w:spacing w:after="0" w:line="297" w:lineRule="auto"/>
        <w:tabs>
          <w:tab w:leader="none" w:pos="1509" w:val="left"/>
        </w:tabs>
        <w:numPr>
          <w:ilvl w:val="1"/>
          <w:numId w:val="320"/>
        </w:numPr>
        <w:rPr>
          <w:rFonts w:ascii="Arial" w:cs="Arial" w:eastAsia="Arial" w:hAnsi="Arial"/>
          <w:sz w:val="18"/>
          <w:szCs w:val="18"/>
          <w:color w:val="auto"/>
        </w:rPr>
      </w:pPr>
      <w:r>
        <w:rPr>
          <w:rFonts w:ascii="Arial" w:cs="Arial" w:eastAsia="Arial" w:hAnsi="Arial"/>
          <w:sz w:val="18"/>
          <w:szCs w:val="18"/>
          <w:color w:val="auto"/>
        </w:rPr>
        <w:t xml:space="preserve">any other Disposition of assets (including Equity Interests);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total fair market value of the assets subject to any such Disposition or series of related Dispositions is in excess of $7,500,000, it shall be for fair market value (or if not for fair market value, the shortfall is permitted as and treated as an Investment under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04</w:t>
      </w:r>
      <w:r>
        <w:rPr>
          <w:rFonts w:ascii="Arial" w:cs="Arial" w:eastAsia="Arial" w:hAnsi="Arial"/>
          <w:sz w:val="18"/>
          <w:szCs w:val="18"/>
          <w:color w:val="auto"/>
        </w:rPr>
        <w:t xml:space="preserve">), (ii) at least 75% of the total consideration for any such Disposition in excess of $10,000,000 received by the Company and its Subsidiaries is in the form of cash or Permitted Investments, (iii) no Default or Event of Default then exists or would result after giving effect (including pro forma effect) thereto (except if such Disposition is made pursuant to an agreement entered into at a time when no Default or Event of Default exists) and (iv) if the Dispositions since the delivery of the most recent Borrowing Base Certificates results (on a pro forma basis) in a reduction of 10% or more of the Aggregate Borrowing Base (based on the most recent Borrowing Base Certificates delivered to the Administrative Agent), the Borrower Representative shall be required to deliver an updated Aggregate Borrowing Base Certificate, together with an updated Borrowing Base Certificate for each Borrower,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the following shall be deemed to be cash: (A) any liabilities (as shown on the Company’s or such Subsidiary’s most recent balance sheet provided hereunder or in the footnotes thereto) of the Company or such Subsidiary (other than liabilities that are by their terms subordinated to the Obligations) that are assumed by the transferee with respect to the applicable Disposition and for which the Company and its Subsidiaries shall have been validly released by all applicable creditors in writing,</w:t>
      </w:r>
    </w:p>
    <w:p>
      <w:pPr>
        <w:spacing w:after="0" w:line="6" w:lineRule="exact"/>
        <w:rPr>
          <w:rFonts w:ascii="Arial" w:cs="Arial" w:eastAsia="Arial" w:hAnsi="Arial"/>
          <w:sz w:val="18"/>
          <w:szCs w:val="18"/>
          <w:color w:val="auto"/>
        </w:rPr>
      </w:pPr>
    </w:p>
    <w:p>
      <w:pPr>
        <w:jc w:val="both"/>
        <w:ind w:left="4" w:hanging="4"/>
        <w:spacing w:after="0" w:line="278" w:lineRule="auto"/>
        <w:tabs>
          <w:tab w:leader="none" w:pos="349"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any securities received by the Company or such Subsidiary from such transferee that are converted by the Company or such Subsidiary into cash or Permitted Investments (to the extent of the cash or Permitted Investments received in the conversion) within one hundred eighty (180) days following</w:t>
      </w:r>
    </w:p>
    <w:p>
      <w:pPr>
        <w:spacing w:after="0" w:line="200" w:lineRule="exact"/>
        <w:rPr>
          <w:sz w:val="20"/>
          <w:szCs w:val="20"/>
          <w:color w:val="auto"/>
        </w:rPr>
      </w:pPr>
    </w:p>
    <w:p>
      <w:pPr>
        <w:spacing w:after="0" w:line="216"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101</w:t>
      </w:r>
    </w:p>
    <w:p>
      <w:pPr>
        <w:sectPr>
          <w:pgSz w:w="11900" w:h="16838" w:orient="portrait"/>
          <w:cols w:equalWidth="0" w:num="1">
            <w:col w:w="10764"/>
          </w:cols>
          <w:pgMar w:left="896" w:top="811" w:right="239" w:bottom="1440" w:gutter="0" w:footer="0" w:header="0"/>
        </w:sectPr>
      </w:pPr>
    </w:p>
    <w:bookmarkStart w:id="277" w:name="page278"/>
    <w:bookmarkEnd w:id="277"/>
    <w:p>
      <w:pPr>
        <w:jc w:val="both"/>
        <w:ind w:left="660"/>
        <w:spacing w:after="0" w:line="244" w:lineRule="auto"/>
        <w:rPr>
          <w:sz w:val="20"/>
          <w:szCs w:val="20"/>
          <w:color w:val="auto"/>
        </w:rPr>
      </w:pPr>
      <w:r>
        <w:rPr>
          <w:rFonts w:ascii="Arial" w:cs="Arial" w:eastAsia="Arial" w:hAnsi="Arial"/>
          <w:sz w:val="20"/>
          <w:szCs w:val="20"/>
          <w:color w:val="auto"/>
        </w:rPr>
        <w:t>the closing of the applicable Disposition and (C) aggregate non-cash consideration received by the Company or such Subsidiary having an aggregate fair market value (determined in good faith by the Company as of the closing of the applicable Disposition for which such non-cash consideration is received and without giving effect to subsequent changes in value) not to exceed the greater of (x) $30,000,000 and (y) 3% of Consolidated Total Assets at any time since the Effective Date (net of any non-cash consideration converted into cash and Permitted Investments).</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6.06 </w:t>
      </w:r>
      <w:r>
        <w:rPr>
          <w:rFonts w:ascii="Arial" w:cs="Arial" w:eastAsia="Arial" w:hAnsi="Arial"/>
          <w:sz w:val="20"/>
          <w:szCs w:val="20"/>
          <w:u w:val="single" w:color="auto"/>
          <w:color w:val="auto"/>
        </w:rPr>
        <w:t>Sale and Leaseback Transactions</w:t>
      </w:r>
      <w:r>
        <w:rPr>
          <w:rFonts w:ascii="Arial" w:cs="Arial" w:eastAsia="Arial" w:hAnsi="Arial"/>
          <w:sz w:val="20"/>
          <w:szCs w:val="20"/>
          <w:color w:val="auto"/>
        </w:rPr>
        <w:t xml:space="preserve">. No Loan Party will, nor will it permit any Subsidiary to, enter into any Sale and Leaseback Transaction unless (a) any Capital Lease Obligations arising in connection therewith are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and (b) any Liens arising in connection therewith (including Liens deemed to arise in connection with any such Capital Lease Obligations) are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02</w:t>
      </w:r>
      <w:r>
        <w:rPr>
          <w:rFonts w:ascii="Arial" w:cs="Arial" w:eastAsia="Arial" w:hAnsi="Arial"/>
          <w:sz w:val="20"/>
          <w:szCs w:val="20"/>
          <w:color w:val="auto"/>
        </w:rPr>
        <w: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6.07 </w:t>
      </w:r>
      <w:r>
        <w:rPr>
          <w:rFonts w:ascii="Arial" w:cs="Arial" w:eastAsia="Arial" w:hAnsi="Arial"/>
          <w:sz w:val="20"/>
          <w:szCs w:val="20"/>
          <w:u w:val="single" w:color="auto"/>
          <w:color w:val="auto"/>
        </w:rPr>
        <w:t>Swap Agreements.</w:t>
      </w:r>
      <w:r>
        <w:rPr>
          <w:rFonts w:ascii="Arial" w:cs="Arial" w:eastAsia="Arial" w:hAnsi="Arial"/>
          <w:sz w:val="20"/>
          <w:szCs w:val="20"/>
          <w:color w:val="auto"/>
        </w:rPr>
        <w:t xml:space="preserve"> No Loan Party will, nor will it permit any Subsidiary to, enter into any Swap Agreement, except (a) Swap Agreements entered into to hedge or mitigate risks to which the Company or any Subsidiary has actual exposure (other than those in respect of the Equity Interests or Indebtedness of the Company or any Subsidiary), (b) Swap Agreements entered into in order to effectively cap, collar or exchange interest rates (from fixed to floating rates, from one floating rate to another floating rate or otherwise) with respect to any interest-bearing liability or investment of the Company or any Subsidiary and (c) Permitted Call Spread Swap Agreements.</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6.08 </w:t>
      </w:r>
      <w:r>
        <w:rPr>
          <w:rFonts w:ascii="Arial" w:cs="Arial" w:eastAsia="Arial" w:hAnsi="Arial"/>
          <w:sz w:val="20"/>
          <w:szCs w:val="20"/>
          <w:u w:val="single" w:color="auto"/>
          <w:color w:val="auto"/>
        </w:rPr>
        <w:t>Transactions with Affiliates.</w:t>
      </w:r>
      <w:r>
        <w:rPr>
          <w:rFonts w:ascii="Arial" w:cs="Arial" w:eastAsia="Arial" w:hAnsi="Arial"/>
          <w:sz w:val="20"/>
          <w:szCs w:val="20"/>
          <w:color w:val="auto"/>
        </w:rPr>
        <w:t xml:space="preserve"> No Loan Party will, nor will it permit any Subsidiary to, sell, lease or otherwise transfer any assets to, or purchase, lease or otherwise acquire any assets from, or otherwise engage in any other transactions with, any of its Affiliates, except:</w:t>
      </w:r>
    </w:p>
    <w:p>
      <w:pPr>
        <w:spacing w:after="0" w:line="187" w:lineRule="exact"/>
        <w:rPr>
          <w:sz w:val="20"/>
          <w:szCs w:val="20"/>
          <w:color w:val="auto"/>
        </w:rPr>
      </w:pPr>
    </w:p>
    <w:p>
      <w:pPr>
        <w:jc w:val="both"/>
        <w:ind w:left="660" w:firstLine="645"/>
        <w:spacing w:after="0" w:line="322" w:lineRule="auto"/>
        <w:tabs>
          <w:tab w:leader="none" w:pos="2176"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transactions that are at prices and on terms and conditions at least substantially as favorable to the Company or such Subsidiary (or, in the case of a transaction between a Loan Party and a non-Loan Party, at least substantially as favorable to such Loan Party) as those that could be obtained at the time in a comparable arm’s-length transaction with a Person that is not an Affiliate;</w:t>
      </w:r>
    </w:p>
    <w:p>
      <w:pPr>
        <w:spacing w:after="0" w:line="152" w:lineRule="exact"/>
        <w:rPr>
          <w:rFonts w:ascii="Arial" w:cs="Arial" w:eastAsia="Arial" w:hAnsi="Arial"/>
          <w:sz w:val="18"/>
          <w:szCs w:val="18"/>
          <w:color w:val="auto"/>
        </w:rPr>
      </w:pPr>
    </w:p>
    <w:p>
      <w:pPr>
        <w:ind w:left="660" w:firstLine="645"/>
        <w:spacing w:after="0" w:line="347" w:lineRule="auto"/>
        <w:tabs>
          <w:tab w:leader="none" w:pos="2187" w:val="left"/>
        </w:tabs>
        <w:numPr>
          <w:ilvl w:val="1"/>
          <w:numId w:val="322"/>
        </w:numPr>
        <w:rPr>
          <w:rFonts w:ascii="Arial" w:cs="Arial" w:eastAsia="Arial" w:hAnsi="Arial"/>
          <w:sz w:val="18"/>
          <w:szCs w:val="18"/>
          <w:color w:val="auto"/>
        </w:rPr>
      </w:pPr>
      <w:r>
        <w:rPr>
          <w:rFonts w:ascii="Arial" w:cs="Arial" w:eastAsia="Arial" w:hAnsi="Arial"/>
          <w:sz w:val="18"/>
          <w:szCs w:val="18"/>
          <w:color w:val="auto"/>
        </w:rPr>
        <w:t>transactions between or among the Company and the other Loan Parties or any Person that becomes a Loan Party as a result of or in connection with such loan or other transaction to the extent permitted hereunder and not involving any other Affiliate;</w:t>
      </w:r>
    </w:p>
    <w:p>
      <w:pPr>
        <w:spacing w:after="0" w:line="130" w:lineRule="exact"/>
        <w:rPr>
          <w:rFonts w:ascii="Arial" w:cs="Arial" w:eastAsia="Arial" w:hAnsi="Arial"/>
          <w:sz w:val="18"/>
          <w:szCs w:val="18"/>
          <w:color w:val="auto"/>
        </w:rPr>
      </w:pPr>
    </w:p>
    <w:p>
      <w:pPr>
        <w:ind w:left="2180" w:hanging="875"/>
        <w:spacing w:after="0"/>
        <w:tabs>
          <w:tab w:leader="none" w:pos="218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 transactions between or among Subsidiaries that are not Loan Parties and not involving any other Affiliate and</w:t>
      </w:r>
    </w:p>
    <w:p>
      <w:pPr>
        <w:spacing w:after="0" w:line="49" w:lineRule="exact"/>
        <w:rPr>
          <w:rFonts w:ascii="Arial" w:cs="Arial" w:eastAsia="Arial" w:hAnsi="Arial"/>
          <w:sz w:val="18"/>
          <w:szCs w:val="18"/>
          <w:color w:val="auto"/>
        </w:rPr>
      </w:pPr>
    </w:p>
    <w:p>
      <w:pPr>
        <w:ind w:left="940" w:hanging="284"/>
        <w:spacing w:after="0"/>
        <w:tabs>
          <w:tab w:leader="none" w:pos="94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transactions between any Loan Party and any Subsidiary that is not a Loan Party to the extent permitted hereunder;</w:t>
      </w:r>
    </w:p>
    <w:p>
      <w:pPr>
        <w:spacing w:after="0" w:line="242" w:lineRule="exact"/>
        <w:rPr>
          <w:rFonts w:ascii="Arial" w:cs="Arial" w:eastAsia="Arial" w:hAnsi="Arial"/>
          <w:sz w:val="20"/>
          <w:szCs w:val="20"/>
          <w:color w:val="auto"/>
        </w:rPr>
      </w:pPr>
    </w:p>
    <w:p>
      <w:pPr>
        <w:ind w:left="2180" w:hanging="875"/>
        <w:spacing w:after="0"/>
        <w:tabs>
          <w:tab w:leader="none" w:pos="2180" w:val="left"/>
        </w:tabs>
        <w:numPr>
          <w:ilvl w:val="1"/>
          <w:numId w:val="323"/>
        </w:numPr>
        <w:rPr>
          <w:rFonts w:ascii="Arial" w:cs="Arial" w:eastAsia="Arial" w:hAnsi="Arial"/>
          <w:sz w:val="20"/>
          <w:szCs w:val="20"/>
          <w:color w:val="auto"/>
        </w:rPr>
      </w:pPr>
      <w:r>
        <w:rPr>
          <w:rFonts w:ascii="Arial" w:cs="Arial" w:eastAsia="Arial" w:hAnsi="Arial"/>
          <w:sz w:val="20"/>
          <w:szCs w:val="20"/>
          <w:color w:val="auto"/>
        </w:rPr>
        <w:t xml:space="preserve">any Investment (including loans or advances to employees) permitted under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04</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645"/>
        <w:spacing w:after="0" w:line="289" w:lineRule="auto"/>
        <w:tabs>
          <w:tab w:leader="none" w:pos="2176" w:val="left"/>
        </w:tabs>
        <w:numPr>
          <w:ilvl w:val="1"/>
          <w:numId w:val="323"/>
        </w:numPr>
        <w:rPr>
          <w:rFonts w:ascii="Arial" w:cs="Arial" w:eastAsia="Arial" w:hAnsi="Arial"/>
          <w:sz w:val="20"/>
          <w:szCs w:val="20"/>
          <w:color w:val="auto"/>
        </w:rPr>
      </w:pPr>
      <w:r>
        <w:rPr>
          <w:rFonts w:ascii="Arial" w:cs="Arial" w:eastAsia="Arial" w:hAnsi="Arial"/>
          <w:sz w:val="20"/>
          <w:szCs w:val="20"/>
          <w:color w:val="auto"/>
        </w:rPr>
        <w:t>the payment of reasonable fees to directors of the Company or any Subsidiary who are not employees of the Company or any Subsidiary;</w:t>
      </w:r>
    </w:p>
    <w:p>
      <w:pPr>
        <w:spacing w:after="0" w:line="175" w:lineRule="exact"/>
        <w:rPr>
          <w:rFonts w:ascii="Arial" w:cs="Arial" w:eastAsia="Arial" w:hAnsi="Arial"/>
          <w:sz w:val="20"/>
          <w:szCs w:val="20"/>
          <w:color w:val="auto"/>
        </w:rPr>
      </w:pPr>
    </w:p>
    <w:p>
      <w:pPr>
        <w:jc w:val="both"/>
        <w:ind w:left="660" w:firstLine="645"/>
        <w:spacing w:after="0" w:line="322" w:lineRule="auto"/>
        <w:tabs>
          <w:tab w:leader="none" w:pos="215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compensation, expense reimbursement and indemnification of, and other employment arrangements (including severance arrangements and health, disability and similar insurance or benefit plans) with, directors, officers, managers, employees and consultants of the Company or any Subsidiary entered into in the ordinary course of business and transactions pursuant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1420"/>
          </w:cols>
          <w:pgMar w:left="240" w:top="812" w:right="239" w:bottom="1440" w:gutter="0" w:footer="0" w:header="0"/>
        </w:sectPr>
      </w:pPr>
    </w:p>
    <w:bookmarkStart w:id="278" w:name="page279"/>
    <w:bookmarkEnd w:id="278"/>
    <w:p>
      <w:pPr>
        <w:ind w:left="660"/>
        <w:spacing w:after="0"/>
        <w:rPr>
          <w:sz w:val="20"/>
          <w:szCs w:val="20"/>
          <w:color w:val="auto"/>
        </w:rPr>
      </w:pPr>
      <w:r>
        <w:rPr>
          <w:rFonts w:ascii="Arial" w:cs="Arial" w:eastAsia="Arial" w:hAnsi="Arial"/>
          <w:sz w:val="20"/>
          <w:szCs w:val="20"/>
          <w:color w:val="auto"/>
        </w:rPr>
        <w:t>to equity-based plans and employee benefit plans and arrangements in the ordinary course of business;</w:t>
      </w:r>
    </w:p>
    <w:p>
      <w:pPr>
        <w:spacing w:after="0" w:line="229" w:lineRule="exact"/>
        <w:rPr>
          <w:sz w:val="20"/>
          <w:szCs w:val="20"/>
          <w:color w:val="auto"/>
        </w:rPr>
      </w:pPr>
    </w:p>
    <w:p>
      <w:pPr>
        <w:ind w:left="2180" w:hanging="875"/>
        <w:spacing w:after="0"/>
        <w:tabs>
          <w:tab w:leader="none" w:pos="218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 xml:space="preserve">any Restricted Payment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firstLine="645"/>
        <w:spacing w:after="0" w:line="289" w:lineRule="auto"/>
        <w:tabs>
          <w:tab w:leader="none" w:pos="2187"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any issuance or sale of Equity Interests to, and any repurchase, retirement, redemption or other acquisition or retirement of Equity Interests owned by, Affiliates to the extent not prohibited under this Agreement;</w:t>
      </w:r>
    </w:p>
    <w:p>
      <w:pPr>
        <w:spacing w:after="0" w:line="175" w:lineRule="exact"/>
        <w:rPr>
          <w:rFonts w:ascii="Arial" w:cs="Arial" w:eastAsia="Arial" w:hAnsi="Arial"/>
          <w:sz w:val="20"/>
          <w:szCs w:val="20"/>
          <w:color w:val="auto"/>
        </w:rPr>
      </w:pPr>
    </w:p>
    <w:p>
      <w:pPr>
        <w:ind w:left="660" w:right="20" w:firstLine="645"/>
        <w:spacing w:after="0" w:line="347" w:lineRule="auto"/>
        <w:tabs>
          <w:tab w:leader="none" w:pos="2143"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any payments or other transactions pursuant to any tax sharing agreement among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tax sharing agreement is on arm’s-length terms usual and customary for agreements of that type;</w:t>
      </w:r>
    </w:p>
    <w:p>
      <w:pPr>
        <w:spacing w:after="0" w:line="130" w:lineRule="exact"/>
        <w:rPr>
          <w:rFonts w:ascii="Arial" w:cs="Arial" w:eastAsia="Arial" w:hAnsi="Arial"/>
          <w:sz w:val="18"/>
          <w:szCs w:val="18"/>
          <w:color w:val="auto"/>
        </w:rPr>
      </w:pPr>
    </w:p>
    <w:p>
      <w:pPr>
        <w:ind w:left="2140" w:hanging="835"/>
        <w:spacing w:after="0"/>
        <w:tabs>
          <w:tab w:leader="none" w:pos="214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consummation of the Transactions and the payment of the Transaction Costs;</w:t>
      </w:r>
    </w:p>
    <w:p>
      <w:pPr>
        <w:spacing w:after="0" w:line="242" w:lineRule="exact"/>
        <w:rPr>
          <w:rFonts w:ascii="Arial" w:cs="Arial" w:eastAsia="Arial" w:hAnsi="Arial"/>
          <w:sz w:val="20"/>
          <w:szCs w:val="20"/>
          <w:color w:val="auto"/>
        </w:rPr>
      </w:pPr>
    </w:p>
    <w:p>
      <w:pPr>
        <w:jc w:val="both"/>
        <w:ind w:left="660" w:firstLine="645"/>
        <w:spacing w:after="0" w:line="278" w:lineRule="auto"/>
        <w:tabs>
          <w:tab w:leader="none" w:pos="2187"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the payment of customary fees and reasonable out of pocket costs to, and indemnities provided on behalf of, directors, officers, managers, employees and consultants of the Company or any Subsidiary in the ordinary course of business to the extent attributable to the ownership or operation of the Company and its Subsidiaries;</w:t>
      </w:r>
    </w:p>
    <w:p>
      <w:pPr>
        <w:spacing w:after="0" w:line="186" w:lineRule="exact"/>
        <w:rPr>
          <w:rFonts w:ascii="Arial" w:cs="Arial" w:eastAsia="Arial" w:hAnsi="Arial"/>
          <w:sz w:val="20"/>
          <w:szCs w:val="20"/>
          <w:color w:val="auto"/>
        </w:rPr>
      </w:pPr>
    </w:p>
    <w:p>
      <w:pPr>
        <w:ind w:left="660" w:firstLine="645"/>
        <w:spacing w:after="0" w:line="289" w:lineRule="auto"/>
        <w:tabs>
          <w:tab w:leader="none" w:pos="2143" w:val="left"/>
        </w:tabs>
        <w:numPr>
          <w:ilvl w:val="0"/>
          <w:numId w:val="324"/>
        </w:numPr>
        <w:rPr>
          <w:rFonts w:ascii="Arial" w:cs="Arial" w:eastAsia="Arial" w:hAnsi="Arial"/>
          <w:sz w:val="20"/>
          <w:szCs w:val="20"/>
          <w:color w:val="auto"/>
        </w:rPr>
      </w:pPr>
      <w:r>
        <w:rPr>
          <w:rFonts w:ascii="Arial" w:cs="Arial" w:eastAsia="Arial" w:hAnsi="Arial"/>
          <w:sz w:val="20"/>
          <w:szCs w:val="20"/>
          <w:color w:val="auto"/>
        </w:rPr>
        <w:t xml:space="preserve">transactions pursuant to agreements in existence on the Effective Date and set forth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08</w:t>
      </w:r>
      <w:r>
        <w:rPr>
          <w:rFonts w:ascii="Arial" w:cs="Arial" w:eastAsia="Arial" w:hAnsi="Arial"/>
          <w:sz w:val="20"/>
          <w:szCs w:val="20"/>
          <w:color w:val="auto"/>
        </w:rPr>
        <w:t xml:space="preserve"> or any amendment thereto to the extent such an amendment is not adverse to the Lenders in any material respect;</w:t>
      </w:r>
    </w:p>
    <w:p>
      <w:pPr>
        <w:spacing w:after="0" w:line="175" w:lineRule="exact"/>
        <w:rPr>
          <w:rFonts w:ascii="Arial" w:cs="Arial" w:eastAsia="Arial" w:hAnsi="Arial"/>
          <w:sz w:val="20"/>
          <w:szCs w:val="20"/>
          <w:color w:val="auto"/>
        </w:rPr>
      </w:pPr>
    </w:p>
    <w:p>
      <w:pPr>
        <w:ind w:left="660" w:firstLine="645"/>
        <w:spacing w:after="0" w:line="289" w:lineRule="auto"/>
        <w:tabs>
          <w:tab w:leader="none" w:pos="2242"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 joint venture which would constitute a transaction with an Affiliate solely as a result of the Company or any Subsidiary owning an equity interest or otherwise controlling such joint venture or similar entity;</w:t>
      </w:r>
    </w:p>
    <w:p>
      <w:pPr>
        <w:spacing w:after="0" w:line="175" w:lineRule="exact"/>
        <w:rPr>
          <w:rFonts w:ascii="Arial" w:cs="Arial" w:eastAsia="Arial" w:hAnsi="Arial"/>
          <w:sz w:val="20"/>
          <w:szCs w:val="20"/>
          <w:color w:val="auto"/>
        </w:rPr>
      </w:pPr>
    </w:p>
    <w:p>
      <w:pPr>
        <w:jc w:val="both"/>
        <w:ind w:left="660" w:firstLine="645"/>
        <w:spacing w:after="0" w:line="272" w:lineRule="auto"/>
        <w:tabs>
          <w:tab w:leader="none" w:pos="2187" w:val="left"/>
        </w:tabs>
        <w:numPr>
          <w:ilvl w:val="0"/>
          <w:numId w:val="324"/>
        </w:numPr>
        <w:rPr>
          <w:rFonts w:ascii="Arial" w:cs="Arial" w:eastAsia="Arial" w:hAnsi="Arial"/>
          <w:sz w:val="20"/>
          <w:szCs w:val="20"/>
          <w:color w:val="auto"/>
        </w:rPr>
      </w:pPr>
      <w:r>
        <w:rPr>
          <w:rFonts w:ascii="Arial" w:cs="Arial" w:eastAsia="Arial" w:hAnsi="Arial"/>
          <w:sz w:val="20"/>
          <w:szCs w:val="20"/>
          <w:color w:val="auto"/>
        </w:rPr>
        <w:t>transactions with joint ventures, customers, suppliers, contractors, joint venture partners (including physicians) or purchasers or sellers of goods or services, in each case which are in the ordinary course of business (including pursuant to joint venture agreements) and otherwise in compliance with the terms of the Loan Documents, and which are fair to the Company or its applicable Subsidiaries in the reasonable determination of the board of directors, chief executive officer or chief financial officer of the Company or its Subsidiaries, as applicable, or are on terms at least as favorable as might reasonably have been obtained at such time from an unaffiliated party;</w:t>
      </w:r>
    </w:p>
    <w:p>
      <w:pPr>
        <w:spacing w:after="0" w:line="191" w:lineRule="exact"/>
        <w:rPr>
          <w:rFonts w:ascii="Arial" w:cs="Arial" w:eastAsia="Arial" w:hAnsi="Arial"/>
          <w:sz w:val="20"/>
          <w:szCs w:val="20"/>
          <w:color w:val="auto"/>
        </w:rPr>
      </w:pPr>
    </w:p>
    <w:p>
      <w:pPr>
        <w:ind w:left="660" w:firstLine="645"/>
        <w:spacing w:after="0" w:line="347" w:lineRule="auto"/>
        <w:tabs>
          <w:tab w:leader="none" w:pos="2187"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existing Indebtedness and any other obligations otherwise permitted hereunder pursuant to an agreement existing on the Effective Date as set forth on </w:t>
      </w:r>
      <w:r>
        <w:rPr>
          <w:rFonts w:ascii="Arial" w:cs="Arial" w:eastAsia="Arial" w:hAnsi="Arial"/>
          <w:sz w:val="18"/>
          <w:szCs w:val="18"/>
          <w:u w:val="single" w:color="auto"/>
          <w:color w:val="auto"/>
        </w:rPr>
        <w:t>Schedule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xml:space="preserve">, as such agreement may be amended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01</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jc w:val="both"/>
        <w:ind w:left="660" w:firstLine="645"/>
        <w:spacing w:after="0" w:line="278" w:lineRule="auto"/>
        <w:tabs>
          <w:tab w:leader="none" w:pos="2187"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any lease or sublease entered into between the Company or any Subsidiary, as lessee, and any Affiliate of the Company, as lessor or sublessor, which is approved by a majority of the disinterested members of the board of directors of the Company in good faith.</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20"/>
          <w:szCs w:val="20"/>
          <w:color w:val="auto"/>
        </w:rPr>
        <w:t xml:space="preserve">SECTION 6.09 </w:t>
      </w:r>
      <w:r>
        <w:rPr>
          <w:rFonts w:ascii="Arial" w:cs="Arial" w:eastAsia="Arial" w:hAnsi="Arial"/>
          <w:sz w:val="20"/>
          <w:szCs w:val="20"/>
          <w:u w:val="single" w:color="auto"/>
          <w:color w:val="auto"/>
        </w:rPr>
        <w:t>Restricted Payments</w:t>
      </w:r>
      <w:r>
        <w:rPr>
          <w:rFonts w:ascii="Arial" w:cs="Arial" w:eastAsia="Arial" w:hAnsi="Arial"/>
          <w:sz w:val="20"/>
          <w:szCs w:val="20"/>
          <w:color w:val="auto"/>
        </w:rPr>
        <w:t>. No Loan Party will, nor will it permit any Subsidiary to, will declare or make, directly or indirectly, any Restricted Payment, or incur any obligation (contingent or otherwise) to do so, except that: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1420"/>
          </w:cols>
          <w:pgMar w:left="240" w:top="812" w:right="239" w:bottom="1440" w:gutter="0" w:footer="0" w:header="0"/>
        </w:sectPr>
      </w:pPr>
    </w:p>
    <w:bookmarkStart w:id="279" w:name="page280"/>
    <w:bookmarkEnd w:id="279"/>
    <w:p>
      <w:pPr>
        <w:ind w:firstLine="656"/>
        <w:spacing w:after="0" w:line="316" w:lineRule="auto"/>
        <w:tabs>
          <w:tab w:leader="none" w:pos="1516" w:val="left"/>
        </w:tabs>
        <w:numPr>
          <w:ilvl w:val="0"/>
          <w:numId w:val="325"/>
        </w:numPr>
        <w:rPr>
          <w:rFonts w:ascii="Arial" w:cs="Arial" w:eastAsia="Arial" w:hAnsi="Arial"/>
          <w:sz w:val="19"/>
          <w:szCs w:val="19"/>
          <w:color w:val="auto"/>
        </w:rPr>
      </w:pPr>
      <w:r>
        <w:rPr>
          <w:rFonts w:ascii="Arial" w:cs="Arial" w:eastAsia="Arial" w:hAnsi="Arial"/>
          <w:sz w:val="19"/>
          <w:szCs w:val="19"/>
          <w:color w:val="auto"/>
        </w:rPr>
        <w:t>any Subsidiary may declare and pay dividends or make other distributions with respect to its Equity Interests, in each case ratably to the holders of such Equity Interests (or if not ratably, on a basis more favorable to the Company and the Loan Parties);</w:t>
      </w:r>
    </w:p>
    <w:p>
      <w:pPr>
        <w:spacing w:after="0" w:line="153" w:lineRule="exact"/>
        <w:rPr>
          <w:rFonts w:ascii="Arial" w:cs="Arial" w:eastAsia="Arial" w:hAnsi="Arial"/>
          <w:sz w:val="19"/>
          <w:szCs w:val="19"/>
          <w:color w:val="auto"/>
        </w:rPr>
      </w:pPr>
    </w:p>
    <w:p>
      <w:pPr>
        <w:ind w:right="20" w:firstLine="656"/>
        <w:spacing w:after="0" w:line="289" w:lineRule="auto"/>
        <w:tabs>
          <w:tab w:leader="none" w:pos="1527"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Company may declare and pay dividends with respect to its Equity Interests payable solely in shares of Qualified Equity Interests of the Company;</w:t>
      </w:r>
    </w:p>
    <w:p>
      <w:pPr>
        <w:spacing w:after="0" w:line="175" w:lineRule="exact"/>
        <w:rPr>
          <w:rFonts w:ascii="Arial" w:cs="Arial" w:eastAsia="Arial" w:hAnsi="Arial"/>
          <w:sz w:val="20"/>
          <w:szCs w:val="20"/>
          <w:color w:val="auto"/>
        </w:rPr>
      </w:pPr>
    </w:p>
    <w:p>
      <w:pPr>
        <w:jc w:val="both"/>
        <w:ind w:firstLine="656"/>
        <w:spacing w:after="0" w:line="305" w:lineRule="auto"/>
        <w:tabs>
          <w:tab w:leader="none" w:pos="151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the Company may repurchase, purchase, acquire, cancel or retire for value Equity Interests of the Company from present or former employees, officers, directors or consultants (or their estates or beneficiaries under their estates) of the Company or any Subsidiary upon the death, disability, retirement or termination of employment or service of such employees, officers, directors or consultants, or to the extent required, pursuant to employee benefit plans, employment agreements, stock purchase agreements or stock purchase plans, or other benefit plans; provided that the aggregate amount of Restricted Payments made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09(c)</w:t>
      </w:r>
      <w:r>
        <w:rPr>
          <w:rFonts w:ascii="Arial" w:cs="Arial" w:eastAsia="Arial" w:hAnsi="Arial"/>
          <w:sz w:val="18"/>
          <w:szCs w:val="18"/>
          <w:color w:val="auto"/>
        </w:rPr>
        <w:t xml:space="preserve"> shall not exceed $5,000,000 in any fiscal year (with unused amounts in any calendar year being carried over to succeeding calendar years subject to a maximum of $10,000,000;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amount in any calendar year may be increased by an amount not to exceed:</w:t>
      </w:r>
    </w:p>
    <w:p>
      <w:pPr>
        <w:spacing w:after="0" w:line="170" w:lineRule="exact"/>
        <w:rPr>
          <w:rFonts w:ascii="Arial" w:cs="Arial" w:eastAsia="Arial" w:hAnsi="Arial"/>
          <w:sz w:val="18"/>
          <w:szCs w:val="18"/>
          <w:color w:val="auto"/>
        </w:rPr>
      </w:pPr>
    </w:p>
    <w:p>
      <w:pPr>
        <w:jc w:val="both"/>
        <w:ind w:left="1380" w:firstLine="654"/>
        <w:spacing w:after="0" w:line="314" w:lineRule="auto"/>
        <w:tabs>
          <w:tab w:leader="none" w:pos="290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the net cash proceeds from the sale of Equity Interests (other than Disqualified Equity Interests) of the Company or any Subsidiary to members of management, managers, directors or consultants of the Company or any Subsidiary that occurs after the Effective Date, to the extent net cash proceeds from the sale of such Equity Interests have not otherwise been applied to the payment of Restricted Payments by virtue of clause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09(b)</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r>
        <w:rPr>
          <w:rFonts w:ascii="Arial" w:cs="Arial" w:eastAsia="Arial" w:hAnsi="Arial"/>
          <w:sz w:val="18"/>
          <w:szCs w:val="18"/>
          <w:u w:val="single" w:color="auto"/>
          <w:color w:val="auto"/>
        </w:rPr>
        <w:t>09(c)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159" w:lineRule="exact"/>
        <w:rPr>
          <w:rFonts w:ascii="Arial" w:cs="Arial" w:eastAsia="Arial" w:hAnsi="Arial"/>
          <w:sz w:val="18"/>
          <w:szCs w:val="18"/>
          <w:color w:val="auto"/>
        </w:rPr>
      </w:pPr>
    </w:p>
    <w:p>
      <w:pPr>
        <w:ind w:left="2940" w:hanging="906"/>
        <w:spacing w:after="0"/>
        <w:tabs>
          <w:tab w:leader="none" w:pos="2940" w:val="left"/>
        </w:tabs>
        <w:numPr>
          <w:ilvl w:val="1"/>
          <w:numId w:val="325"/>
        </w:numPr>
        <w:rPr>
          <w:rFonts w:ascii="Arial" w:cs="Arial" w:eastAsia="Arial" w:hAnsi="Arial"/>
          <w:sz w:val="18"/>
          <w:szCs w:val="18"/>
          <w:color w:val="auto"/>
        </w:rPr>
      </w:pPr>
      <w:r>
        <w:rPr>
          <w:rFonts w:ascii="Arial" w:cs="Arial" w:eastAsia="Arial" w:hAnsi="Arial"/>
          <w:sz w:val="18"/>
          <w:szCs w:val="18"/>
          <w:color w:val="auto"/>
        </w:rPr>
        <w:t xml:space="preserve">the net cash proceeds of key man life insurance policies received by the Company or any Subsidiary; </w:t>
      </w:r>
      <w:r>
        <w:rPr>
          <w:rFonts w:ascii="Arial" w:cs="Arial" w:eastAsia="Arial" w:hAnsi="Arial"/>
          <w:sz w:val="18"/>
          <w:szCs w:val="18"/>
          <w:u w:val="single" w:color="auto"/>
          <w:color w:val="auto"/>
        </w:rPr>
        <w:t>less</w:t>
      </w:r>
    </w:p>
    <w:p>
      <w:pPr>
        <w:spacing w:after="0" w:line="265" w:lineRule="exact"/>
        <w:rPr>
          <w:rFonts w:ascii="Arial" w:cs="Arial" w:eastAsia="Arial" w:hAnsi="Arial"/>
          <w:sz w:val="18"/>
          <w:szCs w:val="18"/>
          <w:color w:val="auto"/>
        </w:rPr>
      </w:pPr>
    </w:p>
    <w:p>
      <w:pPr>
        <w:ind w:left="1380" w:firstLine="654"/>
        <w:spacing w:after="0" w:line="289" w:lineRule="auto"/>
        <w:tabs>
          <w:tab w:leader="none" w:pos="2944" w:val="left"/>
        </w:tabs>
        <w:numPr>
          <w:ilvl w:val="1"/>
          <w:numId w:val="325"/>
        </w:numPr>
        <w:rPr>
          <w:rFonts w:ascii="Arial" w:cs="Arial" w:eastAsia="Arial" w:hAnsi="Arial"/>
          <w:sz w:val="20"/>
          <w:szCs w:val="20"/>
          <w:color w:val="auto"/>
        </w:rPr>
      </w:pPr>
      <w:r>
        <w:rPr>
          <w:rFonts w:ascii="Arial" w:cs="Arial" w:eastAsia="Arial" w:hAnsi="Arial"/>
          <w:sz w:val="20"/>
          <w:szCs w:val="20"/>
          <w:color w:val="auto"/>
        </w:rPr>
        <w:t xml:space="preserve">the amount of any Restricted Payments previously made with the cash proceeds described in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09(c)</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Company may make cash payments in lieu of the issuance of fractional shares representing insignificant interests in the Company in connection with (i) the exercise of warrants, options or other securities convertible into or exchangeable for Equity Interests in the Company and (ii) any dividend, split or combination thereof or any Permitted Acquisition;</w:t>
      </w:r>
    </w:p>
    <w:p>
      <w:pPr>
        <w:spacing w:after="0" w:line="186" w:lineRule="exact"/>
        <w:rPr>
          <w:rFonts w:ascii="Arial" w:cs="Arial" w:eastAsia="Arial" w:hAnsi="Arial"/>
          <w:sz w:val="20"/>
          <w:szCs w:val="20"/>
          <w:color w:val="auto"/>
        </w:rPr>
      </w:pPr>
    </w:p>
    <w:p>
      <w:pPr>
        <w:jc w:val="both"/>
        <w:ind w:firstLine="656"/>
        <w:spacing w:after="0" w:line="274" w:lineRule="auto"/>
        <w:tabs>
          <w:tab w:leader="none" w:pos="1516" w:val="left"/>
        </w:tabs>
        <w:numPr>
          <w:ilvl w:val="0"/>
          <w:numId w:val="325"/>
        </w:numPr>
        <w:rPr>
          <w:rFonts w:ascii="Arial" w:cs="Arial" w:eastAsia="Arial" w:hAnsi="Arial"/>
          <w:sz w:val="20"/>
          <w:szCs w:val="20"/>
          <w:color w:val="auto"/>
        </w:rPr>
      </w:pPr>
      <w:r>
        <w:rPr>
          <w:rFonts w:ascii="Arial" w:cs="Arial" w:eastAsia="Arial" w:hAnsi="Arial"/>
          <w:sz w:val="20"/>
          <w:szCs w:val="20"/>
          <w:color w:val="auto"/>
        </w:rPr>
        <w:t>the Company may acquire Equity Interests of the Company upon the exercise of stock options for such Equity Interests of the Company if such Equity Interests represent a portion of the exercise price of such stock options or in connection with tax withholding obligations arising in connection with the exercise of options by, or the vesting of restricted Equity Interests held by, any current or former director, officer or employee of the Company or its Subsidiaries;</w:t>
      </w:r>
    </w:p>
    <w:p>
      <w:pPr>
        <w:spacing w:after="0" w:line="192" w:lineRule="exact"/>
        <w:rPr>
          <w:rFonts w:ascii="Arial" w:cs="Arial" w:eastAsia="Arial" w:hAnsi="Arial"/>
          <w:sz w:val="20"/>
          <w:szCs w:val="20"/>
          <w:color w:val="auto"/>
        </w:rPr>
      </w:pPr>
    </w:p>
    <w:p>
      <w:pPr>
        <w:ind w:left="1500" w:hanging="844"/>
        <w:spacing w:after="0"/>
        <w:tabs>
          <w:tab w:leader="none" w:pos="15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 may convert or exchange any Equity Interests of the Company for or into Qualified Equity Interests of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242" w:lineRule="exact"/>
        <w:rPr>
          <w:rFonts w:ascii="Arial" w:cs="Arial" w:eastAsia="Arial" w:hAnsi="Arial"/>
          <w:sz w:val="18"/>
          <w:szCs w:val="18"/>
          <w:color w:val="auto"/>
        </w:rPr>
      </w:pPr>
    </w:p>
    <w:p>
      <w:pPr>
        <w:jc w:val="both"/>
        <w:ind w:firstLine="656"/>
        <w:spacing w:after="0" w:line="293" w:lineRule="auto"/>
        <w:tabs>
          <w:tab w:leader="none" w:pos="1527" w:val="left"/>
        </w:tabs>
        <w:numPr>
          <w:ilvl w:val="0"/>
          <w:numId w:val="325"/>
        </w:numPr>
        <w:rPr>
          <w:rFonts w:ascii="Arial" w:cs="Arial" w:eastAsia="Arial" w:hAnsi="Arial"/>
          <w:sz w:val="19"/>
          <w:szCs w:val="19"/>
          <w:color w:val="auto"/>
        </w:rPr>
      </w:pPr>
      <w:r>
        <w:rPr>
          <w:rFonts w:ascii="Arial" w:cs="Arial" w:eastAsia="Arial" w:hAnsi="Arial"/>
          <w:sz w:val="19"/>
          <w:szCs w:val="19"/>
          <w:color w:val="auto"/>
        </w:rPr>
        <w:t>the Company and its Subsidiaries may declare or make, or agree to pay or make, directly or indirectly, any other Restricted Payments (whether or not of a type described in the other paragraphs of this Section 6.09) so long as, both immediately before and after giving effect (including pro forma effect) to such Restricted Payment (x) no Default or Event of Default shall have occurred and be continuing and (y) the Payment Condition shall be satisfied with respect to such Restricted 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ectPr>
          <w:pgSz w:w="11900" w:h="16838" w:orient="portrait"/>
          <w:cols w:equalWidth="0" w:num="1">
            <w:col w:w="11420"/>
          </w:cols>
          <w:pgMar w:left="240" w:top="825" w:right="239" w:bottom="1440" w:gutter="0" w:footer="0" w:header="0"/>
        </w:sectPr>
      </w:pPr>
    </w:p>
    <w:bookmarkStart w:id="280" w:name="page281"/>
    <w:bookmarkEnd w:id="280"/>
    <w:p>
      <w:pPr>
        <w:ind w:firstLine="656"/>
        <w:spacing w:after="0" w:line="421" w:lineRule="auto"/>
        <w:tabs>
          <w:tab w:leader="none" w:pos="1527" w:val="left"/>
        </w:tabs>
        <w:numPr>
          <w:ilvl w:val="0"/>
          <w:numId w:val="326"/>
        </w:numPr>
        <w:rPr>
          <w:rFonts w:ascii="Arial" w:cs="Arial" w:eastAsia="Arial" w:hAnsi="Arial"/>
          <w:sz w:val="16"/>
          <w:szCs w:val="16"/>
          <w:color w:val="auto"/>
        </w:rPr>
      </w:pPr>
      <w:r>
        <w:rPr>
          <w:rFonts w:ascii="Arial" w:cs="Arial" w:eastAsia="Arial" w:hAnsi="Arial"/>
          <w:sz w:val="16"/>
          <w:szCs w:val="16"/>
          <w:color w:val="auto"/>
        </w:rPr>
        <w:t xml:space="preserve">the Company may make Restricted Payments within sixty (60) days after the date of declaration thereof, if at the date of declaration of such Restricted Payments, such Restricted Payments would have been permitted pursuant to another clause of this </w:t>
      </w:r>
      <w:r>
        <w:rPr>
          <w:rFonts w:ascii="Arial" w:cs="Arial" w:eastAsia="Arial" w:hAnsi="Arial"/>
          <w:sz w:val="16"/>
          <w:szCs w:val="16"/>
          <w:u w:val="single" w:color="auto"/>
          <w:color w:val="auto"/>
        </w:rPr>
        <w:t>Section 6</w:t>
      </w:r>
      <w:r>
        <w:rPr>
          <w:rFonts w:ascii="Arial" w:cs="Arial" w:eastAsia="Arial" w:hAnsi="Arial"/>
          <w:sz w:val="16"/>
          <w:szCs w:val="16"/>
          <w:color w:val="auto"/>
        </w:rPr>
        <w:t>.</w:t>
      </w:r>
      <w:r>
        <w:rPr>
          <w:rFonts w:ascii="Arial" w:cs="Arial" w:eastAsia="Arial" w:hAnsi="Arial"/>
          <w:sz w:val="16"/>
          <w:szCs w:val="16"/>
          <w:u w:val="single" w:color="auto"/>
          <w:color w:val="auto"/>
        </w:rPr>
        <w:t>09</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1500" w:hanging="844"/>
        <w:spacing w:after="0"/>
        <w:tabs>
          <w:tab w:leader="none" w:pos="150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Company and its Subsidiaries may make Restricted Payments to effect the Transactions; and</w:t>
      </w:r>
    </w:p>
    <w:p>
      <w:pPr>
        <w:spacing w:after="0" w:line="229" w:lineRule="exact"/>
        <w:rPr>
          <w:rFonts w:ascii="Arial" w:cs="Arial" w:eastAsia="Arial" w:hAnsi="Arial"/>
          <w:sz w:val="20"/>
          <w:szCs w:val="20"/>
          <w:color w:val="auto"/>
        </w:rPr>
      </w:pPr>
    </w:p>
    <w:p>
      <w:pPr>
        <w:jc w:val="both"/>
        <w:ind w:firstLine="656"/>
        <w:spacing w:after="0" w:line="244" w:lineRule="auto"/>
        <w:tabs>
          <w:tab w:leader="none" w:pos="1139"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Company and its Subsidiaries may declare or make, or agree to pay or make, directly or indirectly, any other Restricted Payments (whether or not of the type described in the other paragraphs of this Section 6.09) so long as (i) both immediately before and after giving effect (including pro forma effect) to such Restricted Payments, no Default or Event of Default has occurred and is continuing and (ii) the aggregate amount of such Restricted Payments made in reliance on this clause (j) during any fiscal year of the Company shall not exceed $20,000,000.</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Notwithstanding the foregoing, the Company may also repurchase, exchange or induce the conversion of Permitted Convertible Notes by delivery of shares of the Company’s common stock and/or a different series of Permitted Convertible Notes (which series (x) matures after, and does not require any scheduled amortization or other scheduled payments of principal prior to, the analogous date under the indenture governing the Permitted Convertible Notes that are so repurchased, exchanged or converted and (y) has terms, conditions and covenants that are no less favorable to the Company than the Permitted Convertible Notes that are so repurchased, exchanged or converted (as determined by the board of directors of the Company, or a committee thereof, in good faith)) (any such series of Permitted Convertible Notes, “</w:t>
      </w:r>
      <w:r>
        <w:rPr>
          <w:rFonts w:ascii="Arial" w:cs="Arial" w:eastAsia="Arial" w:hAnsi="Arial"/>
          <w:sz w:val="18"/>
          <w:szCs w:val="18"/>
          <w:u w:val="single" w:color="auto"/>
          <w:color w:val="auto"/>
        </w:rPr>
        <w:t>Refinancing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Convertible Notes</w:t>
      </w:r>
      <w:r>
        <w:rPr>
          <w:rFonts w:ascii="Arial" w:cs="Arial" w:eastAsia="Arial" w:hAnsi="Arial"/>
          <w:sz w:val="18"/>
          <w:szCs w:val="18"/>
          <w:color w:val="auto"/>
        </w:rPr>
        <w:t xml:space="preserve">”) and/or by payment of cash (in an amount that does not exceed the proceeds received by the Company from the substantially concurrent issuance of shares of the Company’s common stock and/or a Refinancing Convertible Notes plus the net cash proceeds, if any, received by the Company pursuant to the related exercise or early unwind or termination of the related Permitted Call Spread Swap Agreements pursuant to the immediately following proviso);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substantially concurrently with, or a commercially reasonable period of time before or after, the related settlement date for the Permitted Convertible Notes that are so repurchased, exchanged or converted, the Company shall (and, for the avoidance of doubt, shall be permitted under this Section 6.09 to) exercise or unwind or terminate early (whether in cash, shares or any combination thereof) the portion of the Permitted Call Spread Swap Agreements, if any, corresponding to such Permitted Convertible Notes that are so repurchased, exchanged or converted.</w:t>
      </w:r>
    </w:p>
    <w:p>
      <w:pPr>
        <w:spacing w:after="0" w:line="18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6.10</w:t>
      </w:r>
      <w:r>
        <w:rPr>
          <w:sz w:val="20"/>
          <w:szCs w:val="20"/>
          <w:color w:val="auto"/>
        </w:rPr>
        <w:tab/>
      </w:r>
      <w:r>
        <w:rPr>
          <w:rFonts w:ascii="Arial" w:cs="Arial" w:eastAsia="Arial" w:hAnsi="Arial"/>
          <w:sz w:val="16"/>
          <w:szCs w:val="16"/>
          <w:u w:val="single" w:color="auto"/>
          <w:color w:val="auto"/>
        </w:rPr>
        <w:t>Subordinated Indebtedness and Amendments to Subordinated Indebtedness Documents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78" w:lineRule="auto"/>
        <w:tabs>
          <w:tab w:leader="none" w:pos="1434" w:val="left"/>
        </w:tabs>
        <w:numPr>
          <w:ilvl w:val="0"/>
          <w:numId w:val="327"/>
        </w:numPr>
        <w:rPr>
          <w:rFonts w:ascii="Arial" w:cs="Arial" w:eastAsia="Arial" w:hAnsi="Arial"/>
          <w:sz w:val="20"/>
          <w:szCs w:val="20"/>
          <w:color w:val="auto"/>
        </w:rPr>
      </w:pPr>
      <w:r>
        <w:rPr>
          <w:rFonts w:ascii="Arial" w:cs="Arial" w:eastAsia="Arial" w:hAnsi="Arial"/>
          <w:sz w:val="20"/>
          <w:szCs w:val="20"/>
          <w:color w:val="auto"/>
        </w:rPr>
        <w:t>No Loan Party will, nor will it permit any Subsidiary to, directly or indirectly voluntarily prepay, defease or in substance defease, purchase, redeem, retire or otherwise acquire, any Subordinated Indebtedness or any Indebtedness from time to time outstanding under the Subordinated Indebtedness Documents, except:</w:t>
      </w:r>
    </w:p>
    <w:p>
      <w:pPr>
        <w:spacing w:after="0" w:line="186" w:lineRule="exact"/>
        <w:rPr>
          <w:rFonts w:ascii="Arial" w:cs="Arial" w:eastAsia="Arial" w:hAnsi="Arial"/>
          <w:sz w:val="20"/>
          <w:szCs w:val="20"/>
          <w:color w:val="auto"/>
        </w:rPr>
      </w:pPr>
    </w:p>
    <w:p>
      <w:pPr>
        <w:ind w:left="660" w:firstLine="645"/>
        <w:spacing w:after="0" w:line="289" w:lineRule="auto"/>
        <w:tabs>
          <w:tab w:leader="none" w:pos="2143" w:val="left"/>
        </w:tabs>
        <w:numPr>
          <w:ilvl w:val="1"/>
          <w:numId w:val="327"/>
        </w:numPr>
        <w:rPr>
          <w:rFonts w:ascii="Arial" w:cs="Arial" w:eastAsia="Arial" w:hAnsi="Arial"/>
          <w:sz w:val="20"/>
          <w:szCs w:val="20"/>
          <w:color w:val="auto"/>
        </w:rPr>
      </w:pPr>
      <w:r>
        <w:rPr>
          <w:rFonts w:ascii="Arial" w:cs="Arial" w:eastAsia="Arial" w:hAnsi="Arial"/>
          <w:sz w:val="20"/>
          <w:szCs w:val="20"/>
          <w:color w:val="auto"/>
        </w:rPr>
        <w:t>regularly scheduled interest and principal payments as and when due in respect of any Subordinated Indebtedness, other than payments prohibited by the subordination provisions thereof;</w:t>
      </w:r>
    </w:p>
    <w:p>
      <w:pPr>
        <w:spacing w:after="0" w:line="175" w:lineRule="exact"/>
        <w:rPr>
          <w:rFonts w:ascii="Arial" w:cs="Arial" w:eastAsia="Arial" w:hAnsi="Arial"/>
          <w:sz w:val="20"/>
          <w:szCs w:val="20"/>
          <w:color w:val="auto"/>
        </w:rPr>
      </w:pPr>
    </w:p>
    <w:p>
      <w:pPr>
        <w:ind w:left="660" w:firstLine="645"/>
        <w:spacing w:after="0" w:line="289" w:lineRule="auto"/>
        <w:tabs>
          <w:tab w:leader="none" w:pos="2198" w:val="left"/>
        </w:tabs>
        <w:numPr>
          <w:ilvl w:val="1"/>
          <w:numId w:val="327"/>
        </w:numPr>
        <w:rPr>
          <w:rFonts w:ascii="Arial" w:cs="Arial" w:eastAsia="Arial" w:hAnsi="Arial"/>
          <w:sz w:val="20"/>
          <w:szCs w:val="20"/>
          <w:color w:val="auto"/>
        </w:rPr>
      </w:pPr>
      <w:r>
        <w:rPr>
          <w:rFonts w:ascii="Arial" w:cs="Arial" w:eastAsia="Arial" w:hAnsi="Arial"/>
          <w:sz w:val="20"/>
          <w:szCs w:val="20"/>
          <w:color w:val="auto"/>
        </w:rPr>
        <w:t>refinancings of Subordinated Indebtedness with the proceeds of Refinancing Indebtedness permitted in respect thereof under Section 6.01;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ectPr>
          <w:pgSz w:w="11900" w:h="16838" w:orient="portrait"/>
          <w:cols w:equalWidth="0" w:num="1">
            <w:col w:w="11420"/>
          </w:cols>
          <w:pgMar w:left="240" w:top="825" w:right="239" w:bottom="1440" w:gutter="0" w:footer="0" w:header="0"/>
        </w:sectPr>
      </w:pPr>
    </w:p>
    <w:bookmarkStart w:id="281" w:name="page282"/>
    <w:bookmarkEnd w:id="281"/>
    <w:p>
      <w:pPr>
        <w:ind w:left="660" w:firstLine="645"/>
        <w:spacing w:after="0" w:line="289" w:lineRule="auto"/>
        <w:tabs>
          <w:tab w:leader="none" w:pos="2253" w:val="left"/>
        </w:tabs>
        <w:numPr>
          <w:ilvl w:val="0"/>
          <w:numId w:val="328"/>
        </w:numPr>
        <w:rPr>
          <w:rFonts w:ascii="Arial" w:cs="Arial" w:eastAsia="Arial" w:hAnsi="Arial"/>
          <w:sz w:val="20"/>
          <w:szCs w:val="20"/>
          <w:color w:val="auto"/>
        </w:rPr>
      </w:pPr>
      <w:r>
        <w:rPr>
          <w:rFonts w:ascii="Arial" w:cs="Arial" w:eastAsia="Arial" w:hAnsi="Arial"/>
          <w:sz w:val="20"/>
          <w:szCs w:val="20"/>
          <w:color w:val="auto"/>
        </w:rPr>
        <w:t>payments of or in respect of Subordinated Indebtedness made solely with Qualified Equity Interests in the Company or the conversion of any Subordinated Indebtedness into Qualified Equity Interests of the Company;</w:t>
      </w:r>
    </w:p>
    <w:p>
      <w:pPr>
        <w:spacing w:after="0" w:line="175" w:lineRule="exact"/>
        <w:rPr>
          <w:rFonts w:ascii="Arial" w:cs="Arial" w:eastAsia="Arial" w:hAnsi="Arial"/>
          <w:sz w:val="20"/>
          <w:szCs w:val="20"/>
          <w:color w:val="auto"/>
        </w:rPr>
      </w:pPr>
    </w:p>
    <w:p>
      <w:pPr>
        <w:jc w:val="both"/>
        <w:ind w:left="660" w:firstLine="645"/>
        <w:spacing w:after="0" w:line="290" w:lineRule="auto"/>
        <w:tabs>
          <w:tab w:leader="none" w:pos="2242" w:val="left"/>
        </w:tabs>
        <w:numPr>
          <w:ilvl w:val="0"/>
          <w:numId w:val="328"/>
        </w:numPr>
        <w:rPr>
          <w:rFonts w:ascii="Arial" w:cs="Arial" w:eastAsia="Arial" w:hAnsi="Arial"/>
          <w:sz w:val="19"/>
          <w:szCs w:val="19"/>
          <w:color w:val="auto"/>
        </w:rPr>
      </w:pPr>
      <w:r>
        <w:rPr>
          <w:rFonts w:ascii="Arial" w:cs="Arial" w:eastAsia="Arial" w:hAnsi="Arial"/>
          <w:sz w:val="19"/>
          <w:szCs w:val="19"/>
          <w:color w:val="auto"/>
        </w:rPr>
        <w:t xml:space="preserve">prepayments of intercompany Subordinated Indebtedness permitted hereby owed by the Company or any Subsidiary to the Company or any Subsidiary, other than prepayments prohibited by the subordination provisions governing such Subordinated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prepayment of any Subordinated Indebtedness owed by the Company or any Loan Party to any Subsidiary that is not a Loan Party shall be permitted so long as no Default shall have occurred and be continuing or would result after giving effect (including pro forma effect) thereto; and</w:t>
      </w:r>
    </w:p>
    <w:p>
      <w:pPr>
        <w:spacing w:after="0" w:line="179" w:lineRule="exact"/>
        <w:rPr>
          <w:rFonts w:ascii="Arial" w:cs="Arial" w:eastAsia="Arial" w:hAnsi="Arial"/>
          <w:sz w:val="19"/>
          <w:szCs w:val="19"/>
          <w:color w:val="auto"/>
        </w:rPr>
      </w:pPr>
    </w:p>
    <w:p>
      <w:pPr>
        <w:jc w:val="both"/>
        <w:ind w:left="660" w:firstLine="645"/>
        <w:spacing w:after="0" w:line="278" w:lineRule="auto"/>
        <w:tabs>
          <w:tab w:leader="none" w:pos="2187" w:val="left"/>
        </w:tabs>
        <w:numPr>
          <w:ilvl w:val="0"/>
          <w:numId w:val="328"/>
        </w:numPr>
        <w:rPr>
          <w:rFonts w:ascii="Arial" w:cs="Arial" w:eastAsia="Arial" w:hAnsi="Arial"/>
          <w:sz w:val="20"/>
          <w:szCs w:val="20"/>
          <w:color w:val="auto"/>
        </w:rPr>
      </w:pPr>
      <w:r>
        <w:rPr>
          <w:rFonts w:ascii="Arial" w:cs="Arial" w:eastAsia="Arial" w:hAnsi="Arial"/>
          <w:sz w:val="20"/>
          <w:szCs w:val="20"/>
          <w:color w:val="auto"/>
        </w:rPr>
        <w:t>so long as no Default shall have occurred and be continuing or would result therefrom, the Company may on any date make payments of or in respect of Subordinated Indebtedness if at the time of making such payment and immediately after giving effect (including pro forma effect) thereto, the Payment Condition shall be satisfied.</w:t>
      </w:r>
    </w:p>
    <w:p>
      <w:pPr>
        <w:spacing w:after="0" w:line="187" w:lineRule="exact"/>
        <w:rPr>
          <w:sz w:val="20"/>
          <w:szCs w:val="20"/>
          <w:color w:val="auto"/>
        </w:rPr>
      </w:pPr>
    </w:p>
    <w:p>
      <w:pPr>
        <w:jc w:val="both"/>
        <w:ind w:firstLine="656"/>
        <w:spacing w:after="0" w:line="297" w:lineRule="auto"/>
        <w:tabs>
          <w:tab w:leader="none" w:pos="1445" w:val="left"/>
        </w:tabs>
        <w:numPr>
          <w:ilvl w:val="1"/>
          <w:numId w:val="329"/>
        </w:numPr>
        <w:rPr>
          <w:rFonts w:ascii="Arial" w:cs="Arial" w:eastAsia="Arial" w:hAnsi="Arial"/>
          <w:sz w:val="18"/>
          <w:szCs w:val="18"/>
          <w:color w:val="auto"/>
        </w:rPr>
      </w:pPr>
      <w:r>
        <w:rPr>
          <w:rFonts w:ascii="Arial" w:cs="Arial" w:eastAsia="Arial" w:hAnsi="Arial"/>
          <w:sz w:val="18"/>
          <w:szCs w:val="18"/>
          <w:color w:val="auto"/>
        </w:rPr>
        <w:t>Furthermore, no Loan Party will, nor will it permit any Subsidiary to, amend the Subordinated Indebtedness Documents relating to any Subordinated Indebtedness or any document, agreement or instrument evidencing any Indebtedness incurred pursuant to the Subordinated Indebtedness Documents (or any replacements, substitutions, extensions or renewals thereof) or pursuant to which such Indebtedness is issued where such amendment, modification or supplement amends, modifies or adds any provision thereof in a manner which</w:t>
      </w:r>
    </w:p>
    <w:p>
      <w:pPr>
        <w:spacing w:after="0" w:line="1" w:lineRule="exact"/>
        <w:rPr>
          <w:rFonts w:ascii="Arial" w:cs="Arial" w:eastAsia="Arial" w:hAnsi="Arial"/>
          <w:sz w:val="18"/>
          <w:szCs w:val="18"/>
          <w:color w:val="auto"/>
        </w:rPr>
      </w:pPr>
    </w:p>
    <w:p>
      <w:pPr>
        <w:ind w:firstLine="8"/>
        <w:spacing w:after="0" w:line="347" w:lineRule="auto"/>
        <w:tabs>
          <w:tab w:leader="none" w:pos="24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when taken as a whole, is materially adverse the Lenders or (ii) is more onerous than the applicable provision in this Agreement (except in each case to the extent permitted under the applicable subordination agreement governing such Subordinated Indebtedness).</w:t>
      </w:r>
    </w:p>
    <w:p>
      <w:pPr>
        <w:spacing w:after="0" w:line="13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6.11 </w:t>
      </w:r>
      <w:r>
        <w:rPr>
          <w:rFonts w:ascii="Arial" w:cs="Arial" w:eastAsia="Arial" w:hAnsi="Arial"/>
          <w:sz w:val="20"/>
          <w:szCs w:val="20"/>
          <w:u w:val="single" w:color="auto"/>
          <w:color w:val="auto"/>
        </w:rPr>
        <w:t>Restrictive Agreements.</w:t>
      </w:r>
      <w:r>
        <w:rPr>
          <w:rFonts w:ascii="Arial" w:cs="Arial" w:eastAsia="Arial" w:hAnsi="Arial"/>
          <w:sz w:val="20"/>
          <w:szCs w:val="20"/>
          <w:color w:val="auto"/>
        </w:rPr>
        <w:t xml:space="preserve"> No Loan Party will, nor will it permit any Subsidiary to, directly or indirectly, enter into, incur or permit to exist any agreement or other arrangement that restricts or imposes any condition upon (a) the ability of the Company or any Subsidiary to create, incur or permit to exist any Lien upon any of its assets to secure the Secured Obligations or (b) the ability of any Subsidiary to pay dividends or other distributions with respect to any of its Equity Interests or to make or repay loans or advances to the Company or any Subsidiary; provided that (i) the foregoing shall not apply to:</w:t>
      </w:r>
    </w:p>
    <w:p>
      <w:pPr>
        <w:spacing w:after="0" w:line="191" w:lineRule="exact"/>
        <w:rPr>
          <w:sz w:val="20"/>
          <w:szCs w:val="20"/>
          <w:color w:val="auto"/>
        </w:rPr>
      </w:pPr>
    </w:p>
    <w:p>
      <w:pPr>
        <w:ind w:left="2740" w:hanging="787"/>
        <w:spacing w:after="0"/>
        <w:tabs>
          <w:tab w:leader="none" w:pos="274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restrictions and conditions imposed by law or by this Agreement or any other Loan Document;</w:t>
      </w:r>
    </w:p>
    <w:p>
      <w:pPr>
        <w:spacing w:after="0" w:line="242" w:lineRule="exact"/>
        <w:rPr>
          <w:rFonts w:ascii="Arial" w:cs="Arial" w:eastAsia="Arial" w:hAnsi="Arial"/>
          <w:sz w:val="20"/>
          <w:szCs w:val="20"/>
          <w:color w:val="auto"/>
        </w:rPr>
      </w:pPr>
    </w:p>
    <w:p>
      <w:pPr>
        <w:jc w:val="both"/>
        <w:ind w:left="1300" w:firstLine="653"/>
        <w:spacing w:after="0" w:line="314" w:lineRule="auto"/>
        <w:tabs>
          <w:tab w:leader="none" w:pos="274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restrictions and conditions contained in any agreement or document governing or evidencing Refinancing Indebtedness in respect of Indebtedness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restrictions and conditions contained in any such agreement or document referred to in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are not less favorable in any material respect to the Lenders than the restrictions and conditions imposed by this Agreement;</w:t>
      </w:r>
    </w:p>
    <w:p>
      <w:pPr>
        <w:spacing w:after="0" w:line="159" w:lineRule="exact"/>
        <w:rPr>
          <w:rFonts w:ascii="Arial" w:cs="Arial" w:eastAsia="Arial" w:hAnsi="Arial"/>
          <w:sz w:val="18"/>
          <w:szCs w:val="18"/>
          <w:color w:val="auto"/>
        </w:rPr>
      </w:pPr>
    </w:p>
    <w:p>
      <w:pPr>
        <w:jc w:val="both"/>
        <w:ind w:left="1300" w:firstLine="653"/>
        <w:spacing w:after="0" w:line="274" w:lineRule="auto"/>
        <w:tabs>
          <w:tab w:leader="none" w:pos="2745"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restrictions and conditions existing on the date hereof identified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and restrictions and conditions contained in any agreement evidencing any renewal, extension or refinancing permitted hereunder of any agreement identified on </w:t>
      </w:r>
      <w:r>
        <w:rPr>
          <w:rFonts w:ascii="Arial" w:cs="Arial" w:eastAsia="Arial" w:hAnsi="Arial"/>
          <w:sz w:val="20"/>
          <w:szCs w:val="20"/>
          <w:u w:val="single" w:color="auto"/>
          <w:color w:val="auto"/>
        </w:rPr>
        <w:t>Schedule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so long as such renewal, extension or refinancing does not expand the scope of such restrictions or conditions;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1420"/>
          </w:cols>
          <w:pgMar w:left="240" w:top="825" w:right="239" w:bottom="1440" w:gutter="0" w:footer="0" w:header="0"/>
        </w:sectPr>
      </w:pPr>
    </w:p>
    <w:bookmarkStart w:id="282" w:name="page283"/>
    <w:bookmarkEnd w:id="282"/>
    <w:p>
      <w:pPr>
        <w:jc w:val="both"/>
        <w:ind w:left="1300" w:firstLine="653"/>
        <w:spacing w:after="0" w:line="278" w:lineRule="auto"/>
        <w:tabs>
          <w:tab w:leader="none" w:pos="274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in the case of any Subsidiary that is not a wholly-owned Subsidiary, restrictions and conditions imposed by its organizational documents or any related joint venture or similar agreements;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such Subsidiary and to the Equity Interests of such Subsidiary;</w:t>
      </w:r>
    </w:p>
    <w:p>
      <w:pPr>
        <w:spacing w:after="0" w:line="186" w:lineRule="exact"/>
        <w:rPr>
          <w:rFonts w:ascii="Arial" w:cs="Arial" w:eastAsia="Arial" w:hAnsi="Arial"/>
          <w:sz w:val="20"/>
          <w:szCs w:val="20"/>
          <w:color w:val="auto"/>
        </w:rPr>
      </w:pPr>
    </w:p>
    <w:p>
      <w:pPr>
        <w:jc w:val="both"/>
        <w:ind w:left="1300" w:firstLine="653"/>
        <w:spacing w:after="0" w:line="299" w:lineRule="auto"/>
        <w:tabs>
          <w:tab w:leader="none" w:pos="2745" w:val="left"/>
        </w:tabs>
        <w:numPr>
          <w:ilvl w:val="0"/>
          <w:numId w:val="332"/>
        </w:numPr>
        <w:rPr>
          <w:rFonts w:ascii="Arial" w:cs="Arial" w:eastAsia="Arial" w:hAnsi="Arial"/>
          <w:sz w:val="19"/>
          <w:szCs w:val="19"/>
          <w:color w:val="auto"/>
        </w:rPr>
      </w:pPr>
      <w:r>
        <w:rPr>
          <w:rFonts w:ascii="Arial" w:cs="Arial" w:eastAsia="Arial" w:hAnsi="Arial"/>
          <w:sz w:val="19"/>
          <w:szCs w:val="19"/>
          <w:color w:val="auto"/>
        </w:rPr>
        <w:t xml:space="preserve">restrictions imposed by any agreement governing Indebtedness incurred by any Loan Party after the Effective Date and permitted under </w:t>
      </w:r>
      <w:r>
        <w:rPr>
          <w:rFonts w:ascii="Arial" w:cs="Arial" w:eastAsia="Arial" w:hAnsi="Arial"/>
          <w:sz w:val="19"/>
          <w:szCs w:val="19"/>
          <w:u w:val="single" w:color="auto"/>
          <w:color w:val="auto"/>
        </w:rPr>
        <w:t>Section 6</w:t>
      </w:r>
      <w:r>
        <w:rPr>
          <w:rFonts w:ascii="Arial" w:cs="Arial" w:eastAsia="Arial" w:hAnsi="Arial"/>
          <w:sz w:val="19"/>
          <w:szCs w:val="19"/>
          <w:color w:val="auto"/>
        </w:rPr>
        <w:t>.</w:t>
      </w:r>
      <w:r>
        <w:rPr>
          <w:rFonts w:ascii="Arial" w:cs="Arial" w:eastAsia="Arial" w:hAnsi="Arial"/>
          <w:sz w:val="19"/>
          <w:szCs w:val="19"/>
          <w:u w:val="single" w:color="auto"/>
          <w:color w:val="auto"/>
        </w:rPr>
        <w:t>01</w:t>
      </w:r>
      <w:r>
        <w:rPr>
          <w:rFonts w:ascii="Arial" w:cs="Arial" w:eastAsia="Arial" w:hAnsi="Arial"/>
          <w:sz w:val="19"/>
          <w:szCs w:val="19"/>
          <w:color w:val="auto"/>
        </w:rPr>
        <w:t xml:space="preserve"> that are, taken as a whole, in the good faith judgment of the Company, no more restrictive with respect to the Company or any Subsidiary than those contained in this Agreement;</w:t>
      </w:r>
    </w:p>
    <w:p>
      <w:pPr>
        <w:spacing w:after="0" w:line="169" w:lineRule="exact"/>
        <w:rPr>
          <w:rFonts w:ascii="Arial" w:cs="Arial" w:eastAsia="Arial" w:hAnsi="Arial"/>
          <w:sz w:val="19"/>
          <w:szCs w:val="19"/>
          <w:color w:val="auto"/>
        </w:rPr>
      </w:pPr>
    </w:p>
    <w:p>
      <w:pPr>
        <w:jc w:val="both"/>
        <w:ind w:left="1300" w:firstLine="653"/>
        <w:spacing w:after="0" w:line="274" w:lineRule="auto"/>
        <w:tabs>
          <w:tab w:leader="none" w:pos="274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customary restrictions and conditions contained in agreements relating to the sale, transfer, lease or other Disposition of a Subsidiary or any assets of the Company or any Subsidiary, in each case pending such transaction;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apply only to such Subsidiary or the assets that are to be sold, leased or otherwise transferred and, in each case, such transaction is permitted hereunder;</w:t>
      </w:r>
    </w:p>
    <w:p>
      <w:pPr>
        <w:spacing w:after="0" w:line="192" w:lineRule="exact"/>
        <w:rPr>
          <w:rFonts w:ascii="Arial" w:cs="Arial" w:eastAsia="Arial" w:hAnsi="Arial"/>
          <w:sz w:val="20"/>
          <w:szCs w:val="20"/>
          <w:color w:val="auto"/>
        </w:rPr>
      </w:pPr>
    </w:p>
    <w:p>
      <w:pPr>
        <w:ind w:left="2740" w:hanging="787"/>
        <w:spacing w:after="0"/>
        <w:tabs>
          <w:tab w:leader="none" w:pos="274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restrictions relating to assets encumbered by a Lien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02</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1300" w:firstLine="653"/>
        <w:spacing w:after="0" w:line="278" w:lineRule="auto"/>
        <w:tabs>
          <w:tab w:leader="none" w:pos="274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restrictions or conditions set forth in any agreement governing Indebtedness permitted by Section 6.01;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and conditions are no more restrictive, taken as a whole, than the comparable restrictions and conditions set forth in this Agreement as determined in the good faith judgment of the Company;</w:t>
      </w:r>
    </w:p>
    <w:p>
      <w:pPr>
        <w:spacing w:after="0" w:line="186" w:lineRule="exact"/>
        <w:rPr>
          <w:rFonts w:ascii="Arial" w:cs="Arial" w:eastAsia="Arial" w:hAnsi="Arial"/>
          <w:sz w:val="20"/>
          <w:szCs w:val="20"/>
          <w:color w:val="auto"/>
        </w:rPr>
      </w:pPr>
    </w:p>
    <w:p>
      <w:pPr>
        <w:ind w:left="1300" w:firstLine="653"/>
        <w:spacing w:after="0" w:line="289" w:lineRule="auto"/>
        <w:tabs>
          <w:tab w:leader="none" w:pos="2745"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restrictions imposed by any agreement governing Indebtedness of a Subsidiary which is not a Loan Party to the extent such Indebtedness is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and</w:t>
      </w:r>
    </w:p>
    <w:p>
      <w:pPr>
        <w:spacing w:after="0" w:line="175" w:lineRule="exact"/>
        <w:rPr>
          <w:rFonts w:ascii="Arial" w:cs="Arial" w:eastAsia="Arial" w:hAnsi="Arial"/>
          <w:sz w:val="20"/>
          <w:szCs w:val="20"/>
          <w:color w:val="auto"/>
        </w:rPr>
      </w:pPr>
    </w:p>
    <w:p>
      <w:pPr>
        <w:ind w:left="1300" w:firstLine="653"/>
        <w:spacing w:after="0" w:line="289" w:lineRule="auto"/>
        <w:tabs>
          <w:tab w:leader="none" w:pos="2844" w:val="left"/>
        </w:tabs>
        <w:numPr>
          <w:ilvl w:val="0"/>
          <w:numId w:val="332"/>
        </w:numPr>
        <w:rPr>
          <w:rFonts w:ascii="Arial" w:cs="Arial" w:eastAsia="Arial" w:hAnsi="Arial"/>
          <w:sz w:val="20"/>
          <w:szCs w:val="20"/>
          <w:color w:val="auto"/>
        </w:rPr>
      </w:pPr>
      <w:r>
        <w:rPr>
          <w:rFonts w:ascii="Arial" w:cs="Arial" w:eastAsia="Arial" w:hAnsi="Arial"/>
          <w:sz w:val="20"/>
          <w:szCs w:val="20"/>
          <w:color w:val="auto"/>
        </w:rPr>
        <w:t>restrictions or conditions on cash or other deposits imposed by customers under contracts entered into in the ordinary course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and (ii)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Section 6.11 shall not apply to:</w:t>
      </w:r>
    </w:p>
    <w:p>
      <w:pPr>
        <w:spacing w:after="0" w:line="229" w:lineRule="exact"/>
        <w:rPr>
          <w:sz w:val="20"/>
          <w:szCs w:val="20"/>
          <w:color w:val="auto"/>
        </w:rPr>
      </w:pPr>
    </w:p>
    <w:p>
      <w:pPr>
        <w:ind w:left="2840" w:hanging="887"/>
        <w:spacing w:after="0"/>
        <w:tabs>
          <w:tab w:leader="none" w:pos="284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 xml:space="preserve">restrictions and conditions imposed by any agreement relating to secured Indebtedness permitted by </w:t>
      </w:r>
      <w:r>
        <w:rPr>
          <w:rFonts w:ascii="Arial" w:cs="Arial" w:eastAsia="Arial" w:hAnsi="Arial"/>
          <w:sz w:val="18"/>
          <w:szCs w:val="18"/>
          <w:u w:val="single" w:color="auto"/>
          <w:color w:val="auto"/>
        </w:rPr>
        <w:t>clause</w:t>
      </w:r>
    </w:p>
    <w:p>
      <w:pPr>
        <w:spacing w:after="0" w:line="49" w:lineRule="exact"/>
        <w:rPr>
          <w:rFonts w:ascii="Arial" w:cs="Arial" w:eastAsia="Arial" w:hAnsi="Arial"/>
          <w:sz w:val="18"/>
          <w:szCs w:val="18"/>
          <w:color w:val="auto"/>
        </w:rPr>
      </w:pPr>
    </w:p>
    <w:p>
      <w:pPr>
        <w:ind w:left="1300"/>
        <w:spacing w:after="0" w:line="289" w:lineRule="auto"/>
        <w:rPr>
          <w:rFonts w:ascii="Arial" w:cs="Arial" w:eastAsia="Arial" w:hAnsi="Arial"/>
          <w:sz w:val="18"/>
          <w:szCs w:val="18"/>
          <w:color w:val="auto"/>
        </w:rPr>
      </w:pPr>
      <w:r>
        <w:rPr>
          <w:rFonts w:ascii="Arial" w:cs="Arial" w:eastAsia="Arial" w:hAnsi="Arial"/>
          <w:sz w:val="20"/>
          <w:szCs w:val="20"/>
          <w:u w:val="single" w:color="auto"/>
          <w:color w:val="auto"/>
        </w:rPr>
        <w:t>(f)</w:t>
      </w:r>
      <w:r>
        <w:rPr>
          <w:rFonts w:ascii="Arial" w:cs="Arial" w:eastAsia="Arial" w:hAnsi="Arial"/>
          <w:sz w:val="20"/>
          <w:szCs w:val="20"/>
          <w:color w:val="auto"/>
        </w:rPr>
        <w:t xml:space="preserve">, </w:t>
      </w:r>
      <w:r>
        <w:rPr>
          <w:rFonts w:ascii="Arial" w:cs="Arial" w:eastAsia="Arial" w:hAnsi="Arial"/>
          <w:sz w:val="20"/>
          <w:szCs w:val="20"/>
          <w:u w:val="single" w:color="auto"/>
          <w:color w:val="auto"/>
        </w:rPr>
        <w:t>(g)</w:t>
      </w:r>
      <w:r>
        <w:rPr>
          <w:rFonts w:ascii="Arial" w:cs="Arial" w:eastAsia="Arial" w:hAnsi="Arial"/>
          <w:sz w:val="20"/>
          <w:szCs w:val="20"/>
          <w:color w:val="auto"/>
        </w:rPr>
        <w:t xml:space="preserve">, </w:t>
      </w:r>
      <w:r>
        <w:rPr>
          <w:rFonts w:ascii="Arial" w:cs="Arial" w:eastAsia="Arial" w:hAnsi="Arial"/>
          <w:sz w:val="20"/>
          <w:szCs w:val="20"/>
          <w:u w:val="single" w:color="auto"/>
          <w:color w:val="auto"/>
        </w:rPr>
        <w:t>(h)</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w:t>
      </w:r>
      <w:r>
        <w:rPr>
          <w:rFonts w:ascii="Arial" w:cs="Arial" w:eastAsia="Arial" w:hAnsi="Arial"/>
          <w:sz w:val="20"/>
          <w:szCs w:val="20"/>
          <w:u w:val="single" w:color="auto"/>
          <w:color w:val="auto"/>
        </w:rPr>
        <w:t>(k)</w:t>
      </w:r>
      <w:r>
        <w:rPr>
          <w:rFonts w:ascii="Arial" w:cs="Arial" w:eastAsia="Arial" w:hAnsi="Arial"/>
          <w:sz w:val="20"/>
          <w:szCs w:val="20"/>
          <w:color w:val="auto"/>
        </w:rPr>
        <w:t xml:space="preserve">, </w:t>
      </w:r>
      <w:r>
        <w:rPr>
          <w:rFonts w:ascii="Arial" w:cs="Arial" w:eastAsia="Arial" w:hAnsi="Arial"/>
          <w:sz w:val="20"/>
          <w:szCs w:val="20"/>
          <w:u w:val="single" w:color="auto"/>
          <w:color w:val="auto"/>
        </w:rPr>
        <w:t>(m)</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(n)</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w:t>
      </w:r>
      <w:r>
        <w:rPr>
          <w:rFonts w:ascii="Arial" w:cs="Arial" w:eastAsia="Arial" w:hAnsi="Arial"/>
          <w:sz w:val="20"/>
          <w:szCs w:val="20"/>
          <w:color w:val="auto"/>
        </w:rPr>
        <w:t xml:space="preserve"> if such restrictions and conditions apply only to the assets securing such Indebtedness;</w:t>
      </w:r>
    </w:p>
    <w:p>
      <w:pPr>
        <w:spacing w:after="0" w:line="175" w:lineRule="exact"/>
        <w:rPr>
          <w:rFonts w:ascii="Arial" w:cs="Arial" w:eastAsia="Arial" w:hAnsi="Arial"/>
          <w:sz w:val="18"/>
          <w:szCs w:val="18"/>
          <w:color w:val="auto"/>
        </w:rPr>
      </w:pPr>
    </w:p>
    <w:p>
      <w:pPr>
        <w:ind w:left="2840" w:hanging="887"/>
        <w:spacing w:after="0"/>
        <w:tabs>
          <w:tab w:leader="none" w:pos="284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customary provisions in leases, subleases, licenses and other agreements restricting the assignment thereof;</w:t>
      </w:r>
    </w:p>
    <w:p>
      <w:pPr>
        <w:spacing w:after="0" w:line="72"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20"/>
          <w:szCs w:val="20"/>
          <w:color w:val="auto"/>
        </w:rPr>
        <w:t>and</w:t>
      </w:r>
    </w:p>
    <w:p>
      <w:pPr>
        <w:spacing w:after="0" w:line="242" w:lineRule="exact"/>
        <w:rPr>
          <w:rFonts w:ascii="Arial" w:cs="Arial" w:eastAsia="Arial" w:hAnsi="Arial"/>
          <w:sz w:val="16"/>
          <w:szCs w:val="16"/>
          <w:color w:val="auto"/>
        </w:rPr>
      </w:pPr>
    </w:p>
    <w:p>
      <w:pPr>
        <w:jc w:val="both"/>
        <w:ind w:left="1300" w:firstLine="653"/>
        <w:spacing w:after="0" w:line="274" w:lineRule="auto"/>
        <w:tabs>
          <w:tab w:leader="none" w:pos="2844" w:val="left"/>
        </w:tabs>
        <w:numPr>
          <w:ilvl w:val="0"/>
          <w:numId w:val="333"/>
        </w:numPr>
        <w:rPr>
          <w:rFonts w:ascii="Arial" w:cs="Arial" w:eastAsia="Arial" w:hAnsi="Arial"/>
          <w:sz w:val="20"/>
          <w:szCs w:val="20"/>
          <w:color w:val="auto"/>
        </w:rPr>
      </w:pPr>
      <w:r>
        <w:rPr>
          <w:rFonts w:ascii="Arial" w:cs="Arial" w:eastAsia="Arial" w:hAnsi="Arial"/>
          <w:sz w:val="20"/>
          <w:szCs w:val="20"/>
          <w:color w:val="auto"/>
        </w:rPr>
        <w:t xml:space="preserve">restrictions imposed by agreements relating to Indebtedness of any Subsidiary in existence at the time such Subsidiary became a Subsidiary and otherwise permitted by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01(g)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restrictions apply only to such Subsidiary and its assets (or any special purpose acquisition Subsidiary without material assets acquiring such Subsidiary pursuant to a merger).</w:t>
      </w:r>
    </w:p>
    <w:p>
      <w:pPr>
        <w:spacing w:after="0" w:line="17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Nothing in this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11</w:t>
      </w:r>
      <w:r>
        <w:rPr>
          <w:rFonts w:ascii="Arial" w:cs="Arial" w:eastAsia="Arial" w:hAnsi="Arial"/>
          <w:sz w:val="20"/>
          <w:szCs w:val="20"/>
          <w:color w:val="auto"/>
        </w:rPr>
        <w:t xml:space="preserve"> shall be deemed to modify the obligations of the Loan Parties under </w:t>
      </w:r>
      <w:r>
        <w:rPr>
          <w:rFonts w:ascii="Arial" w:cs="Arial" w:eastAsia="Arial" w:hAnsi="Arial"/>
          <w:sz w:val="20"/>
          <w:szCs w:val="20"/>
          <w:u w:val="single" w:color="auto"/>
          <w:color w:val="auto"/>
        </w:rPr>
        <w:t>Section 5</w:t>
      </w:r>
      <w:r>
        <w:rPr>
          <w:rFonts w:ascii="Arial" w:cs="Arial" w:eastAsia="Arial" w:hAnsi="Arial"/>
          <w:sz w:val="20"/>
          <w:szCs w:val="20"/>
          <w:color w:val="auto"/>
        </w:rPr>
        <w:t>.</w:t>
      </w:r>
      <w:r>
        <w:rPr>
          <w:rFonts w:ascii="Arial" w:cs="Arial" w:eastAsia="Arial" w:hAnsi="Arial"/>
          <w:sz w:val="20"/>
          <w:szCs w:val="20"/>
          <w:u w:val="single" w:color="auto"/>
          <w:color w:val="auto"/>
        </w:rPr>
        <w:t>14</w:t>
      </w:r>
      <w:r>
        <w:rPr>
          <w:rFonts w:ascii="Arial" w:cs="Arial" w:eastAsia="Arial" w:hAnsi="Arial"/>
          <w:sz w:val="20"/>
          <w:szCs w:val="20"/>
          <w:color w:val="auto"/>
        </w:rPr>
        <w:t xml:space="preserve"> or under the Collateral Documents.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1420"/>
          </w:cols>
          <w:pgMar w:left="240" w:top="825" w:right="239" w:bottom="1440" w:gutter="0" w:footer="0" w:header="0"/>
        </w:sectPr>
      </w:pPr>
    </w:p>
    <w:bookmarkStart w:id="283" w:name="page284"/>
    <w:bookmarkEnd w:id="283"/>
    <w:p>
      <w:pPr>
        <w:jc w:val="both"/>
        <w:ind w:firstLine="648"/>
        <w:spacing w:after="0" w:line="278" w:lineRule="auto"/>
        <w:rPr>
          <w:sz w:val="20"/>
          <w:szCs w:val="20"/>
          <w:color w:val="auto"/>
        </w:rPr>
      </w:pPr>
      <w:r>
        <w:rPr>
          <w:rFonts w:ascii="Arial" w:cs="Arial" w:eastAsia="Arial" w:hAnsi="Arial"/>
          <w:sz w:val="20"/>
          <w:szCs w:val="20"/>
          <w:color w:val="auto"/>
        </w:rPr>
        <w:t xml:space="preserve">SECTION 6.12 </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xml:space="preserve"> During any FCCR Test Period, the Borrowers will not permit the Fixed Charge Coverage Ratio as of the last day of any period of four fiscal quarters ending during such FCCR Test Period, to be less than 1.00 to 1.00.</w:t>
      </w:r>
    </w:p>
    <w:p>
      <w:pPr>
        <w:spacing w:after="0" w:line="1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Required Swap Agreements</w:t>
      </w:r>
      <w:r>
        <w:rPr>
          <w:rFonts w:ascii="Arial" w:cs="Arial" w:eastAsia="Arial" w:hAnsi="Arial"/>
          <w:sz w:val="18"/>
          <w:szCs w:val="18"/>
          <w:color w:val="auto"/>
        </w:rPr>
        <w:t>. Within forty-five (45) days following the initial borrowing under the Term Loan Agreement (or such later date as the Administrative Agent may agree to in its reasonable discretion), the Company will enter into one or more transactions of the type described in the definition of “Swap Agreements” with one or more financial institutions acceptable to the Administrative Agent in its reasonable discretion, effecting a hedging transaction pursuant to which the Company either (a) fixes the LIBOR component of interest cost at the prevailing swap rate at the time of execution or (b) limits the maximum effective LIBOR rate for the initial interest period(s) selected by the Company under the Term Loan Agreement at a level not in excess of 0.50% above the prevailing LIBOR rate for such interest period(s) at the time of execution (or a combination of the foregoing), in each case in respect of a notional amount of at least 50% of the projected outstanding principal amount of the Term Loans, such transaction(s) to be maintained until the later of (i) three (3) years following the Effective Date and (ii) the date on which the Company’s Total Net Leverage Ratio is less than 2.00 to 1.00.</w:t>
      </w:r>
    </w:p>
    <w:p>
      <w:pPr>
        <w:spacing w:after="0" w:line="174"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Depository Banks</w:t>
      </w:r>
      <w:r>
        <w:rPr>
          <w:rFonts w:ascii="Arial" w:cs="Arial" w:eastAsia="Arial" w:hAnsi="Arial"/>
          <w:sz w:val="18"/>
          <w:szCs w:val="18"/>
          <w:color w:val="auto"/>
        </w:rPr>
        <w:t>. Within one hundred twenty (120) days following the Effective Date (or such later date as the Administrative Agent agrees to in its reasonable discretion), each Borrower and each Subsidiary will maintain the Administrative Agent as its principal depository bank, including for the maintenance of operating, administrative, cash management, collection activity and other deposit accounts for the conduct of its business; provided, however, that the Administrative Agent and the Lenders acknowledge and agree that the Borrowers and their Subsidiaries will not be required to maintain with the Administrative Agent any Excluded Accounts or any accounts governing controlled disbursement services provided by any financial institution other than the Administrative Agent.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w:t>
      </w:r>
    </w:p>
    <w:p>
      <w:pPr>
        <w:spacing w:after="0" w:line="270" w:lineRule="exact"/>
        <w:rPr>
          <w:sz w:val="20"/>
          <w:szCs w:val="20"/>
          <w:color w:val="auto"/>
        </w:rPr>
      </w:pPr>
    </w:p>
    <w:p>
      <w:pPr>
        <w:ind w:left="5020"/>
        <w:spacing w:after="0"/>
        <w:rPr>
          <w:sz w:val="20"/>
          <w:szCs w:val="20"/>
          <w:color w:val="auto"/>
        </w:rPr>
      </w:pPr>
      <w:r>
        <w:rPr>
          <w:rFonts w:ascii="Arial" w:cs="Arial" w:eastAsia="Arial" w:hAnsi="Arial"/>
          <w:sz w:val="20"/>
          <w:szCs w:val="20"/>
          <w:u w:val="single" w:color="auto"/>
          <w:color w:val="auto"/>
        </w:rPr>
        <w:t>Events of Default</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If any of the following events (“</w:t>
      </w:r>
      <w:r>
        <w:rPr>
          <w:rFonts w:ascii="Arial" w:cs="Arial" w:eastAsia="Arial" w:hAnsi="Arial"/>
          <w:sz w:val="20"/>
          <w:szCs w:val="20"/>
          <w:u w:val="single" w:color="auto"/>
          <w:color w:val="auto"/>
        </w:rPr>
        <w:t>Events of Default</w:t>
      </w:r>
      <w:r>
        <w:rPr>
          <w:rFonts w:ascii="Arial" w:cs="Arial" w:eastAsia="Arial" w:hAnsi="Arial"/>
          <w:sz w:val="20"/>
          <w:szCs w:val="20"/>
          <w:color w:val="auto"/>
        </w:rPr>
        <w:t>”) shall occur:</w:t>
      </w:r>
    </w:p>
    <w:p>
      <w:pPr>
        <w:spacing w:after="0" w:line="229" w:lineRule="exact"/>
        <w:rPr>
          <w:sz w:val="20"/>
          <w:szCs w:val="20"/>
          <w:color w:val="auto"/>
        </w:rPr>
      </w:pPr>
    </w:p>
    <w:p>
      <w:pPr>
        <w:jc w:val="both"/>
        <w:ind w:firstLine="656"/>
        <w:spacing w:after="0" w:line="278" w:lineRule="auto"/>
        <w:tabs>
          <w:tab w:leader="none" w:pos="151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6" w:lineRule="exact"/>
        <w:rPr>
          <w:rFonts w:ascii="Arial" w:cs="Arial" w:eastAsia="Arial" w:hAnsi="Arial"/>
          <w:sz w:val="20"/>
          <w:szCs w:val="20"/>
          <w:color w:val="auto"/>
        </w:rPr>
      </w:pPr>
    </w:p>
    <w:p>
      <w:pPr>
        <w:jc w:val="both"/>
        <w:ind w:firstLine="656"/>
        <w:spacing w:after="0" w:line="278" w:lineRule="auto"/>
        <w:tabs>
          <w:tab w:leader="none" w:pos="1527"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Borrower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86" w:lineRule="exact"/>
        <w:rPr>
          <w:rFonts w:ascii="Arial" w:cs="Arial" w:eastAsia="Arial" w:hAnsi="Arial"/>
          <w:sz w:val="20"/>
          <w:szCs w:val="20"/>
          <w:color w:val="auto"/>
        </w:rPr>
      </w:pPr>
    </w:p>
    <w:p>
      <w:pPr>
        <w:jc w:val="both"/>
        <w:ind w:firstLine="656"/>
        <w:spacing w:after="0" w:line="273" w:lineRule="auto"/>
        <w:tabs>
          <w:tab w:leader="none" w:pos="1516"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representation or warranty made or deemed made by or on behalf of any Borrower or any other Loan Party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thereof or waiver thereunder, shall prove to have been incorrect in any material respect when made or deemed made;</w:t>
      </w:r>
    </w:p>
    <w:p>
      <w:pPr>
        <w:spacing w:after="0" w:line="191" w:lineRule="exact"/>
        <w:rPr>
          <w:rFonts w:ascii="Arial" w:cs="Arial" w:eastAsia="Arial" w:hAnsi="Arial"/>
          <w:sz w:val="20"/>
          <w:szCs w:val="20"/>
          <w:color w:val="auto"/>
        </w:rPr>
      </w:pPr>
    </w:p>
    <w:p>
      <w:pPr>
        <w:ind w:left="1540" w:hanging="884"/>
        <w:spacing w:after="0"/>
        <w:tabs>
          <w:tab w:leader="none" w:pos="154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Loan Party shall fail to observe or perform any covenant, condition or agreement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420"/>
          </w:cols>
          <w:pgMar w:left="240" w:top="825" w:right="239" w:bottom="1440" w:gutter="0" w:footer="0" w:header="0"/>
        </w:sectPr>
      </w:pPr>
    </w:p>
    <w:bookmarkStart w:id="284" w:name="page285"/>
    <w:bookmarkEnd w:id="284"/>
    <w:p>
      <w:pPr>
        <w:spacing w:after="0"/>
        <w:rPr>
          <w:sz w:val="20"/>
          <w:szCs w:val="20"/>
          <w:color w:val="auto"/>
        </w:rPr>
      </w:pPr>
      <w:r>
        <w:rPr>
          <w:rFonts w:ascii="Arial" w:cs="Arial" w:eastAsia="Arial" w:hAnsi="Arial"/>
          <w:sz w:val="20"/>
          <w:szCs w:val="20"/>
          <w:color w:val="auto"/>
        </w:rPr>
        <w:t>contained in Section 5.02(a), 5.03 (with respect to a Borrower’s existence), 5.08, 5.13, 5.14 or in Article VI;</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firstLine="656"/>
        <w:spacing w:after="0" w:line="297" w:lineRule="auto"/>
        <w:tabs>
          <w:tab w:leader="none" w:pos="1516"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this Agreement (other than those which constitute a default under another Section of this Article), and such failure shall continue unremedied for a period of (i) five</w:t>
      </w:r>
    </w:p>
    <w:p>
      <w:pPr>
        <w:jc w:val="both"/>
        <w:ind w:firstLine="8"/>
        <w:spacing w:after="0" w:line="273" w:lineRule="auto"/>
        <w:tabs>
          <w:tab w:leader="none" w:pos="289" w:val="left"/>
        </w:tabs>
        <w:numPr>
          <w:ilvl w:val="0"/>
          <w:numId w:val="336"/>
        </w:numPr>
        <w:rPr>
          <w:rFonts w:ascii="Arial" w:cs="Arial" w:eastAsia="Arial" w:hAnsi="Arial"/>
          <w:sz w:val="20"/>
          <w:szCs w:val="20"/>
          <w:color w:val="auto"/>
        </w:rPr>
      </w:pPr>
      <w:r>
        <w:rPr>
          <w:rFonts w:ascii="Arial" w:cs="Arial" w:eastAsia="Arial" w:hAnsi="Arial"/>
          <w:sz w:val="20"/>
          <w:szCs w:val="20"/>
          <w:color w:val="auto"/>
        </w:rPr>
        <w:t>days after the earlier of any Loan Party’s knowledge of such breach or notice thereof from the Administrative Agent (which notice will be given at the request of any Lender) if such breach relates to terms or provisions of Section 5.01, 5.02 (other than Section 5.02(a)), 5.03, 5.04, 5.05, 5.07 or 5.09 of this Agreement or (ii) thirty (30)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191" w:lineRule="exact"/>
        <w:rPr>
          <w:rFonts w:ascii="Arial" w:cs="Arial" w:eastAsia="Arial" w:hAnsi="Arial"/>
          <w:sz w:val="20"/>
          <w:szCs w:val="20"/>
          <w:color w:val="auto"/>
        </w:rPr>
      </w:pPr>
    </w:p>
    <w:p>
      <w:pPr>
        <w:jc w:val="both"/>
        <w:ind w:firstLine="656"/>
        <w:spacing w:after="0" w:line="278" w:lineRule="auto"/>
        <w:tabs>
          <w:tab w:leader="none" w:pos="1494" w:val="left"/>
        </w:tabs>
        <w:numPr>
          <w:ilvl w:val="1"/>
          <w:numId w:val="336"/>
        </w:numPr>
        <w:rPr>
          <w:rFonts w:ascii="Arial" w:cs="Arial" w:eastAsia="Arial" w:hAnsi="Arial"/>
          <w:sz w:val="20"/>
          <w:szCs w:val="20"/>
          <w:color w:val="auto"/>
        </w:rPr>
      </w:pPr>
      <w:r>
        <w:rPr>
          <w:rFonts w:ascii="Arial" w:cs="Arial" w:eastAsia="Arial" w:hAnsi="Arial"/>
          <w:sz w:val="20"/>
          <w:szCs w:val="20"/>
          <w:color w:val="auto"/>
        </w:rPr>
        <w:t>any Loan Party or any Material Subsidiary shall fail to make any payment (whether of principal or interest and regardless of amount) in respect of any Material Indebtedness of such Loan Party or Material Subsidiary, as applicable, when and as the same shall become due and payable, which is not cured within any applicable grace period therefor;</w:t>
      </w:r>
    </w:p>
    <w:p>
      <w:pPr>
        <w:spacing w:after="0" w:line="186" w:lineRule="exact"/>
        <w:rPr>
          <w:rFonts w:ascii="Arial" w:cs="Arial" w:eastAsia="Arial" w:hAnsi="Arial"/>
          <w:sz w:val="20"/>
          <w:szCs w:val="20"/>
          <w:color w:val="auto"/>
        </w:rPr>
      </w:pPr>
    </w:p>
    <w:p>
      <w:pPr>
        <w:jc w:val="both"/>
        <w:ind w:firstLine="656"/>
        <w:spacing w:after="0" w:line="300" w:lineRule="auto"/>
        <w:tabs>
          <w:tab w:leader="none" w:pos="1527"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any event or condition occurs that results in any Material Indebtedness becoming due prior to its scheduled maturity or that enables or permits, after giving effect to the expiration of any applicable grace period, and delivery of any applicable required notice, provided in the applicable agreement or instrument under which such Indebtedness was created,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shall not apply to (i) secured Material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(ii) any Material Indebtedness that becomes due as a result of a refinancing thereof permitted by Section 6.01, (iii) any reimbursement obligation in respect of a letter of credit, bankers acceptance or similar obligation as a result of a drawing thereunder by a beneficiary thereunder in accordance with its terms, (iv) any such Material Indebtedness that is mandatorily prepayable prior to the scheduled maturity thereof with the proceeds of the issuance of capital stock, the incurrence of other Indebtedness or the sale or other disposition of any assets, so long as such Material Indebtedness that has become due is so prepaid in full with such net proceeds required to be used to prepay such Material Indebtedness when due (or within any applicable grace period) and such event shall not have otherwise resulted in an event of default with respect to such Material Indebtedness, (v) any redemption, exchange, repurchase, conversion or settlement with respect to any Permitted Convertible Notes, or satisfaction of any condition giving rise to or permitting the foregoing, pursuant to their terms unless such redemption, repurchase, conversion or settlement results from a default thereunder or an event of the type that constitutes an Event of Default or (vi) any early payment requirement or unwinding or termination with respect to any Permitted Call Spread Swap Agreement, or satisfaction of any condition giving rise to or permitting the foregoing, in accordance with the terms thereof where neither the Company nor any of its Affiliates is the “defaulting party” (or substantially equivalent term) under the terms of such Permitted Call Spread Swap Agreement;</w:t>
      </w:r>
    </w:p>
    <w:p>
      <w:pPr>
        <w:spacing w:after="0" w:line="175" w:lineRule="exact"/>
        <w:rPr>
          <w:rFonts w:ascii="Arial" w:cs="Arial" w:eastAsia="Arial" w:hAnsi="Arial"/>
          <w:sz w:val="18"/>
          <w:szCs w:val="18"/>
          <w:color w:val="auto"/>
        </w:rPr>
      </w:pPr>
    </w:p>
    <w:p>
      <w:pPr>
        <w:jc w:val="both"/>
        <w:ind w:firstLine="656"/>
        <w:spacing w:after="0" w:line="274" w:lineRule="auto"/>
        <w:tabs>
          <w:tab w:leader="none" w:pos="1527" w:val="left"/>
        </w:tabs>
        <w:numPr>
          <w:ilvl w:val="1"/>
          <w:numId w:val="336"/>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or (ii) the appointment of a receiver, trustee, custodian,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420"/>
          </w:cols>
          <w:pgMar w:left="240" w:top="825" w:right="239" w:bottom="1440" w:gutter="0" w:footer="0" w:header="0"/>
        </w:sectPr>
      </w:pPr>
    </w:p>
    <w:bookmarkStart w:id="285" w:name="page286"/>
    <w:bookmarkEnd w:id="285"/>
    <w:p>
      <w:pPr>
        <w:jc w:val="both"/>
        <w:spacing w:after="0" w:line="278" w:lineRule="auto"/>
        <w:rPr>
          <w:sz w:val="20"/>
          <w:szCs w:val="20"/>
          <w:color w:val="auto"/>
        </w:rPr>
      </w:pPr>
      <w:r>
        <w:rPr>
          <w:rFonts w:ascii="Arial" w:cs="Arial" w:eastAsia="Arial" w:hAnsi="Arial"/>
          <w:sz w:val="20"/>
          <w:szCs w:val="20"/>
          <w:color w:val="auto"/>
        </w:rPr>
        <w:t>sequestrator, conservator or similar official for any Borrower or any Material Subsidiary or for a substantial part of its assets, and, in any such case, such proceeding or petition shall continue undismissed for sixty (60) days or an order or decree approving or ordering any of the foregoing shall be entered;</w:t>
      </w:r>
    </w:p>
    <w:p>
      <w:pPr>
        <w:spacing w:after="0" w:line="187" w:lineRule="exact"/>
        <w:rPr>
          <w:sz w:val="20"/>
          <w:szCs w:val="20"/>
          <w:color w:val="auto"/>
        </w:rPr>
      </w:pPr>
    </w:p>
    <w:p>
      <w:pPr>
        <w:jc w:val="both"/>
        <w:ind w:firstLine="656"/>
        <w:spacing w:after="0" w:line="271" w:lineRule="auto"/>
        <w:tabs>
          <w:tab w:leader="none" w:pos="1483" w:val="left"/>
        </w:tabs>
        <w:numPr>
          <w:ilvl w:val="1"/>
          <w:numId w:val="337"/>
        </w:numPr>
        <w:rPr>
          <w:rFonts w:ascii="Arial" w:cs="Arial" w:eastAsia="Arial" w:hAnsi="Arial"/>
          <w:sz w:val="20"/>
          <w:szCs w:val="20"/>
          <w:color w:val="auto"/>
        </w:rPr>
      </w:pPr>
      <w:r>
        <w:rPr>
          <w:rFonts w:ascii="Arial" w:cs="Arial" w:eastAsia="Arial" w:hAnsi="Arial"/>
          <w:sz w:val="20"/>
          <w:szCs w:val="20"/>
          <w:color w:val="auto"/>
        </w:rPr>
        <w:t>any Borrower or any Material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94" w:lineRule="exact"/>
        <w:rPr>
          <w:rFonts w:ascii="Arial" w:cs="Arial" w:eastAsia="Arial" w:hAnsi="Arial"/>
          <w:sz w:val="20"/>
          <w:szCs w:val="20"/>
          <w:color w:val="auto"/>
        </w:rPr>
      </w:pPr>
    </w:p>
    <w:p>
      <w:pPr>
        <w:ind w:firstLine="656"/>
        <w:spacing w:after="0" w:line="289" w:lineRule="auto"/>
        <w:tabs>
          <w:tab w:leader="none" w:pos="1483" w:val="left"/>
        </w:tabs>
        <w:numPr>
          <w:ilvl w:val="1"/>
          <w:numId w:val="337"/>
        </w:numPr>
        <w:rPr>
          <w:rFonts w:ascii="Arial" w:cs="Arial" w:eastAsia="Arial" w:hAnsi="Arial"/>
          <w:sz w:val="20"/>
          <w:szCs w:val="20"/>
          <w:color w:val="auto"/>
        </w:rPr>
      </w:pPr>
      <w:r>
        <w:rPr>
          <w:rFonts w:ascii="Arial" w:cs="Arial" w:eastAsia="Arial" w:hAnsi="Arial"/>
          <w:sz w:val="20"/>
          <w:szCs w:val="20"/>
          <w:color w:val="auto"/>
        </w:rPr>
        <w:t>any Borrower or any Material Subsidiary shall become unable, admit in writing its inability or fail generally to pay its debts as they become due;</w:t>
      </w:r>
    </w:p>
    <w:p>
      <w:pPr>
        <w:spacing w:after="0" w:line="175" w:lineRule="exact"/>
        <w:rPr>
          <w:rFonts w:ascii="Arial" w:cs="Arial" w:eastAsia="Arial" w:hAnsi="Arial"/>
          <w:sz w:val="20"/>
          <w:szCs w:val="20"/>
          <w:color w:val="auto"/>
        </w:rPr>
      </w:pPr>
    </w:p>
    <w:p>
      <w:pPr>
        <w:jc w:val="both"/>
        <w:ind w:firstLine="656"/>
        <w:spacing w:after="0" w:line="272" w:lineRule="auto"/>
        <w:tabs>
          <w:tab w:leader="none" w:pos="1527" w:val="left"/>
        </w:tabs>
        <w:numPr>
          <w:ilvl w:val="1"/>
          <w:numId w:val="337"/>
        </w:numPr>
        <w:rPr>
          <w:rFonts w:ascii="Arial" w:cs="Arial" w:eastAsia="Arial" w:hAnsi="Arial"/>
          <w:sz w:val="20"/>
          <w:szCs w:val="20"/>
          <w:color w:val="auto"/>
        </w:rPr>
      </w:pPr>
      <w:r>
        <w:rPr>
          <w:rFonts w:ascii="Arial" w:cs="Arial" w:eastAsia="Arial" w:hAnsi="Arial"/>
          <w:sz w:val="20"/>
          <w:szCs w:val="20"/>
          <w:color w:val="auto"/>
        </w:rPr>
        <w:t>one or more judgments for the payment of money in an aggregate amount in excess of $15,000,000 (to the extent not paid, fully bonded or covered by a solvent and unaffiliated insurer that has not denied coverage) shall be rendered against any Loan Party or any Material Subsidiary or any combination thereof and the same shall remain undischarged for a period of sixty (60) consecutive days during which execution shall not be effectively stayed (by reason of pending appeal or otherwise), or any action shall be legally taken by a judgment creditor to attach or levy upon any assets of any Loan Party or any Material Subsidiary to enforce any such judgment and such action shall not have been stayed;</w:t>
      </w:r>
    </w:p>
    <w:p>
      <w:pPr>
        <w:spacing w:after="0" w:line="191" w:lineRule="exact"/>
        <w:rPr>
          <w:rFonts w:ascii="Arial" w:cs="Arial" w:eastAsia="Arial" w:hAnsi="Arial"/>
          <w:sz w:val="20"/>
          <w:szCs w:val="20"/>
          <w:color w:val="auto"/>
        </w:rPr>
      </w:pPr>
    </w:p>
    <w:p>
      <w:pPr>
        <w:ind w:right="20" w:firstLine="656"/>
        <w:spacing w:after="0" w:line="289" w:lineRule="auto"/>
        <w:tabs>
          <w:tab w:leader="none" w:pos="1483" w:val="left"/>
        </w:tabs>
        <w:numPr>
          <w:ilvl w:val="1"/>
          <w:numId w:val="337"/>
        </w:numPr>
        <w:rPr>
          <w:rFonts w:ascii="Arial" w:cs="Arial" w:eastAsia="Arial" w:hAnsi="Arial"/>
          <w:sz w:val="20"/>
          <w:szCs w:val="20"/>
          <w:color w:val="auto"/>
        </w:rPr>
      </w:pPr>
      <w:r>
        <w:rPr>
          <w:rFonts w:ascii="Arial" w:cs="Arial" w:eastAsia="Arial" w:hAnsi="Arial"/>
          <w:sz w:val="20"/>
          <w:szCs w:val="20"/>
          <w:color w:val="auto"/>
        </w:rPr>
        <w:t>an ERISA Event shall have occurred that, when taken together with all other ERISA Events that have occurred, could reasonably be expected to result in a Material Adverse Effect;</w:t>
      </w:r>
    </w:p>
    <w:p>
      <w:pPr>
        <w:spacing w:after="0" w:line="175" w:lineRule="exact"/>
        <w:rPr>
          <w:rFonts w:ascii="Arial" w:cs="Arial" w:eastAsia="Arial" w:hAnsi="Arial"/>
          <w:sz w:val="20"/>
          <w:szCs w:val="20"/>
          <w:color w:val="auto"/>
        </w:rPr>
      </w:pPr>
    </w:p>
    <w:p>
      <w:pPr>
        <w:ind w:left="1600" w:hanging="944"/>
        <w:spacing w:after="0"/>
        <w:tabs>
          <w:tab w:leader="none" w:pos="1600" w:val="left"/>
        </w:tabs>
        <w:numPr>
          <w:ilvl w:val="1"/>
          <w:numId w:val="337"/>
        </w:numPr>
        <w:rPr>
          <w:rFonts w:ascii="Arial" w:cs="Arial" w:eastAsia="Arial" w:hAnsi="Arial"/>
          <w:sz w:val="20"/>
          <w:szCs w:val="20"/>
          <w:color w:val="auto"/>
        </w:rPr>
      </w:pPr>
      <w:r>
        <w:rPr>
          <w:rFonts w:ascii="Arial" w:cs="Arial" w:eastAsia="Arial" w:hAnsi="Arial"/>
          <w:sz w:val="20"/>
          <w:szCs w:val="20"/>
          <w:color w:val="auto"/>
        </w:rPr>
        <w:t>a Change in Control shall occur;</w:t>
      </w:r>
    </w:p>
    <w:p>
      <w:pPr>
        <w:spacing w:after="0" w:line="242" w:lineRule="exact"/>
        <w:rPr>
          <w:rFonts w:ascii="Arial" w:cs="Arial" w:eastAsia="Arial" w:hAnsi="Arial"/>
          <w:sz w:val="20"/>
          <w:szCs w:val="20"/>
          <w:color w:val="auto"/>
        </w:rPr>
      </w:pPr>
    </w:p>
    <w:p>
      <w:pPr>
        <w:jc w:val="both"/>
        <w:ind w:firstLine="656"/>
        <w:spacing w:after="0" w:line="274" w:lineRule="auto"/>
        <w:tabs>
          <w:tab w:leader="none" w:pos="1527" w:val="left"/>
        </w:tabs>
        <w:numPr>
          <w:ilvl w:val="1"/>
          <w:numId w:val="337"/>
        </w:numPr>
        <w:rPr>
          <w:rFonts w:ascii="Arial" w:cs="Arial" w:eastAsia="Arial" w:hAnsi="Arial"/>
          <w:sz w:val="20"/>
          <w:szCs w:val="20"/>
          <w:color w:val="auto"/>
        </w:rPr>
      </w:pPr>
      <w:r>
        <w:rPr>
          <w:rFonts w:ascii="Arial" w:cs="Arial" w:eastAsia="Arial" w:hAnsi="Arial"/>
          <w:sz w:val="20"/>
          <w:szCs w:val="20"/>
          <w:color w:val="auto"/>
        </w:rPr>
        <w:t>the occurrence of any “default” or “Event of Default”, as defined in any Loan Document (other than this Agreement), or the breach of any of the terms or provisions of any Loan Document (other than this Agreement), which default or breach continues beyond any period of grace therein provided (but if no specific grace period is provided therein, which default or breach continues beyond thirty (30) days after the earlier of knowledge of such default or breach or notice thereof);</w:t>
      </w:r>
    </w:p>
    <w:p>
      <w:pPr>
        <w:spacing w:after="0" w:line="192" w:lineRule="exact"/>
        <w:rPr>
          <w:rFonts w:ascii="Arial" w:cs="Arial" w:eastAsia="Arial" w:hAnsi="Arial"/>
          <w:sz w:val="20"/>
          <w:szCs w:val="20"/>
          <w:color w:val="auto"/>
        </w:rPr>
      </w:pPr>
    </w:p>
    <w:p>
      <w:pPr>
        <w:jc w:val="both"/>
        <w:ind w:firstLine="656"/>
        <w:spacing w:after="0" w:line="307" w:lineRule="auto"/>
        <w:tabs>
          <w:tab w:leader="none" w:pos="1527" w:val="left"/>
        </w:tabs>
        <w:numPr>
          <w:ilvl w:val="1"/>
          <w:numId w:val="337"/>
        </w:numPr>
        <w:rPr>
          <w:rFonts w:ascii="Arial" w:cs="Arial" w:eastAsia="Arial" w:hAnsi="Arial"/>
          <w:sz w:val="18"/>
          <w:szCs w:val="18"/>
          <w:color w:val="auto"/>
        </w:rPr>
      </w:pPr>
      <w:r>
        <w:rPr>
          <w:rFonts w:ascii="Arial" w:cs="Arial" w:eastAsia="Arial" w:hAnsi="Arial"/>
          <w:sz w:val="18"/>
          <w:szCs w:val="18"/>
          <w:color w:val="auto"/>
        </w:rPr>
        <w:t>any Loan Document, after execution thereof and for any reason other than as expressly permitted hereunder or thereunder or in satisfaction in full of the Obligations, ceases to be valid, binding and enforceable against the Company or any other Loan Party party thereto in accordance with its terms in all material respects (or any Loan Party shall challenge the enforceability of any Loan Document or shall assert in writing, or engage in any action or inaction based on any such assertion, that any material provision of any of the Loan Documents has ceased to be or otherwise is not valid, binding and enforceable in accordance with its terms in any material respect, other than as expressly permitted hereunder or thereunder or the satisfaction in full in cash of the Obligations then due and payable); or</w:t>
      </w:r>
    </w:p>
    <w:p>
      <w:pPr>
        <w:spacing w:after="0" w:line="167" w:lineRule="exact"/>
        <w:rPr>
          <w:rFonts w:ascii="Arial" w:cs="Arial" w:eastAsia="Arial" w:hAnsi="Arial"/>
          <w:sz w:val="18"/>
          <w:szCs w:val="18"/>
          <w:color w:val="auto"/>
        </w:rPr>
      </w:pPr>
    </w:p>
    <w:p>
      <w:pPr>
        <w:jc w:val="both"/>
        <w:ind w:firstLine="656"/>
        <w:spacing w:after="0" w:line="297" w:lineRule="auto"/>
        <w:tabs>
          <w:tab w:leader="none" w:pos="1527" w:val="left"/>
        </w:tabs>
        <w:numPr>
          <w:ilvl w:val="1"/>
          <w:numId w:val="337"/>
        </w:numPr>
        <w:rPr>
          <w:rFonts w:ascii="Arial" w:cs="Arial" w:eastAsia="Arial" w:hAnsi="Arial"/>
          <w:sz w:val="18"/>
          <w:szCs w:val="18"/>
          <w:color w:val="auto"/>
        </w:rPr>
      </w:pPr>
      <w:r>
        <w:rPr>
          <w:rFonts w:ascii="Arial" w:cs="Arial" w:eastAsia="Arial" w:hAnsi="Arial"/>
          <w:sz w:val="18"/>
          <w:szCs w:val="18"/>
          <w:color w:val="auto"/>
        </w:rPr>
        <w:t>except as permitted by the terms of any Collateral Document or this Agreement, (i) any Collateral Document shall for any reason fail to create or keep created a valid security interest in any material portion of the Collateral purported to be covered thereby, or</w:t>
      </w:r>
    </w:p>
    <w:p>
      <w:pPr>
        <w:ind w:firstLine="8"/>
        <w:spacing w:after="0" w:line="316" w:lineRule="auto"/>
        <w:tabs>
          <w:tab w:leader="none" w:pos="311" w:val="left"/>
        </w:tabs>
        <w:numPr>
          <w:ilvl w:val="0"/>
          <w:numId w:val="338"/>
        </w:numPr>
        <w:rPr>
          <w:rFonts w:ascii="Arial" w:cs="Arial" w:eastAsia="Arial" w:hAnsi="Arial"/>
          <w:sz w:val="19"/>
          <w:szCs w:val="19"/>
          <w:color w:val="auto"/>
        </w:rPr>
      </w:pPr>
      <w:r>
        <w:rPr>
          <w:rFonts w:ascii="Arial" w:cs="Arial" w:eastAsia="Arial" w:hAnsi="Arial"/>
          <w:sz w:val="19"/>
          <w:szCs w:val="19"/>
          <w:color w:val="auto"/>
        </w:rPr>
        <w:t>other than as a result of the failure of the Administrative Agent to take any action within its control to maintain perfection of the Liens created in favor of the Administrative Agent for the benefit of the Secured Parties pursuant to the Loan Documents (excluding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420"/>
          </w:cols>
          <w:pgMar w:left="240" w:top="825" w:right="239" w:bottom="1440" w:gutter="0" w:footer="0" w:header="0"/>
        </w:sectPr>
      </w:pPr>
    </w:p>
    <w:bookmarkStart w:id="286" w:name="page287"/>
    <w:bookmarkEnd w:id="286"/>
    <w:p>
      <w:pPr>
        <w:jc w:val="both"/>
        <w:spacing w:after="0" w:line="297" w:lineRule="auto"/>
        <w:rPr>
          <w:sz w:val="20"/>
          <w:szCs w:val="20"/>
          <w:color w:val="auto"/>
        </w:rPr>
      </w:pPr>
      <w:r>
        <w:rPr>
          <w:rFonts w:ascii="Arial" w:cs="Arial" w:eastAsia="Arial" w:hAnsi="Arial"/>
          <w:sz w:val="18"/>
          <w:szCs w:val="18"/>
          <w:color w:val="auto"/>
        </w:rPr>
        <w:t>any action based on facts or circumstances for which the Administrative Agent has not been notified in accordance with the provisions of the Loan Documents), any Lien securing any material portion of the Secured Obligations shall cease to be a perfected Lien having the priority required by the Loan Documents; then, and in every such event (other than an event with respect to any Borrower described in clause (h) or</w:t>
      </w:r>
    </w:p>
    <w:p>
      <w:pPr>
        <w:spacing w:after="0" w:line="1" w:lineRule="exact"/>
        <w:rPr>
          <w:sz w:val="20"/>
          <w:szCs w:val="20"/>
          <w:color w:val="auto"/>
        </w:rPr>
      </w:pPr>
    </w:p>
    <w:p>
      <w:pPr>
        <w:jc w:val="both"/>
        <w:ind w:firstLine="8"/>
        <w:spacing w:after="0" w:line="301" w:lineRule="auto"/>
        <w:tabs>
          <w:tab w:leader="none" w:pos="25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xml:space="preserve">of this Article), and at any time thereafter during the continuance of such event, the Administrative Agent may, and at the request of the Required Lenders shall, by written notice to the Borrower Representative, take either or both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Secured Obligations of the Borrowers accrued hereunder and under the other Loan Documents, shall become due and payable immediately, without presentment, demand, protest or other notice of any kind, all of which are hereby waived by the Borrowers and (iii) require cash collateral for the LC Exposure in accordance with Section 2.06(j); and in case of any event with respect to any Borrower described in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this Article, the Commitments shall automatically terminate and the principal of the Loans then outstanding and the cash collateral for the LC Exposure, together with accrued interest thereon and all fees and other Secured Obligations accrued hereunder and under the other Loan Documents, shall automatically become due and payable, without presentment, demand, protest or other notice of any kind, all of which are hereby waived by the Borrowers.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VIII.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Administrative Agent</w:t>
      </w:r>
    </w:p>
    <w:p>
      <w:pPr>
        <w:spacing w:after="0" w:line="162"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Each of the Lenders, on behalf of itself and any of its Affiliates that are Secured Parties, and the Issuing Banks hereby irrevocably appoints the Administrative Agent as its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 In addition, to the extent required under the laws of any jurisdiction other than the United States of America, each of the Lenders, on behalf of itself and any of its Affiliates that are Secured Parties, and the Issuing Bank hereby grants to the Administrative Agent any required powers of attorney to execute any Collateral Document governed by the laws of such jurisdiction on such Lender’s or Issuing Bank’s behalf. The provisions of this Article are solely for the benefit of the Administrative Agent and the Lenders (including the Swingline Lender and the Issuing Bank), and neither the Company nor any other Loan Party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420"/>
          </w:cols>
          <w:pgMar w:left="240" w:top="825" w:right="239" w:bottom="1440" w:gutter="0" w:footer="0" w:header="0"/>
        </w:sectPr>
      </w:pPr>
    </w:p>
    <w:bookmarkStart w:id="287" w:name="page288"/>
    <w:bookmarkEnd w:id="287"/>
    <w:p>
      <w:pPr>
        <w:jc w:val="both"/>
        <w:ind w:firstLine="1297"/>
        <w:spacing w:after="0" w:line="267" w:lineRule="auto"/>
        <w:rPr>
          <w:sz w:val="20"/>
          <w:szCs w:val="20"/>
          <w:color w:val="auto"/>
        </w:rPr>
      </w:pPr>
      <w:r>
        <w:rPr>
          <w:rFonts w:ascii="Arial" w:cs="Arial" w:eastAsia="Arial" w:hAnsi="Arial"/>
          <w:sz w:val="18"/>
          <w:szCs w:val="18"/>
          <w:color w:val="auto"/>
        </w:rPr>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under the circumstances as provided in Section 9.02), and (c) except as expressly set forth in the Loan Documents,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as determined by a final nonappealable judgment of a court of competent jurisdiction. The Administrative Agent shall be deemed not to have knowledge of any Default unless and until written notice thereof is given to the Administrative Agent by the Borrower Representative or a Lender, and the Administrative Agent shall not be responsible for or have any duty to ascertain or inquire into (i) any statement, warranty or representation made in or in connection with any Loan Document,</w:t>
      </w:r>
    </w:p>
    <w:p>
      <w:pPr>
        <w:spacing w:after="0" w:line="6" w:lineRule="exact"/>
        <w:rPr>
          <w:sz w:val="20"/>
          <w:szCs w:val="20"/>
          <w:color w:val="auto"/>
        </w:rPr>
      </w:pPr>
    </w:p>
    <w:p>
      <w:pPr>
        <w:jc w:val="both"/>
        <w:ind w:firstLine="8"/>
        <w:spacing w:after="0" w:line="274" w:lineRule="auto"/>
        <w:tabs>
          <w:tab w:leader="none" w:pos="341"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contents of any certificate, report or other document delivered hereunder or in connection with any Loan Document, (iii) the performance or observance of any of the covenants, agreements or other terms or conditions set forth in any Loan Document, (iv) the validity, enforceability, effectiveness or genuineness of any Loan Document or any other agreement, instrument or document, (v) the creation, perfection or priority of Liens on the Collateral or the existence of the Collateral or (vi) the satisfaction of any condition set forth in Article IV or elsewhere in any Loan Document, other than to confirm receipt of items expressly required to be delivered to the Administrative Agent.</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79"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spacing w:after="0" w:line="165"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Subject to the appointment and acceptance of a successor Administrative Agent as provided in this paragraph, the Administrative Agent may resign at any time by notifying the Lenders, the Issuing Bank and the Borrower Representative. Upon any such resignation, the Required Lenders shall have the right, in consultation with the Borrowers, to appoint a successor. If no successor shall have been so appointed by the Required Lenders and shall have accepted such appointment within thirty (30) days after the retiring Administrative Agent gives notice of its resignation, then the retiring Administrative Agent may, on behalf</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1420"/>
          </w:cols>
          <w:pgMar w:left="240" w:top="811" w:right="239" w:bottom="1440" w:gutter="0" w:footer="0" w:header="0"/>
        </w:sectPr>
      </w:pPr>
    </w:p>
    <w:bookmarkStart w:id="288" w:name="page289"/>
    <w:bookmarkEnd w:id="288"/>
    <w:p>
      <w:pPr>
        <w:jc w:val="both"/>
        <w:spacing w:after="0" w:line="231" w:lineRule="exact"/>
        <w:rPr>
          <w:sz w:val="20"/>
          <w:szCs w:val="20"/>
          <w:color w:val="auto"/>
        </w:rPr>
      </w:pPr>
      <w:r>
        <w:rPr>
          <w:rFonts w:ascii="Arial" w:cs="Arial" w:eastAsia="Arial" w:hAnsi="Arial"/>
          <w:sz w:val="18"/>
          <w:szCs w:val="18"/>
          <w:color w:val="auto"/>
        </w:rPr>
        <w:t>of the Lenders and the Issuing Bank, appoint a successor Administrative Agent which shall be a bank with an office in New York, New York, or an Affiliate of any such bank. Upon the acceptance of its appointment as Administrative Agent hereunder by its successor, such successor shall succeed to and become vested with all the rights, powers, privileges and duties of the retiring Administrative Agent, and the retiring Administrative Agent shall be discharged from its duties and obligations hereunder and under the other Loan Documents. The fees payable by the Borrowers to a successor Administrative Agent shall be the same as those payable to its predecessor, unless otherwise agreed by the Borrowers and such successor. Notwithstanding the foregoing, in the event no successor Administrative Agent shall have been so appointed and shall have accepted such appointment within thirty (30) days after the retiring Administrative Agent gives notice of its intent to resign, the retiring Administrative Agent may give notice of the effectiveness of its resignation to the Lenders, the Issuing Banks and the Borrowers, whereupon, on the date of effectiveness of such resignation stated in such notice, (a) the retiring Administrative Agent shall be discharged from its duties and obligations hereunder and under the other Loan Documents, provided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in the case of any Collateral in the possession of the Administrative Agent, shall continue to hold such Collateral, in each case until such time as a successor Administrative Agent is appointed and accepts such appointment in accordance with this paragraph (it being understood and agreed that the retiring Administrative Agent shall have no duly or obligation to take any further action under any Collateral Document, including any action required to maintain the perfection of any such security interest), and (b) the Required Lenders shall succeed to and become vested with all the rights, powers, privileges and duties of the retiring Administrative Agent, provided that (i) all payments required to be made hereunder or under any other Loan Document to the Administrative Agent for the account of any Person other than the Administrative Agent shall be made directly to such Person and (ii) all notices and other communications required or contemplated to be given or made to the Administrative Agent shall also directly be given or made to each Lender and each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w:t>
      </w:r>
      <w:r>
        <w:rPr>
          <w:rFonts w:ascii="MS PGothic" w:cs="MS PGothic" w:eastAsia="MS PGothic" w:hAnsi="MS PGothic"/>
          <w:sz w:val="18"/>
          <w:szCs w:val="18"/>
          <w:color w:val="auto"/>
        </w:rPr>
        <w:t>‑</w:t>
      </w:r>
      <w:r>
        <w:rPr>
          <w:rFonts w:ascii="Arial" w:cs="Arial" w:eastAsia="Arial" w:hAnsi="Arial"/>
          <w:sz w:val="18"/>
          <w:szCs w:val="18"/>
          <w:color w:val="auto"/>
        </w:rPr>
        <w:t>agents and their respective Related Parties in respect of any actions taken or omitted to be taken by any of them while it was acting as Administrative Agent and in respect of the matters referred to in the proviso under clause (a) above.</w:t>
      </w:r>
    </w:p>
    <w:p>
      <w:pPr>
        <w:spacing w:after="0" w:line="20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Each Lender acknowledges and agrees that the extensions of credit made hereunder are commercial loans and letters of credit and not investments in a business enterprise or securities. Each Lender further represents that it is engaged in making, acquiring or holding commercial loans in the ordinary course of its business and has, independently and without reliance upon the Administrative Agent or any other Lender and based on such documents and information as it has deemed appropriate, made its own credit analysis and decision to enter into this Agreement as a Lender, and to make, acquire or hold Loans hereunder. Each Lender shall, independently and without reliance upon the Administrative Agent or any other Lender and based on such documents and information (which may contain MNPI) as it shall from time to time deem appropriate, continue to make its own decisions in taking or not taking action under or based upon this Agreement, any related agreement or any document furnished hereunder or thereunder and in deciding whether or to the extent to which it will continue as a lender or assign or otherwise transfer its rights, interests and obligations hereunder.</w:t>
      </w:r>
    </w:p>
    <w:p>
      <w:pPr>
        <w:spacing w:after="0" w:line="171"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420"/>
          </w:cols>
          <w:pgMar w:left="240" w:top="812" w:right="239" w:bottom="1440" w:gutter="0" w:footer="0" w:header="0"/>
        </w:sectPr>
      </w:pPr>
    </w:p>
    <w:bookmarkStart w:id="289" w:name="page290"/>
    <w:bookmarkEnd w:id="289"/>
    <w:p>
      <w:pPr>
        <w:jc w:val="both"/>
        <w:spacing w:after="0" w:line="270" w:lineRule="auto"/>
        <w:rPr>
          <w:sz w:val="20"/>
          <w:szCs w:val="20"/>
          <w:color w:val="auto"/>
        </w:rPr>
      </w:pPr>
      <w:r>
        <w:rPr>
          <w:rFonts w:ascii="Arial" w:cs="Arial" w:eastAsia="Arial" w:hAnsi="Arial"/>
          <w:sz w:val="18"/>
          <w:szCs w:val="18"/>
          <w:color w:val="auto"/>
        </w:rPr>
        <w:t>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the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174"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19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In its capacity, the Administrative Agent is a “representative” of the Secured Parties within the meaning of the term “secured party” as defined in the UCC.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Secured Parties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 The Lenders hereby authorize the Administrative Agent, at its option and in its discretion, to release any Lien granted to or held by the Administrative Agent upon any Collateral (i) as described in Section 9.02(d);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 Upon any sale, transfer or other Disposition of assets constituting Collateral which is permitted pursuant to the terms of any Loan Document, or consented to in writing by the Required Lenders or all of the Lenders, as applicable, and upon three (3) Business Days’ (or such shorter period as is acceptable to the Administrative Agent) prior written request by the Company to the Administrative Agent, the Administrative Agent shall (and is hereby irrevocably authorized by the Lenders to) execute such documents as may be necessary to evidence the release of the Liens granted to the Administrative Agent for the benefit of the Secured Parties herein or pursuant hereto upon the Collateral that was sold or transferred; provided, however, that (i) the Administrative Agent shall not be required to execute any such document on terms which, in the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420"/>
          </w:cols>
          <w:pgMar w:left="240" w:top="811" w:right="239" w:bottom="1440" w:gutter="0" w:footer="0" w:header="0"/>
        </w:sectPr>
      </w:pPr>
    </w:p>
    <w:bookmarkStart w:id="290" w:name="page291"/>
    <w:bookmarkEnd w:id="290"/>
    <w:p>
      <w:pPr>
        <w:jc w:val="both"/>
        <w:spacing w:after="0" w:line="243" w:lineRule="auto"/>
        <w:rPr>
          <w:sz w:val="20"/>
          <w:szCs w:val="20"/>
          <w:color w:val="auto"/>
        </w:rPr>
      </w:pPr>
      <w:r>
        <w:rPr>
          <w:rFonts w:ascii="Arial" w:cs="Arial" w:eastAsia="Arial" w:hAnsi="Arial"/>
          <w:sz w:val="20"/>
          <w:szCs w:val="20"/>
          <w:color w:val="auto"/>
        </w:rPr>
        <w:t>Administrative Agent’s opinion, would expose the Administrative Agent to liability or create any obligation or entail any consequence other than the release of such Liens without recourse or warranty, and (ii) such release shall not in any manner discharge, affect or impair the Secured Obligations or any Liens upon (or obligations of the Company or any Subsidiary in respect of) all interests retained by the Company or any Subsidiary, including (without limitation) the proceeds of the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9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Company) shall be entitled and empowered (but not obligated) by intervention in such proceeding or otherwise:</w:t>
      </w:r>
    </w:p>
    <w:p>
      <w:pPr>
        <w:spacing w:after="0" w:line="195" w:lineRule="exact"/>
        <w:rPr>
          <w:sz w:val="20"/>
          <w:szCs w:val="20"/>
          <w:color w:val="auto"/>
        </w:rPr>
      </w:pPr>
    </w:p>
    <w:p>
      <w:pPr>
        <w:jc w:val="both"/>
        <w:ind w:left="660" w:firstLine="1293"/>
        <w:spacing w:after="0" w:line="246" w:lineRule="auto"/>
        <w:tabs>
          <w:tab w:leader="none" w:pos="2248"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 and the Administrative Agent (including any claim under Sections 2.12, 2.13, 2.15, 2.16, 2.17 and 9.03) allowed in such judicial proceeding; and</w:t>
      </w:r>
    </w:p>
    <w:p>
      <w:pPr>
        <w:spacing w:after="0" w:line="191" w:lineRule="exact"/>
        <w:rPr>
          <w:rFonts w:ascii="Arial" w:cs="Arial" w:eastAsia="Arial" w:hAnsi="Arial"/>
          <w:sz w:val="20"/>
          <w:szCs w:val="20"/>
          <w:color w:val="auto"/>
        </w:rPr>
      </w:pPr>
    </w:p>
    <w:p>
      <w:pPr>
        <w:ind w:left="2260" w:hanging="307"/>
        <w:spacing w:after="0"/>
        <w:tabs>
          <w:tab w:leader="none" w:pos="22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collect and receive any monies or other property payable or deliverable on any such claims and to distribute the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same;</w:t>
      </w:r>
    </w:p>
    <w:p>
      <w:pPr>
        <w:spacing w:after="0" w:line="200"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and any custodian, receiver, assignee, trustee, liquidator, sequestrator or other similar official in any such proceeding is hereby authorized by each Lender, the Issuing Bank and each other Secured Party to make such payments to the Administrative Agent and, in the event that the Administrative Agent shall consent to the making of such payments directly to the Lenders, the Issuing Bank or the other Secured Parties, to pay to the Administrative Agent any amount due to it, in its capacity as the Administrative Agent, under the Loan Documents (including under Section 9.03).</w:t>
      </w:r>
    </w:p>
    <w:p>
      <w:pPr>
        <w:spacing w:after="0" w:line="19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Credit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420"/>
          </w:cols>
          <w:pgMar w:left="240" w:top="811" w:right="239" w:bottom="1440" w:gutter="0" w:footer="0" w:header="0"/>
        </w:sectPr>
      </w:pPr>
    </w:p>
    <w:bookmarkStart w:id="291" w:name="page292"/>
    <w:bookmarkEnd w:id="291"/>
    <w:p>
      <w:pPr>
        <w:jc w:val="both"/>
        <w:spacing w:after="0" w:line="268" w:lineRule="auto"/>
        <w:rPr>
          <w:sz w:val="20"/>
          <w:szCs w:val="20"/>
          <w:color w:val="auto"/>
        </w:rPr>
      </w:pPr>
      <w:r>
        <w:rPr>
          <w:rFonts w:ascii="Arial" w:cs="Arial" w:eastAsia="Arial" w:hAnsi="Arial"/>
          <w:sz w:val="18"/>
          <w:szCs w:val="18"/>
          <w:color w:val="auto"/>
        </w:rPr>
        <w:t>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Each Borrower, on its behalf and on behalf of its Subsidiaries, and each Lender, on its behalf and on the behalf of its affiliated Secured Parties, hereby irrevocably constitute the Administrative Agent as the holder of an irrevocable power of attorney (</w:t>
      </w:r>
      <w:r>
        <w:rPr>
          <w:rFonts w:ascii="Arial" w:cs="Arial" w:eastAsia="Arial" w:hAnsi="Arial"/>
          <w:sz w:val="18"/>
          <w:szCs w:val="18"/>
          <w:i w:val="1"/>
          <w:iCs w:val="1"/>
          <w:color w:val="auto"/>
        </w:rPr>
        <w:t>fondé de pouvoir</w:t>
      </w:r>
      <w:r>
        <w:rPr>
          <w:rFonts w:ascii="Arial" w:cs="Arial" w:eastAsia="Arial" w:hAnsi="Arial"/>
          <w:sz w:val="18"/>
          <w:szCs w:val="18"/>
          <w:color w:val="auto"/>
        </w:rPr>
        <w:t xml:space="preserve"> within the meaning of Article 2692 of the Civil Code of Québec) in order to hold hypothecs and security granted by each Borrower or any Subsidiary on property pursuant to the laws of the Province of Québec to secure obligations of any Borrower or any Subsidiary under any bond, debenture or similar title of indebtedness issued by any Borrower or any Subsidiary in connection with this Agreement, and agree that the Administrative Agent may act as the bondholder and mandatary with respect to any bond, debenture or similar title of indebtedness that may be issued by any Borrower or any Subsidiary and pledged in favor of the Secured Parties in connection with this Agreement. Notwithstanding the provisions of Section 32 of the An Act respecting the special powers of legal persons (Québec), JPMorgan Chase Bank, N.A. as Administrative Agent may acquire and be the holder of any bond issued by any Borrower or any Subsidiary in connection with this Agreement (i.e., the </w:t>
      </w:r>
      <w:r>
        <w:rPr>
          <w:rFonts w:ascii="Arial" w:cs="Arial" w:eastAsia="Arial" w:hAnsi="Arial"/>
          <w:sz w:val="18"/>
          <w:szCs w:val="18"/>
          <w:i w:val="1"/>
          <w:iCs w:val="1"/>
          <w:color w:val="auto"/>
        </w:rPr>
        <w:t>fondé</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 pouvoir </w:t>
      </w:r>
      <w:r>
        <w:rPr>
          <w:rFonts w:ascii="Arial" w:cs="Arial" w:eastAsia="Arial" w:hAnsi="Arial"/>
          <w:sz w:val="18"/>
          <w:szCs w:val="18"/>
          <w:color w:val="auto"/>
        </w:rPr>
        <w:t>may acquire and hold the first bond issued under any deed of hypothec by any Borrower or any Subsidiary).</w:t>
      </w:r>
    </w:p>
    <w:p>
      <w:pPr>
        <w:spacing w:after="0" w:line="175"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The Administrative Agent is hereby authorized to execute and deliver any documents necessary or appropriate to create and perfect the rights of pledge for the benefit of the Secured Parties including a right of pledge with respect to the entitlements to profits, the balance left after winding up and the voting rights of the Borrower as ultimate parent of any subsidiary of the Borrower which is organized under the laws of the Netherlands and the Equity Interests of which are pledged in connection herewith (a “</w:t>
      </w:r>
      <w:r>
        <w:rPr>
          <w:rFonts w:ascii="Arial" w:cs="Arial" w:eastAsia="Arial" w:hAnsi="Arial"/>
          <w:sz w:val="20"/>
          <w:szCs w:val="20"/>
          <w:u w:val="single" w:color="auto"/>
          <w:color w:val="auto"/>
        </w:rPr>
        <w:t>Dutch Pledge</w:t>
      </w:r>
      <w:r>
        <w:rPr>
          <w:rFonts w:ascii="Arial" w:cs="Arial" w:eastAsia="Arial" w:hAnsi="Arial"/>
          <w:sz w:val="20"/>
          <w:szCs w:val="20"/>
          <w:color w:val="auto"/>
        </w:rPr>
        <w:t>”). Without prejudice to the provisions of this Agreement and the other Loan Documents, the parties hereto acknowledge and agree with the creation of parallel debt obligations of the Borrower or 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420"/>
          </w:cols>
          <w:pgMar w:left="240" w:top="812" w:right="239" w:bottom="1440" w:gutter="0" w:footer="0" w:header="0"/>
        </w:sectPr>
      </w:pPr>
    </w:p>
    <w:bookmarkStart w:id="292" w:name="page293"/>
    <w:bookmarkEnd w:id="292"/>
    <w:p>
      <w:pPr>
        <w:jc w:val="both"/>
        <w:spacing w:after="0" w:line="242" w:lineRule="auto"/>
        <w:rPr>
          <w:sz w:val="20"/>
          <w:szCs w:val="20"/>
          <w:color w:val="auto"/>
        </w:rPr>
      </w:pPr>
      <w:r>
        <w:rPr>
          <w:rFonts w:ascii="Arial" w:cs="Arial" w:eastAsia="Arial" w:hAnsi="Arial"/>
          <w:sz w:val="20"/>
          <w:szCs w:val="20"/>
          <w:color w:val="auto"/>
        </w:rPr>
        <w:t>relevant Subsidiary as will be described in any Dutch Pledge (the “</w:t>
      </w:r>
      <w:r>
        <w:rPr>
          <w:rFonts w:ascii="Arial" w:cs="Arial" w:eastAsia="Arial" w:hAnsi="Arial"/>
          <w:sz w:val="20"/>
          <w:szCs w:val="20"/>
          <w:u w:val="single" w:color="auto"/>
          <w:color w:val="auto"/>
        </w:rPr>
        <w:t>Parallel Debt</w:t>
      </w:r>
      <w:r>
        <w:rPr>
          <w:rFonts w:ascii="Arial" w:cs="Arial" w:eastAsia="Arial" w:hAnsi="Arial"/>
          <w:sz w:val="20"/>
          <w:szCs w:val="20"/>
          <w:color w:val="auto"/>
        </w:rPr>
        <w:t>”), including that any payment received by the Administrative Agent in respect of the Parallel Debt will - conditionally upon such payment not subsequently being avoided or reduced by virtue of any provisions or enactments relating to bankruptcy, insolvency, preference, liquidation or similar laws of general application - be deemed a satisfaction of a pro rata portion of the corresponding amounts of the Secured Obligations, and any payment to the Secured Parties in satisfaction of the Secured Obligations shall - conditionally upon such payment not subsequently being avoided or reduced by virtue of any provisions or enactments relating to bankruptcy, insolvency, preference, liquidation or similar laws of general application - be deemed as satisfaction of the corresponding amount of the Parallel Debt. The parties hereto acknowledge and agree that, for purposes of a Dutch Pledge, any resignation by the Administrative Agent is not effective until its rights under the Parallel Debt are assigned to the successor Administrative Agent.</w:t>
      </w:r>
    </w:p>
    <w:p>
      <w:pPr>
        <w:spacing w:after="0" w:line="19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The parties hereto acknowledge and agree for the purposes of taking and ensuring the continuing validity of German law governed pledges (</w:t>
      </w:r>
      <w:r>
        <w:rPr>
          <w:rFonts w:ascii="Arial" w:cs="Arial" w:eastAsia="Arial" w:hAnsi="Arial"/>
          <w:sz w:val="18"/>
          <w:szCs w:val="18"/>
          <w:i w:val="1"/>
          <w:iCs w:val="1"/>
          <w:color w:val="auto"/>
        </w:rPr>
        <w:t>Pfandrechte</w:t>
      </w:r>
      <w:r>
        <w:rPr>
          <w:rFonts w:ascii="Arial" w:cs="Arial" w:eastAsia="Arial" w:hAnsi="Arial"/>
          <w:sz w:val="18"/>
          <w:szCs w:val="18"/>
          <w:color w:val="auto"/>
        </w:rPr>
        <w:t>) with the creation of parallel debt obligations of the Borrower and its Subsidiaries as will be further described in a separate German law governed parallel debt undertaking. The Administrative Agent shall (i) hold such parallel debt undertaking as fiduciary agent (</w:t>
      </w:r>
      <w:r>
        <w:rPr>
          <w:rFonts w:ascii="Arial" w:cs="Arial" w:eastAsia="Arial" w:hAnsi="Arial"/>
          <w:sz w:val="18"/>
          <w:szCs w:val="18"/>
          <w:i w:val="1"/>
          <w:iCs w:val="1"/>
          <w:color w:val="auto"/>
        </w:rPr>
        <w:t>Treuhaender</w:t>
      </w:r>
      <w:r>
        <w:rPr>
          <w:rFonts w:ascii="Arial" w:cs="Arial" w:eastAsia="Arial" w:hAnsi="Arial"/>
          <w:sz w:val="18"/>
          <w:szCs w:val="18"/>
          <w:color w:val="auto"/>
        </w:rPr>
        <w:t>) and (ii) administer and hold as fiduciary agent (</w:t>
      </w:r>
      <w:r>
        <w:rPr>
          <w:rFonts w:ascii="Arial" w:cs="Arial" w:eastAsia="Arial" w:hAnsi="Arial"/>
          <w:sz w:val="18"/>
          <w:szCs w:val="18"/>
          <w:i w:val="1"/>
          <w:iCs w:val="1"/>
          <w:color w:val="auto"/>
        </w:rPr>
        <w:t>Treuhaender</w:t>
      </w:r>
      <w:r>
        <w:rPr>
          <w:rFonts w:ascii="Arial" w:cs="Arial" w:eastAsia="Arial" w:hAnsi="Arial"/>
          <w:sz w:val="18"/>
          <w:szCs w:val="18"/>
          <w:color w:val="auto"/>
        </w:rPr>
        <w:t>) any pledge created under a German law governed Collateral Document which is created in favor of any Secured Party or transferred to any Secured Party due to its accessory nature (</w:t>
      </w:r>
      <w:r>
        <w:rPr>
          <w:rFonts w:ascii="Arial" w:cs="Arial" w:eastAsia="Arial" w:hAnsi="Arial"/>
          <w:sz w:val="18"/>
          <w:szCs w:val="18"/>
          <w:i w:val="1"/>
          <w:iCs w:val="1"/>
          <w:color w:val="auto"/>
        </w:rPr>
        <w:t>Akzessorietaet</w:t>
      </w:r>
      <w:r>
        <w:rPr>
          <w:rFonts w:ascii="Arial" w:cs="Arial" w:eastAsia="Arial" w:hAnsi="Arial"/>
          <w:sz w:val="18"/>
          <w:szCs w:val="18"/>
          <w:color w:val="auto"/>
        </w:rPr>
        <w:t>), in each case of (i) and (ii) in its own name and for the account of the Secured Parties. Each Lender, on its own behalf and on behalf of its affiliated Secured Parties, hereby authorizes the Administrative Agent to enter as its agent (</w:t>
      </w:r>
      <w:r>
        <w:rPr>
          <w:rFonts w:ascii="Arial" w:cs="Arial" w:eastAsia="Arial" w:hAnsi="Arial"/>
          <w:sz w:val="18"/>
          <w:szCs w:val="18"/>
          <w:i w:val="1"/>
          <w:iCs w:val="1"/>
          <w:color w:val="auto"/>
        </w:rPr>
        <w:t>Vertreter</w:t>
      </w:r>
      <w:r>
        <w:rPr>
          <w:rFonts w:ascii="Arial" w:cs="Arial" w:eastAsia="Arial" w:hAnsi="Arial"/>
          <w:sz w:val="18"/>
          <w:szCs w:val="18"/>
          <w:color w:val="auto"/>
        </w:rPr>
        <w:t>) in its name and on its behalf into any German law governed Collateral Document, to accept as its agent in its name and on its behalf any pledge under such Collateral Document and to agree to and execute as agent in its name and on its behalf any amendments, supplements and other alterations to any such Collateral Document and to release any such Collateral Document and any pledge created under any such Collateral Document in accordance with the provisions herein and/or the provisions in any such Collateral Document.</w:t>
      </w:r>
    </w:p>
    <w:p>
      <w:pPr>
        <w:spacing w:after="0" w:line="17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JPMCB has adopted internal policies and procedures that address requirements placed on federally regulated lenders under the National Flood Insurance Reform Act of 1994 and related legislation (the “</w:t>
      </w:r>
      <w:r>
        <w:rPr>
          <w:rFonts w:ascii="Arial" w:cs="Arial" w:eastAsia="Arial" w:hAnsi="Arial"/>
          <w:sz w:val="19"/>
          <w:szCs w:val="19"/>
          <w:u w:val="single" w:color="auto"/>
          <w:color w:val="auto"/>
        </w:rPr>
        <w:t>Flood Laws</w:t>
      </w:r>
      <w:r>
        <w:rPr>
          <w:rFonts w:ascii="Arial" w:cs="Arial" w:eastAsia="Arial" w:hAnsi="Arial"/>
          <w:sz w:val="19"/>
          <w:szCs w:val="19"/>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79" w:lineRule="exact"/>
        <w:rPr>
          <w:sz w:val="20"/>
          <w:szCs w:val="20"/>
          <w:color w:val="auto"/>
        </w:rPr>
      </w:pPr>
    </w:p>
    <w:p>
      <w:pPr>
        <w:ind w:left="5140"/>
        <w:spacing w:after="0"/>
        <w:rPr>
          <w:sz w:val="20"/>
          <w:szCs w:val="20"/>
          <w:color w:val="auto"/>
        </w:rPr>
      </w:pPr>
      <w:r>
        <w:rPr>
          <w:rFonts w:ascii="Arial" w:cs="Arial" w:eastAsia="Arial" w:hAnsi="Arial"/>
          <w:sz w:val="20"/>
          <w:szCs w:val="20"/>
          <w:u w:val="single" w:color="auto"/>
          <w:color w:val="auto"/>
        </w:rPr>
        <w:t>ARTICLE IX.</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20"/>
          <w:szCs w:val="20"/>
          <w:u w:val="single" w:color="auto"/>
          <w:color w:val="auto"/>
        </w:rPr>
        <w:t>Miscellaneous</w:t>
      </w:r>
    </w:p>
    <w:p>
      <w:pPr>
        <w:spacing w:after="0" w:line="175"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9.01</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89" w:lineRule="exact"/>
        <w:rPr>
          <w:sz w:val="20"/>
          <w:szCs w:val="20"/>
          <w:color w:val="auto"/>
        </w:rPr>
      </w:pPr>
    </w:p>
    <w:p>
      <w:pPr>
        <w:jc w:val="both"/>
        <w:ind w:firstLine="656"/>
        <w:spacing w:after="0" w:line="299" w:lineRule="auto"/>
        <w:tabs>
          <w:tab w:leader="none" w:pos="1516" w:val="left"/>
        </w:tabs>
        <w:numPr>
          <w:ilvl w:val="0"/>
          <w:numId w:val="342"/>
        </w:numPr>
        <w:rPr>
          <w:rFonts w:ascii="Arial" w:cs="Arial" w:eastAsia="Arial" w:hAnsi="Arial"/>
          <w:sz w:val="19"/>
          <w:szCs w:val="19"/>
          <w:color w:val="auto"/>
        </w:rPr>
      </w:pPr>
      <w:r>
        <w:rPr>
          <w:rFonts w:ascii="Arial" w:cs="Arial" w:eastAsia="Arial" w:hAnsi="Arial"/>
          <w:sz w:val="19"/>
          <w:szCs w:val="19"/>
          <w:color w:val="auto"/>
        </w:rPr>
        <w:t>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55" w:lineRule="exact"/>
        <w:rPr>
          <w:rFonts w:ascii="Arial" w:cs="Arial" w:eastAsia="Arial" w:hAnsi="Arial"/>
          <w:sz w:val="19"/>
          <w:szCs w:val="19"/>
          <w:color w:val="auto"/>
        </w:rPr>
      </w:pPr>
    </w:p>
    <w:p>
      <w:pPr>
        <w:ind w:left="1620" w:hanging="315"/>
        <w:spacing w:after="0"/>
        <w:tabs>
          <w:tab w:leader="none" w:pos="162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if to any Loan Party, to the Borrower Representative at:</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Winnebago Industries, Inc.</w:t>
      </w:r>
    </w:p>
    <w:p>
      <w:pPr>
        <w:spacing w:after="0" w:line="16"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605 W. Crystal Lake Road</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420"/>
          </w:cols>
          <w:pgMar w:left="240" w:top="811" w:right="239" w:bottom="1440" w:gutter="0" w:footer="0" w:header="0"/>
        </w:sectPr>
      </w:pPr>
    </w:p>
    <w:bookmarkStart w:id="293" w:name="page294"/>
    <w:bookmarkEnd w:id="293"/>
    <w:p>
      <w:pPr>
        <w:ind w:left="1960"/>
        <w:spacing w:after="0"/>
        <w:rPr>
          <w:sz w:val="20"/>
          <w:szCs w:val="20"/>
          <w:color w:val="auto"/>
        </w:rPr>
      </w:pPr>
      <w:r>
        <w:rPr>
          <w:rFonts w:ascii="Arial" w:cs="Arial" w:eastAsia="Arial" w:hAnsi="Arial"/>
          <w:sz w:val="20"/>
          <w:szCs w:val="20"/>
          <w:color w:val="auto"/>
        </w:rPr>
        <w:t>Forest City, Iowa 50436</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Attention: Don Heidemann, Treasurer</w:t>
      </w:r>
    </w:p>
    <w:p>
      <w:pPr>
        <w:ind w:left="1960"/>
        <w:spacing w:after="0"/>
        <w:rPr>
          <w:sz w:val="20"/>
          <w:szCs w:val="20"/>
          <w:color w:val="auto"/>
        </w:rPr>
      </w:pPr>
      <w:r>
        <w:rPr>
          <w:rFonts w:ascii="Arial" w:cs="Arial" w:eastAsia="Arial" w:hAnsi="Arial"/>
          <w:sz w:val="20"/>
          <w:szCs w:val="20"/>
          <w:color w:val="auto"/>
        </w:rPr>
        <w:t>Facsimile No: (646) 585-6966</w:t>
      </w:r>
    </w:p>
    <w:p>
      <w:pPr>
        <w:spacing w:after="0" w:line="213" w:lineRule="exact"/>
        <w:rPr>
          <w:sz w:val="20"/>
          <w:szCs w:val="20"/>
          <w:color w:val="auto"/>
        </w:rPr>
      </w:pPr>
    </w:p>
    <w:p>
      <w:pPr>
        <w:ind w:left="1620" w:hanging="315"/>
        <w:spacing w:after="0" w:line="260" w:lineRule="auto"/>
        <w:tabs>
          <w:tab w:leader="none" w:pos="1595" w:val="left"/>
        </w:tabs>
        <w:numPr>
          <w:ilvl w:val="0"/>
          <w:numId w:val="343"/>
        </w:numPr>
        <w:rPr>
          <w:rFonts w:ascii="Arial" w:cs="Arial" w:eastAsia="Arial" w:hAnsi="Arial"/>
          <w:sz w:val="20"/>
          <w:szCs w:val="20"/>
          <w:color w:val="auto"/>
        </w:rPr>
      </w:pPr>
      <w:r>
        <w:rPr>
          <w:rFonts w:ascii="Arial" w:cs="Arial" w:eastAsia="Arial" w:hAnsi="Arial"/>
          <w:sz w:val="20"/>
          <w:szCs w:val="20"/>
          <w:color w:val="auto"/>
        </w:rPr>
        <w:t>if to the Administrative Agent (other than for purposes of a notification of the DQ List), in its capacity as an Issuing Bank or the Swingline Lender, to JPMCB at:</w:t>
      </w:r>
    </w:p>
    <w:p>
      <w:pPr>
        <w:spacing w:after="0" w:line="190"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10 S. Dearborn St.</w:t>
      </w:r>
    </w:p>
    <w:p>
      <w:pPr>
        <w:ind w:left="1960"/>
        <w:spacing w:after="0"/>
        <w:rPr>
          <w:sz w:val="20"/>
          <w:szCs w:val="20"/>
          <w:color w:val="auto"/>
        </w:rPr>
      </w:pPr>
      <w:r>
        <w:rPr>
          <w:rFonts w:ascii="Arial" w:cs="Arial" w:eastAsia="Arial" w:hAnsi="Arial"/>
          <w:sz w:val="20"/>
          <w:szCs w:val="20"/>
          <w:color w:val="auto"/>
        </w:rPr>
        <w:t>Chicago, IL 60603</w:t>
      </w:r>
    </w:p>
    <w:p>
      <w:pPr>
        <w:ind w:left="1960"/>
        <w:spacing w:after="0"/>
        <w:rPr>
          <w:sz w:val="20"/>
          <w:szCs w:val="20"/>
          <w:color w:val="auto"/>
        </w:rPr>
      </w:pPr>
      <w:r>
        <w:rPr>
          <w:rFonts w:ascii="Arial" w:cs="Arial" w:eastAsia="Arial" w:hAnsi="Arial"/>
          <w:sz w:val="20"/>
          <w:szCs w:val="20"/>
          <w:color w:val="auto"/>
        </w:rPr>
        <w:t>Attention: John Morrone</w:t>
      </w:r>
    </w:p>
    <w:p>
      <w:pPr>
        <w:ind w:left="1960"/>
        <w:spacing w:after="0"/>
        <w:rPr>
          <w:sz w:val="20"/>
          <w:szCs w:val="20"/>
          <w:color w:val="auto"/>
        </w:rPr>
      </w:pPr>
      <w:r>
        <w:rPr>
          <w:rFonts w:ascii="Arial" w:cs="Arial" w:eastAsia="Arial" w:hAnsi="Arial"/>
          <w:sz w:val="20"/>
          <w:szCs w:val="20"/>
          <w:color w:val="auto"/>
        </w:rPr>
        <w:t>Facsimilie NO: (312) 548-1943</w:t>
      </w:r>
    </w:p>
    <w:p>
      <w:pPr>
        <w:spacing w:after="0" w:line="213" w:lineRule="exact"/>
        <w:rPr>
          <w:sz w:val="20"/>
          <w:szCs w:val="20"/>
          <w:color w:val="auto"/>
        </w:rPr>
      </w:pPr>
    </w:p>
    <w:p>
      <w:pPr>
        <w:ind w:left="1660" w:hanging="355"/>
        <w:spacing w:after="0"/>
        <w:tabs>
          <w:tab w:leader="none" w:pos="1660" w:val="left"/>
        </w:tabs>
        <w:numPr>
          <w:ilvl w:val="0"/>
          <w:numId w:val="344"/>
        </w:numPr>
        <w:rPr>
          <w:rFonts w:ascii="Arial" w:cs="Arial" w:eastAsia="Arial" w:hAnsi="Arial"/>
          <w:sz w:val="19"/>
          <w:szCs w:val="19"/>
          <w:color w:val="auto"/>
        </w:rPr>
      </w:pPr>
      <w:r>
        <w:rPr>
          <w:rFonts w:ascii="Arial" w:cs="Arial" w:eastAsia="Arial" w:hAnsi="Arial"/>
          <w:sz w:val="19"/>
          <w:szCs w:val="19"/>
          <w:color w:val="auto"/>
        </w:rPr>
        <w:t>if to the Administrative Agent for purposes of a notification of the DQ List, to JPMDQ_Contact@jpmorgan.com; and</w:t>
      </w:r>
    </w:p>
    <w:p>
      <w:pPr>
        <w:spacing w:after="0" w:line="240" w:lineRule="exact"/>
        <w:rPr>
          <w:rFonts w:ascii="Arial" w:cs="Arial" w:eastAsia="Arial" w:hAnsi="Arial"/>
          <w:sz w:val="19"/>
          <w:szCs w:val="19"/>
          <w:color w:val="auto"/>
        </w:rPr>
      </w:pPr>
    </w:p>
    <w:p>
      <w:pPr>
        <w:ind w:left="1620" w:hanging="315"/>
        <w:spacing w:after="0"/>
        <w:tabs>
          <w:tab w:leader="none" w:pos="162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facsimile number set forth in its Administrative Questionnaire.</w:t>
      </w:r>
    </w:p>
    <w:p>
      <w:pPr>
        <w:spacing w:after="0" w:line="25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All such notices and other communications (i) sent by hand or overnight courier service, or mailed by certified or registered mail, shall be deemed to have been given when received, (ii) sent by facsimile shall be deemed to have been given when sent, provided that if not given during normal business hours of the recipient, such notice or communication shall be deemed to have been given at the opening of business on the next Business Day of the recipient, or (iii) delivered through Electronic Systems to the extent provided in paragraph (b) below shall be effective as provided in such paragraph.</w:t>
      </w:r>
    </w:p>
    <w:p>
      <w:pPr>
        <w:spacing w:after="0" w:line="208" w:lineRule="exact"/>
        <w:rPr>
          <w:sz w:val="20"/>
          <w:szCs w:val="20"/>
          <w:color w:val="auto"/>
        </w:rPr>
      </w:pPr>
    </w:p>
    <w:p>
      <w:pPr>
        <w:jc w:val="both"/>
        <w:ind w:firstLine="656"/>
        <w:spacing w:after="0" w:line="310" w:lineRule="auto"/>
        <w:tabs>
          <w:tab w:leader="none" w:pos="152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Electronic Systems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pursuant to Article II unless otherwise agreed by the Administrative Agent and the applicable Lender. The Administrative Agent or the Company may, in its discretion, agree to accept notices and other communications to it hereunder by Electronic Systems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4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provided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3" w:lineRule="exact"/>
        <w:rPr>
          <w:sz w:val="20"/>
          <w:szCs w:val="20"/>
          <w:color w:val="auto"/>
        </w:rPr>
      </w:pPr>
    </w:p>
    <w:p>
      <w:pPr>
        <w:jc w:val="both"/>
        <w:ind w:firstLine="656"/>
        <w:spacing w:after="0" w:line="278" w:lineRule="auto"/>
        <w:tabs>
          <w:tab w:leader="none" w:pos="1516" w:val="left"/>
        </w:tabs>
        <w:numPr>
          <w:ilvl w:val="0"/>
          <w:numId w:val="346"/>
        </w:numPr>
        <w:rPr>
          <w:rFonts w:ascii="Arial" w:cs="Arial" w:eastAsia="Arial" w:hAnsi="Arial"/>
          <w:sz w:val="20"/>
          <w:szCs w:val="20"/>
          <w:color w:val="auto"/>
        </w:rPr>
      </w:pPr>
      <w:r>
        <w:rPr>
          <w:rFonts w:ascii="Arial" w:cs="Arial" w:eastAsia="Arial" w:hAnsi="Arial"/>
          <w:sz w:val="20"/>
          <w:szCs w:val="20"/>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86" w:lineRule="exact"/>
        <w:rPr>
          <w:rFonts w:ascii="Arial" w:cs="Arial" w:eastAsia="Arial" w:hAnsi="Arial"/>
          <w:sz w:val="20"/>
          <w:szCs w:val="20"/>
          <w:color w:val="auto"/>
        </w:rPr>
      </w:pPr>
    </w:p>
    <w:p>
      <w:pPr>
        <w:ind w:left="1540" w:hanging="884"/>
        <w:spacing w:after="0"/>
        <w:tabs>
          <w:tab w:leader="none" w:pos="1540" w:val="left"/>
        </w:tabs>
        <w:numPr>
          <w:ilvl w:val="0"/>
          <w:numId w:val="346"/>
        </w:numPr>
        <w:rPr>
          <w:rFonts w:ascii="Arial" w:cs="Arial" w:eastAsia="Arial" w:hAnsi="Arial"/>
          <w:sz w:val="20"/>
          <w:szCs w:val="20"/>
          <w:color w:val="auto"/>
        </w:rPr>
      </w:pPr>
      <w:r>
        <w:rPr>
          <w:rFonts w:ascii="Arial" w:cs="Arial" w:eastAsia="Arial" w:hAnsi="Arial"/>
          <w:sz w:val="20"/>
          <w:szCs w:val="20"/>
          <w:u w:val="single" w:color="auto"/>
          <w:color w:val="auto"/>
        </w:rPr>
        <w:t>Electronic Systems</w:t>
      </w:r>
      <w:r>
        <w:rPr>
          <w:rFonts w:ascii="Arial" w:cs="Arial" w:eastAsia="Arial" w:hAnsi="Arial"/>
          <w:sz w:val="20"/>
          <w:szCs w:val="20"/>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420"/>
          </w:cols>
          <w:pgMar w:left="240" w:top="812" w:right="239" w:bottom="1440" w:gutter="0" w:footer="0" w:header="0"/>
        </w:sectPr>
      </w:pPr>
    </w:p>
    <w:bookmarkStart w:id="294" w:name="page295"/>
    <w:bookmarkEnd w:id="294"/>
    <w:p>
      <w:pPr>
        <w:jc w:val="both"/>
        <w:ind w:left="660" w:firstLine="645"/>
        <w:spacing w:after="0" w:line="278" w:lineRule="auto"/>
        <w:tabs>
          <w:tab w:leader="none" w:pos="2143"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Company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186" w:lineRule="exact"/>
        <w:rPr>
          <w:rFonts w:ascii="Arial" w:cs="Arial" w:eastAsia="Arial" w:hAnsi="Arial"/>
          <w:sz w:val="20"/>
          <w:szCs w:val="20"/>
          <w:color w:val="auto"/>
        </w:rPr>
      </w:pPr>
    </w:p>
    <w:p>
      <w:pPr>
        <w:jc w:val="both"/>
        <w:ind w:left="660" w:firstLine="645"/>
        <w:spacing w:after="0" w:line="300" w:lineRule="auto"/>
        <w:tabs>
          <w:tab w:leader="none" w:pos="219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xml:space="preserve">”) have any liability to any Loan Party, any Lender, the Issuing Bank or any other Person or entity for damages of any kind, including, without limitation, direct or indirect, special, incidental or consequential damages, losses or expenses (whether in tort, contract or otherwise) arising out of any Loan Party’s or the Administrative Agent’s transmission of Communications through an Electronic System, except with respect to actual or direct damages to the extent determined by a court of competent jurisdiction by final and nonappealable judgment to have resulted from the willful misconduct or gross negligence of any Agent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Communication to any Lenders, prospective Lenders, Participants or prospective Participants or, to the extent such disclosure is otherwise permitted, to any other Person through an Electronic System shall be made subject to the acknowledgement and acceptance by such Person that such Communication is being disseminated or disclosed on a confidential basis (on terms substantially the same as set forth in Section 9.12 or otherwise reasonably acceptable to the Administrative Agent and the Company), which shall in any event require “click through” or other affirmative actions on the part of the recipient to access such Communication. “</w:t>
      </w:r>
      <w:r>
        <w:rPr>
          <w:rFonts w:ascii="Arial" w:cs="Arial" w:eastAsia="Arial" w:hAnsi="Arial"/>
          <w:sz w:val="18"/>
          <w:szCs w:val="18"/>
          <w:u w:val="single" w:color="auto"/>
          <w:color w:val="auto"/>
        </w:rPr>
        <w:t>Communications</w:t>
      </w:r>
      <w:r>
        <w:rPr>
          <w:rFonts w:ascii="Arial" w:cs="Arial" w:eastAsia="Arial" w:hAnsi="Arial"/>
          <w:sz w:val="18"/>
          <w:szCs w:val="18"/>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76"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9.02</w:t>
      </w:r>
      <w:r>
        <w:rPr>
          <w:sz w:val="20"/>
          <w:szCs w:val="20"/>
          <w:color w:val="auto"/>
        </w:rPr>
        <w:tab/>
      </w:r>
      <w:r>
        <w:rPr>
          <w:rFonts w:ascii="Arial" w:cs="Arial" w:eastAsia="Arial" w:hAnsi="Arial"/>
          <w:sz w:val="16"/>
          <w:szCs w:val="16"/>
          <w:u w:val="single" w:color="auto"/>
          <w:color w:val="auto"/>
        </w:rPr>
        <w:t>Waivers; Amendments</w:t>
      </w:r>
      <w:r>
        <w:rPr>
          <w:rFonts w:ascii="Arial" w:cs="Arial" w:eastAsia="Arial" w:hAnsi="Arial"/>
          <w:sz w:val="16"/>
          <w:szCs w:val="16"/>
          <w:color w:val="auto"/>
        </w:rPr>
        <w:t>.</w:t>
      </w:r>
    </w:p>
    <w:p>
      <w:pPr>
        <w:spacing w:after="0" w:line="243" w:lineRule="exact"/>
        <w:rPr>
          <w:sz w:val="20"/>
          <w:szCs w:val="20"/>
          <w:color w:val="auto"/>
        </w:rPr>
      </w:pPr>
    </w:p>
    <w:p>
      <w:pPr>
        <w:jc w:val="both"/>
        <w:ind w:firstLine="656"/>
        <w:spacing w:after="0" w:line="285" w:lineRule="auto"/>
        <w:tabs>
          <w:tab w:leader="none" w:pos="1516" w:val="left"/>
        </w:tabs>
        <w:numPr>
          <w:ilvl w:val="0"/>
          <w:numId w:val="348"/>
        </w:numPr>
        <w:rPr>
          <w:rFonts w:ascii="Arial" w:cs="Arial" w:eastAsia="Arial" w:hAnsi="Arial"/>
          <w:sz w:val="19"/>
          <w:szCs w:val="19"/>
          <w:color w:val="auto"/>
        </w:rPr>
      </w:pPr>
      <w:r>
        <w:rPr>
          <w:rFonts w:ascii="Arial" w:cs="Arial" w:eastAsia="Arial" w:hAnsi="Arial"/>
          <w:sz w:val="19"/>
          <w:szCs w:val="19"/>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7" w:lineRule="exact"/>
        <w:rPr>
          <w:rFonts w:ascii="Arial" w:cs="Arial" w:eastAsia="Arial" w:hAnsi="Arial"/>
          <w:sz w:val="19"/>
          <w:szCs w:val="19"/>
          <w:color w:val="auto"/>
        </w:rPr>
      </w:pPr>
    </w:p>
    <w:p>
      <w:pPr>
        <w:jc w:val="both"/>
        <w:ind w:firstLine="656"/>
        <w:spacing w:after="0" w:line="278" w:lineRule="auto"/>
        <w:tabs>
          <w:tab w:leader="none" w:pos="1527" w:val="left"/>
        </w:tabs>
        <w:numPr>
          <w:ilvl w:val="0"/>
          <w:numId w:val="348"/>
        </w:numPr>
        <w:rPr>
          <w:rFonts w:ascii="Arial" w:cs="Arial" w:eastAsia="Arial" w:hAnsi="Arial"/>
          <w:sz w:val="20"/>
          <w:szCs w:val="20"/>
          <w:color w:val="auto"/>
        </w:rPr>
      </w:pPr>
      <w:r>
        <w:rPr>
          <w:rFonts w:ascii="Arial" w:cs="Arial" w:eastAsia="Arial" w:hAnsi="Arial"/>
          <w:sz w:val="20"/>
          <w:szCs w:val="20"/>
          <w:color w:val="auto"/>
        </w:rPr>
        <w:t xml:space="preserve">Except as provided in the first sentence of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09(f)</w:t>
      </w:r>
      <w:r>
        <w:rPr>
          <w:rFonts w:ascii="Arial" w:cs="Arial" w:eastAsia="Arial" w:hAnsi="Arial"/>
          <w:sz w:val="20"/>
          <w:szCs w:val="20"/>
          <w:color w:val="auto"/>
        </w:rPr>
        <w:t xml:space="preserve"> (with respect to any commitment increase) or </w:t>
      </w:r>
      <w:r>
        <w:rPr>
          <w:rFonts w:ascii="Arial" w:cs="Arial" w:eastAsia="Arial" w:hAnsi="Arial"/>
          <w:sz w:val="20"/>
          <w:szCs w:val="20"/>
          <w:u w:val="single" w:color="auto"/>
          <w:color w:val="auto"/>
        </w:rPr>
        <w:t>Section 6</w:t>
      </w:r>
      <w:r>
        <w:rPr>
          <w:rFonts w:ascii="Arial" w:cs="Arial" w:eastAsia="Arial" w:hAnsi="Arial"/>
          <w:sz w:val="20"/>
          <w:szCs w:val="20"/>
          <w:color w:val="auto"/>
        </w:rPr>
        <w:t>.</w:t>
      </w:r>
      <w:r>
        <w:rPr>
          <w:rFonts w:ascii="Arial" w:cs="Arial" w:eastAsia="Arial" w:hAnsi="Arial"/>
          <w:sz w:val="20"/>
          <w:szCs w:val="20"/>
          <w:u w:val="single" w:color="auto"/>
          <w:color w:val="auto"/>
        </w:rPr>
        <w:t>03(c)</w:t>
      </w:r>
      <w:r>
        <w:rPr>
          <w:rFonts w:ascii="Arial" w:cs="Arial" w:eastAsia="Arial" w:hAnsi="Arial"/>
          <w:sz w:val="20"/>
          <w:szCs w:val="20"/>
          <w:color w:val="auto"/>
        </w:rPr>
        <w:t xml:space="preserve"> with respect to changes in fiscal year, neither this Agreement nor any provision hereof may be waived, amended or modified except pursuant to an agreement or agreements in writing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420"/>
          </w:cols>
          <w:pgMar w:left="240" w:top="825" w:right="239" w:bottom="1440" w:gutter="0" w:footer="0" w:header="0"/>
        </w:sectPr>
      </w:pPr>
    </w:p>
    <w:bookmarkStart w:id="295" w:name="page296"/>
    <w:bookmarkEnd w:id="295"/>
    <w:p>
      <w:pPr>
        <w:spacing w:after="0" w:line="289" w:lineRule="auto"/>
        <w:rPr>
          <w:sz w:val="20"/>
          <w:szCs w:val="20"/>
          <w:color w:val="auto"/>
        </w:rPr>
      </w:pPr>
      <w:r>
        <w:rPr>
          <w:rFonts w:ascii="Arial" w:cs="Arial" w:eastAsia="Arial" w:hAnsi="Arial"/>
          <w:sz w:val="20"/>
          <w:szCs w:val="20"/>
          <w:color w:val="auto"/>
        </w:rPr>
        <w:t xml:space="preserve">entered into by the Borrowers and the Required Lenders or by the Borrowers and the Administrative Agent with the consent of the Required Lenders;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agreement shall:</w:t>
      </w:r>
    </w:p>
    <w:p>
      <w:pPr>
        <w:spacing w:after="0" w:line="162" w:lineRule="exact"/>
        <w:rPr>
          <w:sz w:val="20"/>
          <w:szCs w:val="20"/>
          <w:color w:val="auto"/>
        </w:rPr>
      </w:pPr>
    </w:p>
    <w:p>
      <w:pPr>
        <w:jc w:val="both"/>
        <w:ind w:left="1300" w:firstLine="5"/>
        <w:spacing w:after="0" w:line="269" w:lineRule="auto"/>
        <w:tabs>
          <w:tab w:leader="none" w:pos="1554" w:val="left"/>
        </w:tabs>
        <w:numPr>
          <w:ilvl w:val="0"/>
          <w:numId w:val="349"/>
        </w:numPr>
        <w:rPr>
          <w:rFonts w:ascii="Arial" w:cs="Arial" w:eastAsia="Arial" w:hAnsi="Arial"/>
          <w:sz w:val="19"/>
          <w:szCs w:val="19"/>
          <w:color w:val="auto"/>
        </w:rPr>
      </w:pPr>
      <w:r>
        <w:rPr>
          <w:rFonts w:ascii="Arial" w:cs="Arial" w:eastAsia="Arial" w:hAnsi="Arial"/>
          <w:sz w:val="19"/>
          <w:szCs w:val="19"/>
          <w:color w:val="auto"/>
        </w:rPr>
        <w:t xml:space="preserve">increase the Commitment of any Lender without the written consent of such Lender (including any such Lender that is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waiver of any condition precedent set forth in </w:t>
      </w:r>
      <w:r>
        <w:rPr>
          <w:rFonts w:ascii="Arial" w:cs="Arial" w:eastAsia="Arial" w:hAnsi="Arial"/>
          <w:sz w:val="19"/>
          <w:szCs w:val="19"/>
          <w:u w:val="single" w:color="auto"/>
          <w:color w:val="auto"/>
        </w:rPr>
        <w:t>Section 4</w:t>
      </w:r>
      <w:r>
        <w:rPr>
          <w:rFonts w:ascii="Arial" w:cs="Arial" w:eastAsia="Arial" w:hAnsi="Arial"/>
          <w:sz w:val="19"/>
          <w:szCs w:val="19"/>
          <w:color w:val="auto"/>
        </w:rPr>
        <w:t>.</w:t>
      </w:r>
      <w:r>
        <w:rPr>
          <w:rFonts w:ascii="Arial" w:cs="Arial" w:eastAsia="Arial" w:hAnsi="Arial"/>
          <w:sz w:val="19"/>
          <w:szCs w:val="19"/>
          <w:u w:val="single" w:color="auto"/>
          <w:color w:val="auto"/>
        </w:rPr>
        <w:t>02</w:t>
      </w:r>
      <w:r>
        <w:rPr>
          <w:rFonts w:ascii="Arial" w:cs="Arial" w:eastAsia="Arial" w:hAnsi="Arial"/>
          <w:sz w:val="19"/>
          <w:szCs w:val="19"/>
          <w:color w:val="auto"/>
        </w:rPr>
        <w:t xml:space="preserve"> or the waiver of any Default or mandatory prepayment shall not constitute an increase of any Commitment of any Lender;</w:t>
      </w:r>
    </w:p>
    <w:p>
      <w:pPr>
        <w:spacing w:after="0" w:line="170" w:lineRule="exact"/>
        <w:rPr>
          <w:rFonts w:ascii="Arial" w:cs="Arial" w:eastAsia="Arial" w:hAnsi="Arial"/>
          <w:sz w:val="19"/>
          <w:szCs w:val="19"/>
          <w:color w:val="auto"/>
        </w:rPr>
      </w:pPr>
    </w:p>
    <w:p>
      <w:pPr>
        <w:jc w:val="both"/>
        <w:ind w:left="1300" w:firstLine="5"/>
        <w:spacing w:after="0" w:line="243" w:lineRule="auto"/>
        <w:tabs>
          <w:tab w:leader="none" w:pos="1597" w:val="left"/>
        </w:tabs>
        <w:numPr>
          <w:ilvl w:val="0"/>
          <w:numId w:val="349"/>
        </w:numPr>
        <w:rPr>
          <w:rFonts w:ascii="Arial" w:cs="Arial" w:eastAsia="Arial" w:hAnsi="Arial"/>
          <w:sz w:val="20"/>
          <w:szCs w:val="20"/>
          <w:color w:val="auto"/>
        </w:rPr>
      </w:pPr>
      <w:r>
        <w:rPr>
          <w:rFonts w:ascii="Arial" w:cs="Arial" w:eastAsia="Arial" w:hAnsi="Arial"/>
          <w:sz w:val="20"/>
          <w:szCs w:val="20"/>
          <w:color w:val="auto"/>
        </w:rPr>
        <w:t xml:space="preserve">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(x) any amendment or modification of the financial covenants in this Agreement (or defined terms used in the financial covenants in this Agreement) shall not constitute a reduction in the rate of interest or fees for purposes of this </w:t>
      </w:r>
      <w:r>
        <w:rPr>
          <w:rFonts w:ascii="Arial" w:cs="Arial" w:eastAsia="Arial" w:hAnsi="Arial"/>
          <w:sz w:val="20"/>
          <w:szCs w:val="20"/>
          <w:u w:val="single" w:color="auto"/>
          <w:color w:val="auto"/>
        </w:rPr>
        <w:t>clause (ii)</w:t>
      </w:r>
      <w:r>
        <w:rPr>
          <w:rFonts w:ascii="Arial" w:cs="Arial" w:eastAsia="Arial" w:hAnsi="Arial"/>
          <w:sz w:val="20"/>
          <w:szCs w:val="20"/>
          <w:color w:val="auto"/>
        </w:rPr>
        <w:t xml:space="preserve"> and (y) only the consent of the Required Lenders shall be necessary to reduce or waive any obligation of the Borrowers to pay interest or any other amount at the applicable default rate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w:t>
      </w:r>
      <w:r>
        <w:rPr>
          <w:rFonts w:ascii="Arial" w:cs="Arial" w:eastAsia="Arial" w:hAnsi="Arial"/>
          <w:sz w:val="20"/>
          <w:szCs w:val="20"/>
          <w:color w:val="auto"/>
        </w:rPr>
        <w:t>.</w:t>
      </w:r>
      <w:r>
        <w:rPr>
          <w:rFonts w:ascii="Arial" w:cs="Arial" w:eastAsia="Arial" w:hAnsi="Arial"/>
          <w:sz w:val="20"/>
          <w:szCs w:val="20"/>
          <w:u w:val="single" w:color="auto"/>
          <w:color w:val="auto"/>
        </w:rPr>
        <w:t>13(c)</w:t>
      </w:r>
      <w:r>
        <w:rPr>
          <w:rFonts w:ascii="Arial" w:cs="Arial" w:eastAsia="Arial" w:hAnsi="Arial"/>
          <w:sz w:val="20"/>
          <w:szCs w:val="20"/>
          <w:color w:val="auto"/>
        </w:rPr>
        <w:t xml:space="preserve"> or to amend </w:t>
      </w:r>
      <w:r>
        <w:rPr>
          <w:rFonts w:ascii="Arial" w:cs="Arial" w:eastAsia="Arial" w:hAnsi="Arial"/>
          <w:sz w:val="20"/>
          <w:szCs w:val="20"/>
          <w:u w:val="single" w:color="auto"/>
          <w:color w:val="auto"/>
        </w:rPr>
        <w:t>Section 2</w:t>
      </w:r>
      <w:r>
        <w:rPr>
          <w:rFonts w:ascii="Arial" w:cs="Arial" w:eastAsia="Arial" w:hAnsi="Arial"/>
          <w:sz w:val="20"/>
          <w:szCs w:val="20"/>
          <w:color w:val="auto"/>
        </w:rPr>
        <w:t>.</w:t>
      </w:r>
      <w:r>
        <w:rPr>
          <w:rFonts w:ascii="Arial" w:cs="Arial" w:eastAsia="Arial" w:hAnsi="Arial"/>
          <w:sz w:val="20"/>
          <w:szCs w:val="20"/>
          <w:u w:val="single" w:color="auto"/>
          <w:color w:val="auto"/>
        </w:rPr>
        <w:t>13(c)</w:t>
      </w:r>
      <w:r>
        <w:rPr>
          <w:rFonts w:ascii="Arial" w:cs="Arial" w:eastAsia="Arial" w:hAnsi="Arial"/>
          <w:sz w:val="20"/>
          <w:szCs w:val="20"/>
          <w:color w:val="auto"/>
        </w:rPr>
        <w:t>;</w:t>
      </w:r>
    </w:p>
    <w:p>
      <w:pPr>
        <w:spacing w:after="0" w:line="193" w:lineRule="exact"/>
        <w:rPr>
          <w:rFonts w:ascii="Arial" w:cs="Arial" w:eastAsia="Arial" w:hAnsi="Arial"/>
          <w:sz w:val="20"/>
          <w:szCs w:val="20"/>
          <w:color w:val="auto"/>
        </w:rPr>
      </w:pPr>
    </w:p>
    <w:p>
      <w:pPr>
        <w:jc w:val="both"/>
        <w:ind w:left="1300" w:firstLine="5"/>
        <w:spacing w:after="0" w:line="282" w:lineRule="auto"/>
        <w:tabs>
          <w:tab w:leader="none" w:pos="165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postpone the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(including any such Lender that is a Defaulting Lender) directly affected thereby (other than with respect to the matters set forth in </w:t>
      </w:r>
      <w:r>
        <w:rPr>
          <w:rFonts w:ascii="Arial" w:cs="Arial" w:eastAsia="Arial" w:hAnsi="Arial"/>
          <w:sz w:val="18"/>
          <w:szCs w:val="18"/>
          <w:u w:val="single" w:color="auto"/>
          <w:color w:val="auto"/>
        </w:rPr>
        <w:t>clauses (ii)(x)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(ii)(y)</w:t>
      </w:r>
      <w:r>
        <w:rPr>
          <w:rFonts w:ascii="Arial" w:cs="Arial" w:eastAsia="Arial" w:hAnsi="Arial"/>
          <w:sz w:val="18"/>
          <w:szCs w:val="18"/>
          <w:color w:val="auto"/>
        </w:rPr>
        <w:t xml:space="preserve"> above);</w:t>
      </w:r>
    </w:p>
    <w:p>
      <w:pPr>
        <w:spacing w:after="0" w:line="161" w:lineRule="exact"/>
        <w:rPr>
          <w:rFonts w:ascii="Arial" w:cs="Arial" w:eastAsia="Arial" w:hAnsi="Arial"/>
          <w:sz w:val="18"/>
          <w:szCs w:val="18"/>
          <w:color w:val="auto"/>
        </w:rPr>
      </w:pPr>
    </w:p>
    <w:p>
      <w:pPr>
        <w:ind w:left="1300" w:firstLine="5"/>
        <w:spacing w:after="0" w:line="260" w:lineRule="auto"/>
        <w:tabs>
          <w:tab w:leader="none" w:pos="1647" w:val="left"/>
        </w:tabs>
        <w:numPr>
          <w:ilvl w:val="0"/>
          <w:numId w:val="349"/>
        </w:numPr>
        <w:rPr>
          <w:rFonts w:ascii="Arial" w:cs="Arial" w:eastAsia="Arial" w:hAnsi="Arial"/>
          <w:sz w:val="20"/>
          <w:szCs w:val="20"/>
          <w:color w:val="auto"/>
        </w:rPr>
      </w:pPr>
      <w:r>
        <w:rPr>
          <w:rFonts w:ascii="Arial" w:cs="Arial" w:eastAsia="Arial" w:hAnsi="Arial"/>
          <w:sz w:val="20"/>
          <w:szCs w:val="20"/>
          <w:color w:val="auto"/>
        </w:rPr>
        <w:t>change Section 2.18(b) or (c) in a manner that would alter the pro rata sharing of payments required thereby, without the written consent of each Lender (other than any Defaulting Lender);</w:t>
      </w:r>
    </w:p>
    <w:p>
      <w:pPr>
        <w:spacing w:after="0" w:line="176" w:lineRule="exact"/>
        <w:rPr>
          <w:rFonts w:ascii="Arial" w:cs="Arial" w:eastAsia="Arial" w:hAnsi="Arial"/>
          <w:sz w:val="20"/>
          <w:szCs w:val="20"/>
          <w:color w:val="auto"/>
        </w:rPr>
      </w:pPr>
    </w:p>
    <w:p>
      <w:pPr>
        <w:jc w:val="both"/>
        <w:ind w:left="1300" w:firstLine="5"/>
        <w:spacing w:after="0" w:line="250" w:lineRule="auto"/>
        <w:tabs>
          <w:tab w:leader="none" w:pos="1610" w:val="left"/>
        </w:tabs>
        <w:numPr>
          <w:ilvl w:val="0"/>
          <w:numId w:val="349"/>
        </w:numPr>
        <w:rPr>
          <w:rFonts w:ascii="Arial" w:cs="Arial" w:eastAsia="Arial" w:hAnsi="Arial"/>
          <w:sz w:val="20"/>
          <w:szCs w:val="20"/>
          <w:color w:val="auto"/>
        </w:rPr>
      </w:pPr>
      <w:r>
        <w:rPr>
          <w:rFonts w:ascii="Arial" w:cs="Arial" w:eastAsia="Arial" w:hAnsi="Arial"/>
          <w:sz w:val="20"/>
          <w:szCs w:val="20"/>
          <w:color w:val="auto"/>
        </w:rPr>
        <w:t>change the definition of any Borrowing Base (or any defined terms used therein) in a manner that makes more credit available, increase the advance rates set forth in the definition of Borrowing Base or add new categories of eligible assets, in each case, without the written consent of each Lender (other than any Defaulting Lender);</w:t>
      </w:r>
    </w:p>
    <w:p>
      <w:pPr>
        <w:spacing w:after="0" w:line="186" w:lineRule="exact"/>
        <w:rPr>
          <w:rFonts w:ascii="Arial" w:cs="Arial" w:eastAsia="Arial" w:hAnsi="Arial"/>
          <w:sz w:val="20"/>
          <w:szCs w:val="20"/>
          <w:color w:val="auto"/>
        </w:rPr>
      </w:pPr>
    </w:p>
    <w:p>
      <w:pPr>
        <w:jc w:val="both"/>
        <w:ind w:left="1300" w:firstLine="5"/>
        <w:spacing w:after="0" w:line="246" w:lineRule="auto"/>
        <w:tabs>
          <w:tab w:leader="none" w:pos="1651" w:val="left"/>
        </w:tabs>
        <w:numPr>
          <w:ilvl w:val="0"/>
          <w:numId w:val="349"/>
        </w:numPr>
        <w:rPr>
          <w:rFonts w:ascii="Arial" w:cs="Arial" w:eastAsia="Arial" w:hAnsi="Arial"/>
          <w:sz w:val="20"/>
          <w:szCs w:val="20"/>
          <w:color w:val="auto"/>
        </w:rPr>
      </w:pPr>
      <w:r>
        <w:rPr>
          <w:rFonts w:ascii="Arial" w:cs="Arial" w:eastAsia="Arial" w:hAnsi="Arial"/>
          <w:sz w:val="20"/>
          <w:szCs w:val="20"/>
          <w:color w:val="auto"/>
        </w:rPr>
        <w:t>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w:t>
      </w:r>
    </w:p>
    <w:p>
      <w:pPr>
        <w:spacing w:after="0" w:line="191" w:lineRule="exact"/>
        <w:rPr>
          <w:rFonts w:ascii="Arial" w:cs="Arial" w:eastAsia="Arial" w:hAnsi="Arial"/>
          <w:sz w:val="20"/>
          <w:szCs w:val="20"/>
          <w:color w:val="auto"/>
        </w:rPr>
      </w:pPr>
    </w:p>
    <w:p>
      <w:pPr>
        <w:jc w:val="both"/>
        <w:ind w:left="1300" w:firstLine="5"/>
        <w:spacing w:after="0" w:line="250" w:lineRule="auto"/>
        <w:tabs>
          <w:tab w:leader="none" w:pos="1692" w:val="left"/>
        </w:tabs>
        <w:numPr>
          <w:ilvl w:val="0"/>
          <w:numId w:val="349"/>
        </w:numPr>
        <w:rPr>
          <w:rFonts w:ascii="Arial" w:cs="Arial" w:eastAsia="Arial" w:hAnsi="Arial"/>
          <w:sz w:val="20"/>
          <w:szCs w:val="20"/>
          <w:color w:val="auto"/>
        </w:rPr>
      </w:pPr>
      <w:r>
        <w:rPr>
          <w:rFonts w:ascii="Arial" w:cs="Arial" w:eastAsia="Arial" w:hAnsi="Arial"/>
          <w:sz w:val="20"/>
          <w:szCs w:val="20"/>
          <w:color w:val="auto"/>
        </w:rPr>
        <w:t>release all or substantially all of the value of the Loan Guaranty (except as otherwise permitted herein or in the other Loan Documents, including with respect to a sale, disposition or dissolution of a Loan Guarantor permitted herein), without the written consent of each Lender (other than any Defaulting Lender); or</w:t>
      </w:r>
    </w:p>
    <w:p>
      <w:pPr>
        <w:spacing w:after="0" w:line="186" w:lineRule="exact"/>
        <w:rPr>
          <w:rFonts w:ascii="Arial" w:cs="Arial" w:eastAsia="Arial" w:hAnsi="Arial"/>
          <w:sz w:val="20"/>
          <w:szCs w:val="20"/>
          <w:color w:val="auto"/>
        </w:rPr>
      </w:pPr>
    </w:p>
    <w:p>
      <w:pPr>
        <w:ind w:left="1300" w:firstLine="5"/>
        <w:spacing w:after="0" w:line="260" w:lineRule="auto"/>
        <w:tabs>
          <w:tab w:leader="none" w:pos="1772" w:val="left"/>
        </w:tabs>
        <w:numPr>
          <w:ilvl w:val="0"/>
          <w:numId w:val="349"/>
        </w:numPr>
        <w:rPr>
          <w:rFonts w:ascii="Arial" w:cs="Arial" w:eastAsia="Arial" w:hAnsi="Arial"/>
          <w:sz w:val="20"/>
          <w:szCs w:val="20"/>
          <w:color w:val="auto"/>
        </w:rPr>
      </w:pPr>
      <w:r>
        <w:rPr>
          <w:rFonts w:ascii="Arial" w:cs="Arial" w:eastAsia="Arial" w:hAnsi="Arial"/>
          <w:sz w:val="20"/>
          <w:szCs w:val="20"/>
          <w:color w:val="auto"/>
        </w:rPr>
        <w:t xml:space="preserve">except as provided in </w:t>
      </w:r>
      <w:r>
        <w:rPr>
          <w:rFonts w:ascii="Arial" w:cs="Arial" w:eastAsia="Arial" w:hAnsi="Arial"/>
          <w:sz w:val="20"/>
          <w:szCs w:val="20"/>
          <w:u w:val="single" w:color="auto"/>
          <w:color w:val="auto"/>
        </w:rPr>
        <w:t>clause (d)</w:t>
      </w:r>
      <w:r>
        <w:rPr>
          <w:rFonts w:ascii="Arial" w:cs="Arial" w:eastAsia="Arial" w:hAnsi="Arial"/>
          <w:sz w:val="20"/>
          <w:szCs w:val="20"/>
          <w:color w:val="auto"/>
        </w:rPr>
        <w:t xml:space="preserve"> of this Section or in any Collateral Document, release all or substantially all of the Collateral, without the written consent of each Lender (other than any Defaulting Lender);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420"/>
          </w:cols>
          <w:pgMar w:left="240" w:top="825" w:right="239" w:bottom="1440" w:gutter="0" w:footer="0" w:header="0"/>
        </w:sectPr>
      </w:pPr>
    </w:p>
    <w:bookmarkStart w:id="296" w:name="page297"/>
    <w:bookmarkEnd w:id="296"/>
    <w:p>
      <w:pPr>
        <w:jc w:val="both"/>
        <w:spacing w:after="0" w:line="273" w:lineRule="auto"/>
        <w:rPr>
          <w:sz w:val="20"/>
          <w:szCs w:val="20"/>
          <w:color w:val="auto"/>
        </w:rPr>
      </w:pP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 no such agreement shall amend, modify or otherwise affect the rights or duties of the Administrative Agent, any Issuing Bank or the Swingline Lender hereunder without the prior written consent of the Administrative Agent, such Issuing Bank or the Swingline Lender, as the case may be (it being understood that any change to Section 2.20 shall require the consent of the Administrative Agent, each Issuing Bank and the Swingline Lender) and (B) no such agreement shall amend or modify the provisions of Section 2.06 or any letter of credit application and any bilateral agreement between the Borrower Representative and the Issuing Bank regarding the Issuing Bank’s Issuing Bank Sublimit or the respective rights and obligations between any Borrower and the Issuing Bank in connection with the issuance of Letters of Credit without the prior written consent of the Administrative Agent and the Issuing Bank, respectively. The Administrative Agent may also amend the </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to reflect assignments entered into pursuant to Section 9.04.</w:t>
      </w:r>
    </w:p>
    <w:p>
      <w:pPr>
        <w:spacing w:after="0" w:line="183" w:lineRule="exact"/>
        <w:rPr>
          <w:sz w:val="20"/>
          <w:szCs w:val="20"/>
          <w:color w:val="auto"/>
        </w:rPr>
      </w:pPr>
    </w:p>
    <w:p>
      <w:pPr>
        <w:jc w:val="both"/>
        <w:ind w:firstLine="656"/>
        <w:spacing w:after="0" w:line="272" w:lineRule="auto"/>
        <w:tabs>
          <w:tab w:leader="none" w:pos="1516" w:val="left"/>
        </w:tabs>
        <w:numPr>
          <w:ilvl w:val="0"/>
          <w:numId w:val="350"/>
        </w:numPr>
        <w:rPr>
          <w:rFonts w:ascii="Arial" w:cs="Arial" w:eastAsia="Arial" w:hAnsi="Arial"/>
          <w:sz w:val="20"/>
          <w:szCs w:val="20"/>
          <w:color w:val="auto"/>
        </w:rPr>
      </w:pPr>
      <w:r>
        <w:rPr>
          <w:rFonts w:ascii="Arial" w:cs="Arial" w:eastAsia="Arial" w:hAnsi="Arial"/>
          <w:sz w:val="20"/>
          <w:szCs w:val="20"/>
          <w:color w:val="auto"/>
        </w:rPr>
        <w:t>Notwithstanding the foregoing, this Agreement and any other Loan Document may be amended (or amended and restated) with the written consent of the Required Lenders, the Administrative Agent and each Borrower (x) to add one or more credit facilities to this Agreement and to permit extensions of credit from time to time outstanding thereunder and the accrued interest and fees in respect thereof to share ratably in the benefits of this Agreement and the other Loan Documents with the Revolving Loans and the accrued interest and fees in respect thereof and (y) to include appropriately the Lenders holding such credit facilities in any determination of the Required Lenders and Lenders.</w:t>
      </w:r>
    </w:p>
    <w:p>
      <w:pPr>
        <w:spacing w:after="0" w:line="191" w:lineRule="exact"/>
        <w:rPr>
          <w:rFonts w:ascii="Arial" w:cs="Arial" w:eastAsia="Arial" w:hAnsi="Arial"/>
          <w:sz w:val="20"/>
          <w:szCs w:val="20"/>
          <w:color w:val="auto"/>
        </w:rPr>
      </w:pPr>
    </w:p>
    <w:p>
      <w:pPr>
        <w:jc w:val="both"/>
        <w:ind w:firstLine="656"/>
        <w:spacing w:after="0" w:line="299" w:lineRule="auto"/>
        <w:tabs>
          <w:tab w:leader="none" w:pos="152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Lenders and the Issuing Bank hereby irrevocably authorize the Administrative Agent, at its option and in its sole discretion, to release any Liens granted to the Administrative Agent by the Loan Parties on any Collateral (i) upon satisfaction of the Final Release Conditions,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(iii) constituting property leased to a Loan Party under a lease which has expired or been terminated in a transaction permitted under this Agreement, (iv) constituting Excluded Assets or (v)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discretion, release its Liens on Collateral valued in the aggregate not in excess of $7,500,000 during any calendar year without the prior written authorization of the Required Lenders(it being agreed that the Administrative Agent may rely conclusively on one or more certificates of the Borrowers as to the value of any Collateral to be so released, without further inquiry). Any execution and delivery by the Administrative Agent of documents in connection with any such release shall be without recourse to or warranty by the Administrative Agent. In addition, each of the Lenders, on behalf of itself and any of its Affiliates that are Secured Parties, irrevocably authorizes the Administrative Agent, at its option and in its discretion, (i) to subordinate any Lien on any assets granted to or held by the Administrative Agent under any Loan Document to the holder of any Lien on such property that is permitted by Section 6.02(e) or (ii) in the event that the Company shall have advised the Administrative Agent that, notwithstanding the use by the Company of commercially reasonable efforts to obtain the consent of such holder (but without the requirement to pay any sums to obtain such consent) to permit the Administrative Agent to retain its liens (on a subordinated basis as contemplated by clause (i) above), the holder of such other Indebtedness requires, as a condition to the extension of such credit, that the Liens on such assets granted to or held by the Administrative Agent under any Loan Document be released, to release the Administrative Agent’s Liens on such assets. Any such release shall not in any manner discharge, affect, or impair the Obligations or any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420"/>
          </w:cols>
          <w:pgMar w:left="240" w:top="812" w:right="239" w:bottom="1440" w:gutter="0" w:footer="0" w:header="0"/>
        </w:sectPr>
      </w:pPr>
    </w:p>
    <w:bookmarkStart w:id="297" w:name="page298"/>
    <w:bookmarkEnd w:id="297"/>
    <w:p>
      <w:pPr>
        <w:jc w:val="both"/>
        <w:spacing w:after="0" w:line="322" w:lineRule="auto"/>
        <w:rPr>
          <w:sz w:val="20"/>
          <w:szCs w:val="20"/>
          <w:color w:val="auto"/>
        </w:rPr>
      </w:pPr>
      <w:r>
        <w:rPr>
          <w:rFonts w:ascii="Arial" w:cs="Arial" w:eastAsia="Arial" w:hAnsi="Arial"/>
          <w:sz w:val="18"/>
          <w:szCs w:val="18"/>
          <w:color w:val="auto"/>
        </w:rPr>
        <w:t>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153" w:lineRule="exact"/>
        <w:rPr>
          <w:sz w:val="20"/>
          <w:szCs w:val="20"/>
          <w:color w:val="auto"/>
        </w:rPr>
      </w:pPr>
    </w:p>
    <w:p>
      <w:pPr>
        <w:jc w:val="both"/>
        <w:ind w:firstLine="656"/>
        <w:spacing w:after="0" w:line="302" w:lineRule="auto"/>
        <w:tabs>
          <w:tab w:leader="none" w:pos="1516" w:val="left"/>
        </w:tabs>
        <w:numPr>
          <w:ilvl w:val="0"/>
          <w:numId w:val="351"/>
        </w:numPr>
        <w:rPr>
          <w:rFonts w:ascii="Arial" w:cs="Arial" w:eastAsia="Arial" w:hAnsi="Arial"/>
          <w:sz w:val="18"/>
          <w:szCs w:val="18"/>
          <w:color w:val="auto"/>
        </w:rPr>
      </w:pPr>
      <w:r>
        <w:rPr>
          <w:rFonts w:ascii="Arial" w:cs="Arial" w:eastAsia="Arial" w:hAnsi="Arial"/>
          <w:sz w:val="18"/>
          <w:szCs w:val="18"/>
          <w:color w:val="auto"/>
        </w:rPr>
        <w:t>If, in connection with any proposed amendment, waiver or consent requiring the consent of “each Lender” or “each Lender directly affected thereby,” the consent of the Required Lenders is obtained, but the consent of other necessary Lenders is not obtained (any such Lender whose consent is necessary but not obtained being referred to herein as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then the Company may elect to replace a Non-Consenting Lender as a Lender party to this Agreement, provided that, concurrently with such replacement, (i) another bank or other entity which is reasonably satisfactory to the Company and the Administrative Agent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such Non-Consenting Lender shall have received in same day funds on the day of such replacement (1) all interest, fees and other amounts then accrued but unpaid to such Non-Consenting Lender by such Borrower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w:t>
      </w:r>
    </w:p>
    <w:p>
      <w:pPr>
        <w:spacing w:after="0" w:line="169" w:lineRule="exact"/>
        <w:rPr>
          <w:rFonts w:ascii="Arial" w:cs="Arial" w:eastAsia="Arial" w:hAnsi="Arial"/>
          <w:sz w:val="18"/>
          <w:szCs w:val="18"/>
          <w:color w:val="auto"/>
        </w:rPr>
      </w:pPr>
    </w:p>
    <w:p>
      <w:pPr>
        <w:jc w:val="both"/>
        <w:ind w:firstLine="656"/>
        <w:spacing w:after="0" w:line="270" w:lineRule="auto"/>
        <w:tabs>
          <w:tab w:leader="none" w:pos="1494" w:val="left"/>
        </w:tabs>
        <w:numPr>
          <w:ilvl w:val="0"/>
          <w:numId w:val="351"/>
        </w:numPr>
        <w:rPr>
          <w:rFonts w:ascii="Arial" w:cs="Arial" w:eastAsia="Arial" w:hAnsi="Arial"/>
          <w:sz w:val="20"/>
          <w:szCs w:val="20"/>
          <w:color w:val="auto"/>
        </w:rPr>
      </w:pPr>
      <w:r>
        <w:rPr>
          <w:rFonts w:ascii="Arial" w:cs="Arial" w:eastAsia="Arial" w:hAnsi="Arial"/>
          <w:sz w:val="20"/>
          <w:szCs w:val="20"/>
          <w:color w:val="auto"/>
        </w:rPr>
        <w:t>Notwithstanding anything to the contrary herein the Administrative Agent may, with the consent of the Borrowers only, amend, modify or supplement this Agreement or any of the other Loan Documents (i) to correct, amend, resolve or cure any ambiguity, omission, mistake, defect or inconsistency or correct any typographical error or other manifest error in any Loan Document, (ii) to comply with local law or advice of local counsel in any jurisdiction the laws of which govern any Collateral Document or that are relevant to the creation, perfection, protection and/or priority of any Lien in favor of the Administrative Agent, (iii) to effect the granting, perfection, protection, expansion or enhancement of any security interest in any Collateral or additional property to become Collateral for the benefit of the Secured Parties, (iv) to make administrative or operational changes not adverse to any Lender or (v) to add a guarantor or collateral or otherwise enhance the rights and benefits of the Lenders.</w:t>
      </w:r>
    </w:p>
    <w:p>
      <w:pPr>
        <w:spacing w:after="0" w:line="199"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9.03</w:t>
      </w:r>
      <w:r>
        <w:rPr>
          <w:sz w:val="20"/>
          <w:szCs w:val="20"/>
          <w:color w:val="auto"/>
        </w:rPr>
        <w:tab/>
      </w:r>
      <w:r>
        <w:rPr>
          <w:rFonts w:ascii="Arial" w:cs="Arial" w:eastAsia="Arial" w:hAnsi="Arial"/>
          <w:sz w:val="16"/>
          <w:szCs w:val="16"/>
          <w:u w:val="single" w:color="auto"/>
          <w:color w:val="auto"/>
        </w:rPr>
        <w:t>Expenses; Indemnity; Damage Waiver.</w:t>
      </w:r>
    </w:p>
    <w:p>
      <w:pPr>
        <w:spacing w:after="0" w:line="243" w:lineRule="exact"/>
        <w:rPr>
          <w:sz w:val="20"/>
          <w:szCs w:val="20"/>
          <w:color w:val="auto"/>
        </w:rPr>
      </w:pPr>
    </w:p>
    <w:p>
      <w:pPr>
        <w:jc w:val="both"/>
        <w:ind w:firstLine="656"/>
        <w:spacing w:after="0" w:line="297" w:lineRule="auto"/>
        <w:tabs>
          <w:tab w:leader="none" w:pos="1516"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Loan Parties shall, jointly and severally, pay (i) all reasonable out-of-pocket expenses incurred by the Administrative Agent and the Lead Arranger and their respective Affiliates (including the reasonable and documented fees, disbursements and other charges of one primary counsel and one local counsel in each applicable jurisdiction for the Administrative Agent and the Lead Arranger and their respective Affiliates, in each case, for all such parties taken together) in connection with the syndication and distribution (including, without limitation, via the internet or through a service such as Intralinks)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 extension of any Letter of Credit or any demand for payment thereunder and</w:t>
      </w:r>
    </w:p>
    <w:p>
      <w:pPr>
        <w:spacing w:after="0" w:line="3" w:lineRule="exact"/>
        <w:rPr>
          <w:rFonts w:ascii="Arial" w:cs="Arial" w:eastAsia="Arial" w:hAnsi="Arial"/>
          <w:sz w:val="18"/>
          <w:szCs w:val="18"/>
          <w:color w:val="auto"/>
        </w:rPr>
      </w:pPr>
    </w:p>
    <w:p>
      <w:pPr>
        <w:jc w:val="both"/>
        <w:ind w:firstLine="8"/>
        <w:spacing w:after="0" w:line="274" w:lineRule="auto"/>
        <w:tabs>
          <w:tab w:leader="none" w:pos="398" w:val="left"/>
        </w:tabs>
        <w:numPr>
          <w:ilvl w:val="0"/>
          <w:numId w:val="353"/>
        </w:numPr>
        <w:rPr>
          <w:rFonts w:ascii="Arial" w:cs="Arial" w:eastAsia="Arial" w:hAnsi="Arial"/>
          <w:sz w:val="20"/>
          <w:szCs w:val="20"/>
          <w:color w:val="auto"/>
        </w:rPr>
      </w:pPr>
      <w:r>
        <w:rPr>
          <w:rFonts w:ascii="Arial" w:cs="Arial" w:eastAsia="Arial" w:hAnsi="Arial"/>
          <w:sz w:val="20"/>
          <w:szCs w:val="20"/>
          <w:color w:val="auto"/>
        </w:rPr>
        <w:t>all out-of-pocket expenses incurred by the Administrative Agent, any Issuing Bank or any Lender (including the reasonable and documented fees, disbursements and other charges of one primary counsel and one local counsel in each applicable jurisdiction for the Administrative Agent, the Issuing Banks and the Lenders taken as a whole (and, in light of actual or potential conflicts of interest or the availability of different claims or defenses (as reasonably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420"/>
          </w:cols>
          <w:pgMar w:left="240" w:top="825" w:right="239" w:bottom="1440" w:gutter="0" w:footer="0" w:header="0"/>
        </w:sectPr>
      </w:pPr>
    </w:p>
    <w:bookmarkStart w:id="298" w:name="page299"/>
    <w:bookmarkEnd w:id="298"/>
    <w:p>
      <w:pPr>
        <w:jc w:val="both"/>
        <w:spacing w:after="0" w:line="290" w:lineRule="auto"/>
        <w:rPr>
          <w:sz w:val="20"/>
          <w:szCs w:val="20"/>
          <w:color w:val="auto"/>
        </w:rPr>
      </w:pPr>
      <w:r>
        <w:rPr>
          <w:rFonts w:ascii="Arial" w:cs="Arial" w:eastAsia="Arial" w:hAnsi="Arial"/>
          <w:sz w:val="19"/>
          <w:szCs w:val="19"/>
          <w:color w:val="auto"/>
        </w:rPr>
        <w:t>determined by the affected party), one additional firm of counsel to each group of similarly affected parties)) in connection with the enforcement or protection of its rights in connection with this Agreement and any other Loan Document, including its rights under this Section, or in connection with the Loans made or Letters of Credit issued hereunder, including all such out-of-pocket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179" w:lineRule="exact"/>
        <w:rPr>
          <w:sz w:val="20"/>
          <w:szCs w:val="20"/>
          <w:color w:val="auto"/>
        </w:rPr>
      </w:pPr>
    </w:p>
    <w:p>
      <w:pPr>
        <w:jc w:val="both"/>
        <w:ind w:left="660" w:firstLine="645"/>
        <w:spacing w:after="0" w:line="299" w:lineRule="auto"/>
        <w:tabs>
          <w:tab w:leader="none" w:pos="2143" w:val="left"/>
        </w:tabs>
        <w:numPr>
          <w:ilvl w:val="0"/>
          <w:numId w:val="354"/>
        </w:numPr>
        <w:rPr>
          <w:rFonts w:ascii="Arial" w:cs="Arial" w:eastAsia="Arial" w:hAnsi="Arial"/>
          <w:sz w:val="19"/>
          <w:szCs w:val="19"/>
          <w:color w:val="auto"/>
        </w:rPr>
      </w:pPr>
      <w:r>
        <w:rPr>
          <w:rFonts w:ascii="Arial" w:cs="Arial" w:eastAsia="Arial" w:hAnsi="Arial"/>
          <w:sz w:val="19"/>
          <w:szCs w:val="19"/>
          <w:color w:val="auto"/>
        </w:rPr>
        <w:t>subject to the limits set forth in Sections 5.11 and 5.12, appraisals, field examinations and the preparation of Reports based on the fees charged by a third party retained by the Administrative Agent or the internally allocated fees for each Person employed by the Administrative Agent with respect to each appraisal and field examination;</w:t>
      </w:r>
    </w:p>
    <w:p>
      <w:pPr>
        <w:spacing w:after="0" w:line="169" w:lineRule="exact"/>
        <w:rPr>
          <w:rFonts w:ascii="Arial" w:cs="Arial" w:eastAsia="Arial" w:hAnsi="Arial"/>
          <w:sz w:val="19"/>
          <w:szCs w:val="19"/>
          <w:color w:val="auto"/>
        </w:rPr>
      </w:pPr>
    </w:p>
    <w:p>
      <w:pPr>
        <w:ind w:left="660" w:firstLine="645"/>
        <w:spacing w:after="0" w:line="289" w:lineRule="auto"/>
        <w:tabs>
          <w:tab w:leader="none" w:pos="2198" w:val="left"/>
        </w:tabs>
        <w:numPr>
          <w:ilvl w:val="0"/>
          <w:numId w:val="354"/>
        </w:numPr>
        <w:rPr>
          <w:rFonts w:ascii="Arial" w:cs="Arial" w:eastAsia="Arial" w:hAnsi="Arial"/>
          <w:sz w:val="20"/>
          <w:szCs w:val="20"/>
          <w:color w:val="auto"/>
        </w:rPr>
      </w:pPr>
      <w:r>
        <w:rPr>
          <w:rFonts w:ascii="Arial" w:cs="Arial" w:eastAsia="Arial" w:hAnsi="Arial"/>
          <w:sz w:val="20"/>
          <w:szCs w:val="20"/>
          <w:color w:val="auto"/>
        </w:rPr>
        <w:t>background checks regarding senior management of the Loan Parties, as deemed necessary or appropriate in the sole discretion of the Administrative Agent;</w:t>
      </w:r>
    </w:p>
    <w:p>
      <w:pPr>
        <w:spacing w:after="0" w:line="175" w:lineRule="exact"/>
        <w:rPr>
          <w:rFonts w:ascii="Arial" w:cs="Arial" w:eastAsia="Arial" w:hAnsi="Arial"/>
          <w:sz w:val="20"/>
          <w:szCs w:val="20"/>
          <w:color w:val="auto"/>
        </w:rPr>
      </w:pPr>
    </w:p>
    <w:p>
      <w:pPr>
        <w:jc w:val="both"/>
        <w:ind w:left="660" w:firstLine="645"/>
        <w:spacing w:after="0" w:line="278" w:lineRule="auto"/>
        <w:tabs>
          <w:tab w:leader="none" w:pos="2253" w:val="left"/>
        </w:tabs>
        <w:numPr>
          <w:ilvl w:val="0"/>
          <w:numId w:val="354"/>
        </w:numPr>
        <w:rPr>
          <w:rFonts w:ascii="Arial" w:cs="Arial" w:eastAsia="Arial" w:hAnsi="Arial"/>
          <w:sz w:val="20"/>
          <w:szCs w:val="20"/>
          <w:color w:val="auto"/>
        </w:rPr>
      </w:pPr>
      <w:r>
        <w:rPr>
          <w:rFonts w:ascii="Arial" w:cs="Arial" w:eastAsia="Arial" w:hAnsi="Arial"/>
          <w:sz w:val="20"/>
          <w:szCs w:val="20"/>
          <w:color w:val="auto"/>
        </w:rPr>
        <w:t>Other Taxes, fees and other charges for (A) lien and title searches and title insurance and (B) recording the Mortgages, filing financing statements and continuations, and other actions to perfect, protect, and continue the Administrative Agent’s Liens;</w:t>
      </w:r>
    </w:p>
    <w:p>
      <w:pPr>
        <w:spacing w:after="0" w:line="186" w:lineRule="exact"/>
        <w:rPr>
          <w:rFonts w:ascii="Arial" w:cs="Arial" w:eastAsia="Arial" w:hAnsi="Arial"/>
          <w:sz w:val="20"/>
          <w:szCs w:val="20"/>
          <w:color w:val="auto"/>
        </w:rPr>
      </w:pPr>
    </w:p>
    <w:p>
      <w:pPr>
        <w:ind w:left="660" w:firstLine="645"/>
        <w:spacing w:after="0" w:line="289" w:lineRule="auto"/>
        <w:tabs>
          <w:tab w:leader="none" w:pos="2242" w:val="left"/>
        </w:tabs>
        <w:numPr>
          <w:ilvl w:val="0"/>
          <w:numId w:val="354"/>
        </w:numPr>
        <w:rPr>
          <w:rFonts w:ascii="Arial" w:cs="Arial" w:eastAsia="Arial" w:hAnsi="Arial"/>
          <w:sz w:val="20"/>
          <w:szCs w:val="20"/>
          <w:color w:val="auto"/>
        </w:rPr>
      </w:pPr>
      <w:r>
        <w:rPr>
          <w:rFonts w:ascii="Arial" w:cs="Arial" w:eastAsia="Arial" w:hAnsi="Arial"/>
          <w:sz w:val="20"/>
          <w:szCs w:val="20"/>
          <w:color w:val="auto"/>
        </w:rPr>
        <w:t>sums paid or incurred to take any action required of any Loan Party under the Loan Documents that such Loan Party fails to pay or take; and</w:t>
      </w:r>
    </w:p>
    <w:p>
      <w:pPr>
        <w:spacing w:after="0" w:line="175" w:lineRule="exact"/>
        <w:rPr>
          <w:rFonts w:ascii="Arial" w:cs="Arial" w:eastAsia="Arial" w:hAnsi="Arial"/>
          <w:sz w:val="20"/>
          <w:szCs w:val="20"/>
          <w:color w:val="auto"/>
        </w:rPr>
      </w:pPr>
    </w:p>
    <w:p>
      <w:pPr>
        <w:ind w:left="660" w:firstLine="645"/>
        <w:spacing w:after="0" w:line="289" w:lineRule="auto"/>
        <w:tabs>
          <w:tab w:leader="none" w:pos="2187" w:val="left"/>
        </w:tabs>
        <w:numPr>
          <w:ilvl w:val="0"/>
          <w:numId w:val="354"/>
        </w:numPr>
        <w:rPr>
          <w:rFonts w:ascii="Arial" w:cs="Arial" w:eastAsia="Arial" w:hAnsi="Arial"/>
          <w:sz w:val="20"/>
          <w:szCs w:val="20"/>
          <w:color w:val="auto"/>
        </w:rPr>
      </w:pPr>
      <w:r>
        <w:rPr>
          <w:rFonts w:ascii="Arial" w:cs="Arial" w:eastAsia="Arial" w:hAnsi="Arial"/>
          <w:sz w:val="20"/>
          <w:szCs w:val="20"/>
          <w:color w:val="auto"/>
        </w:rPr>
        <w:t>forwarding loan proceeds, collecting checks and other items of payment, and establishing and maintaining the accounts and lock boxes, and costs and expenses of preserving and protecting the Collateral.</w:t>
      </w:r>
    </w:p>
    <w:p>
      <w:pPr>
        <w:spacing w:after="0" w:line="16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All of the foregoing fees, costs and expenses may be charged to the Company as Revolving Loans or to another deposit account, all as described in Section 2.18(c).</w:t>
      </w:r>
    </w:p>
    <w:p>
      <w:pPr>
        <w:spacing w:after="0" w:line="190" w:lineRule="exact"/>
        <w:rPr>
          <w:sz w:val="20"/>
          <w:szCs w:val="20"/>
          <w:color w:val="auto"/>
        </w:rPr>
      </w:pPr>
    </w:p>
    <w:p>
      <w:pPr>
        <w:jc w:val="both"/>
        <w:ind w:firstLine="656"/>
        <w:spacing w:after="0" w:line="297" w:lineRule="auto"/>
        <w:tabs>
          <w:tab w:leader="none" w:pos="1527"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The Loan Parties shall, jointly and severally, indemnify the Administrative Agent, each Issuing Bank and each Lender,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reasonable and documented fees, disbursements and other charges of (x) one primary counsel and one local counsel in each applicable jurisdiction, in each case for the Indemnitees taken as a whole and (y) one additional counsel for each affected Indemnitee in light of actual or potential conflicts of interest or the availability of different claims or defenses) incurred by or asserted against any Indemnitee arising out of, in connection with, or as a result of (i) the execution or delivery of any Loan Document or any agreement or instrument contemplated thereby, the performance by the parties hereto of their respective obligations thereunder or the consummation of the Transactions or any other transactions contemplated hereby,</w:t>
      </w:r>
    </w:p>
    <w:p>
      <w:pPr>
        <w:spacing w:after="0" w:line="3" w:lineRule="exact"/>
        <w:rPr>
          <w:rFonts w:ascii="Arial" w:cs="Arial" w:eastAsia="Arial" w:hAnsi="Arial"/>
          <w:sz w:val="18"/>
          <w:szCs w:val="18"/>
          <w:color w:val="auto"/>
        </w:rPr>
      </w:pPr>
    </w:p>
    <w:p>
      <w:pPr>
        <w:jc w:val="both"/>
        <w:ind w:firstLine="8"/>
        <w:spacing w:after="0" w:line="270" w:lineRule="auto"/>
        <w:tabs>
          <w:tab w:leader="none" w:pos="319" w:val="left"/>
        </w:tabs>
        <w:numPr>
          <w:ilvl w:val="0"/>
          <w:numId w:val="356"/>
        </w:numPr>
        <w:rPr>
          <w:rFonts w:ascii="Arial" w:cs="Arial" w:eastAsia="Arial" w:hAnsi="Arial"/>
          <w:sz w:val="20"/>
          <w:szCs w:val="20"/>
          <w:color w:val="auto"/>
        </w:rPr>
      </w:pPr>
      <w:r>
        <w:rPr>
          <w:rFonts w:ascii="Arial" w:cs="Arial" w:eastAsia="Arial" w:hAnsi="Arial"/>
          <w:sz w:val="20"/>
          <w:szCs w:val="20"/>
          <w:color w:val="auto"/>
        </w:rPr>
        <w:t xml:space="preserve">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or not such claim, litigation, investigation or proceeding is brought by the Company or any other Loan Party or its or their respective equity holders, Affiliates, creditors or any other third Person and whether based on contract, tort or any other theory, and regardless of whether any Indemnitee is a party thereto;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indemnity shall not, as to any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420"/>
          </w:cols>
          <w:pgMar w:left="240" w:top="825" w:right="239" w:bottom="1440" w:gutter="0" w:footer="0" w:header="0"/>
        </w:sectPr>
      </w:pPr>
    </w:p>
    <w:bookmarkStart w:id="299" w:name="page300"/>
    <w:bookmarkEnd w:id="299"/>
    <w:p>
      <w:pPr>
        <w:jc w:val="both"/>
        <w:spacing w:after="0" w:line="273" w:lineRule="auto"/>
        <w:rPr>
          <w:sz w:val="20"/>
          <w:szCs w:val="20"/>
          <w:color w:val="auto"/>
        </w:rPr>
      </w:pPr>
      <w:r>
        <w:rPr>
          <w:rFonts w:ascii="Arial" w:cs="Arial" w:eastAsia="Arial" w:hAnsi="Arial"/>
          <w:sz w:val="20"/>
          <w:szCs w:val="20"/>
          <w:color w:val="auto"/>
        </w:rPr>
        <w:t>Indemnitee, be available to the extent that such losses, claims, damages, liabilities or related expenses are determined by a court of competent jurisdiction by final and nonappealable judgment to have resulted from (x) the gross negligence or willful misconduct of such Indemnitee or (y) the material breach in bad faith by such Indemnitee of its express obligations under this Agreement pursuant to a claim initiated by the Company. This Section 9.03(b) shall not apply with respect to Taxes other than any Taxes that represent losses, claims or damages arising from any non-Tax claim.</w:t>
      </w:r>
    </w:p>
    <w:p>
      <w:pPr>
        <w:spacing w:after="0" w:line="191" w:lineRule="exact"/>
        <w:rPr>
          <w:sz w:val="20"/>
          <w:szCs w:val="20"/>
          <w:color w:val="auto"/>
        </w:rPr>
      </w:pPr>
    </w:p>
    <w:p>
      <w:pPr>
        <w:jc w:val="both"/>
        <w:ind w:firstLine="656"/>
        <w:spacing w:after="0" w:line="305" w:lineRule="auto"/>
        <w:tabs>
          <w:tab w:leader="none" w:pos="1516"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To the extent that a Loan Party fails to pay any amount required to be paid by it to the Administrative Agent, any Issuing Bank or the Swingline Lender under paragraph (a) or (b) of this Section, each Lender severally agrees to pay to the Administrative Agent, and each Lender severally agrees to pay to the relevant Issuing Bank or the Swingline Lender, as the case may be, such Lender’s Applicable Percentage (determined as of the time that the applicable unreimbursed expense or indemnity payment is sought) of such unpaid amount (it being understood that the payment of any Lender of any such amount shall not relieve such Loan Party of any default in the payment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any Issuing Bank or the Swingline Lender in its capacity as such.</w:t>
      </w:r>
    </w:p>
    <w:p>
      <w:pPr>
        <w:spacing w:after="0" w:line="170" w:lineRule="exact"/>
        <w:rPr>
          <w:rFonts w:ascii="Arial" w:cs="Arial" w:eastAsia="Arial" w:hAnsi="Arial"/>
          <w:sz w:val="18"/>
          <w:szCs w:val="18"/>
          <w:color w:val="auto"/>
        </w:rPr>
      </w:pPr>
    </w:p>
    <w:p>
      <w:pPr>
        <w:jc w:val="both"/>
        <w:ind w:firstLine="656"/>
        <w:spacing w:after="0" w:line="303" w:lineRule="auto"/>
        <w:tabs>
          <w:tab w:leader="none" w:pos="1527"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To the extent permitted by applicable law, no Loan Party shall assert, and each Loan Party hereby waives, any claim against any Indemnitee (i) for any damages arising from the use by others of information or other materials obtained through telecommunications, electronic or other information transmission systems (including the Internet) other than actual or direct damages that are determined by a court of competent jurisdiction by final and nonappealable judgment to have resulted from the gross negligence or willful misconduct of such Indemnitee or any of its Related Parties. To the extent permitted by applicable law, no Indemnitee shall assert against any Loan Party or its Related Parties and no Loan Party shall assert against any Indemnitee, and each Indemnitee and Loan Party hereby waives, any claim,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contained in this sentence shall limit the Company’s indemnity obligations to the extent set forth in Section 9.03(b).</w:t>
      </w:r>
    </w:p>
    <w:p>
      <w:pPr>
        <w:spacing w:after="0" w:line="168" w:lineRule="exact"/>
        <w:rPr>
          <w:rFonts w:ascii="Arial" w:cs="Arial" w:eastAsia="Arial" w:hAnsi="Arial"/>
          <w:sz w:val="18"/>
          <w:szCs w:val="18"/>
          <w:color w:val="auto"/>
        </w:rPr>
      </w:pPr>
    </w:p>
    <w:p>
      <w:pPr>
        <w:ind w:left="1520" w:hanging="864"/>
        <w:spacing w:after="0"/>
        <w:tabs>
          <w:tab w:leader="none" w:pos="152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All amounts due under this Section shall be payable not later than fifteen (15) days after written demand therefor.</w:t>
      </w:r>
    </w:p>
    <w:p>
      <w:pPr>
        <w:spacing w:after="0" w:line="254"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9.04</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43" w:lineRule="exact"/>
        <w:rPr>
          <w:sz w:val="20"/>
          <w:szCs w:val="20"/>
          <w:color w:val="auto"/>
        </w:rPr>
      </w:pPr>
    </w:p>
    <w:p>
      <w:pPr>
        <w:jc w:val="both"/>
        <w:ind w:firstLine="1305"/>
        <w:spacing w:after="0" w:line="303" w:lineRule="auto"/>
        <w:tabs>
          <w:tab w:leader="none" w:pos="2227"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the relevant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relevant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173" w:lineRule="exact"/>
        <w:rPr>
          <w:rFonts w:ascii="Arial" w:cs="Arial" w:eastAsia="Arial" w:hAnsi="Arial"/>
          <w:sz w:val="18"/>
          <w:szCs w:val="18"/>
          <w:color w:val="auto"/>
        </w:rPr>
      </w:pPr>
    </w:p>
    <w:p>
      <w:pPr>
        <w:ind w:left="2240" w:hanging="935"/>
        <w:spacing w:after="0"/>
        <w:tabs>
          <w:tab w:leader="none" w:pos="224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(i) Subject to the conditions set forth in paragraph (b)(ii) below, any Lender may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420"/>
          </w:cols>
          <w:pgMar w:left="240" w:top="825" w:right="239" w:bottom="1440" w:gutter="0" w:footer="0" w:header="0"/>
        </w:sectPr>
      </w:pPr>
    </w:p>
    <w:bookmarkStart w:id="300" w:name="page301"/>
    <w:bookmarkEnd w:id="300"/>
    <w:p>
      <w:pPr>
        <w:jc w:val="both"/>
        <w:spacing w:after="0" w:line="278" w:lineRule="auto"/>
        <w:rPr>
          <w:sz w:val="20"/>
          <w:szCs w:val="20"/>
          <w:color w:val="auto"/>
        </w:rPr>
      </w:pPr>
      <w:r>
        <w:rPr>
          <w:rFonts w:ascii="Arial" w:cs="Arial" w:eastAsia="Arial" w:hAnsi="Arial"/>
          <w:sz w:val="20"/>
          <w:szCs w:val="20"/>
          <w:color w:val="auto"/>
        </w:rPr>
        <w:t>assign to one or more Persons (other than an Ineligible Institution) all or a portion of its rights and obligations under this Agreement (including all or a portion of its Commitments and the Loans at the time owing to it) with the prior written consent (such consent not to be unreasonably withheld) of:</w:t>
      </w:r>
    </w:p>
    <w:p>
      <w:pPr>
        <w:spacing w:after="0" w:line="187" w:lineRule="exact"/>
        <w:rPr>
          <w:sz w:val="20"/>
          <w:szCs w:val="20"/>
          <w:color w:val="auto"/>
        </w:rPr>
      </w:pPr>
    </w:p>
    <w:p>
      <w:pPr>
        <w:jc w:val="both"/>
        <w:ind w:left="660" w:firstLine="645"/>
        <w:spacing w:after="0" w:line="314" w:lineRule="auto"/>
        <w:tabs>
          <w:tab w:leader="none" w:pos="228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Borrower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Borrower Representative shall be deemed to have consented to any assignment unless it shall object thereto by written notice to the Administrative Agent within five (5) Business Days after having received notice thereof and (ii) no consent of the Borrower Representative shall be required for an assignment to a Lender, an Affiliate of a Lender, an Approved Fund or, if an Event of Default has occurred and is continuing, any other assignee;</w:t>
      </w:r>
    </w:p>
    <w:p>
      <w:pPr>
        <w:spacing w:after="0" w:line="159" w:lineRule="exact"/>
        <w:rPr>
          <w:rFonts w:ascii="Arial" w:cs="Arial" w:eastAsia="Arial" w:hAnsi="Arial"/>
          <w:sz w:val="18"/>
          <w:szCs w:val="18"/>
          <w:color w:val="auto"/>
        </w:rPr>
      </w:pPr>
    </w:p>
    <w:p>
      <w:pPr>
        <w:ind w:left="2260" w:hanging="955"/>
        <w:spacing w:after="0"/>
        <w:tabs>
          <w:tab w:leader="none" w:pos="226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Administrative Agent;</w:t>
      </w:r>
    </w:p>
    <w:p>
      <w:pPr>
        <w:spacing w:after="0" w:line="242" w:lineRule="exact"/>
        <w:rPr>
          <w:rFonts w:ascii="Arial" w:cs="Arial" w:eastAsia="Arial" w:hAnsi="Arial"/>
          <w:sz w:val="20"/>
          <w:szCs w:val="20"/>
          <w:color w:val="auto"/>
        </w:rPr>
      </w:pPr>
    </w:p>
    <w:p>
      <w:pPr>
        <w:ind w:left="2260" w:hanging="955"/>
        <w:spacing w:after="0"/>
        <w:tabs>
          <w:tab w:leader="none" w:pos="226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each Issuing Bank; and</w:t>
      </w:r>
    </w:p>
    <w:p>
      <w:pPr>
        <w:spacing w:after="0" w:line="242" w:lineRule="exact"/>
        <w:rPr>
          <w:rFonts w:ascii="Arial" w:cs="Arial" w:eastAsia="Arial" w:hAnsi="Arial"/>
          <w:sz w:val="20"/>
          <w:szCs w:val="20"/>
          <w:color w:val="auto"/>
        </w:rPr>
      </w:pPr>
    </w:p>
    <w:p>
      <w:pPr>
        <w:ind w:left="2280" w:hanging="975"/>
        <w:spacing w:after="0"/>
        <w:tabs>
          <w:tab w:leader="none" w:pos="2280" w:val="left"/>
        </w:tabs>
        <w:numPr>
          <w:ilvl w:val="0"/>
          <w:numId w:val="359"/>
        </w:numPr>
        <w:rPr>
          <w:rFonts w:ascii="Arial" w:cs="Arial" w:eastAsia="Arial" w:hAnsi="Arial"/>
          <w:sz w:val="20"/>
          <w:szCs w:val="20"/>
          <w:color w:val="auto"/>
        </w:rPr>
      </w:pPr>
      <w:r>
        <w:rPr>
          <w:rFonts w:ascii="Arial" w:cs="Arial" w:eastAsia="Arial" w:hAnsi="Arial"/>
          <w:sz w:val="20"/>
          <w:szCs w:val="20"/>
          <w:color w:val="auto"/>
        </w:rPr>
        <w:t>the Swingline Lender.</w:t>
      </w:r>
    </w:p>
    <w:p>
      <w:pPr>
        <w:spacing w:after="0" w:line="243" w:lineRule="exact"/>
        <w:rPr>
          <w:sz w:val="20"/>
          <w:szCs w:val="20"/>
          <w:color w:val="auto"/>
        </w:rPr>
      </w:pPr>
    </w:p>
    <w:p>
      <w:pPr>
        <w:ind w:left="2240" w:hanging="935"/>
        <w:spacing w:after="0"/>
        <w:tabs>
          <w:tab w:leader="none" w:pos="224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43" w:lineRule="exact"/>
        <w:rPr>
          <w:sz w:val="20"/>
          <w:szCs w:val="20"/>
          <w:color w:val="auto"/>
        </w:rPr>
      </w:pPr>
    </w:p>
    <w:p>
      <w:pPr>
        <w:jc w:val="both"/>
        <w:ind w:left="660" w:firstLine="645"/>
        <w:spacing w:after="0" w:line="288" w:lineRule="auto"/>
        <w:tabs>
          <w:tab w:leader="none" w:pos="2281"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consent of the Borrower Representative shall be required if an Event of Default has occurred and is continuing;</w:t>
      </w:r>
    </w:p>
    <w:p>
      <w:pPr>
        <w:spacing w:after="0" w:line="182" w:lineRule="exact"/>
        <w:rPr>
          <w:rFonts w:ascii="Arial" w:cs="Arial" w:eastAsia="Arial" w:hAnsi="Arial"/>
          <w:sz w:val="19"/>
          <w:szCs w:val="19"/>
          <w:color w:val="auto"/>
        </w:rPr>
      </w:pPr>
    </w:p>
    <w:p>
      <w:pPr>
        <w:ind w:left="660" w:firstLine="645"/>
        <w:spacing w:after="0" w:line="289" w:lineRule="auto"/>
        <w:tabs>
          <w:tab w:leader="none" w:pos="2270" w:val="left"/>
        </w:tabs>
        <w:numPr>
          <w:ilvl w:val="0"/>
          <w:numId w:val="361"/>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5" w:lineRule="exact"/>
        <w:rPr>
          <w:rFonts w:ascii="Arial" w:cs="Arial" w:eastAsia="Arial" w:hAnsi="Arial"/>
          <w:sz w:val="20"/>
          <w:szCs w:val="20"/>
          <w:color w:val="auto"/>
        </w:rPr>
      </w:pPr>
    </w:p>
    <w:p>
      <w:pPr>
        <w:jc w:val="both"/>
        <w:ind w:left="660" w:firstLine="645"/>
        <w:spacing w:after="0" w:line="285" w:lineRule="auto"/>
        <w:tabs>
          <w:tab w:leader="none" w:pos="2297" w:val="left"/>
        </w:tabs>
        <w:numPr>
          <w:ilvl w:val="0"/>
          <w:numId w:val="361"/>
        </w:numPr>
        <w:rPr>
          <w:rFonts w:ascii="Arial" w:cs="Arial" w:eastAsia="Arial" w:hAnsi="Arial"/>
          <w:sz w:val="19"/>
          <w:szCs w:val="19"/>
          <w:color w:val="auto"/>
        </w:rPr>
      </w:pPr>
      <w:r>
        <w:rPr>
          <w:rFonts w:ascii="Arial" w:cs="Arial" w:eastAsia="Arial" w:hAnsi="Arial"/>
          <w:sz w:val="19"/>
          <w:szCs w:val="19"/>
          <w:color w:val="auto"/>
        </w:rPr>
        <w:t xml:space="preserve">the parties to each assignment shall execute and deliver to the Administrative Agent (x) an Assignment and Assumption or (y) to the extent applicable, an agreement incorporating an Assignment and Assumption by reference pursuant to a Platform as to which the Administrative Agent and the parties to the Assignment and Assumption are participants, together with a processing and recordation fee of $3,500 (unless waived by the Administrative Agent), such fee to be paid by either the assigning Lender or the assignee Lender or shared between such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only one such processing and recordation fee shall be payable in the event of simultaneous assignments and delegations from any Lender or its Approved Funds to one or more other Approved Funds of such Lender and (2) with respect to any assignment and delegation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w:t>
      </w:r>
      <w:r>
        <w:rPr>
          <w:rFonts w:ascii="Arial" w:cs="Arial" w:eastAsia="Arial" w:hAnsi="Arial"/>
          <w:sz w:val="19"/>
          <w:szCs w:val="19"/>
          <w:u w:val="single" w:color="auto"/>
          <w:color w:val="auto"/>
        </w:rPr>
        <w:t>19(b)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w:t>
      </w:r>
      <w:r>
        <w:rPr>
          <w:rFonts w:ascii="Arial" w:cs="Arial" w:eastAsia="Arial" w:hAnsi="Arial"/>
          <w:sz w:val="19"/>
          <w:szCs w:val="19"/>
          <w:color w:val="auto"/>
        </w:rPr>
        <w:t>.</w:t>
      </w:r>
      <w:r>
        <w:rPr>
          <w:rFonts w:ascii="Arial" w:cs="Arial" w:eastAsia="Arial" w:hAnsi="Arial"/>
          <w:sz w:val="19"/>
          <w:szCs w:val="19"/>
          <w:u w:val="single" w:color="auto"/>
          <w:color w:val="auto"/>
        </w:rPr>
        <w:t>02(e)</w:t>
      </w:r>
      <w:r>
        <w:rPr>
          <w:rFonts w:ascii="Arial" w:cs="Arial" w:eastAsia="Arial" w:hAnsi="Arial"/>
          <w:sz w:val="19"/>
          <w:szCs w:val="19"/>
          <w:color w:val="auto"/>
        </w:rPr>
        <w:t>, the parties hereto agree that such assignment and delegation may be effected pursuant to an Assignment and Assumption executed by the Company, the Administrative Agent and the assignee and that the Lender required to make such assignment and delegation need not be a party thereto; and</w:t>
      </w:r>
    </w:p>
    <w:p>
      <w:pPr>
        <w:spacing w:after="0" w:line="187" w:lineRule="exact"/>
        <w:rPr>
          <w:rFonts w:ascii="Arial" w:cs="Arial" w:eastAsia="Arial" w:hAnsi="Arial"/>
          <w:sz w:val="19"/>
          <w:szCs w:val="19"/>
          <w:color w:val="auto"/>
        </w:rPr>
      </w:pPr>
    </w:p>
    <w:p>
      <w:pPr>
        <w:jc w:val="both"/>
        <w:ind w:left="660" w:firstLine="645"/>
        <w:spacing w:after="0" w:line="293" w:lineRule="auto"/>
        <w:tabs>
          <w:tab w:leader="none" w:pos="2281" w:val="left"/>
        </w:tabs>
        <w:numPr>
          <w:ilvl w:val="0"/>
          <w:numId w:val="361"/>
        </w:numPr>
        <w:rPr>
          <w:rFonts w:ascii="Arial" w:cs="Arial" w:eastAsia="Arial" w:hAnsi="Arial"/>
          <w:sz w:val="19"/>
          <w:szCs w:val="19"/>
          <w:color w:val="auto"/>
        </w:rPr>
      </w:pPr>
      <w:r>
        <w:rPr>
          <w:rFonts w:ascii="Arial" w:cs="Arial" w:eastAsia="Arial" w:hAnsi="Arial"/>
          <w:sz w:val="19"/>
          <w:szCs w:val="19"/>
          <w:color w:val="auto"/>
        </w:rPr>
        <w:t>the assignee, if it shall not be a Lender, shall deliver to the Administrative Agent an Administrative Questionnaire in which the assignee designates one or more credit contacts to whom all syndicate-level information (which may contain MNPI about the Company and its affiliates and their Related Parties or their respective securities) will be made available and who may receive such information in accordance with the assignee’s compliance procedures and applicable laws, including</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420"/>
          </w:cols>
          <w:pgMar w:left="240" w:top="825" w:right="239" w:bottom="1440" w:gutter="0" w:footer="0" w:header="0"/>
        </w:sectPr>
      </w:pPr>
    </w:p>
    <w:bookmarkStart w:id="301" w:name="page302"/>
    <w:bookmarkEnd w:id="301"/>
    <w:p>
      <w:pPr>
        <w:ind w:left="660"/>
        <w:spacing w:after="0"/>
        <w:rPr>
          <w:sz w:val="20"/>
          <w:szCs w:val="20"/>
          <w:color w:val="auto"/>
        </w:rPr>
      </w:pPr>
      <w:r>
        <w:rPr>
          <w:rFonts w:ascii="Arial" w:cs="Arial" w:eastAsia="Arial" w:hAnsi="Arial"/>
          <w:sz w:val="20"/>
          <w:szCs w:val="20"/>
          <w:color w:val="auto"/>
        </w:rPr>
        <w:t>Federal and state securities laws.</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terms “</w:t>
      </w:r>
      <w:r>
        <w:rPr>
          <w:rFonts w:ascii="Arial" w:cs="Arial" w:eastAsia="Arial" w:hAnsi="Arial"/>
          <w:sz w:val="18"/>
          <w:szCs w:val="18"/>
          <w:u w:val="single" w:color="auto"/>
          <w:color w:val="auto"/>
        </w:rPr>
        <w:t>Approved Fund</w:t>
      </w:r>
      <w:r>
        <w:rPr>
          <w:rFonts w:ascii="Arial" w:cs="Arial" w:eastAsia="Arial" w:hAnsi="Arial"/>
          <w:sz w:val="18"/>
          <w:szCs w:val="18"/>
          <w:color w:val="auto"/>
        </w:rPr>
        <w:t>” and “</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have the following meanings:</w:t>
      </w:r>
    </w:p>
    <w:p>
      <w:pPr>
        <w:spacing w:after="0" w:line="18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Ineligible Institution</w:t>
      </w:r>
      <w:r>
        <w:rPr>
          <w:rFonts w:ascii="Arial" w:cs="Arial" w:eastAsia="Arial" w:hAnsi="Arial"/>
          <w:sz w:val="20"/>
          <w:szCs w:val="20"/>
          <w:color w:val="auto"/>
        </w:rPr>
        <w:t>” means (a) a natural person, (b) a Defaulting Lender or its Lender Parent, (c) the Borrowers, any of their Subsidiaries or any of their Affiliates, (d) a company, investment vehicle or trust for, or owned and operated for the primary benefit of, a natural person or relative(s) thereof or (e) a Disqualified Lender.</w:t>
      </w:r>
    </w:p>
    <w:p>
      <w:pPr>
        <w:spacing w:after="0" w:line="146" w:lineRule="exact"/>
        <w:rPr>
          <w:sz w:val="20"/>
          <w:szCs w:val="20"/>
          <w:color w:val="auto"/>
        </w:rPr>
      </w:pPr>
    </w:p>
    <w:p>
      <w:pPr>
        <w:jc w:val="both"/>
        <w:ind w:left="660" w:firstLine="645"/>
        <w:spacing w:after="0" w:line="286" w:lineRule="auto"/>
        <w:tabs>
          <w:tab w:leader="none" w:pos="2330" w:val="left"/>
        </w:tabs>
        <w:numPr>
          <w:ilvl w:val="0"/>
          <w:numId w:val="362"/>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182" w:lineRule="exact"/>
        <w:rPr>
          <w:sz w:val="20"/>
          <w:szCs w:val="20"/>
          <w:color w:val="auto"/>
        </w:rPr>
      </w:pPr>
    </w:p>
    <w:p>
      <w:pPr>
        <w:jc w:val="both"/>
        <w:ind w:left="660" w:firstLine="645"/>
        <w:spacing w:after="0" w:line="286" w:lineRule="auto"/>
        <w:tabs>
          <w:tab w:leader="none" w:pos="2143" w:val="left"/>
        </w:tabs>
        <w:numPr>
          <w:ilvl w:val="0"/>
          <w:numId w:val="363"/>
        </w:numPr>
        <w:rPr>
          <w:rFonts w:ascii="Arial" w:cs="Arial" w:eastAsia="Arial" w:hAnsi="Arial"/>
          <w:sz w:val="19"/>
          <w:szCs w:val="19"/>
          <w:color w:val="auto"/>
        </w:rPr>
      </w:pPr>
      <w:r>
        <w:rPr>
          <w:rFonts w:ascii="Arial" w:cs="Arial" w:eastAsia="Arial" w:hAnsi="Arial"/>
          <w:sz w:val="19"/>
          <w:szCs w:val="19"/>
          <w:color w:val="auto"/>
        </w:rPr>
        <w:t>The Administrative Agent, acting for this purpose as a non-fiduciary agent of each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Company, any Issuing Bank and any Lender, at any reasonable time and from time to time upon reasonable prior notice.</w:t>
      </w:r>
    </w:p>
    <w:p>
      <w:pPr>
        <w:spacing w:after="0" w:line="185" w:lineRule="exact"/>
        <w:rPr>
          <w:rFonts w:ascii="Arial" w:cs="Arial" w:eastAsia="Arial" w:hAnsi="Arial"/>
          <w:sz w:val="19"/>
          <w:szCs w:val="19"/>
          <w:color w:val="auto"/>
        </w:rPr>
      </w:pPr>
    </w:p>
    <w:p>
      <w:pPr>
        <w:jc w:val="both"/>
        <w:ind w:left="660" w:firstLine="645"/>
        <w:spacing w:after="0" w:line="270" w:lineRule="auto"/>
        <w:tabs>
          <w:tab w:leader="none" w:pos="2198" w:val="left"/>
        </w:tabs>
        <w:numPr>
          <w:ilvl w:val="0"/>
          <w:numId w:val="363"/>
        </w:numPr>
        <w:rPr>
          <w:rFonts w:ascii="Arial" w:cs="Arial" w:eastAsia="Arial" w:hAnsi="Arial"/>
          <w:sz w:val="20"/>
          <w:szCs w:val="20"/>
          <w:color w:val="auto"/>
        </w:rPr>
      </w:pPr>
      <w:r>
        <w:rPr>
          <w:rFonts w:ascii="Arial" w:cs="Arial" w:eastAsia="Arial" w:hAnsi="Arial"/>
          <w:sz w:val="20"/>
          <w:szCs w:val="20"/>
          <w:color w:val="auto"/>
        </w:rPr>
        <w:t xml:space="preserve">Upon its receipt of (x) a duly completed Assignment and Assumption executed by an assigning Lender and an assignee or (y) to the extent applicable, an agreement incorporating an Assignment and Assumption by reference pursuant to a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either the assigning Lender or the assignee shall have failed to make any payment required to be made by it pursuant to Section 2.05(c), 2.06(d) or (e), 2.07(b), 2.18(d) or 9.03(c), the Administrative Agent shall have no obligation to accept such Assignment and Assumption and record the information therein in the Register unless and until such payment shall have been made in full,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420"/>
          </w:cols>
          <w:pgMar w:left="240" w:top="825" w:right="239" w:bottom="1440" w:gutter="0" w:footer="0" w:header="0"/>
        </w:sectPr>
      </w:pPr>
    </w:p>
    <w:bookmarkStart w:id="302" w:name="page303"/>
    <w:bookmarkEnd w:id="302"/>
    <w:p>
      <w:pPr>
        <w:spacing w:after="0" w:line="289" w:lineRule="auto"/>
        <w:rPr>
          <w:sz w:val="20"/>
          <w:szCs w:val="20"/>
          <w:color w:val="auto"/>
        </w:rPr>
      </w:pPr>
      <w:r>
        <w:rPr>
          <w:rFonts w:ascii="Arial" w:cs="Arial" w:eastAsia="Arial" w:hAnsi="Arial"/>
          <w:sz w:val="20"/>
          <w:szCs w:val="20"/>
          <w:color w:val="auto"/>
        </w:rPr>
        <w:t>together with all accrued interest thereon. No assignment shall be effective for purposes of this Agreement unless it has been recorded in the Register as provided in this paragraph.</w:t>
      </w:r>
    </w:p>
    <w:p>
      <w:pPr>
        <w:spacing w:after="0" w:line="175" w:lineRule="exact"/>
        <w:rPr>
          <w:sz w:val="20"/>
          <w:szCs w:val="20"/>
          <w:color w:val="auto"/>
        </w:rPr>
      </w:pPr>
    </w:p>
    <w:p>
      <w:pPr>
        <w:jc w:val="both"/>
        <w:ind w:firstLine="1293"/>
        <w:spacing w:after="0" w:line="299" w:lineRule="auto"/>
        <w:tabs>
          <w:tab w:leader="none" w:pos="2214" w:val="left"/>
        </w:tabs>
        <w:numPr>
          <w:ilvl w:val="1"/>
          <w:numId w:val="364"/>
        </w:numPr>
        <w:rPr>
          <w:rFonts w:ascii="Arial" w:cs="Arial" w:eastAsia="Arial" w:hAnsi="Arial"/>
          <w:sz w:val="18"/>
          <w:szCs w:val="18"/>
          <w:color w:val="auto"/>
        </w:rPr>
      </w:pPr>
      <w:r>
        <w:rPr>
          <w:rFonts w:ascii="Arial" w:cs="Arial" w:eastAsia="Arial" w:hAnsi="Arial"/>
          <w:sz w:val="18"/>
          <w:szCs w:val="18"/>
          <w:color w:val="auto"/>
        </w:rPr>
        <w:t>Any Lender may, without the consent of any Borrower, the Administrative Agent, the Issuing Banks or the Swingline Lender, sell participations to one or more banks or other entities (a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other than an Ineligible Institution, in all or a portion of such Lender’s rights and obligations under this Agreement (including all or a portion of its Commitment and the Loans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modification or waiver described in the first proviso to Section 9.02(b) that affects such Participant. Each Lender that sells a participation agrees, at any Borrower’s request and expense, to use reasonable efforts to cooperate with such Borrower to effectuate the provisions of Section 2.19 with respect to any Participant. Each Borrower agrees that each Participant shall be entitled to the benefits of Sections 2.15, 2.16 and 2.17 (subject to the requirements and limitations therein, including the requirements under Section 2.17(f) (it being understood that the documentation required under Section 2.17(f) shall be delivered to the participating Lender)) to the same extent as if it were a Lender and had acquired its interest by assignment pursuant to paragraph (b) of this Section; provided that such Participant (A) agrees to be subject to the provisions of Sections 2.18 and 2.19 as if it were an assignee under paragraph (b) of this Section; and (B) shall not be entitled to receive any greater payment under Sections 2.15 or 2.17,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2.18(c)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rFonts w:ascii="Arial" w:cs="Arial" w:eastAsia="Arial" w:hAnsi="Arial"/>
          <w:sz w:val="18"/>
          <w:szCs w:val="18"/>
          <w:color w:val="auto"/>
        </w:rPr>
      </w:pPr>
    </w:p>
    <w:p>
      <w:pPr>
        <w:jc w:val="both"/>
        <w:ind w:firstLine="645"/>
        <w:spacing w:after="0" w:line="278" w:lineRule="auto"/>
        <w:tabs>
          <w:tab w:leader="none" w:pos="1516" w:val="left"/>
        </w:tabs>
        <w:numPr>
          <w:ilvl w:val="0"/>
          <w:numId w:val="365"/>
        </w:numPr>
        <w:rPr>
          <w:rFonts w:ascii="Arial" w:cs="Arial" w:eastAsia="Arial" w:hAnsi="Arial"/>
          <w:sz w:val="20"/>
          <w:szCs w:val="20"/>
          <w:color w:val="auto"/>
        </w:rPr>
      </w:pPr>
      <w:r>
        <w:rPr>
          <w:rFonts w:ascii="Arial" w:cs="Arial" w:eastAsia="Arial" w:hAnsi="Arial"/>
          <w:sz w:val="20"/>
          <w:szCs w:val="20"/>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w:t>
      </w:r>
    </w:p>
    <w:p>
      <w:pPr>
        <w:spacing w:after="0" w:line="362" w:lineRule="exact"/>
        <w:rPr>
          <w:sz w:val="20"/>
          <w:szCs w:val="20"/>
          <w:color w:val="auto"/>
        </w:rPr>
      </w:pPr>
    </w:p>
    <w:p>
      <w:pPr>
        <w:ind w:left="4900"/>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0760"/>
          </w:cols>
          <w:pgMar w:left="900" w:top="825" w:right="239" w:bottom="1440" w:gutter="0" w:footer="0" w:header="0"/>
        </w:sectPr>
      </w:pPr>
    </w:p>
    <w:bookmarkStart w:id="303" w:name="page304"/>
    <w:bookmarkEnd w:id="303"/>
    <w:p>
      <w:pPr>
        <w:ind w:left="4"/>
        <w:spacing w:after="0" w:line="421" w:lineRule="auto"/>
        <w:rPr>
          <w:sz w:val="20"/>
          <w:szCs w:val="20"/>
          <w:color w:val="auto"/>
        </w:rPr>
      </w:pPr>
      <w:r>
        <w:rPr>
          <w:rFonts w:ascii="Arial" w:cs="Arial" w:eastAsia="Arial" w:hAnsi="Arial"/>
          <w:sz w:val="16"/>
          <w:szCs w:val="16"/>
          <w:color w:val="auto"/>
        </w:rPr>
        <w:t xml:space="preserve">not apply to any such pledge or assignment of a security interest;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30" w:lineRule="exact"/>
        <w:rPr>
          <w:sz w:val="20"/>
          <w:szCs w:val="20"/>
          <w:color w:val="auto"/>
        </w:rPr>
      </w:pPr>
    </w:p>
    <w:p>
      <w:pPr>
        <w:ind w:left="884" w:hanging="884"/>
        <w:spacing w:after="0"/>
        <w:tabs>
          <w:tab w:leader="none" w:pos="884" w:val="left"/>
        </w:tabs>
        <w:numPr>
          <w:ilvl w:val="0"/>
          <w:numId w:val="366"/>
        </w:numPr>
        <w:rPr>
          <w:rFonts w:ascii="Arial" w:cs="Arial" w:eastAsia="Arial" w:hAnsi="Arial"/>
          <w:sz w:val="20"/>
          <w:szCs w:val="20"/>
          <w:color w:val="auto"/>
        </w:rPr>
      </w:pPr>
      <w:r>
        <w:rPr>
          <w:rFonts w:ascii="Arial" w:cs="Arial" w:eastAsia="Arial" w:hAnsi="Arial"/>
          <w:sz w:val="20"/>
          <w:szCs w:val="20"/>
          <w:u w:val="single" w:color="auto"/>
          <w:color w:val="auto"/>
        </w:rPr>
        <w:t>Disqualified Lenders</w:t>
      </w:r>
      <w:r>
        <w:rPr>
          <w:rFonts w:ascii="Arial" w:cs="Arial" w:eastAsia="Arial" w:hAnsi="Arial"/>
          <w:sz w:val="20"/>
          <w:szCs w:val="20"/>
          <w:color w:val="auto"/>
        </w:rPr>
        <w:t>.</w:t>
      </w:r>
    </w:p>
    <w:p>
      <w:pPr>
        <w:spacing w:after="0" w:line="188" w:lineRule="exact"/>
        <w:rPr>
          <w:rFonts w:ascii="Arial" w:cs="Arial" w:eastAsia="Arial" w:hAnsi="Arial"/>
          <w:sz w:val="20"/>
          <w:szCs w:val="20"/>
          <w:color w:val="auto"/>
        </w:rPr>
      </w:pPr>
    </w:p>
    <w:p>
      <w:pPr>
        <w:jc w:val="both"/>
        <w:ind w:left="4" w:firstLine="1293"/>
        <w:spacing w:after="0" w:line="303" w:lineRule="auto"/>
        <w:tabs>
          <w:tab w:leader="none" w:pos="219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No assignment or participation shall be made to any Person that was a Disqualified Lender as of the date (the “</w:t>
      </w:r>
      <w:r>
        <w:rPr>
          <w:rFonts w:ascii="Arial" w:cs="Arial" w:eastAsia="Arial" w:hAnsi="Arial"/>
          <w:sz w:val="18"/>
          <w:szCs w:val="18"/>
          <w:u w:val="single" w:color="auto"/>
          <w:color w:val="auto"/>
        </w:rPr>
        <w:t>Trade Date</w:t>
      </w:r>
      <w:r>
        <w:rPr>
          <w:rFonts w:ascii="Arial" w:cs="Arial" w:eastAsia="Arial" w:hAnsi="Arial"/>
          <w:sz w:val="18"/>
          <w:szCs w:val="18"/>
          <w:color w:val="auto"/>
        </w:rPr>
        <w:t xml:space="preserve">”) on which the assigning Lender entered into a binding agreement to sell and assign or grant a participation in all or a portion of its rights and obligations under this Agreement to such Person (unless the Company has consented to such assignment or participation in writing in its sole and absolute discretion, in which case such Person will not be considered a Disqualified Lender for the purpose of such assignment or participation). For the avoidance of doubt, with respect to any assignee or Participant that becomes a Disqualified Lender after the applicable Trade Date (including as a result of the delivery of a written supplement to the list of “Disqualified Lenders” referred to in, the definition of “Disqualified Lender”), (x) such assignee or Participant shall not retroactively be disqualified from becoming a Lender or Participant and (y) the execution by the Company of an Assignment and Assumption with respect to such assignee will not by itself result in such assignee no longer being considered a Disqualified Lender. Any assignment or participation in violation of this </w:t>
      </w:r>
      <w:r>
        <w:rPr>
          <w:rFonts w:ascii="Arial" w:cs="Arial" w:eastAsia="Arial" w:hAnsi="Arial"/>
          <w:sz w:val="18"/>
          <w:szCs w:val="18"/>
          <w:u w:val="single" w:color="auto"/>
          <w:color w:val="auto"/>
        </w:rPr>
        <w:t>clause (e)(i)</w:t>
      </w:r>
      <w:r>
        <w:rPr>
          <w:rFonts w:ascii="Arial" w:cs="Arial" w:eastAsia="Arial" w:hAnsi="Arial"/>
          <w:sz w:val="18"/>
          <w:szCs w:val="18"/>
          <w:color w:val="auto"/>
        </w:rPr>
        <w:t xml:space="preserve"> shall not be void, but the other provisions of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apply.</w:t>
      </w:r>
    </w:p>
    <w:p>
      <w:pPr>
        <w:spacing w:after="0" w:line="114" w:lineRule="exact"/>
        <w:rPr>
          <w:rFonts w:ascii="Arial" w:cs="Arial" w:eastAsia="Arial" w:hAnsi="Arial"/>
          <w:sz w:val="18"/>
          <w:szCs w:val="18"/>
          <w:color w:val="auto"/>
        </w:rPr>
      </w:pPr>
    </w:p>
    <w:p>
      <w:pPr>
        <w:jc w:val="both"/>
        <w:ind w:left="4" w:firstLine="1293"/>
        <w:spacing w:after="0" w:line="305" w:lineRule="auto"/>
        <w:tabs>
          <w:tab w:leader="none" w:pos="2240"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If any assignment or participation is made to any Disqualified Lender without the Company’s prior written consent in violation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or if any Person becomes a Disqualified Lender after the applicable Trade Date, the Company may, at its sole expense and effort, upon notice to the applicable Disqualified Lender and the Administrative Agent, require such Disqualified Lender to assign, without recourse (in accordance with and subject to the restrictions contained in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r>
        <w:rPr>
          <w:rFonts w:ascii="Arial" w:cs="Arial" w:eastAsia="Arial" w:hAnsi="Arial"/>
          <w:sz w:val="18"/>
          <w:szCs w:val="18"/>
          <w:u w:val="single" w:color="auto"/>
          <w:color w:val="auto"/>
        </w:rPr>
        <w:t>04</w:t>
      </w:r>
      <w:r>
        <w:rPr>
          <w:rFonts w:ascii="Arial" w:cs="Arial" w:eastAsia="Arial" w:hAnsi="Arial"/>
          <w:sz w:val="18"/>
          <w:szCs w:val="18"/>
          <w:color w:val="auto"/>
        </w:rPr>
        <w:t>), all of its interest, rights and obligations under this Agreement to one or more Persons (other than an Ineligible Institution) at the lesser of (x) the principal amount thereof and (y) the amount that such Disqualified Lender paid to acquire such interests, rights and obligations in each case plus accrued interest, accrued fees and all other amounts (other than principal amounts) payable to it hereunder.</w:t>
      </w:r>
    </w:p>
    <w:p>
      <w:pPr>
        <w:spacing w:after="0" w:line="116" w:lineRule="exact"/>
        <w:rPr>
          <w:rFonts w:ascii="Arial" w:cs="Arial" w:eastAsia="Arial" w:hAnsi="Arial"/>
          <w:sz w:val="18"/>
          <w:szCs w:val="18"/>
          <w:color w:val="auto"/>
        </w:rPr>
      </w:pPr>
    </w:p>
    <w:p>
      <w:pPr>
        <w:jc w:val="both"/>
        <w:ind w:left="4" w:firstLine="1293"/>
        <w:spacing w:after="0" w:line="286" w:lineRule="auto"/>
        <w:tabs>
          <w:tab w:leader="none" w:pos="2295" w:val="left"/>
        </w:tabs>
        <w:numPr>
          <w:ilvl w:val="1"/>
          <w:numId w:val="366"/>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this Agreement, Disqualified Lenders to whom an assignment or participation is made in violation of clause (i) above (A) will not have the right to (x) receive information, reports or other materials provided to Lenders by the Company,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Lender will be deemed to have consented in the same proportion as the Lenders that are not Disqualified Lenders consented to such matter.</w:t>
      </w:r>
    </w:p>
    <w:p>
      <w:pPr>
        <w:spacing w:after="0" w:line="128" w:lineRule="exact"/>
        <w:rPr>
          <w:rFonts w:ascii="Arial" w:cs="Arial" w:eastAsia="Arial" w:hAnsi="Arial"/>
          <w:sz w:val="19"/>
          <w:szCs w:val="19"/>
          <w:color w:val="auto"/>
        </w:rPr>
      </w:pPr>
    </w:p>
    <w:p>
      <w:pPr>
        <w:jc w:val="both"/>
        <w:ind w:left="4" w:firstLine="1293"/>
        <w:spacing w:after="0" w:line="297" w:lineRule="auto"/>
        <w:tabs>
          <w:tab w:leader="none" w:pos="2338" w:val="left"/>
        </w:tabs>
        <w:numPr>
          <w:ilvl w:val="1"/>
          <w:numId w:val="366"/>
        </w:numPr>
        <w:rPr>
          <w:rFonts w:ascii="Arial" w:cs="Arial" w:eastAsia="Arial" w:hAnsi="Arial"/>
          <w:sz w:val="18"/>
          <w:szCs w:val="18"/>
          <w:color w:val="auto"/>
        </w:rPr>
      </w:pPr>
      <w:r>
        <w:rPr>
          <w:rFonts w:ascii="Arial" w:cs="Arial" w:eastAsia="Arial" w:hAnsi="Arial"/>
          <w:sz w:val="18"/>
          <w:szCs w:val="18"/>
          <w:color w:val="auto"/>
        </w:rPr>
        <w:t>The Administrative Agent shall have the right, and the Company hereby expressly authorizes the Administrative Agent, to (A) post the list of Disqualified Lenders provided by the Company and any updates thereto from time to time (collectively, the “</w:t>
      </w:r>
      <w:r>
        <w:rPr>
          <w:rFonts w:ascii="Arial" w:cs="Arial" w:eastAsia="Arial" w:hAnsi="Arial"/>
          <w:sz w:val="18"/>
          <w:szCs w:val="18"/>
          <w:u w:val="single" w:color="auto"/>
          <w:color w:val="auto"/>
        </w:rPr>
        <w:t>DQ List</w:t>
      </w:r>
      <w:r>
        <w:rPr>
          <w:rFonts w:ascii="Arial" w:cs="Arial" w:eastAsia="Arial" w:hAnsi="Arial"/>
          <w:sz w:val="18"/>
          <w:szCs w:val="18"/>
          <w:color w:val="auto"/>
        </w:rPr>
        <w:t>”) on a Platform, including that portion of such Platform that is designated for “public side” Lenders and/or</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(B) provide the DQ List to each Lender or potential Lender requesting the same.</w:t>
      </w:r>
    </w:p>
    <w:p>
      <w:pPr>
        <w:spacing w:after="0" w:line="188" w:lineRule="exact"/>
        <w:rPr>
          <w:rFonts w:ascii="Arial" w:cs="Arial" w:eastAsia="Arial" w:hAnsi="Arial"/>
          <w:sz w:val="18"/>
          <w:szCs w:val="18"/>
          <w:color w:val="auto"/>
        </w:rPr>
      </w:pPr>
    </w:p>
    <w:p>
      <w:pPr>
        <w:ind w:left="2224" w:hanging="927"/>
        <w:spacing w:after="0"/>
        <w:tabs>
          <w:tab w:leader="none" w:pos="2224" w:val="left"/>
        </w:tabs>
        <w:numPr>
          <w:ilvl w:val="1"/>
          <w:numId w:val="366"/>
        </w:numPr>
        <w:rPr>
          <w:rFonts w:ascii="Arial" w:cs="Arial" w:eastAsia="Arial" w:hAnsi="Arial"/>
          <w:sz w:val="20"/>
          <w:szCs w:val="20"/>
          <w:color w:val="auto"/>
        </w:rPr>
      </w:pPr>
      <w:r>
        <w:rPr>
          <w:rFonts w:ascii="Arial" w:cs="Arial" w:eastAsia="Arial" w:hAnsi="Arial"/>
          <w:sz w:val="20"/>
          <w:szCs w:val="20"/>
          <w:color w:val="auto"/>
        </w:rPr>
        <w:t>The Administrative Agent and the Lenders shall not be responsible or have</w:t>
      </w:r>
    </w:p>
    <w:p>
      <w:pPr>
        <w:spacing w:after="0" w:line="200" w:lineRule="exact"/>
        <w:rPr>
          <w:sz w:val="20"/>
          <w:szCs w:val="20"/>
          <w:color w:val="auto"/>
        </w:rPr>
      </w:pPr>
    </w:p>
    <w:p>
      <w:pPr>
        <w:spacing w:after="0" w:line="218"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128</w:t>
      </w:r>
    </w:p>
    <w:p>
      <w:pPr>
        <w:sectPr>
          <w:pgSz w:w="11900" w:h="16838" w:orient="portrait"/>
          <w:cols w:equalWidth="0" w:num="1">
            <w:col w:w="10764"/>
          </w:cols>
          <w:pgMar w:left="896" w:top="825" w:right="239" w:bottom="1440" w:gutter="0" w:footer="0" w:header="0"/>
        </w:sectPr>
      </w:pPr>
    </w:p>
    <w:bookmarkStart w:id="304" w:name="page305"/>
    <w:bookmarkEnd w:id="304"/>
    <w:p>
      <w:pPr>
        <w:jc w:val="both"/>
        <w:ind w:left="660"/>
        <w:spacing w:after="0" w:line="273" w:lineRule="auto"/>
        <w:rPr>
          <w:sz w:val="20"/>
          <w:szCs w:val="20"/>
          <w:color w:val="auto"/>
        </w:rPr>
      </w:pPr>
      <w:r>
        <w:rPr>
          <w:rFonts w:ascii="Arial" w:cs="Arial" w:eastAsia="Arial" w:hAnsi="Arial"/>
          <w:sz w:val="20"/>
          <w:szCs w:val="20"/>
          <w:color w:val="auto"/>
        </w:rPr>
        <w:t>any liability for, or have any duty to ascertain, inquire into, monitor or enforce, compliance with the provisions hereof relating to Disqualified Lenders. Without limiting the generality of the foregoing, neither the Administrative Agent nor any Lender shall (x) be obligated to ascertain, monitor or inquire as to whether any other Lender or Participant or prospective Lender or Participant is a Disqualified Lender or (y) have any liability with respect to or arising out of any assignment or participation of Loans, or disclosure of confidential information, by any other Person to any Disqualified Lender.</w:t>
      </w:r>
    </w:p>
    <w:p>
      <w:pPr>
        <w:spacing w:after="0" w:line="1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SECTION 9.05 </w:t>
      </w: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the Final Release Conditions have been satisfied. The provisions of Sections 2.15, 2.16, 2.17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other Loan Document or any provision hereof or thereof.</w:t>
      </w:r>
    </w:p>
    <w:p>
      <w:pPr>
        <w:spacing w:after="0" w:line="134" w:lineRule="exact"/>
        <w:rPr>
          <w:sz w:val="20"/>
          <w:szCs w:val="20"/>
          <w:color w:val="auto"/>
        </w:rPr>
      </w:pPr>
    </w:p>
    <w:p>
      <w:pPr>
        <w:ind w:left="660"/>
        <w:spacing w:after="0"/>
        <w:tabs>
          <w:tab w:leader="none" w:pos="3200" w:val="left"/>
        </w:tabs>
        <w:rPr>
          <w:sz w:val="20"/>
          <w:szCs w:val="20"/>
          <w:color w:val="auto"/>
        </w:rPr>
      </w:pPr>
      <w:r>
        <w:rPr>
          <w:rFonts w:ascii="Arial" w:cs="Arial" w:eastAsia="Arial" w:hAnsi="Arial"/>
          <w:sz w:val="20"/>
          <w:szCs w:val="20"/>
          <w:color w:val="auto"/>
        </w:rPr>
        <w:t>SECTION 9.06</w:t>
      </w:r>
      <w:r>
        <w:rPr>
          <w:sz w:val="20"/>
          <w:szCs w:val="20"/>
          <w:color w:val="auto"/>
        </w:rPr>
        <w:tab/>
      </w:r>
      <w:r>
        <w:rPr>
          <w:rFonts w:ascii="Arial" w:cs="Arial" w:eastAsia="Arial" w:hAnsi="Arial"/>
          <w:sz w:val="18"/>
          <w:szCs w:val="18"/>
          <w:u w:val="single" w:color="auto"/>
          <w:color w:val="auto"/>
        </w:rPr>
        <w:t xml:space="preserve">Counterparts; Integration; Effectiveness; Electronic Execution. </w:t>
      </w:r>
      <w:r>
        <w:rPr>
          <w:rFonts w:ascii="Arial" w:cs="Arial" w:eastAsia="Arial" w:hAnsi="Arial"/>
          <w:sz w:val="18"/>
          <w:szCs w:val="18"/>
          <w:color w:val="auto"/>
        </w:rPr>
        <w:t>This Agreement may be executed in</w:t>
      </w:r>
    </w:p>
    <w:p>
      <w:pPr>
        <w:spacing w:after="0" w:line="27" w:lineRule="exact"/>
        <w:rPr>
          <w:sz w:val="20"/>
          <w:szCs w:val="20"/>
          <w:color w:val="auto"/>
        </w:rPr>
      </w:pPr>
    </w:p>
    <w:p>
      <w:pPr>
        <w:jc w:val="both"/>
        <w:spacing w:after="0" w:line="257" w:lineRule="exact"/>
        <w:rPr>
          <w:sz w:val="20"/>
          <w:szCs w:val="20"/>
          <w:color w:val="auto"/>
        </w:rPr>
      </w:pPr>
      <w:r>
        <w:rPr>
          <w:rFonts w:ascii="Arial" w:cs="Arial" w:eastAsia="Arial" w:hAnsi="Arial"/>
          <w:sz w:val="18"/>
          <w:szCs w:val="18"/>
          <w:color w:val="auto"/>
        </w:rPr>
        <w:t>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e</w:t>
      </w:r>
      <w:r>
        <w:rPr>
          <w:rFonts w:ascii="MS PGothic" w:cs="MS PGothic" w:eastAsia="MS PGothic" w:hAnsi="MS PGothic"/>
          <w:sz w:val="18"/>
          <w:szCs w:val="18"/>
          <w:color w:val="auto"/>
        </w:rPr>
        <w:t>‑</w:t>
      </w:r>
      <w:r>
        <w:rPr>
          <w:rFonts w:ascii="Arial" w:cs="Arial" w:eastAsia="Arial" w:hAnsi="Arial"/>
          <w:sz w:val="18"/>
          <w:szCs w:val="18"/>
          <w:color w:val="auto"/>
        </w:rPr>
        <w:t>mailed .pdf or any other electronic means that reproduces an image of the actual executed signature page shall be effective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nothing herein shall require the Administrative Agent to accept electronic signatures in any form or format without its prior written consent.</w:t>
      </w:r>
    </w:p>
    <w:p>
      <w:pPr>
        <w:spacing w:after="0" w:line="16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9.07 </w:t>
      </w:r>
      <w:r>
        <w:rPr>
          <w:rFonts w:ascii="Arial" w:cs="Arial" w:eastAsia="Arial" w:hAnsi="Arial"/>
          <w:sz w:val="20"/>
          <w:szCs w:val="20"/>
          <w:u w:val="single" w:color="auto"/>
          <w:color w:val="auto"/>
        </w:rPr>
        <w:t>Severability.</w:t>
      </w:r>
      <w:r>
        <w:rPr>
          <w:rFonts w:ascii="Arial" w:cs="Arial" w:eastAsia="Arial" w:hAnsi="Arial"/>
          <w:sz w:val="20"/>
          <w:szCs w:val="20"/>
          <w:color w:val="auto"/>
        </w:rPr>
        <w:t xml:space="preserve">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420"/>
          </w:cols>
          <w:pgMar w:left="240" w:top="824" w:right="239" w:bottom="1440" w:gutter="0" w:footer="0" w:header="0"/>
        </w:sectPr>
      </w:pPr>
    </w:p>
    <w:bookmarkStart w:id="305" w:name="page306"/>
    <w:bookmarkEnd w:id="305"/>
    <w:p>
      <w:pPr>
        <w:jc w:val="both"/>
        <w:ind w:firstLine="648"/>
        <w:spacing w:after="0" w:line="287"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and in whatever currency denominated) at any time held and other obligations at any time owing by such Lender or Affiliate to or for the credit or the account of any Borrower or any other Loan Party against any of and all of the Secured Obligations held by such Lender, irrespective of whether or not such Lender shall have made any demand under the Loan Documents and although such obligations may be unmatured. The rights of each Lender under this Section are in addition to other rights and remedies (including other rights of setoff) which such Lender may have.</w:t>
      </w:r>
    </w:p>
    <w:p>
      <w:pPr>
        <w:spacing w:after="0" w:line="183"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9.09</w:t>
      </w:r>
      <w:r>
        <w:rPr>
          <w:sz w:val="20"/>
          <w:szCs w:val="20"/>
          <w:color w:val="auto"/>
        </w:rPr>
        <w:tab/>
      </w:r>
      <w:r>
        <w:rPr>
          <w:rFonts w:ascii="Arial" w:cs="Arial" w:eastAsia="Arial" w:hAnsi="Arial"/>
          <w:sz w:val="18"/>
          <w:szCs w:val="18"/>
          <w:u w:val="single" w:color="auto"/>
          <w:color w:val="auto"/>
        </w:rPr>
        <w:t>Governing Law; Jurisdiction; Consent to Service of Process.</w:t>
      </w:r>
    </w:p>
    <w:p>
      <w:pPr>
        <w:spacing w:after="0" w:line="243" w:lineRule="exact"/>
        <w:rPr>
          <w:sz w:val="20"/>
          <w:szCs w:val="20"/>
          <w:color w:val="auto"/>
        </w:rPr>
      </w:pPr>
    </w:p>
    <w:p>
      <w:pPr>
        <w:ind w:left="1520" w:hanging="864"/>
        <w:spacing w:after="0"/>
        <w:tabs>
          <w:tab w:leader="none" w:pos="1520" w:val="left"/>
        </w:tabs>
        <w:numPr>
          <w:ilvl w:val="0"/>
          <w:numId w:val="367"/>
        </w:numPr>
        <w:rPr>
          <w:rFonts w:ascii="Arial" w:cs="Arial" w:eastAsia="Arial" w:hAnsi="Arial"/>
          <w:sz w:val="20"/>
          <w:szCs w:val="20"/>
          <w:color w:val="auto"/>
        </w:rPr>
      </w:pPr>
      <w:r>
        <w:rPr>
          <w:rFonts w:ascii="Arial" w:cs="Arial" w:eastAsia="Arial" w:hAnsi="Arial"/>
          <w:sz w:val="20"/>
          <w:szCs w:val="20"/>
          <w:color w:val="auto"/>
        </w:rPr>
        <w:t>This Agreement shall be construed in accordance with and governed by the law of the State of New York.</w:t>
      </w:r>
    </w:p>
    <w:p>
      <w:pPr>
        <w:spacing w:after="0" w:line="242" w:lineRule="exact"/>
        <w:rPr>
          <w:rFonts w:ascii="Arial" w:cs="Arial" w:eastAsia="Arial" w:hAnsi="Arial"/>
          <w:sz w:val="20"/>
          <w:szCs w:val="20"/>
          <w:color w:val="auto"/>
        </w:rPr>
      </w:pPr>
    </w:p>
    <w:p>
      <w:pPr>
        <w:jc w:val="both"/>
        <w:ind w:firstLine="656"/>
        <w:spacing w:after="0" w:line="285" w:lineRule="auto"/>
        <w:tabs>
          <w:tab w:leader="none" w:pos="1527" w:val="left"/>
        </w:tabs>
        <w:numPr>
          <w:ilvl w:val="0"/>
          <w:numId w:val="367"/>
        </w:numPr>
        <w:rPr>
          <w:rFonts w:ascii="Arial" w:cs="Arial" w:eastAsia="Arial" w:hAnsi="Arial"/>
          <w:sz w:val="19"/>
          <w:szCs w:val="19"/>
          <w:color w:val="auto"/>
        </w:rPr>
      </w:pPr>
      <w:r>
        <w:rPr>
          <w:rFonts w:ascii="Arial" w:cs="Arial" w:eastAsia="Arial" w:hAnsi="Arial"/>
          <w:sz w:val="19"/>
          <w:szCs w:val="19"/>
          <w:color w:val="auto"/>
        </w:rPr>
        <w:t>Each Loan Party hereby irrevocably and unconditionally submits, for itself and its property, to the exclusive jurisdiction of the Supreme Court of the State of New York sitting in the Borough of Manhattan, and of the United States District Court for the Southern District of New York sitting in the Borough of Manhattan,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any Issuing Bank or any Lender may otherwise have to bring any action or proceeding relating to this Agreement or any other Loan Document against any Loan Party or its properties in the courts of any jurisdiction.</w:t>
      </w:r>
    </w:p>
    <w:p>
      <w:pPr>
        <w:spacing w:after="0" w:line="187" w:lineRule="exact"/>
        <w:rPr>
          <w:rFonts w:ascii="Arial" w:cs="Arial" w:eastAsia="Arial" w:hAnsi="Arial"/>
          <w:sz w:val="19"/>
          <w:szCs w:val="19"/>
          <w:color w:val="auto"/>
        </w:rPr>
      </w:pPr>
    </w:p>
    <w:p>
      <w:pPr>
        <w:jc w:val="both"/>
        <w:ind w:firstLine="1305"/>
        <w:spacing w:after="0" w:line="273" w:lineRule="auto"/>
        <w:tabs>
          <w:tab w:leader="none" w:pos="2214" w:val="left"/>
        </w:tabs>
        <w:numPr>
          <w:ilvl w:val="1"/>
          <w:numId w:val="367"/>
        </w:numPr>
        <w:rPr>
          <w:rFonts w:ascii="Arial" w:cs="Arial" w:eastAsia="Arial" w:hAnsi="Arial"/>
          <w:sz w:val="20"/>
          <w:szCs w:val="20"/>
          <w:color w:val="auto"/>
        </w:rPr>
      </w:pPr>
      <w:r>
        <w:rPr>
          <w:rFonts w:ascii="Arial" w:cs="Arial" w:eastAsia="Arial" w:hAnsi="Arial"/>
          <w:sz w:val="20"/>
          <w:szCs w:val="20"/>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91" w:lineRule="exact"/>
        <w:rPr>
          <w:rFonts w:ascii="Arial" w:cs="Arial" w:eastAsia="Arial" w:hAnsi="Arial"/>
          <w:sz w:val="20"/>
          <w:szCs w:val="20"/>
          <w:color w:val="auto"/>
        </w:rPr>
      </w:pPr>
    </w:p>
    <w:p>
      <w:pPr>
        <w:jc w:val="both"/>
        <w:ind w:firstLine="1305"/>
        <w:spacing w:after="0" w:line="278" w:lineRule="auto"/>
        <w:tabs>
          <w:tab w:leader="none" w:pos="2252" w:val="left"/>
        </w:tabs>
        <w:numPr>
          <w:ilvl w:val="1"/>
          <w:numId w:val="367"/>
        </w:numPr>
        <w:rPr>
          <w:rFonts w:ascii="Arial" w:cs="Arial" w:eastAsia="Arial" w:hAnsi="Arial"/>
          <w:sz w:val="20"/>
          <w:szCs w:val="20"/>
          <w:color w:val="auto"/>
        </w:rPr>
      </w:pPr>
      <w:r>
        <w:rPr>
          <w:rFonts w:ascii="Arial" w:cs="Arial" w:eastAsia="Arial" w:hAnsi="Arial"/>
          <w:sz w:val="20"/>
          <w:szCs w:val="20"/>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9.10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420"/>
          </w:cols>
          <w:pgMar w:left="240" w:top="825" w:right="239" w:bottom="1440" w:gutter="0" w:footer="0" w:header="0"/>
        </w:sectPr>
      </w:pPr>
    </w:p>
    <w:bookmarkStart w:id="306" w:name="page307"/>
    <w:bookmarkEnd w:id="306"/>
    <w:p>
      <w:pPr>
        <w:jc w:val="both"/>
        <w:spacing w:after="0" w:line="289" w:lineRule="auto"/>
        <w:rPr>
          <w:sz w:val="20"/>
          <w:szCs w:val="20"/>
          <w:color w:val="auto"/>
        </w:rPr>
      </w:pPr>
      <w:r>
        <w:rPr>
          <w:rFonts w:ascii="Arial" w:cs="Arial" w:eastAsia="Arial" w:hAnsi="Arial"/>
          <w:sz w:val="20"/>
          <w:szCs w:val="20"/>
          <w:color w:val="auto"/>
        </w:rPr>
        <w:t>HAVE BEEN INDUCED TO ENTER INTO THIS AGREEMENT BY, AMONG OTHER THINGS, THE MUTUAL WAIVERS AND CERTIFICATIONS IN THIS SECTION.</w:t>
      </w:r>
    </w:p>
    <w:p>
      <w:pPr>
        <w:spacing w:after="0" w:line="175"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0"/>
          <w:szCs w:val="20"/>
          <w:color w:val="auto"/>
        </w:rPr>
        <w:t xml:space="preserve">SECTION 9.11 </w:t>
      </w:r>
      <w:r>
        <w:rPr>
          <w:rFonts w:ascii="Arial" w:cs="Arial" w:eastAsia="Arial" w:hAnsi="Arial"/>
          <w:sz w:val="20"/>
          <w:szCs w:val="20"/>
          <w:u w:val="single" w:color="auto"/>
          <w:color w:val="auto"/>
        </w:rPr>
        <w:t>Headings.</w:t>
      </w:r>
      <w:r>
        <w:rPr>
          <w:rFonts w:ascii="Arial" w:cs="Arial" w:eastAsia="Arial" w:hAnsi="Arial"/>
          <w:sz w:val="20"/>
          <w:szCs w:val="20"/>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Confidentiality.</w:t>
      </w:r>
      <w:r>
        <w:rPr>
          <w:rFonts w:ascii="Arial" w:cs="Arial" w:eastAsia="Arial" w:hAnsi="Arial"/>
          <w:sz w:val="18"/>
          <w:szCs w:val="18"/>
          <w:color w:val="auto"/>
        </w:rPr>
        <w:t xml:space="preserve">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w:t>
      </w:r>
    </w:p>
    <w:p>
      <w:pPr>
        <w:spacing w:after="0" w:line="2" w:lineRule="exact"/>
        <w:rPr>
          <w:sz w:val="20"/>
          <w:szCs w:val="20"/>
          <w:color w:val="auto"/>
        </w:rPr>
      </w:pPr>
    </w:p>
    <w:p>
      <w:pPr>
        <w:jc w:val="both"/>
        <w:ind w:firstLine="8"/>
        <w:spacing w:after="0" w:line="297" w:lineRule="auto"/>
        <w:tabs>
          <w:tab w:leader="none" w:pos="31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to the extent requested by any Governmental Authority (including any self-regulatory authority, such as the National Association of Insurance Commissioners), (c) to the extent required by applicable laws or regulations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w:t>
      </w:r>
    </w:p>
    <w:p>
      <w:pPr>
        <w:spacing w:after="0" w:line="1" w:lineRule="exact"/>
        <w:rPr>
          <w:rFonts w:ascii="Arial" w:cs="Arial" w:eastAsia="Arial" w:hAnsi="Arial"/>
          <w:sz w:val="18"/>
          <w:szCs w:val="18"/>
          <w:color w:val="auto"/>
        </w:rPr>
      </w:pPr>
    </w:p>
    <w:p>
      <w:pPr>
        <w:jc w:val="both"/>
        <w:ind w:firstLine="8"/>
        <w:spacing w:after="0" w:line="297" w:lineRule="auto"/>
        <w:tabs>
          <w:tab w:leader="none" w:pos="252" w:val="left"/>
        </w:tabs>
        <w:numPr>
          <w:ilvl w:val="0"/>
          <w:numId w:val="369"/>
        </w:numPr>
        <w:rPr>
          <w:rFonts w:ascii="Arial" w:cs="Arial" w:eastAsia="Arial" w:hAnsi="Arial"/>
          <w:sz w:val="18"/>
          <w:szCs w:val="18"/>
          <w:color w:val="auto"/>
        </w:rPr>
      </w:pPr>
      <w:r>
        <w:rPr>
          <w:rFonts w:ascii="Arial" w:cs="Arial" w:eastAsia="Arial" w:hAnsi="Arial"/>
          <w:sz w:val="18"/>
          <w:szCs w:val="18"/>
          <w:color w:val="auto"/>
        </w:rPr>
        <w:t>subject to an agreement containing provisions substantially the same as those of this Section, to (1) any assignee of or Participant in, or any prospective assignee of or Participant in, any of its rights or obligations under this Agreement (it being understood that the DQ List may be disclosed to any assignee or Participant, or prospective assignee or Participant, in reliance on this clause (f)) or (2) any actual or prospective counterparty (or its advisors) to any swap or derivative transaction relating to any Borrower and its obligations, (g) on a confidential basis to (1) any rating agency in connection with rating the Company or its Subsidiaries or the credit facilities provided for herein or (2) the CUSIP Service Bureau or any similar agency in connection with the issuance and monitoring of CUSIP numbers with respect to the credit facilities provided for herein, (h) with the consent of the Company or (i) to the extent such Information (1) becomes publicly available other than as a result of a breach of this Section or (2) becomes available to the Administrative Agent, the Issuing Banks or any Lender on a nonconfidential basis from a source other than the Company. For the purposes of this Section, “Information” means all information received from the Company relating to the Company or its business, whether or not identified at the time of delivery as confidential, other than (x) any such information that is available to the Administrative Agent, any Issuing Bank or any Lender on a nonconfidential basis prior to disclosure by the Company, (y) any such information that is independently developed, discovered or arrived at by the Administrative Agent, any Issuing Bank or any Lender and</w:t>
      </w:r>
    </w:p>
    <w:p>
      <w:pPr>
        <w:spacing w:after="0" w:line="5" w:lineRule="exact"/>
        <w:rPr>
          <w:rFonts w:ascii="Arial" w:cs="Arial" w:eastAsia="Arial" w:hAnsi="Arial"/>
          <w:sz w:val="18"/>
          <w:szCs w:val="18"/>
          <w:color w:val="auto"/>
        </w:rPr>
      </w:pPr>
    </w:p>
    <w:p>
      <w:pPr>
        <w:jc w:val="both"/>
        <w:ind w:firstLine="8"/>
        <w:spacing w:after="0" w:line="290" w:lineRule="auto"/>
        <w:tabs>
          <w:tab w:leader="none" w:pos="286" w:val="left"/>
        </w:tabs>
        <w:numPr>
          <w:ilvl w:val="0"/>
          <w:numId w:val="370"/>
        </w:numPr>
        <w:rPr>
          <w:rFonts w:ascii="Arial" w:cs="Arial" w:eastAsia="Arial" w:hAnsi="Arial"/>
          <w:sz w:val="19"/>
          <w:szCs w:val="19"/>
          <w:color w:val="auto"/>
        </w:rPr>
      </w:pPr>
      <w:r>
        <w:rPr>
          <w:rFonts w:ascii="Arial" w:cs="Arial" w:eastAsia="Arial" w:hAnsi="Arial"/>
          <w:sz w:val="19"/>
          <w:szCs w:val="19"/>
          <w:color w:val="auto"/>
        </w:rPr>
        <w:t>information pertaining to this Agreement routinely provided by arrangers to data service providers, including league table providers, that serve the lending industry; provided that, in the case of information received from the Company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EACH LENDER ACKNOWLEDGES THAT INFORMATION AS DEFINED IN THE IMMEDIATELY PRECEDING PARAGRAPH FURNISHED TO IT PURSUANT TO THIS AGREEMENT MAY INCLUDE MNPI CONCERNING THE COMPANY AND ITS RELATED PARTIES OR THEIR RESPECTIVE SECURITIES, AND CONFIRMS THAT IT HAS DEVELOPED COMPLIANCE PROCEDURES REGARDING THE USE OF MNPI AND THAT IT WILL HANDLE SUCH MNPI IN ACCORDANCE WITH THOSE PROCEDURES AND APPLICABLE LAW, INCLUDING FEDERAL AND STATE SECURITIES LAWS.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420"/>
          </w:cols>
          <w:pgMar w:left="240" w:top="825" w:right="239" w:bottom="1440" w:gutter="0" w:footer="0" w:header="0"/>
        </w:sectPr>
      </w:pPr>
    </w:p>
    <w:bookmarkStart w:id="307" w:name="page308"/>
    <w:bookmarkEnd w:id="307"/>
    <w:p>
      <w:pPr>
        <w:jc w:val="both"/>
        <w:spacing w:after="0" w:line="243" w:lineRule="auto"/>
        <w:rPr>
          <w:sz w:val="20"/>
          <w:szCs w:val="20"/>
          <w:color w:val="auto"/>
        </w:rPr>
      </w:pPr>
      <w:r>
        <w:rPr>
          <w:rFonts w:ascii="Arial" w:cs="Arial" w:eastAsia="Arial" w:hAnsi="Arial"/>
          <w:sz w:val="20"/>
          <w:szCs w:val="20"/>
          <w:color w:val="auto"/>
        </w:rPr>
        <w:t>ALL INFORMATION, INCLUDING REQUESTS FOR WAIVERS AND AMENDMENTS, FURNISHED BY THE COMPANY OR THE ADMINISTRATIVE AGENT PURSUANT TO, OR IN THE COURSE OF ADMINISTERING, THIS AGREEMENT WILL BE SYNDICATE-LEVEL INFORMATION, WHICH MAY CONTAIN MNPI ABOUT THE COMPANY, THE OTHER LOAN PARTIES AND THEIR RELATED PARTIES OR THEIR RESPECTIVE SECURITIES. ACCORDINGLY, EACH LENDER REPRESENTS TO THE COMPANY AND THE ADMINISTRATIVE AGENT THAT IT HAS IDENTIFIED IN ITS ADMINISTRATIVE QUESTIONNAIRE A CREDIT CONTACT WHO MAY RECEIVE INFORMATION THAT MAY CONTAIN MNPI IN ACCORDANCE WITH ITS COMPLIANCE PROCEDURES AND APPLICABLE LAW.</w:t>
      </w:r>
    </w:p>
    <w:p>
      <w:pPr>
        <w:spacing w:after="0" w:line="20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 xml:space="preserve">SECTION 9.13 </w:t>
      </w:r>
      <w:r>
        <w:rPr>
          <w:rFonts w:ascii="Arial" w:cs="Arial" w:eastAsia="Arial" w:hAnsi="Arial"/>
          <w:sz w:val="20"/>
          <w:szCs w:val="20"/>
          <w:u w:val="single" w:color="auto"/>
          <w:color w:val="auto"/>
        </w:rPr>
        <w:t>USA PATRIOT Act.</w:t>
      </w:r>
      <w:r>
        <w:rPr>
          <w:rFonts w:ascii="Arial" w:cs="Arial" w:eastAsia="Arial" w:hAnsi="Arial"/>
          <w:sz w:val="20"/>
          <w:szCs w:val="20"/>
          <w:color w:val="auto"/>
        </w:rPr>
        <w:t xml:space="preserve"> Each Lender that is subject to the requirements of the Patriot Act hereby notifies each Loan Party that pursuant to the requirements of the Patriot Act, it is required to obtain, verify and record information that identifies such Loan Party, which information includes the name and address of such Loan Party and other information that will allow such Lender to identify such Loan Party in accordance with the Patriot Act.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9.14 </w:t>
      </w:r>
      <w:r>
        <w:rPr>
          <w:rFonts w:ascii="Arial" w:cs="Arial" w:eastAsia="Arial" w:hAnsi="Arial"/>
          <w:sz w:val="20"/>
          <w:szCs w:val="20"/>
          <w:u w:val="single" w:color="auto"/>
          <w:color w:val="auto"/>
        </w:rPr>
        <w:t>Several Obligations; Nonreliance; Violation of Law</w:t>
      </w:r>
      <w:r>
        <w:rPr>
          <w:rFonts w:ascii="Arial" w:cs="Arial" w:eastAsia="Arial" w:hAnsi="Arial"/>
          <w:sz w:val="20"/>
          <w:szCs w:val="20"/>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92"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0"/>
          <w:szCs w:val="20"/>
          <w:color w:val="auto"/>
        </w:rPr>
        <w:t xml:space="preserve">SECTION 9.15 </w:t>
      </w:r>
      <w:r>
        <w:rPr>
          <w:rFonts w:ascii="Arial" w:cs="Arial" w:eastAsia="Arial" w:hAnsi="Arial"/>
          <w:sz w:val="20"/>
          <w:szCs w:val="20"/>
          <w:u w:val="single" w:color="auto"/>
          <w:color w:val="auto"/>
        </w:rPr>
        <w:t>Disclosure.</w:t>
      </w:r>
      <w:r>
        <w:rPr>
          <w:rFonts w:ascii="Arial" w:cs="Arial" w:eastAsia="Arial" w:hAnsi="Arial"/>
          <w:sz w:val="20"/>
          <w:szCs w:val="20"/>
          <w:color w:val="auto"/>
        </w:rPr>
        <w:t xml:space="preserve">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0"/>
          <w:szCs w:val="20"/>
          <w:color w:val="auto"/>
        </w:rPr>
        <w:t xml:space="preserve">SECTION 9.16 </w:t>
      </w:r>
      <w:r>
        <w:rPr>
          <w:rFonts w:ascii="Arial" w:cs="Arial" w:eastAsia="Arial" w:hAnsi="Arial"/>
          <w:sz w:val="20"/>
          <w:szCs w:val="20"/>
          <w:u w:val="single" w:color="auto"/>
          <w:color w:val="auto"/>
        </w:rPr>
        <w:t>Appointment for Perfection</w:t>
      </w:r>
      <w:r>
        <w:rPr>
          <w:rFonts w:ascii="Arial" w:cs="Arial" w:eastAsia="Arial" w:hAnsi="Arial"/>
          <w:sz w:val="20"/>
          <w:szCs w:val="20"/>
          <w:color w:val="auto"/>
        </w:rPr>
        <w:t>. Each Lender hereby appoints each other Lender as its agent for the purpose of perfecting Liens, for the benefit of the Administrative Agent and the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9.17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420"/>
          </w:cols>
          <w:pgMar w:left="240" w:top="811" w:right="239" w:bottom="1440" w:gutter="0" w:footer="0" w:header="0"/>
        </w:sectPr>
      </w:pPr>
    </w:p>
    <w:bookmarkStart w:id="308" w:name="page309"/>
    <w:bookmarkEnd w:id="308"/>
    <w:p>
      <w:pPr>
        <w:jc w:val="both"/>
        <w:ind w:firstLine="648"/>
        <w:spacing w:after="0" w:line="297"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 xml:space="preserve"> 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Lenders are arm’s-length commercial transactions between such Borrower and its Affiliates, on the one hand, and the Lenders and their Affiliates, on the other hand, (B) such Borrower has consulted its own legal, accounting, regulatory and tax advisors to the extent it has deemed appropriate, and</w:t>
      </w:r>
    </w:p>
    <w:p>
      <w:pPr>
        <w:spacing w:after="0" w:line="2" w:lineRule="exact"/>
        <w:rPr>
          <w:sz w:val="20"/>
          <w:szCs w:val="20"/>
          <w:color w:val="auto"/>
        </w:rPr>
      </w:pPr>
    </w:p>
    <w:p>
      <w:pPr>
        <w:jc w:val="both"/>
        <w:ind w:firstLine="8"/>
        <w:spacing w:after="0" w:line="303" w:lineRule="auto"/>
        <w:tabs>
          <w:tab w:leader="none" w:pos="34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such Borrower is capable of evaluating, and understands and accepts, the terms, risks and conditions of the transactions contemplated hereby and by the other Loan Documents; (ii) (A) each of the Lenders and their Affiliates is and has been acting solely as a principal and, except as expressly agreed in writing by the relevant parties, has not been, is not, and will not be acting as an advisor, agent or fiduciary for such Borrower or any of its Affiliates, or any other Person and (B) no Lender or any of its Affiliates has any obligation to such Borrower or any of its Affiliates with respect to the transactions contemplated hereby except, in the case of a Lender, those obligations expressly set forth herein and in the other Loan Documents; and (iii) each of the Lenders and their respective Affiliates may be engaged in a broad range of transactions that involve interests that differ from those of such Borrower and its Affiliates, and no Lender or any of its Affiliates has any obligation to disclose any of such interests to such Borrower or its Affiliates. To the fullest extent permitted by law, each Borrower hereby waives and releases any claims that it may have against each of the Lenders and their Affiliates with respect to any breach or alleged breach of agency or fiduciary duty in connection with any aspect of any transaction contemplated hereby.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9.19 </w:t>
      </w:r>
      <w:r>
        <w:rPr>
          <w:rFonts w:ascii="Arial" w:cs="Arial" w:eastAsia="Arial" w:hAnsi="Arial"/>
          <w:sz w:val="20"/>
          <w:szCs w:val="20"/>
          <w:u w:val="single" w:color="auto"/>
          <w:color w:val="auto"/>
        </w:rPr>
        <w:t>Release of Loan Guarantors</w:t>
      </w:r>
      <w:r>
        <w:rPr>
          <w:rFonts w:ascii="Arial" w:cs="Arial" w:eastAsia="Arial" w:hAnsi="Arial"/>
          <w:sz w:val="20"/>
          <w:szCs w:val="20"/>
          <w:color w:val="auto"/>
        </w:rPr>
        <w:t>.</w:t>
      </w:r>
    </w:p>
    <w:p>
      <w:pPr>
        <w:spacing w:after="0" w:line="216" w:lineRule="exact"/>
        <w:rPr>
          <w:sz w:val="20"/>
          <w:szCs w:val="20"/>
          <w:color w:val="auto"/>
        </w:rPr>
      </w:pPr>
    </w:p>
    <w:p>
      <w:pPr>
        <w:jc w:val="both"/>
        <w:ind w:firstLine="656"/>
        <w:spacing w:after="0" w:line="258" w:lineRule="auto"/>
        <w:tabs>
          <w:tab w:leader="none" w:pos="1107" w:val="left"/>
        </w:tabs>
        <w:numPr>
          <w:ilvl w:val="1"/>
          <w:numId w:val="372"/>
        </w:numPr>
        <w:rPr>
          <w:rFonts w:ascii="Arial" w:cs="Arial" w:eastAsia="Arial" w:hAnsi="Arial"/>
          <w:sz w:val="19"/>
          <w:szCs w:val="19"/>
          <w:color w:val="auto"/>
        </w:rPr>
      </w:pPr>
      <w:r>
        <w:rPr>
          <w:rFonts w:ascii="Arial" w:cs="Arial" w:eastAsia="Arial" w:hAnsi="Arial"/>
          <w:sz w:val="19"/>
          <w:szCs w:val="19"/>
          <w:color w:val="auto"/>
        </w:rPr>
        <w:t>A Loan Guarantor shall automatically be released from its obligations under the Loan Guaranty upon the consummation of any transaction permitted by this Agreement as a result of which such Loan Guarantor ceases to be a Subsidiary; provided that, if so required by this Agreement, the Required Lenders shall have consented to such transaction and the terms of such consent shall not have provided otherwise. In connection with any termination or release pursuant to this Section, the Administrative Agent shall (and is hereby irrevocably authorized by each Lender to)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w:t>
      </w:r>
    </w:p>
    <w:p>
      <w:pPr>
        <w:spacing w:after="0" w:line="179" w:lineRule="exact"/>
        <w:rPr>
          <w:rFonts w:ascii="Arial" w:cs="Arial" w:eastAsia="Arial" w:hAnsi="Arial"/>
          <w:sz w:val="19"/>
          <w:szCs w:val="19"/>
          <w:color w:val="auto"/>
        </w:rPr>
      </w:pPr>
    </w:p>
    <w:p>
      <w:pPr>
        <w:jc w:val="both"/>
        <w:ind w:firstLine="656"/>
        <w:spacing w:after="0" w:line="246" w:lineRule="auto"/>
        <w:tabs>
          <w:tab w:leader="none" w:pos="1222" w:val="left"/>
        </w:tabs>
        <w:numPr>
          <w:ilvl w:val="1"/>
          <w:numId w:val="372"/>
        </w:numPr>
        <w:rPr>
          <w:rFonts w:ascii="Arial" w:cs="Arial" w:eastAsia="Arial" w:hAnsi="Arial"/>
          <w:sz w:val="20"/>
          <w:szCs w:val="20"/>
          <w:color w:val="auto"/>
        </w:rPr>
      </w:pPr>
      <w:r>
        <w:rPr>
          <w:rFonts w:ascii="Arial" w:cs="Arial" w:eastAsia="Arial" w:hAnsi="Arial"/>
          <w:sz w:val="20"/>
          <w:szCs w:val="20"/>
          <w:color w:val="auto"/>
        </w:rPr>
        <w:t>Further, the Administrative Agent may (and is hereby irrevocably authorized by each Lender to), upon the request of the Company, release any Loan Guarantor from its obligations under the Loan Guaranty if (i) such Loan Guarantor is no longer a Material Subsidiary or is otherwise not required pursuant to the terms of this Agreement to provide a Loan Guaranty or (ii) such release is approved, authorized or ratified by the requisite Lenders pursuant to Section 9.02.</w:t>
      </w:r>
    </w:p>
    <w:p>
      <w:pPr>
        <w:spacing w:after="0" w:line="191" w:lineRule="exact"/>
        <w:rPr>
          <w:rFonts w:ascii="Arial" w:cs="Arial" w:eastAsia="Arial" w:hAnsi="Arial"/>
          <w:sz w:val="20"/>
          <w:szCs w:val="20"/>
          <w:color w:val="auto"/>
        </w:rPr>
      </w:pPr>
    </w:p>
    <w:p>
      <w:pPr>
        <w:jc w:val="both"/>
        <w:ind w:firstLine="656"/>
        <w:spacing w:after="0" w:line="272" w:lineRule="auto"/>
        <w:tabs>
          <w:tab w:leader="none" w:pos="1193" w:val="left"/>
        </w:tabs>
        <w:numPr>
          <w:ilvl w:val="1"/>
          <w:numId w:val="372"/>
        </w:numPr>
        <w:rPr>
          <w:rFonts w:ascii="Arial" w:cs="Arial" w:eastAsia="Arial" w:hAnsi="Arial"/>
          <w:sz w:val="18"/>
          <w:szCs w:val="18"/>
          <w:color w:val="auto"/>
        </w:rPr>
      </w:pPr>
      <w:r>
        <w:rPr>
          <w:rFonts w:ascii="Arial" w:cs="Arial" w:eastAsia="Arial" w:hAnsi="Arial"/>
          <w:sz w:val="18"/>
          <w:szCs w:val="18"/>
          <w:color w:val="auto"/>
        </w:rPr>
        <w:t>At such time as (i) the principal and interest on the Loans, the fees, expenses and other amounts payable under the Loan Documents and the other Secured Obligations (other than Banking Services Obligations, Swap Agreement Obligations and Unliquidated Obligations, in each case, not then due and payable) shall have been paid in full in cash, (ii) the Commitments shall have been terminated, and</w:t>
      </w:r>
    </w:p>
    <w:p>
      <w:pPr>
        <w:spacing w:after="0" w:line="1" w:lineRule="exact"/>
        <w:rPr>
          <w:rFonts w:ascii="Arial" w:cs="Arial" w:eastAsia="Arial" w:hAnsi="Arial"/>
          <w:sz w:val="18"/>
          <w:szCs w:val="18"/>
          <w:color w:val="auto"/>
        </w:rPr>
      </w:pPr>
    </w:p>
    <w:p>
      <w:pPr>
        <w:jc w:val="both"/>
        <w:ind w:firstLine="8"/>
        <w:spacing w:after="0"/>
        <w:tabs>
          <w:tab w:leader="none" w:pos="353" w:val="left"/>
        </w:tabs>
        <w:numPr>
          <w:ilvl w:val="0"/>
          <w:numId w:val="373"/>
        </w:numPr>
        <w:rPr>
          <w:rFonts w:ascii="Arial" w:cs="Arial" w:eastAsia="Arial" w:hAnsi="Arial"/>
          <w:sz w:val="20"/>
          <w:szCs w:val="20"/>
          <w:color w:val="auto"/>
        </w:rPr>
      </w:pPr>
      <w:r>
        <w:rPr>
          <w:rFonts w:ascii="Arial" w:cs="Arial" w:eastAsia="Arial" w:hAnsi="Arial"/>
          <w:sz w:val="20"/>
          <w:szCs w:val="20"/>
          <w:color w:val="auto"/>
        </w:rPr>
        <w:t xml:space="preserve">no Letters of Credit shall be outstanding (or any outstanding Letters of Credit shall have been cash collateralized or backstopped pursuant to arrangements reasonably satisfactory to the Administrative Agent and the applicable Issuing Bank) (the conditions set forth in the preceding </w:t>
      </w:r>
      <w:r>
        <w:rPr>
          <w:rFonts w:ascii="Arial" w:cs="Arial" w:eastAsia="Arial" w:hAnsi="Arial"/>
          <w:sz w:val="20"/>
          <w:szCs w:val="20"/>
          <w:u w:val="single" w:color="auto"/>
          <w:color w:val="auto"/>
        </w:rPr>
        <w:t>clauses (i)</w:t>
      </w:r>
      <w:r>
        <w:rPr>
          <w:rFonts w:ascii="Arial" w:cs="Arial" w:eastAsia="Arial" w:hAnsi="Arial"/>
          <w:sz w:val="20"/>
          <w:szCs w:val="20"/>
          <w:color w:val="auto"/>
        </w:rPr>
        <w:t xml:space="preserve">, </w:t>
      </w:r>
      <w:r>
        <w:rPr>
          <w:rFonts w:ascii="Arial" w:cs="Arial" w:eastAsia="Arial" w:hAnsi="Arial"/>
          <w:sz w:val="20"/>
          <w:szCs w:val="20"/>
          <w:u w:val="single" w:color="auto"/>
          <w:color w:val="auto"/>
        </w:rPr>
        <w:t>(ii)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(iii)</w:t>
      </w:r>
      <w:r>
        <w:rPr>
          <w:rFonts w:ascii="Arial" w:cs="Arial" w:eastAsia="Arial" w:hAnsi="Arial"/>
          <w:sz w:val="20"/>
          <w:szCs w:val="20"/>
          <w:color w:val="auto"/>
        </w:rPr>
        <w:t>, collectively, the “</w:t>
      </w:r>
      <w:r>
        <w:rPr>
          <w:rFonts w:ascii="Arial" w:cs="Arial" w:eastAsia="Arial" w:hAnsi="Arial"/>
          <w:sz w:val="20"/>
          <w:szCs w:val="20"/>
          <w:u w:val="single" w:color="auto"/>
          <w:color w:val="auto"/>
        </w:rPr>
        <w:t>Final Release Conditions</w:t>
      </w:r>
      <w:r>
        <w:rPr>
          <w:rFonts w:ascii="Arial" w:cs="Arial" w:eastAsia="Arial" w:hAnsi="Arial"/>
          <w:sz w:val="20"/>
          <w:szCs w:val="20"/>
          <w:color w:val="auto"/>
        </w:rPr>
        <w:t>”), the Loan Guaranty and all obligations (other than those expressly stated to survive such termination) of each Loan Guarantor thereunder shall automatically terminate, all without delivery of any instrument or performance of any act by any Person.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420"/>
          </w:cols>
          <w:pgMar w:left="240" w:top="825" w:right="239" w:bottom="1440" w:gutter="0" w:footer="0" w:header="0"/>
        </w:sectPr>
      </w:pPr>
    </w:p>
    <w:bookmarkStart w:id="309" w:name="page310"/>
    <w:bookmarkEnd w:id="309"/>
    <w:p>
      <w:pPr>
        <w:jc w:val="both"/>
        <w:ind w:firstLine="648"/>
        <w:spacing w:after="0" w:line="290" w:lineRule="auto"/>
        <w:rPr>
          <w:sz w:val="20"/>
          <w:szCs w:val="20"/>
          <w:color w:val="auto"/>
        </w:rPr>
      </w:pPr>
      <w:r>
        <w:rPr>
          <w:rFonts w:ascii="Arial" w:cs="Arial" w:eastAsia="Arial" w:hAnsi="Arial"/>
          <w:sz w:val="19"/>
          <w:szCs w:val="19"/>
          <w:color w:val="auto"/>
        </w:rPr>
        <w:t xml:space="preserve">SECTION 9.20 </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Without limiting the authority granted to the Administrative Agent in Article VIII hereof, each Lender (and each Person that becomes a Lender hereunder pursuant to Section 9.04) hereby authorizes and directs the Administrative Agent to enter into any Intercreditor Agreement on behalf of such Lender and agrees that the Administrative Agent may take such actions on its behalf as is contemplated by the terms of such Intercreditor Agreement. In the event of any conflict between the terms of any Intercreditor Agreement and this Agreement, the terms of such Intercreditor Agreement shall govern and control.</w:t>
      </w:r>
    </w:p>
    <w:p>
      <w:pPr>
        <w:spacing w:after="0" w:line="179"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Marketing Consent</w:t>
      </w:r>
      <w:r>
        <w:rPr>
          <w:rFonts w:ascii="Arial" w:cs="Arial" w:eastAsia="Arial" w:hAnsi="Arial"/>
          <w:sz w:val="18"/>
          <w:szCs w:val="18"/>
          <w:color w:val="auto"/>
        </w:rPr>
        <w:t>. The Borrowers hereby authorize JPMCB and its affiliates (collectively, the “</w:t>
      </w:r>
      <w:r>
        <w:rPr>
          <w:rFonts w:ascii="Arial" w:cs="Arial" w:eastAsia="Arial" w:hAnsi="Arial"/>
          <w:sz w:val="18"/>
          <w:szCs w:val="18"/>
          <w:u w:val="single" w:color="auto"/>
          <w:color w:val="auto"/>
        </w:rPr>
        <w:t>JPMCB Parties</w:t>
      </w:r>
      <w:r>
        <w:rPr>
          <w:rFonts w:ascii="Arial" w:cs="Arial" w:eastAsia="Arial" w:hAnsi="Arial"/>
          <w:sz w:val="18"/>
          <w:szCs w:val="18"/>
          <w:color w:val="auto"/>
        </w:rPr>
        <w:t>”), at their respective sole expense, but without any prior approval by any Borrower, to include the Borrowers’ names and logos in advertising slicks posted on their internet sites, in pitchbooks or sent in mailings to prospective customers and to give such other publicity to this Agreement as each may from time to time determine in its sole discretion. Notwithstanding the foregoing, JPMCB Parties shall not publish the Borrowers’ names in a newspaper or magazine without obtaining the Borrowers’ prior written approval. The foregoing authorization shall remain in effect unless and until the Borrower Representative notifies JPMCB in writing that such authorization is revoked.</w:t>
      </w:r>
    </w:p>
    <w:p>
      <w:pPr>
        <w:spacing w:after="0" w:line="167" w:lineRule="exact"/>
        <w:rPr>
          <w:sz w:val="20"/>
          <w:szCs w:val="20"/>
          <w:color w:val="auto"/>
        </w:rPr>
      </w:pPr>
    </w:p>
    <w:p>
      <w:pPr>
        <w:ind w:left="660"/>
        <w:spacing w:after="0"/>
        <w:tabs>
          <w:tab w:leader="none" w:pos="3160" w:val="left"/>
        </w:tabs>
        <w:rPr>
          <w:sz w:val="20"/>
          <w:szCs w:val="20"/>
          <w:color w:val="auto"/>
        </w:rPr>
      </w:pPr>
      <w:r>
        <w:rPr>
          <w:rFonts w:ascii="Arial" w:cs="Arial" w:eastAsia="Arial" w:hAnsi="Arial"/>
          <w:sz w:val="20"/>
          <w:szCs w:val="20"/>
          <w:color w:val="auto"/>
        </w:rPr>
        <w:t>SECTION 9.22</w:t>
      </w:r>
      <w:r>
        <w:rPr>
          <w:sz w:val="20"/>
          <w:szCs w:val="20"/>
          <w:color w:val="auto"/>
        </w:rPr>
        <w:tab/>
      </w:r>
      <w:r>
        <w:rPr>
          <w:rFonts w:ascii="Arial" w:cs="Arial" w:eastAsia="Arial" w:hAnsi="Arial"/>
          <w:sz w:val="18"/>
          <w:szCs w:val="18"/>
          <w:u w:val="single" w:color="auto"/>
          <w:color w:val="auto"/>
        </w:rPr>
        <w:t>Acknowledgement and Consent to Bail-In of EEA Financial Institutions</w:t>
      </w:r>
      <w:r>
        <w:rPr>
          <w:rFonts w:ascii="Arial" w:cs="Arial" w:eastAsia="Arial" w:hAnsi="Arial"/>
          <w:sz w:val="18"/>
          <w:szCs w:val="18"/>
          <w:color w:val="auto"/>
        </w:rPr>
        <w:t>. Notwithstanding anything to</w:t>
      </w:r>
    </w:p>
    <w:p>
      <w:pPr>
        <w:spacing w:after="0" w:line="27"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contrary in any Loan Document or in any other agreement, arrangement or understanding among any such parties, each party hereto acknowledges that any liability of any EEA Financial Institution arising under any Loan Document may be subject to the write-down and conversion powers of an EEA Resolution Authority and agrees and consents to, and acknowledges and agrees to be bound by:</w:t>
      </w:r>
    </w:p>
    <w:p>
      <w:pPr>
        <w:spacing w:after="0" w:line="153" w:lineRule="exact"/>
        <w:rPr>
          <w:sz w:val="20"/>
          <w:szCs w:val="20"/>
          <w:color w:val="auto"/>
        </w:rPr>
      </w:pPr>
    </w:p>
    <w:p>
      <w:pPr>
        <w:ind w:firstLine="656"/>
        <w:spacing w:after="0" w:line="289" w:lineRule="auto"/>
        <w:tabs>
          <w:tab w:leader="none" w:pos="1527"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5" w:lineRule="exact"/>
        <w:rPr>
          <w:rFonts w:ascii="Arial" w:cs="Arial" w:eastAsia="Arial" w:hAnsi="Arial"/>
          <w:sz w:val="20"/>
          <w:szCs w:val="20"/>
          <w:color w:val="auto"/>
        </w:rPr>
      </w:pPr>
    </w:p>
    <w:p>
      <w:pPr>
        <w:ind w:left="1520" w:hanging="864"/>
        <w:spacing w:after="0"/>
        <w:tabs>
          <w:tab w:leader="none" w:pos="152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42" w:lineRule="exact"/>
        <w:rPr>
          <w:rFonts w:ascii="Arial" w:cs="Arial" w:eastAsia="Arial" w:hAnsi="Arial"/>
          <w:sz w:val="20"/>
          <w:szCs w:val="20"/>
          <w:color w:val="auto"/>
        </w:rPr>
      </w:pPr>
    </w:p>
    <w:p>
      <w:pPr>
        <w:ind w:left="2140" w:hanging="835"/>
        <w:spacing w:after="0"/>
        <w:tabs>
          <w:tab w:leader="none" w:pos="2140" w:val="left"/>
        </w:tabs>
        <w:numPr>
          <w:ilvl w:val="1"/>
          <w:numId w:val="374"/>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42" w:lineRule="exact"/>
        <w:rPr>
          <w:rFonts w:ascii="Arial" w:cs="Arial" w:eastAsia="Arial" w:hAnsi="Arial"/>
          <w:sz w:val="20"/>
          <w:szCs w:val="20"/>
          <w:color w:val="auto"/>
        </w:rPr>
      </w:pPr>
    </w:p>
    <w:p>
      <w:pPr>
        <w:jc w:val="both"/>
        <w:ind w:left="660" w:firstLine="645"/>
        <w:spacing w:after="0" w:line="274" w:lineRule="auto"/>
        <w:tabs>
          <w:tab w:leader="none" w:pos="2198" w:val="left"/>
        </w:tabs>
        <w:numPr>
          <w:ilvl w:val="1"/>
          <w:numId w:val="374"/>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2" w:lineRule="exact"/>
        <w:rPr>
          <w:rFonts w:ascii="Arial" w:cs="Arial" w:eastAsia="Arial" w:hAnsi="Arial"/>
          <w:sz w:val="20"/>
          <w:szCs w:val="20"/>
          <w:color w:val="auto"/>
        </w:rPr>
      </w:pPr>
    </w:p>
    <w:p>
      <w:pPr>
        <w:ind w:left="660" w:firstLine="645"/>
        <w:spacing w:after="0" w:line="289" w:lineRule="auto"/>
        <w:tabs>
          <w:tab w:leader="none" w:pos="2253" w:val="left"/>
        </w:tabs>
        <w:numPr>
          <w:ilvl w:val="1"/>
          <w:numId w:val="374"/>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any EEA Resolution Authority.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ARTICLE X.</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Loan Guaranty</w:t>
      </w:r>
    </w:p>
    <w:p>
      <w:pPr>
        <w:spacing w:after="0" w:line="229" w:lineRule="exact"/>
        <w:rPr>
          <w:sz w:val="20"/>
          <w:szCs w:val="20"/>
          <w:color w:val="auto"/>
        </w:rPr>
      </w:pPr>
    </w:p>
    <w:p>
      <w:pPr>
        <w:ind w:left="660"/>
        <w:spacing w:after="0"/>
        <w:tabs>
          <w:tab w:leader="none" w:pos="334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Guaranty</w:t>
      </w:r>
      <w:r>
        <w:rPr>
          <w:rFonts w:ascii="Arial" w:cs="Arial" w:eastAsia="Arial" w:hAnsi="Arial"/>
          <w:sz w:val="18"/>
          <w:szCs w:val="18"/>
          <w:color w:val="auto"/>
        </w:rPr>
        <w:t>. Each Loan Guarantor (other than those that have delivered a separate Guaranty) hereby</w:t>
      </w:r>
    </w:p>
    <w:p>
      <w:pPr>
        <w:spacing w:after="0" w:line="2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and expenses paid or incurred by the Administrative Agent, the Issuing Bank and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420"/>
          </w:cols>
          <w:pgMar w:left="240" w:top="824" w:right="239" w:bottom="1440" w:gutter="0" w:footer="0" w:header="0"/>
        </w:sectPr>
      </w:pPr>
    </w:p>
    <w:bookmarkStart w:id="310" w:name="page311"/>
    <w:bookmarkEnd w:id="310"/>
    <w:p>
      <w:pPr>
        <w:jc w:val="both"/>
        <w:spacing w:after="0" w:line="304" w:lineRule="auto"/>
        <w:rPr>
          <w:sz w:val="20"/>
          <w:szCs w:val="20"/>
          <w:color w:val="auto"/>
        </w:rPr>
      </w:pPr>
      <w:r>
        <w:rPr>
          <w:rFonts w:ascii="Arial" w:cs="Arial" w:eastAsia="Arial" w:hAnsi="Arial"/>
          <w:sz w:val="18"/>
          <w:szCs w:val="18"/>
          <w:color w:val="auto"/>
        </w:rPr>
        <w:t>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“Guaranteed Obligations”; provided, however, that the definition of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Guaranty of Payment</w:t>
      </w:r>
      <w:r>
        <w:rPr>
          <w:rFonts w:ascii="Arial" w:cs="Arial" w:eastAsia="Arial" w:hAnsi="Arial"/>
          <w:sz w:val="19"/>
          <w:szCs w:val="19"/>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Arial" w:cs="Arial" w:eastAsia="Arial" w:hAnsi="Arial"/>
          <w:sz w:val="19"/>
          <w:szCs w:val="19"/>
          <w:u w:val="single" w:color="auto"/>
          <w:color w:val="auto"/>
        </w:rPr>
        <w:t>Obligated Party</w:t>
      </w:r>
      <w:r>
        <w:rPr>
          <w:rFonts w:ascii="Arial" w:cs="Arial" w:eastAsia="Arial" w:hAnsi="Arial"/>
          <w:sz w:val="19"/>
          <w:szCs w:val="19"/>
          <w:color w:val="auto"/>
        </w:rPr>
        <w:t>”), or otherwise to enforce its payment against any collateral securing all or any part of the Guaranteed Obligations.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No Discharge or Diminishment of Loan Guaranty</w:t>
      </w:r>
      <w:r>
        <w:rPr>
          <w:rFonts w:ascii="Arial" w:cs="Arial" w:eastAsia="Arial" w:hAnsi="Arial"/>
          <w:sz w:val="19"/>
          <w:szCs w:val="19"/>
          <w:color w:val="auto"/>
        </w:rPr>
        <w:t>. (a) Except as otherwise provided for herein, the obligations of each Loan Guarantor hereunder are unconditional and absolute and not subject to any reduction, limitation, impairment or termination for any reason (other than the indefeasible payment in full in cash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69" w:lineRule="exact"/>
        <w:rPr>
          <w:sz w:val="20"/>
          <w:szCs w:val="20"/>
          <w:color w:val="auto"/>
        </w:rPr>
      </w:pPr>
    </w:p>
    <w:p>
      <w:pPr>
        <w:jc w:val="both"/>
        <w:ind w:firstLine="656"/>
        <w:spacing w:after="0" w:line="246" w:lineRule="auto"/>
        <w:tabs>
          <w:tab w:leader="none" w:pos="1233" w:val="left"/>
        </w:tabs>
        <w:numPr>
          <w:ilvl w:val="0"/>
          <w:numId w:val="375"/>
        </w:numPr>
        <w:rPr>
          <w:rFonts w:ascii="Arial" w:cs="Arial" w:eastAsia="Arial" w:hAnsi="Arial"/>
          <w:sz w:val="20"/>
          <w:szCs w:val="20"/>
          <w:color w:val="auto"/>
        </w:rPr>
      </w:pPr>
      <w:r>
        <w:rPr>
          <w:rFonts w:ascii="Arial" w:cs="Arial" w:eastAsia="Arial" w:hAnsi="Arial"/>
          <w:sz w:val="20"/>
          <w:szCs w:val="20"/>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205" w:lineRule="exact"/>
        <w:rPr>
          <w:rFonts w:ascii="Arial" w:cs="Arial" w:eastAsia="Arial" w:hAnsi="Arial"/>
          <w:sz w:val="20"/>
          <w:szCs w:val="20"/>
          <w:color w:val="auto"/>
        </w:rPr>
      </w:pPr>
    </w:p>
    <w:p>
      <w:pPr>
        <w:jc w:val="both"/>
        <w:ind w:firstLine="656"/>
        <w:spacing w:after="0" w:line="256" w:lineRule="auto"/>
        <w:tabs>
          <w:tab w:leader="none" w:pos="1066" w:val="left"/>
        </w:tabs>
        <w:numPr>
          <w:ilvl w:val="0"/>
          <w:numId w:val="375"/>
        </w:numPr>
        <w:rPr>
          <w:rFonts w:ascii="Arial" w:cs="Arial" w:eastAsia="Arial" w:hAnsi="Arial"/>
          <w:sz w:val="19"/>
          <w:szCs w:val="19"/>
          <w:color w:val="auto"/>
        </w:rPr>
      </w:pPr>
      <w:r>
        <w:rPr>
          <w:rFonts w:ascii="Arial" w:cs="Arial" w:eastAsia="Arial" w:hAnsi="Arial"/>
          <w:sz w:val="19"/>
          <w:szCs w:val="19"/>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135</w:t>
      </w:r>
    </w:p>
    <w:p>
      <w:pPr>
        <w:sectPr>
          <w:pgSz w:w="11900" w:h="16838" w:orient="portrait"/>
          <w:cols w:equalWidth="0" w:num="1">
            <w:col w:w="11420"/>
          </w:cols>
          <w:pgMar w:left="240" w:top="824" w:right="239" w:bottom="1440" w:gutter="0" w:footer="0" w:header="0"/>
        </w:sectPr>
      </w:pPr>
    </w:p>
    <w:bookmarkStart w:id="311" w:name="page312"/>
    <w:bookmarkEnd w:id="311"/>
    <w:p>
      <w:pPr>
        <w:spacing w:after="0"/>
        <w:rPr>
          <w:sz w:val="20"/>
          <w:szCs w:val="20"/>
          <w:color w:val="auto"/>
        </w:rPr>
      </w:pPr>
      <w:r>
        <w:rPr>
          <w:rFonts w:ascii="Arial" w:cs="Arial" w:eastAsia="Arial" w:hAnsi="Arial"/>
          <w:sz w:val="20"/>
          <w:szCs w:val="20"/>
          <w:color w:val="auto"/>
        </w:rPr>
        <w:t>Loan Guarantor as a matter of law or equity (other than the indefeasible payment in full in cash of the Guaranteed Obligations).</w:t>
      </w: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Defenses Waived</w:t>
      </w:r>
      <w:r>
        <w:rPr>
          <w:rFonts w:ascii="Arial" w:cs="Arial" w:eastAsia="Arial" w:hAnsi="Arial"/>
          <w:sz w:val="18"/>
          <w:szCs w:val="18"/>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the indefeasible payment in full in cash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fully and indefeasibly paid in cash.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382"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xml:space="preserve">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Information</w:t>
      </w:r>
      <w:r>
        <w:rPr>
          <w:rFonts w:ascii="Arial" w:cs="Arial" w:eastAsia="Arial" w:hAnsi="Arial"/>
          <w:sz w:val="19"/>
          <w:szCs w:val="19"/>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420"/>
          </w:cols>
          <w:pgMar w:left="240" w:top="812" w:right="239" w:bottom="1440" w:gutter="0" w:footer="0" w:header="0"/>
        </w:sectPr>
      </w:pPr>
    </w:p>
    <w:bookmarkStart w:id="312" w:name="page313"/>
    <w:bookmarkEnd w:id="312"/>
    <w:p>
      <w:pPr>
        <w:spacing w:after="0"/>
        <w:rPr>
          <w:sz w:val="20"/>
          <w:szCs w:val="20"/>
          <w:color w:val="auto"/>
        </w:rPr>
      </w:pPr>
      <w:r>
        <w:rPr>
          <w:rFonts w:ascii="Arial" w:cs="Arial" w:eastAsia="Arial" w:hAnsi="Arial"/>
          <w:sz w:val="20"/>
          <w:szCs w:val="20"/>
          <w:color w:val="auto"/>
        </w:rPr>
        <w:t>information known to it regarding those circumstances or risks.</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Termination</w:t>
      </w:r>
      <w:r>
        <w:rPr>
          <w:rFonts w:ascii="Arial" w:cs="Arial" w:eastAsia="Arial" w:hAnsi="Arial"/>
          <w:sz w:val="18"/>
          <w:szCs w:val="18"/>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Article VII hereof as a result of any such notice of termination.</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10.9 </w:t>
      </w:r>
      <w:r>
        <w:rPr>
          <w:rFonts w:ascii="Arial" w:cs="Arial" w:eastAsia="Arial" w:hAnsi="Arial"/>
          <w:sz w:val="20"/>
          <w:szCs w:val="20"/>
          <w:u w:val="single" w:color="auto"/>
          <w:color w:val="auto"/>
        </w:rPr>
        <w:t>Taxes</w:t>
      </w:r>
      <w:r>
        <w:rPr>
          <w:rFonts w:ascii="Arial" w:cs="Arial" w:eastAsia="Arial" w:hAnsi="Arial"/>
          <w:sz w:val="20"/>
          <w:szCs w:val="20"/>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200" w:lineRule="exact"/>
        <w:rPr>
          <w:sz w:val="20"/>
          <w:szCs w:val="20"/>
          <w:color w:val="auto"/>
        </w:rPr>
      </w:pPr>
    </w:p>
    <w:p>
      <w:pPr>
        <w:spacing w:after="0" w:line="2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Maximum Liability</w:t>
      </w:r>
      <w:r>
        <w:rPr>
          <w:rFonts w:ascii="Arial" w:cs="Arial" w:eastAsia="Arial" w:hAnsi="Arial"/>
          <w:sz w:val="20"/>
          <w:szCs w:val="20"/>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200" w:lineRule="exact"/>
        <w:rPr>
          <w:sz w:val="20"/>
          <w:szCs w:val="20"/>
          <w:color w:val="auto"/>
        </w:rPr>
      </w:pPr>
    </w:p>
    <w:p>
      <w:pPr>
        <w:spacing w:after="0" w:line="224" w:lineRule="exact"/>
        <w:rPr>
          <w:sz w:val="20"/>
          <w:szCs w:val="20"/>
          <w:color w:val="auto"/>
        </w:rPr>
      </w:pPr>
    </w:p>
    <w:p>
      <w:pPr>
        <w:ind w:left="660"/>
        <w:spacing w:after="0"/>
        <w:tabs>
          <w:tab w:leader="none" w:pos="3420" w:val="left"/>
        </w:tabs>
        <w:rPr>
          <w:sz w:val="20"/>
          <w:szCs w:val="20"/>
          <w:color w:val="auto"/>
        </w:rPr>
      </w:pPr>
      <w:r>
        <w:rPr>
          <w:rFonts w:ascii="Arial" w:cs="Arial" w:eastAsia="Arial" w:hAnsi="Arial"/>
          <w:sz w:val="20"/>
          <w:szCs w:val="20"/>
          <w:color w:val="auto"/>
        </w:rPr>
        <w:t>SECTION 10.11</w:t>
      </w:r>
      <w:r>
        <w:rPr>
          <w:sz w:val="20"/>
          <w:szCs w:val="20"/>
          <w:color w:val="auto"/>
        </w:rPr>
        <w:tab/>
      </w:r>
      <w:r>
        <w:rPr>
          <w:rFonts w:ascii="Arial" w:cs="Arial" w:eastAsia="Arial" w:hAnsi="Arial"/>
          <w:sz w:val="18"/>
          <w:szCs w:val="18"/>
          <w:u w:val="single" w:color="auto"/>
          <w:color w:val="auto"/>
        </w:rPr>
        <w:t>Contribution.</w:t>
      </w:r>
    </w:p>
    <w:p>
      <w:pPr>
        <w:spacing w:after="0" w:line="189" w:lineRule="exact"/>
        <w:rPr>
          <w:sz w:val="20"/>
          <w:szCs w:val="20"/>
          <w:color w:val="auto"/>
        </w:rPr>
      </w:pPr>
    </w:p>
    <w:p>
      <w:pPr>
        <w:jc w:val="both"/>
        <w:ind w:left="660" w:firstLine="645"/>
        <w:spacing w:after="0" w:line="303" w:lineRule="auto"/>
        <w:tabs>
          <w:tab w:leader="none" w:pos="2176"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the Guaranteed Obligations (other than Unliquidated Obligations that have not yet arisen), and all Commitments and Letters of Credit have terminated or expired or, in the case of all Letters of Credit, are fully collateralized on terms reasonably acceptable to the Administrative Agent and the Issuing Bank, and this Agreement, the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420"/>
          </w:cols>
          <w:pgMar w:left="240" w:top="825" w:right="239" w:bottom="1440" w:gutter="0" w:footer="0" w:header="0"/>
        </w:sectPr>
      </w:pPr>
    </w:p>
    <w:bookmarkStart w:id="313" w:name="page314"/>
    <w:bookmarkEnd w:id="313"/>
    <w:p>
      <w:pPr>
        <w:jc w:val="both"/>
        <w:ind w:left="660"/>
        <w:spacing w:after="0" w:line="299" w:lineRule="auto"/>
        <w:rPr>
          <w:sz w:val="20"/>
          <w:szCs w:val="20"/>
          <w:color w:val="auto"/>
        </w:rPr>
      </w:pPr>
      <w:r>
        <w:rPr>
          <w:rFonts w:ascii="Arial" w:cs="Arial" w:eastAsia="Arial" w:hAnsi="Arial"/>
          <w:sz w:val="19"/>
          <w:szCs w:val="19"/>
          <w:color w:val="auto"/>
        </w:rPr>
        <w:t>Swap Agreement Obligations and the Banking Services Obligations have terminated,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15" w:lineRule="exact"/>
        <w:rPr>
          <w:sz w:val="20"/>
          <w:szCs w:val="20"/>
          <w:color w:val="auto"/>
        </w:rPr>
      </w:pPr>
    </w:p>
    <w:p>
      <w:pPr>
        <w:jc w:val="both"/>
        <w:ind w:left="660" w:firstLine="645"/>
        <w:spacing w:after="0" w:line="290" w:lineRule="auto"/>
        <w:tabs>
          <w:tab w:leader="none" w:pos="2176" w:val="left"/>
        </w:tabs>
        <w:numPr>
          <w:ilvl w:val="0"/>
          <w:numId w:val="377"/>
        </w:numPr>
        <w:rPr>
          <w:rFonts w:ascii="Arial" w:cs="Arial" w:eastAsia="Arial" w:hAnsi="Arial"/>
          <w:sz w:val="19"/>
          <w:szCs w:val="19"/>
          <w:color w:val="auto"/>
        </w:rPr>
      </w:pPr>
      <w:r>
        <w:rPr>
          <w:rFonts w:ascii="Arial" w:cs="Arial" w:eastAsia="Arial" w:hAnsi="Arial"/>
          <w:sz w:val="19"/>
          <w:szCs w:val="19"/>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79" w:lineRule="exact"/>
        <w:rPr>
          <w:rFonts w:ascii="Arial" w:cs="Arial" w:eastAsia="Arial" w:hAnsi="Arial"/>
          <w:sz w:val="19"/>
          <w:szCs w:val="19"/>
          <w:color w:val="auto"/>
        </w:rPr>
      </w:pPr>
    </w:p>
    <w:p>
      <w:pPr>
        <w:jc w:val="both"/>
        <w:ind w:left="660" w:firstLine="645"/>
        <w:spacing w:after="0" w:line="299" w:lineRule="auto"/>
        <w:tabs>
          <w:tab w:leader="none" w:pos="2187" w:val="left"/>
        </w:tabs>
        <w:numPr>
          <w:ilvl w:val="0"/>
          <w:numId w:val="377"/>
        </w:numPr>
        <w:rPr>
          <w:rFonts w:ascii="Arial" w:cs="Arial" w:eastAsia="Arial" w:hAnsi="Arial"/>
          <w:sz w:val="19"/>
          <w:szCs w:val="19"/>
          <w:color w:val="auto"/>
        </w:rPr>
      </w:pPr>
      <w:r>
        <w:rPr>
          <w:rFonts w:ascii="Arial" w:cs="Arial" w:eastAsia="Arial" w:hAnsi="Arial"/>
          <w:sz w:val="19"/>
          <w:szCs w:val="19"/>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69" w:lineRule="exact"/>
        <w:rPr>
          <w:rFonts w:ascii="Arial" w:cs="Arial" w:eastAsia="Arial" w:hAnsi="Arial"/>
          <w:sz w:val="19"/>
          <w:szCs w:val="19"/>
          <w:color w:val="auto"/>
        </w:rPr>
      </w:pPr>
    </w:p>
    <w:p>
      <w:pPr>
        <w:ind w:left="660" w:firstLine="645"/>
        <w:spacing w:after="0" w:line="289" w:lineRule="auto"/>
        <w:tabs>
          <w:tab w:leader="none" w:pos="2176" w:val="left"/>
        </w:tabs>
        <w:numPr>
          <w:ilvl w:val="0"/>
          <w:numId w:val="377"/>
        </w:numPr>
        <w:rPr>
          <w:rFonts w:ascii="Arial" w:cs="Arial" w:eastAsia="Arial" w:hAnsi="Arial"/>
          <w:sz w:val="20"/>
          <w:szCs w:val="20"/>
          <w:color w:val="auto"/>
        </w:rPr>
      </w:pPr>
      <w:r>
        <w:rPr>
          <w:rFonts w:ascii="Arial" w:cs="Arial" w:eastAsia="Arial" w:hAnsi="Arial"/>
          <w:sz w:val="20"/>
          <w:szCs w:val="20"/>
          <w:color w:val="auto"/>
        </w:rPr>
        <w:t>The parties hereto acknowledge that the rights of contribution and indemnification hereunder shall constitute assets of the Loan Guarantor or Loan Guarantors to which such contribution and indemnification is owing.</w:t>
      </w:r>
    </w:p>
    <w:p>
      <w:pPr>
        <w:spacing w:after="0" w:line="175" w:lineRule="exact"/>
        <w:rPr>
          <w:rFonts w:ascii="Arial" w:cs="Arial" w:eastAsia="Arial" w:hAnsi="Arial"/>
          <w:sz w:val="20"/>
          <w:szCs w:val="20"/>
          <w:color w:val="auto"/>
        </w:rPr>
      </w:pPr>
    </w:p>
    <w:p>
      <w:pPr>
        <w:jc w:val="both"/>
        <w:ind w:left="660" w:firstLine="645"/>
        <w:spacing w:after="0" w:line="310" w:lineRule="auto"/>
        <w:tabs>
          <w:tab w:leader="none" w:pos="218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rights of the indemnifying Loan Guarantors against other Loan Guarantors under this Section 10.11 shall be exercisable upon the full and indefeasible payment of the Guaranteed Obligations in cash (other than Unliquidated Obligations that have not yet arisen) and the termination or expiry (or, in the case of all Letters of Credit, full cash collateralization), on terms reasonably acceptable to the Administrative Agent and the Issuing Bank, of the Commitments and all Letters of Credit issued hereunder and the termination of this Agreement, the Swap Agreement Obligations and the Banking Services Obligations.</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0"/>
          <w:szCs w:val="20"/>
          <w:color w:val="auto"/>
        </w:rPr>
        <w:t xml:space="preserve">SECTION 10.12 </w:t>
      </w:r>
      <w:r>
        <w:rPr>
          <w:rFonts w:ascii="Arial" w:cs="Arial" w:eastAsia="Arial" w:hAnsi="Arial"/>
          <w:sz w:val="20"/>
          <w:szCs w:val="20"/>
          <w:u w:val="single" w:color="auto"/>
          <w:color w:val="auto"/>
        </w:rPr>
        <w:t>Liability Cumulative</w:t>
      </w:r>
      <w:r>
        <w:rPr>
          <w:rFonts w:ascii="Arial" w:cs="Arial" w:eastAsia="Arial" w:hAnsi="Arial"/>
          <w:sz w:val="20"/>
          <w:szCs w:val="20"/>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Keepwell</w:t>
      </w:r>
      <w:r>
        <w:rPr>
          <w:rFonts w:ascii="Arial" w:cs="Arial" w:eastAsia="Arial" w:hAnsi="Arial"/>
          <w:sz w:val="18"/>
          <w:szCs w:val="18"/>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(provided, however,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w:t>
      </w:r>
    </w:p>
    <w:p>
      <w:pPr>
        <w:spacing w:after="0" w:line="3"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10.13 constitute, and this Section 10.13 shall be deemed to constitute, a “keepwell, support, or other agreement” for the benefit of each other Loan Party for all purposes of Section 1a(18)(A)(v)(II) of the Commodity Exchange 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420"/>
          </w:cols>
          <w:pgMar w:left="240" w:top="825" w:right="2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20"/>
          <w:szCs w:val="20"/>
          <w:u w:val="single" w:color="auto"/>
          <w:color w:val="auto"/>
        </w:rPr>
        <w:t>ARTICLE XI.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The Borrower Representative.</w:t>
      </w:r>
    </w:p>
    <w:p>
      <w:pPr>
        <w:spacing w:after="0" w:line="3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Appointment; Nature of Relationship.</w:t>
      </w:r>
      <w:r>
        <w:rPr>
          <w:rFonts w:ascii="Arial" w:cs="Arial" w:eastAsia="Arial" w:hAnsi="Arial"/>
          <w:sz w:val="19"/>
          <w:szCs w:val="19"/>
          <w:color w:val="auto"/>
        </w:rPr>
        <w:t xml:space="preserve"> The Company is hereby appointed by each of the Borrowers as its contractual representative (herein referred to as the “</w:t>
      </w:r>
      <w:r>
        <w:rPr>
          <w:rFonts w:ascii="Arial" w:cs="Arial" w:eastAsia="Arial" w:hAnsi="Arial"/>
          <w:sz w:val="19"/>
          <w:szCs w:val="19"/>
          <w:u w:val="single" w:color="auto"/>
          <w:color w:val="auto"/>
        </w:rPr>
        <w:t>Borrower Representative</w:t>
      </w:r>
      <w:r>
        <w:rPr>
          <w:rFonts w:ascii="Arial" w:cs="Arial" w:eastAsia="Arial" w:hAnsi="Arial"/>
          <w:sz w:val="19"/>
          <w:szCs w:val="19"/>
          <w:color w:val="auto"/>
        </w:rPr>
        <w:t>”)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Account(s), at which time the Borrower Representative shall promptly disburse such Loans to the appropriate Borrower(s); provided that, in the case of a Revolving Loan, such amount shall not cause the Borrowers to violate the Revolving Exposure Limitations.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Powers.</w:t>
      </w:r>
      <w:r>
        <w:rPr>
          <w:rFonts w:ascii="Arial" w:cs="Arial" w:eastAsia="Arial" w:hAnsi="Arial"/>
          <w:sz w:val="19"/>
          <w:szCs w:val="19"/>
          <w:color w:val="auto"/>
        </w:rPr>
        <w:t xml:space="preserve">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11.03 </w:t>
      </w:r>
      <w:r>
        <w:rPr>
          <w:rFonts w:ascii="Arial" w:cs="Arial" w:eastAsia="Arial" w:hAnsi="Arial"/>
          <w:sz w:val="20"/>
          <w:szCs w:val="20"/>
          <w:u w:val="single" w:color="auto"/>
          <w:color w:val="auto"/>
        </w:rPr>
        <w:t>Employment of Agents.</w:t>
      </w:r>
      <w:r>
        <w:rPr>
          <w:rFonts w:ascii="Arial" w:cs="Arial" w:eastAsia="Arial" w:hAnsi="Arial"/>
          <w:sz w:val="20"/>
          <w:szCs w:val="20"/>
          <w:color w:val="auto"/>
        </w:rPr>
        <w:t xml:space="preserve"> The Borrower Representative may execute any of its duties as the Borrower Representative hereunder and under any other Loan Document by or through authorized officers.</w:t>
      </w:r>
    </w:p>
    <w:p>
      <w:pPr>
        <w:spacing w:after="0" w:line="200" w:lineRule="exact"/>
        <w:rPr>
          <w:sz w:val="20"/>
          <w:szCs w:val="20"/>
          <w:color w:val="auto"/>
        </w:rPr>
      </w:pPr>
    </w:p>
    <w:p>
      <w:pPr>
        <w:spacing w:after="0" w:line="2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11.04 </w:t>
      </w:r>
      <w:r>
        <w:rPr>
          <w:rFonts w:ascii="Arial" w:cs="Arial" w:eastAsia="Arial" w:hAnsi="Arial"/>
          <w:sz w:val="20"/>
          <w:szCs w:val="20"/>
          <w:u w:val="single" w:color="auto"/>
          <w:color w:val="auto"/>
        </w:rPr>
        <w:t>Notices.</w:t>
      </w:r>
      <w:r>
        <w:rPr>
          <w:rFonts w:ascii="Arial" w:cs="Arial" w:eastAsia="Arial" w:hAnsi="Arial"/>
          <w:sz w:val="20"/>
          <w:szCs w:val="20"/>
          <w:color w:val="auto"/>
        </w:rPr>
        <w:t xml:space="preserve"> Each Borrower shall immediately notify the Borrower Representative of the occurrence of any Default hereunder referring to this Agreement describing such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11.05 </w:t>
      </w:r>
      <w:r>
        <w:rPr>
          <w:rFonts w:ascii="Arial" w:cs="Arial" w:eastAsia="Arial" w:hAnsi="Arial"/>
          <w:sz w:val="20"/>
          <w:szCs w:val="20"/>
          <w:u w:val="single" w:color="auto"/>
          <w:color w:val="auto"/>
        </w:rPr>
        <w:t>Successor Borrower Representative.</w:t>
      </w:r>
      <w:r>
        <w:rPr>
          <w:rFonts w:ascii="Arial" w:cs="Arial" w:eastAsia="Arial" w:hAnsi="Arial"/>
          <w:sz w:val="20"/>
          <w:szCs w:val="20"/>
          <w:color w:val="auto"/>
        </w:rPr>
        <w:t xml:space="preserve">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200" w:lineRule="exact"/>
        <w:rPr>
          <w:sz w:val="20"/>
          <w:szCs w:val="20"/>
          <w:color w:val="auto"/>
        </w:rPr>
      </w:pP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11.06 </w:t>
      </w:r>
      <w:r>
        <w:rPr>
          <w:rFonts w:ascii="Arial" w:cs="Arial" w:eastAsia="Arial" w:hAnsi="Arial"/>
          <w:sz w:val="20"/>
          <w:szCs w:val="20"/>
          <w:u w:val="single" w:color="auto"/>
          <w:color w:val="auto"/>
        </w:rPr>
        <w:t>Execution of Loan Documents; Borrowing Base Certificate.</w:t>
      </w:r>
      <w:r>
        <w:rPr>
          <w:rFonts w:ascii="Arial" w:cs="Arial" w:eastAsia="Arial" w:hAnsi="Arial"/>
          <w:sz w:val="20"/>
          <w:szCs w:val="20"/>
          <w:color w:val="auto"/>
        </w:rPr>
        <w:t xml:space="preserve"> The Borrowers hereby empower and authorize the Borrower Representative, on behalf of the Borrowers, to execute and deliver to the Administrative Agent and the Lenders the Loan Documents and all related agreements,certificates, documents, or instruments as shall be necessary or appropriate to effect the purposes of the Loan Documents,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1420"/>
          </w:cols>
          <w:pgMar w:left="240" w:top="811" w:right="239" w:bottom="1440" w:gutter="0" w:footer="0" w:header="0"/>
        </w:sectPr>
      </w:pPr>
    </w:p>
    <w:bookmarkStart w:id="315" w:name="page316"/>
    <w:bookmarkEnd w:id="315"/>
    <w:p>
      <w:pPr>
        <w:jc w:val="both"/>
        <w:spacing w:after="0" w:line="263" w:lineRule="auto"/>
        <w:rPr>
          <w:sz w:val="20"/>
          <w:szCs w:val="20"/>
          <w:color w:val="auto"/>
        </w:rPr>
      </w:pPr>
      <w:r>
        <w:rPr>
          <w:rFonts w:ascii="Arial" w:cs="Arial" w:eastAsia="Arial" w:hAnsi="Arial"/>
          <w:sz w:val="19"/>
          <w:szCs w:val="19"/>
          <w:color w:val="auto"/>
        </w:rPr>
        <w:t>including, without limitation, the Aggregate Borrowing Base Certificate and the Borrowing Base Certificate of each Borrower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Aggregate Borrowing Base Certificate and the Borrowing Base Certificate of each Borrower and Compliance Certificate required pursuant to the provisions of this Agreement.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420"/>
          </w:cols>
          <w:pgMar w:left="240" w:top="811" w:right="239" w:bottom="1440" w:gutter="0" w:footer="0" w:header="0"/>
        </w:sectPr>
      </w:pPr>
    </w:p>
    <w:bookmarkStart w:id="316" w:name="page317"/>
    <w:bookmarkEnd w:id="316"/>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day and year first above written.</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INDUSTRIES, INC., as Borrower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OF INDIANA, LLC, as Borrower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GRAND DESIGN RV, LLC, as Borrower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OCTAVIUS CORPORATION, as Loan Guarantor</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60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Signature Page to Credit Agreement</w:t>
      </w:r>
    </w:p>
    <w:p>
      <w:pPr>
        <w:spacing w:after="0" w:line="16"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Winnebago Industries, Inc.</w:t>
      </w:r>
    </w:p>
    <w:p>
      <w:pPr>
        <w:sectPr>
          <w:pgSz w:w="11900" w:h="16838" w:orient="portrait"/>
          <w:cols w:equalWidth="0" w:num="1">
            <w:col w:w="11140"/>
          </w:cols>
          <w:pgMar w:left="240" w:top="812" w:right="519" w:bottom="1440" w:gutter="0" w:footer="0" w:header="0"/>
        </w:sectPr>
      </w:pPr>
    </w:p>
    <w:bookmarkStart w:id="317" w:name="page318"/>
    <w:bookmarkEnd w:id="317"/>
    <w:p>
      <w:pPr>
        <w:ind w:left="4320"/>
        <w:spacing w:after="0"/>
        <w:rPr>
          <w:sz w:val="20"/>
          <w:szCs w:val="20"/>
          <w:color w:val="auto"/>
        </w:rPr>
      </w:pPr>
      <w:r>
        <w:rPr>
          <w:rFonts w:ascii="Arial" w:cs="Arial" w:eastAsia="Arial" w:hAnsi="Arial"/>
          <w:sz w:val="19"/>
          <w:szCs w:val="19"/>
          <w:color w:val="auto"/>
        </w:rPr>
        <w:t>JPMORGAN CHASE BANK, N.A., individually as a</w:t>
      </w:r>
    </w:p>
    <w:p>
      <w:pPr>
        <w:spacing w:after="0" w:line="6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Lender, as Swingline Lender, as an Issuing Bank</w:t>
      </w:r>
    </w:p>
    <w:p>
      <w:pPr>
        <w:spacing w:after="0" w:line="100"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and Administrative Agent</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7"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Winnebago Industries, Inc.</w:t>
      </w:r>
    </w:p>
    <w:p>
      <w:pPr>
        <w:sectPr>
          <w:pgSz w:w="11900" w:h="16838" w:orient="portrait"/>
          <w:cols w:equalWidth="0" w:num="1">
            <w:col w:w="9019"/>
          </w:cols>
          <w:pgMar w:left="1440" w:top="973" w:right="1440" w:bottom="1440" w:gutter="0" w:footer="0" w:header="0"/>
        </w:sectPr>
      </w:pPr>
    </w:p>
    <w:bookmarkStart w:id="318" w:name="page319"/>
    <w:bookmarkEnd w:id="318"/>
    <w:tbl>
      <w:tblPr>
        <w:tblLayout w:type="fixed"/>
        <w:tblInd w:w="10" w:type="dxa"/>
        <w:tblCellMar>
          <w:top w:w="0" w:type="dxa"/>
          <w:left w:w="0" w:type="dxa"/>
          <w:bottom w:w="0" w:type="dxa"/>
          <w:right w:w="0" w:type="dxa"/>
        </w:tblCellMar>
      </w:tblPr>
      <w:tr>
        <w:trPr>
          <w:trHeight w:val="250"/>
        </w:trPr>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7720" w:type="dxa"/>
            <w:vAlign w:val="bottom"/>
            <w:gridSpan w:val="4"/>
          </w:tcPr>
          <w:p>
            <w:pPr>
              <w:jc w:val="right"/>
              <w:ind w:right="4500"/>
              <w:spacing w:after="0"/>
              <w:rPr>
                <w:sz w:val="20"/>
                <w:szCs w:val="20"/>
                <w:color w:val="auto"/>
              </w:rPr>
            </w:pPr>
            <w:r>
              <w:rPr>
                <w:rFonts w:ascii="Arial" w:cs="Arial" w:eastAsia="Arial" w:hAnsi="Arial"/>
                <w:sz w:val="20"/>
                <w:szCs w:val="20"/>
                <w:color w:val="auto"/>
              </w:rPr>
              <w:t>COMMITMENT SCHEDULE</w:t>
            </w:r>
          </w:p>
        </w:tc>
      </w:tr>
      <w:tr>
        <w:trPr>
          <w:trHeight w:val="361"/>
        </w:trPr>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10"/>
        </w:trPr>
        <w:tc>
          <w:tcPr>
            <w:tcW w:w="40" w:type="dxa"/>
            <w:vAlign w:val="bottom"/>
            <w:tcBorders>
              <w:left w:val="single" w:sz="8" w:color="auto"/>
            </w:tcBorders>
          </w:tcPr>
          <w:p>
            <w:pPr>
              <w:spacing w:after="0"/>
              <w:rPr>
                <w:sz w:val="18"/>
                <w:szCs w:val="18"/>
                <w:color w:val="auto"/>
              </w:rPr>
            </w:pPr>
          </w:p>
        </w:tc>
        <w:tc>
          <w:tcPr>
            <w:tcW w:w="3680" w:type="dxa"/>
            <w:vAlign w:val="bottom"/>
            <w:gridSpan w:val="2"/>
          </w:tcPr>
          <w:p>
            <w:pPr>
              <w:spacing w:after="0" w:line="209" w:lineRule="exact"/>
              <w:rPr>
                <w:sz w:val="20"/>
                <w:szCs w:val="20"/>
                <w:color w:val="auto"/>
              </w:rPr>
            </w:pPr>
            <w:r>
              <w:rPr>
                <w:rFonts w:ascii="Arial" w:cs="Arial" w:eastAsia="Arial" w:hAnsi="Arial"/>
                <w:sz w:val="20"/>
                <w:szCs w:val="20"/>
                <w:color w:val="auto"/>
              </w:rPr>
              <w:t>LENDER</w:t>
            </w:r>
          </w:p>
        </w:tc>
        <w:tc>
          <w:tcPr>
            <w:tcW w:w="2020" w:type="dxa"/>
            <w:vAlign w:val="bottom"/>
            <w:tcBorders>
              <w:right w:val="single" w:sz="8" w:color="auto"/>
            </w:tcBorders>
          </w:tcPr>
          <w:p>
            <w:pPr>
              <w:spacing w:after="0"/>
              <w:rPr>
                <w:sz w:val="18"/>
                <w:szCs w:val="18"/>
                <w:color w:val="auto"/>
              </w:rPr>
            </w:pPr>
          </w:p>
        </w:tc>
        <w:tc>
          <w:tcPr>
            <w:tcW w:w="2100" w:type="dxa"/>
            <w:vAlign w:val="bottom"/>
          </w:tcPr>
          <w:p>
            <w:pPr>
              <w:spacing w:after="0"/>
              <w:rPr>
                <w:sz w:val="18"/>
                <w:szCs w:val="18"/>
                <w:color w:val="auto"/>
              </w:rPr>
            </w:pPr>
          </w:p>
        </w:tc>
        <w:tc>
          <w:tcPr>
            <w:tcW w:w="3600" w:type="dxa"/>
            <w:vAlign w:val="bottom"/>
            <w:tcBorders>
              <w:right w:val="single" w:sz="8" w:color="auto"/>
            </w:tcBorders>
            <w:gridSpan w:val="2"/>
          </w:tcPr>
          <w:p>
            <w:pPr>
              <w:jc w:val="right"/>
              <w:ind w:right="2120"/>
              <w:spacing w:after="0" w:line="209" w:lineRule="exact"/>
              <w:rPr>
                <w:sz w:val="20"/>
                <w:szCs w:val="20"/>
                <w:color w:val="auto"/>
              </w:rPr>
            </w:pPr>
            <w:r>
              <w:rPr>
                <w:rFonts w:ascii="Arial" w:cs="Arial" w:eastAsia="Arial" w:hAnsi="Arial"/>
                <w:sz w:val="20"/>
                <w:szCs w:val="20"/>
                <w:color w:val="auto"/>
                <w:w w:val="96"/>
              </w:rPr>
              <w:t>COMMITMENTS</w:t>
            </w:r>
          </w:p>
        </w:tc>
      </w:tr>
      <w:tr>
        <w:trPr>
          <w:trHeight w:val="48"/>
        </w:trPr>
        <w:tc>
          <w:tcPr>
            <w:tcW w:w="40" w:type="dxa"/>
            <w:vAlign w:val="bottom"/>
            <w:tcBorders>
              <w:left w:val="single" w:sz="8" w:color="auto"/>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1480" w:type="dxa"/>
            <w:vAlign w:val="bottom"/>
            <w:tcBorders>
              <w:top w:val="single" w:sz="8" w:color="auto"/>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20"/>
                <w:szCs w:val="20"/>
                <w:color w:val="auto"/>
              </w:rPr>
              <w:t>JPMORGAN CHASE, BANK, N.A.</w:t>
            </w:r>
          </w:p>
        </w:tc>
        <w:tc>
          <w:tcPr>
            <w:tcW w:w="202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$125,000,000</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3680" w:type="dxa"/>
            <w:vAlign w:val="bottom"/>
            <w:gridSpan w:val="2"/>
          </w:tcPr>
          <w:p>
            <w:pPr>
              <w:spacing w:after="0"/>
              <w:rPr>
                <w:sz w:val="20"/>
                <w:szCs w:val="20"/>
                <w:color w:val="auto"/>
              </w:rPr>
            </w:pPr>
            <w:r>
              <w:rPr>
                <w:rFonts w:ascii="Arial" w:cs="Arial" w:eastAsia="Arial" w:hAnsi="Arial"/>
                <w:sz w:val="20"/>
                <w:szCs w:val="20"/>
                <w:b w:val="1"/>
                <w:bCs w:val="1"/>
                <w:color w:val="auto"/>
              </w:rPr>
              <w:t>AGGREGATE COMMITMENTS</w:t>
            </w:r>
          </w:p>
        </w:tc>
        <w:tc>
          <w:tcPr>
            <w:tcW w:w="2020" w:type="dxa"/>
            <w:vAlign w:val="bottom"/>
            <w:tcBorders>
              <w:right w:val="single" w:sz="8" w:color="auto"/>
            </w:tcBorders>
          </w:tcPr>
          <w:p>
            <w:pPr>
              <w:spacing w:after="0"/>
              <w:rPr>
                <w:sz w:val="22"/>
                <w:szCs w:val="22"/>
                <w:color w:val="auto"/>
              </w:rPr>
            </w:pPr>
          </w:p>
        </w:tc>
        <w:tc>
          <w:tcPr>
            <w:tcW w:w="5700" w:type="dxa"/>
            <w:vAlign w:val="bottom"/>
            <w:tcBorders>
              <w:right w:val="single" w:sz="8" w:color="auto"/>
            </w:tcBorders>
            <w:gridSpan w:val="3"/>
          </w:tcPr>
          <w:p>
            <w:pPr>
              <w:jc w:val="right"/>
              <w:ind w:right="40"/>
              <w:spacing w:after="0"/>
              <w:rPr>
                <w:sz w:val="20"/>
                <w:szCs w:val="20"/>
                <w:color w:val="auto"/>
              </w:rPr>
            </w:pPr>
            <w:r>
              <w:rPr>
                <w:rFonts w:ascii="Arial" w:cs="Arial" w:eastAsia="Arial" w:hAnsi="Arial"/>
                <w:sz w:val="20"/>
                <w:szCs w:val="20"/>
                <w:color w:val="auto"/>
              </w:rPr>
              <w:t>$125,000,000</w:t>
            </w: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40"/>
          </w:cols>
          <w:pgMar w:left="240" w:top="811" w:right="219" w:bottom="1440" w:gutter="0" w:footer="0" w:header="0"/>
        </w:sectPr>
      </w:pPr>
    </w:p>
    <w:bookmarkStart w:id="319" w:name="page320"/>
    <w:bookmarkEnd w:id="319"/>
    <w:p>
      <w:pPr>
        <w:jc w:val="center"/>
        <w:spacing w:after="0"/>
        <w:rPr>
          <w:sz w:val="20"/>
          <w:szCs w:val="20"/>
          <w:color w:val="auto"/>
        </w:rPr>
      </w:pPr>
      <w:r>
        <w:rPr>
          <w:rFonts w:ascii="Arial" w:cs="Arial" w:eastAsia="Arial" w:hAnsi="Arial"/>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This Assignment and Assumption (the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Assumption</w:t>
      </w:r>
      <w:r>
        <w:rPr>
          <w:rFonts w:ascii="Arial" w:cs="Arial" w:eastAsia="Arial" w:hAnsi="Arial"/>
          <w:sz w:val="18"/>
          <w:szCs w:val="18"/>
          <w:color w:val="auto"/>
        </w:rPr>
        <w:t>”)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w:t>
      </w:r>
      <w:r>
        <w:rPr>
          <w:rFonts w:ascii="Arial" w:cs="Arial" w:eastAsia="Arial" w:hAnsi="Arial"/>
          <w:sz w:val="18"/>
          <w:szCs w:val="18"/>
          <w:u w:val="single" w:color="auto"/>
          <w:color w:val="auto"/>
        </w:rPr>
        <w:t>Assignor</w:t>
      </w:r>
      <w:r>
        <w:rPr>
          <w:rFonts w:ascii="Arial" w:cs="Arial" w:eastAsia="Arial" w:hAnsi="Arial"/>
          <w:sz w:val="18"/>
          <w:szCs w:val="18"/>
          <w:color w:val="auto"/>
        </w:rPr>
        <w:t>”)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w:t>
      </w:r>
      <w:r>
        <w:rPr>
          <w:rFonts w:ascii="Arial" w:cs="Arial" w:eastAsia="Arial" w:hAnsi="Arial"/>
          <w:sz w:val="18"/>
          <w:szCs w:val="18"/>
          <w:u w:val="single" w:color="auto"/>
          <w:color w:val="auto"/>
        </w:rPr>
        <w:t>Assignee</w:t>
      </w:r>
      <w:r>
        <w:rPr>
          <w:rFonts w:ascii="Arial" w:cs="Arial" w:eastAsia="Arial" w:hAnsi="Arial"/>
          <w:sz w:val="18"/>
          <w:szCs w:val="18"/>
          <w:color w:val="auto"/>
        </w:rPr>
        <w:t>”). Capitalized terms used but not defined herein shall have the meanings given to them in the Credit Agreement identified below (as amended,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Arial" w:cs="Arial" w:eastAsia="Arial" w:hAnsi="Arial"/>
          <w:sz w:val="18"/>
          <w:szCs w:val="18"/>
          <w:u w:val="single" w:color="auto"/>
          <w:color w:val="auto"/>
        </w:rPr>
        <w:t>Assigned Interest</w:t>
      </w:r>
      <w:r>
        <w:rPr>
          <w:rFonts w:ascii="Arial" w:cs="Arial" w:eastAsia="Arial" w:hAnsi="Arial"/>
          <w:sz w:val="18"/>
          <w:szCs w:val="18"/>
          <w:color w:val="auto"/>
        </w:rPr>
        <w:t>”). Such sale and assignment is without recourse to the Assignor and, except as expressly provided in this Assignment and Assumption, without representation or warranty by the Assignor.</w:t>
      </w:r>
    </w:p>
    <w:p>
      <w:pPr>
        <w:spacing w:after="0" w:line="228" w:lineRule="exact"/>
        <w:rPr>
          <w:sz w:val="20"/>
          <w:szCs w:val="20"/>
          <w:color w:val="auto"/>
        </w:rPr>
      </w:pPr>
    </w:p>
    <w:p>
      <w:pPr>
        <w:ind w:left="840" w:hanging="805"/>
        <w:spacing w:after="0"/>
        <w:tabs>
          <w:tab w:leader="none" w:pos="84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Assignor:</w:t>
      </w:r>
    </w:p>
    <w:p>
      <w:pPr>
        <w:spacing w:after="0" w:line="53" w:lineRule="exact"/>
        <w:rPr>
          <w:rFonts w:ascii="Arial" w:cs="Arial" w:eastAsia="Arial" w:hAnsi="Arial"/>
          <w:sz w:val="20"/>
          <w:szCs w:val="20"/>
          <w:color w:val="auto"/>
        </w:rPr>
      </w:pPr>
    </w:p>
    <w:p>
      <w:pPr>
        <w:ind w:left="840" w:hanging="805"/>
        <w:spacing w:after="0"/>
        <w:tabs>
          <w:tab w:leader="none" w:pos="840" w:val="left"/>
        </w:tabs>
        <w:numPr>
          <w:ilvl w:val="0"/>
          <w:numId w:val="378"/>
        </w:numPr>
        <w:rPr>
          <w:rFonts w:ascii="Arial" w:cs="Arial" w:eastAsia="Arial" w:hAnsi="Arial"/>
          <w:sz w:val="20"/>
          <w:szCs w:val="20"/>
          <w:color w:val="auto"/>
        </w:rPr>
      </w:pPr>
      <w:r>
        <w:rPr>
          <w:rFonts w:ascii="Arial" w:cs="Arial" w:eastAsia="Arial" w:hAnsi="Arial"/>
          <w:sz w:val="20"/>
          <w:szCs w:val="20"/>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27305</wp:posOffset>
            </wp:positionV>
            <wp:extent cx="4999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999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-151765</wp:posOffset>
            </wp:positionV>
            <wp:extent cx="49999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47" w:lineRule="exact"/>
        <w:rPr>
          <w:sz w:val="20"/>
          <w:szCs w:val="20"/>
          <w:color w:val="auto"/>
        </w:rPr>
      </w:pPr>
    </w:p>
    <w:p>
      <w:pPr>
        <w:jc w:val="center"/>
        <w:ind w:left="360"/>
        <w:spacing w:after="0"/>
        <w:rPr>
          <w:sz w:val="20"/>
          <w:szCs w:val="20"/>
          <w:color w:val="auto"/>
        </w:rPr>
      </w:pPr>
      <w:r>
        <w:rPr>
          <w:rFonts w:ascii="Arial" w:cs="Arial" w:eastAsia="Arial" w:hAnsi="Arial"/>
          <w:sz w:val="20"/>
          <w:szCs w:val="20"/>
          <w:color w:val="auto"/>
        </w:rPr>
        <w:t>[and is an Affiliate/Approved Fund of [identify Lender]</w:t>
      </w:r>
      <w:r>
        <w:rPr>
          <w:rFonts w:ascii="Arial" w:cs="Arial" w:eastAsia="Arial" w:hAnsi="Arial"/>
          <w:sz w:val="25"/>
          <w:szCs w:val="25"/>
          <w:color w:val="auto"/>
          <w:vertAlign w:val="superscript"/>
        </w:rPr>
        <w:t>1</w:t>
      </w:r>
      <w:r>
        <w:rPr>
          <w:rFonts w:ascii="Arial" w:cs="Arial" w:eastAsia="Arial" w:hAnsi="Arial"/>
          <w:sz w:val="20"/>
          <w:szCs w:val="20"/>
          <w:color w:val="auto"/>
        </w:rPr>
        <w:t>]</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3.</w:t>
            </w:r>
          </w:p>
        </w:tc>
        <w:tc>
          <w:tcPr>
            <w:tcW w:w="3020" w:type="dxa"/>
            <w:vAlign w:val="bottom"/>
          </w:tcPr>
          <w:p>
            <w:pPr>
              <w:ind w:left="320"/>
              <w:spacing w:after="0"/>
              <w:rPr>
                <w:sz w:val="20"/>
                <w:szCs w:val="20"/>
                <w:color w:val="auto"/>
              </w:rPr>
            </w:pPr>
            <w:r>
              <w:rPr>
                <w:rFonts w:ascii="Arial" w:cs="Arial" w:eastAsia="Arial" w:hAnsi="Arial"/>
                <w:sz w:val="20"/>
                <w:szCs w:val="20"/>
                <w:color w:val="auto"/>
              </w:rPr>
              <w:t>Borrowers:</w:t>
            </w:r>
          </w:p>
        </w:tc>
        <w:tc>
          <w:tcPr>
            <w:tcW w:w="7880" w:type="dxa"/>
            <w:vAlign w:val="bottom"/>
          </w:tcPr>
          <w:p>
            <w:pPr>
              <w:ind w:left="40"/>
              <w:spacing w:after="0"/>
              <w:rPr>
                <w:sz w:val="20"/>
                <w:szCs w:val="20"/>
                <w:color w:val="auto"/>
              </w:rPr>
            </w:pPr>
            <w:r>
              <w:rPr>
                <w:rFonts w:ascii="Arial" w:cs="Arial" w:eastAsia="Arial" w:hAnsi="Arial"/>
                <w:sz w:val="20"/>
                <w:szCs w:val="20"/>
                <w:color w:val="auto"/>
              </w:rPr>
              <w:t>Winnebago Industries, Inc., Winnebago of Indiana, LLC and Grand Design RV, LLC</w:t>
            </w:r>
          </w:p>
        </w:tc>
      </w:tr>
      <w:tr>
        <w:trPr>
          <w:trHeight w:val="23"/>
        </w:trPr>
        <w:tc>
          <w:tcPr>
            <w:tcW w:w="4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7880" w:type="dxa"/>
            <w:vAlign w:val="bottom"/>
            <w:tcBorders>
              <w:bottom w:val="single" w:sz="8" w:color="auto"/>
            </w:tcBorders>
          </w:tcPr>
          <w:p>
            <w:pPr>
              <w:spacing w:after="0"/>
              <w:rPr>
                <w:sz w:val="2"/>
                <w:szCs w:val="2"/>
                <w:color w:val="auto"/>
              </w:rPr>
            </w:pPr>
          </w:p>
        </w:tc>
      </w:tr>
      <w:tr>
        <w:trPr>
          <w:trHeight w:val="538"/>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4.</w:t>
            </w:r>
          </w:p>
        </w:tc>
        <w:tc>
          <w:tcPr>
            <w:tcW w:w="3020" w:type="dxa"/>
            <w:vAlign w:val="bottom"/>
          </w:tcPr>
          <w:p>
            <w:pPr>
              <w:ind w:left="320"/>
              <w:spacing w:after="0"/>
              <w:rPr>
                <w:sz w:val="20"/>
                <w:szCs w:val="20"/>
                <w:color w:val="auto"/>
              </w:rPr>
            </w:pPr>
            <w:r>
              <w:rPr>
                <w:rFonts w:ascii="Arial" w:cs="Arial" w:eastAsia="Arial" w:hAnsi="Arial"/>
                <w:sz w:val="20"/>
                <w:szCs w:val="20"/>
                <w:color w:val="auto"/>
              </w:rPr>
              <w:t>Administrative Agent:</w:t>
            </w:r>
          </w:p>
        </w:tc>
        <w:tc>
          <w:tcPr>
            <w:tcW w:w="7880" w:type="dxa"/>
            <w:vAlign w:val="bottom"/>
          </w:tcPr>
          <w:p>
            <w:pPr>
              <w:ind w:left="40"/>
              <w:spacing w:after="0"/>
              <w:rPr>
                <w:sz w:val="20"/>
                <w:szCs w:val="20"/>
                <w:color w:val="auto"/>
              </w:rPr>
            </w:pPr>
            <w:r>
              <w:rPr>
                <w:rFonts w:ascii="Arial" w:cs="Arial" w:eastAsia="Arial" w:hAnsi="Arial"/>
                <w:sz w:val="20"/>
                <w:szCs w:val="20"/>
                <w:color w:val="auto"/>
              </w:rPr>
              <w:t>JPMorgan Chase Bank, N.A., as the administrative agent under the Credit Agreement</w:t>
            </w:r>
          </w:p>
        </w:tc>
      </w:tr>
      <w:tr>
        <w:trPr>
          <w:trHeight w:val="546"/>
        </w:trPr>
        <w:tc>
          <w:tcPr>
            <w:tcW w:w="480" w:type="dxa"/>
            <w:vAlign w:val="bottom"/>
          </w:tcPr>
          <w:p>
            <w:pPr>
              <w:jc w:val="right"/>
              <w:ind w:right="241"/>
              <w:spacing w:after="0"/>
              <w:rPr>
                <w:sz w:val="20"/>
                <w:szCs w:val="20"/>
                <w:color w:val="auto"/>
              </w:rPr>
            </w:pPr>
            <w:r>
              <w:rPr>
                <w:rFonts w:ascii="Arial" w:cs="Arial" w:eastAsia="Arial" w:hAnsi="Arial"/>
                <w:sz w:val="20"/>
                <w:szCs w:val="20"/>
                <w:color w:val="auto"/>
                <w:w w:val="71"/>
              </w:rPr>
              <w:t>5.</w:t>
            </w:r>
          </w:p>
        </w:tc>
        <w:tc>
          <w:tcPr>
            <w:tcW w:w="3020" w:type="dxa"/>
            <w:vAlign w:val="bottom"/>
          </w:tcPr>
          <w:p>
            <w:pPr>
              <w:ind w:left="320"/>
              <w:spacing w:after="0"/>
              <w:rPr>
                <w:sz w:val="20"/>
                <w:szCs w:val="20"/>
                <w:color w:val="auto"/>
              </w:rPr>
            </w:pPr>
            <w:r>
              <w:rPr>
                <w:rFonts w:ascii="Arial" w:cs="Arial" w:eastAsia="Arial" w:hAnsi="Arial"/>
                <w:sz w:val="20"/>
                <w:szCs w:val="20"/>
                <w:color w:val="auto"/>
              </w:rPr>
              <w:t>Credit Agreement:</w:t>
            </w:r>
          </w:p>
        </w:tc>
        <w:tc>
          <w:tcPr>
            <w:tcW w:w="7880" w:type="dxa"/>
            <w:vAlign w:val="bottom"/>
          </w:tcPr>
          <w:p>
            <w:pPr>
              <w:ind w:left="40"/>
              <w:spacing w:after="0"/>
              <w:rPr>
                <w:sz w:val="20"/>
                <w:szCs w:val="20"/>
                <w:color w:val="auto"/>
              </w:rPr>
            </w:pPr>
            <w:r>
              <w:rPr>
                <w:rFonts w:ascii="Arial" w:cs="Arial" w:eastAsia="Arial" w:hAnsi="Arial"/>
                <w:sz w:val="20"/>
                <w:szCs w:val="20"/>
                <w:color w:val="auto"/>
                <w:w w:val="99"/>
              </w:rPr>
              <w:t>The Credit Agreement dated as of November 8, 2016 among Winnebago Industries, Inc.,</w:t>
            </w:r>
          </w:p>
        </w:tc>
      </w:tr>
      <w:tr>
        <w:trPr>
          <w:trHeight w:val="230"/>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20"/>
                <w:szCs w:val="20"/>
                <w:color w:val="auto"/>
                <w:w w:val="94"/>
              </w:rPr>
              <w:t>Winnebago of Indiana, LLC and Grand Design RV, LLC, as Borrowers, the other Loan Parties</w:t>
            </w:r>
          </w:p>
        </w:tc>
      </w:tr>
      <w:tr>
        <w:trPr>
          <w:trHeight w:val="230"/>
        </w:trPr>
        <w:tc>
          <w:tcPr>
            <w:tcW w:w="4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7880" w:type="dxa"/>
            <w:vAlign w:val="bottom"/>
          </w:tcPr>
          <w:p>
            <w:pPr>
              <w:ind w:left="40"/>
              <w:spacing w:after="0"/>
              <w:rPr>
                <w:sz w:val="20"/>
                <w:szCs w:val="20"/>
                <w:color w:val="auto"/>
              </w:rPr>
            </w:pPr>
            <w:r>
              <w:rPr>
                <w:rFonts w:ascii="Arial" w:cs="Arial" w:eastAsia="Arial" w:hAnsi="Arial"/>
                <w:sz w:val="20"/>
                <w:szCs w:val="20"/>
                <w:color w:val="auto"/>
                <w:w w:val="89"/>
              </w:rPr>
              <w:t>from time to time parties thereto, the Lenders parties thereto, and JPMorgan Chase Bank, N.A., as</w:t>
            </w:r>
          </w:p>
        </w:tc>
      </w:tr>
      <w:tr>
        <w:trPr>
          <w:trHeight w:val="250"/>
        </w:trPr>
        <w:tc>
          <w:tcPr>
            <w:tcW w:w="4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7880" w:type="dxa"/>
            <w:vAlign w:val="bottom"/>
          </w:tcPr>
          <w:p>
            <w:pPr>
              <w:ind w:left="40"/>
              <w:spacing w:after="0"/>
              <w:rPr>
                <w:sz w:val="20"/>
                <w:szCs w:val="20"/>
                <w:color w:val="auto"/>
              </w:rPr>
            </w:pPr>
            <w:r>
              <w:rPr>
                <w:rFonts w:ascii="Arial" w:cs="Arial" w:eastAsia="Arial" w:hAnsi="Arial"/>
                <w:sz w:val="20"/>
                <w:szCs w:val="20"/>
                <w:color w:val="auto"/>
              </w:rPr>
              <w:t>Administrative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22466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20" w:hanging="85"/>
        <w:spacing w:after="0"/>
        <w:tabs>
          <w:tab w:leader="none" w:pos="120" w:val="left"/>
        </w:tabs>
        <w:numPr>
          <w:ilvl w:val="0"/>
          <w:numId w:val="379"/>
        </w:numPr>
        <w:rPr>
          <w:rFonts w:ascii="Arial" w:cs="Arial" w:eastAsia="Arial" w:hAnsi="Arial"/>
          <w:sz w:val="22"/>
          <w:szCs w:val="22"/>
          <w:color w:val="auto"/>
          <w:vertAlign w:val="superscript"/>
        </w:rPr>
      </w:pPr>
      <w:r>
        <w:rPr>
          <w:rFonts w:ascii="Arial" w:cs="Arial" w:eastAsia="Arial" w:hAnsi="Arial"/>
          <w:sz w:val="17"/>
          <w:szCs w:val="17"/>
          <w:color w:val="auto"/>
        </w:rPr>
        <w:t>Select as applicable.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320" w:name="page321"/>
    <w:bookmarkEnd w:id="320"/>
    <w:tbl>
      <w:tblPr>
        <w:tblLayout w:type="fixed"/>
        <w:tblInd w:w="10" w:type="dxa"/>
        <w:tblCellMar>
          <w:top w:w="0" w:type="dxa"/>
          <w:left w:w="0" w:type="dxa"/>
          <w:bottom w:w="0" w:type="dxa"/>
          <w:right w:w="0" w:type="dxa"/>
        </w:tblCellMar>
      </w:tblPr>
      <w:tr>
        <w:trPr>
          <w:trHeight w:val="250"/>
        </w:trPr>
        <w:tc>
          <w:tcPr>
            <w:tcW w:w="520" w:type="dxa"/>
            <w:vAlign w:val="bottom"/>
          </w:tcPr>
          <w:p>
            <w:pPr>
              <w:ind w:left="40"/>
              <w:spacing w:after="0"/>
              <w:rPr>
                <w:sz w:val="20"/>
                <w:szCs w:val="20"/>
                <w:color w:val="auto"/>
              </w:rPr>
            </w:pPr>
            <w:r>
              <w:rPr>
                <w:rFonts w:ascii="Arial" w:cs="Arial" w:eastAsia="Arial" w:hAnsi="Arial"/>
                <w:sz w:val="20"/>
                <w:szCs w:val="20"/>
                <w:color w:val="auto"/>
              </w:rPr>
              <w:t>6.</w:t>
            </w:r>
          </w:p>
        </w:tc>
        <w:tc>
          <w:tcPr>
            <w:tcW w:w="3400" w:type="dxa"/>
            <w:vAlign w:val="bottom"/>
          </w:tcPr>
          <w:p>
            <w:pPr>
              <w:ind w:left="320"/>
              <w:spacing w:after="0"/>
              <w:rPr>
                <w:sz w:val="20"/>
                <w:szCs w:val="20"/>
                <w:color w:val="auto"/>
              </w:rPr>
            </w:pPr>
            <w:r>
              <w:rPr>
                <w:rFonts w:ascii="Arial" w:cs="Arial" w:eastAsia="Arial" w:hAnsi="Arial"/>
                <w:sz w:val="20"/>
                <w:szCs w:val="20"/>
                <w:color w:val="auto"/>
              </w:rPr>
              <w:t>Assigned Interest:</w:t>
            </w:r>
          </w:p>
        </w:tc>
        <w:tc>
          <w:tcPr>
            <w:tcW w:w="376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66"/>
        </w:trPr>
        <w:tc>
          <w:tcPr>
            <w:tcW w:w="520" w:type="dxa"/>
            <w:vAlign w:val="bottom"/>
            <w:tcBorders>
              <w:bottom w:val="single" w:sz="8" w:color="auto"/>
            </w:tcBorders>
          </w:tcPr>
          <w:p>
            <w:pPr>
              <w:spacing w:after="0"/>
              <w:rPr>
                <w:sz w:val="23"/>
                <w:szCs w:val="23"/>
                <w:color w:val="auto"/>
              </w:rPr>
            </w:pPr>
          </w:p>
        </w:tc>
        <w:tc>
          <w:tcPr>
            <w:tcW w:w="340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tcPr>
          <w:p>
            <w:pPr>
              <w:spacing w:after="0"/>
              <w:rPr>
                <w:sz w:val="23"/>
                <w:szCs w:val="23"/>
                <w:color w:val="auto"/>
              </w:rPr>
            </w:pPr>
          </w:p>
        </w:tc>
      </w:tr>
      <w:tr>
        <w:trPr>
          <w:trHeight w:val="222"/>
        </w:trPr>
        <w:tc>
          <w:tcPr>
            <w:tcW w:w="520" w:type="dxa"/>
            <w:vAlign w:val="bottom"/>
            <w:tcBorders>
              <w:left w:val="single" w:sz="8" w:color="auto"/>
            </w:tcBorders>
          </w:tcPr>
          <w:p>
            <w:pPr>
              <w:spacing w:after="0"/>
              <w:rPr>
                <w:sz w:val="19"/>
                <w:szCs w:val="19"/>
                <w:color w:val="auto"/>
              </w:rPr>
            </w:pPr>
          </w:p>
        </w:tc>
        <w:tc>
          <w:tcPr>
            <w:tcW w:w="3400" w:type="dxa"/>
            <w:vAlign w:val="bottom"/>
            <w:tcBorders>
              <w:right w:val="single" w:sz="8" w:color="auto"/>
            </w:tcBorders>
          </w:tcPr>
          <w:p>
            <w:pPr>
              <w:jc w:val="center"/>
              <w:ind w:right="448"/>
              <w:spacing w:after="0"/>
              <w:rPr>
                <w:sz w:val="20"/>
                <w:szCs w:val="20"/>
                <w:color w:val="auto"/>
              </w:rPr>
            </w:pPr>
            <w:r>
              <w:rPr>
                <w:rFonts w:ascii="Arial" w:cs="Arial" w:eastAsia="Arial" w:hAnsi="Arial"/>
                <w:sz w:val="18"/>
                <w:szCs w:val="18"/>
                <w:color w:val="auto"/>
                <w:w w:val="92"/>
              </w:rPr>
              <w:t>Aggregate Amount of</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Amount of</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Percentage Assigned</w:t>
            </w:r>
          </w:p>
        </w:tc>
      </w:tr>
      <w:tr>
        <w:trPr>
          <w:trHeight w:val="216"/>
        </w:trPr>
        <w:tc>
          <w:tcPr>
            <w:tcW w:w="520" w:type="dxa"/>
            <w:vAlign w:val="bottom"/>
            <w:tcBorders>
              <w:left w:val="single" w:sz="8" w:color="auto"/>
            </w:tcBorders>
          </w:tcPr>
          <w:p>
            <w:pPr>
              <w:spacing w:after="0"/>
              <w:rPr>
                <w:sz w:val="18"/>
                <w:szCs w:val="18"/>
                <w:color w:val="auto"/>
              </w:rPr>
            </w:pPr>
          </w:p>
        </w:tc>
        <w:tc>
          <w:tcPr>
            <w:tcW w:w="3400" w:type="dxa"/>
            <w:vAlign w:val="bottom"/>
            <w:tcBorders>
              <w:right w:val="single" w:sz="8" w:color="auto"/>
            </w:tcBorders>
          </w:tcPr>
          <w:p>
            <w:pPr>
              <w:jc w:val="center"/>
              <w:ind w:right="428"/>
              <w:spacing w:after="0"/>
              <w:rPr>
                <w:sz w:val="20"/>
                <w:szCs w:val="20"/>
                <w:color w:val="auto"/>
              </w:rPr>
            </w:pPr>
            <w:r>
              <w:rPr>
                <w:rFonts w:ascii="Arial" w:cs="Arial" w:eastAsia="Arial" w:hAnsi="Arial"/>
                <w:sz w:val="18"/>
                <w:szCs w:val="18"/>
                <w:color w:val="auto"/>
                <w:w w:val="93"/>
              </w:rPr>
              <w:t>Commitment/Loans for all</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Commitment/Loans</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w:t>
            </w:r>
          </w:p>
        </w:tc>
      </w:tr>
      <w:tr>
        <w:trPr>
          <w:trHeight w:val="257"/>
        </w:trPr>
        <w:tc>
          <w:tcPr>
            <w:tcW w:w="520" w:type="dxa"/>
            <w:vAlign w:val="bottom"/>
            <w:tcBorders>
              <w:left w:val="single" w:sz="8" w:color="auto"/>
              <w:bottom w:val="single" w:sz="8" w:color="auto"/>
            </w:tcBorders>
          </w:tcPr>
          <w:p>
            <w:pPr>
              <w:spacing w:after="0"/>
              <w:rPr>
                <w:sz w:val="22"/>
                <w:szCs w:val="22"/>
                <w:color w:val="auto"/>
              </w:rPr>
            </w:pPr>
          </w:p>
        </w:tc>
        <w:tc>
          <w:tcPr>
            <w:tcW w:w="3400" w:type="dxa"/>
            <w:vAlign w:val="bottom"/>
            <w:tcBorders>
              <w:bottom w:val="single" w:sz="8" w:color="auto"/>
              <w:right w:val="single" w:sz="8" w:color="auto"/>
            </w:tcBorders>
          </w:tcPr>
          <w:p>
            <w:pPr>
              <w:jc w:val="center"/>
              <w:ind w:right="448"/>
              <w:spacing w:after="0"/>
              <w:rPr>
                <w:sz w:val="20"/>
                <w:szCs w:val="20"/>
                <w:color w:val="auto"/>
              </w:rPr>
            </w:pPr>
            <w:r>
              <w:rPr>
                <w:rFonts w:ascii="Arial" w:cs="Arial" w:eastAsia="Arial" w:hAnsi="Arial"/>
                <w:sz w:val="18"/>
                <w:szCs w:val="18"/>
                <w:color w:val="auto"/>
                <w:w w:val="89"/>
              </w:rPr>
              <w:t>Lenders</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Assigned</w:t>
            </w:r>
          </w:p>
        </w:tc>
        <w:tc>
          <w:tcPr>
            <w:tcW w:w="3760" w:type="dxa"/>
            <w:vAlign w:val="bottom"/>
            <w:tcBorders>
              <w:bottom w:val="single" w:sz="8" w:color="auto"/>
              <w:right w:val="single" w:sz="8" w:color="auto"/>
            </w:tcBorders>
          </w:tcPr>
          <w:p>
            <w:pPr>
              <w:jc w:val="center"/>
              <w:spacing w:after="0" w:line="257" w:lineRule="exact"/>
              <w:rPr>
                <w:sz w:val="20"/>
                <w:szCs w:val="20"/>
                <w:color w:val="auto"/>
              </w:rPr>
            </w:pPr>
            <w:r>
              <w:rPr>
                <w:rFonts w:ascii="Arial" w:cs="Arial" w:eastAsia="Arial" w:hAnsi="Arial"/>
                <w:sz w:val="18"/>
                <w:szCs w:val="18"/>
                <w:color w:val="auto"/>
                <w:w w:val="90"/>
              </w:rPr>
              <w:t>Commitment Loans</w:t>
            </w:r>
            <w:r>
              <w:rPr>
                <w:rFonts w:ascii="Arial" w:cs="Arial" w:eastAsia="Arial" w:hAnsi="Arial"/>
                <w:sz w:val="25"/>
                <w:szCs w:val="25"/>
                <w:color w:val="auto"/>
                <w:w w:val="90"/>
                <w:vertAlign w:val="superscript"/>
              </w:rPr>
              <w:t>2</w:t>
            </w:r>
          </w:p>
        </w:tc>
      </w:tr>
      <w:tr>
        <w:trPr>
          <w:trHeight w:val="237"/>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right"/>
              <w:ind w:right="3570"/>
              <w:spacing w:after="0"/>
              <w:rPr>
                <w:sz w:val="20"/>
                <w:szCs w:val="20"/>
                <w:color w:val="auto"/>
              </w:rPr>
            </w:pPr>
            <w:r>
              <w:rPr>
                <w:rFonts w:ascii="Arial" w:cs="Arial" w:eastAsia="Arial" w:hAnsi="Arial"/>
                <w:sz w:val="18"/>
                <w:szCs w:val="18"/>
                <w:color w:val="auto"/>
                <w:w w:val="79"/>
              </w:rPr>
              <w:t>$</w:t>
            </w:r>
          </w:p>
        </w:tc>
        <w:tc>
          <w:tcPr>
            <w:tcW w:w="3760" w:type="dxa"/>
            <w:vAlign w:val="bottom"/>
            <w:tcBorders>
              <w:right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Borders>
              <w:left w:val="single" w:sz="8" w:color="auto"/>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right"/>
              <w:ind w:right="3570"/>
              <w:spacing w:after="0"/>
              <w:rPr>
                <w:sz w:val="20"/>
                <w:szCs w:val="20"/>
                <w:color w:val="auto"/>
              </w:rPr>
            </w:pPr>
            <w:r>
              <w:rPr>
                <w:rFonts w:ascii="Arial" w:cs="Arial" w:eastAsia="Arial" w:hAnsi="Arial"/>
                <w:sz w:val="18"/>
                <w:szCs w:val="18"/>
                <w:color w:val="auto"/>
                <w:w w:val="79"/>
              </w:rPr>
              <w:t>$</w:t>
            </w:r>
          </w:p>
        </w:tc>
        <w:tc>
          <w:tcPr>
            <w:tcW w:w="3760" w:type="dxa"/>
            <w:vAlign w:val="bottom"/>
            <w:tcBorders>
              <w:right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Borders>
              <w:left w:val="single" w:sz="8" w:color="auto"/>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r>
        <w:trPr>
          <w:trHeight w:val="237"/>
        </w:trPr>
        <w:tc>
          <w:tcPr>
            <w:tcW w:w="52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400" w:type="dxa"/>
            <w:vAlign w:val="bottom"/>
            <w:tcBorders>
              <w:right w:val="single" w:sz="8" w:color="auto"/>
            </w:tcBorders>
          </w:tcPr>
          <w:p>
            <w:pPr>
              <w:spacing w:after="0"/>
              <w:rPr>
                <w:sz w:val="20"/>
                <w:szCs w:val="20"/>
                <w:color w:val="auto"/>
              </w:rPr>
            </w:pPr>
          </w:p>
        </w:tc>
        <w:tc>
          <w:tcPr>
            <w:tcW w:w="3760" w:type="dxa"/>
            <w:vAlign w:val="bottom"/>
            <w:tcBorders>
              <w:right w:val="single" w:sz="8" w:color="auto"/>
            </w:tcBorders>
          </w:tcPr>
          <w:p>
            <w:pPr>
              <w:jc w:val="right"/>
              <w:ind w:right="3570"/>
              <w:spacing w:after="0"/>
              <w:rPr>
                <w:sz w:val="20"/>
                <w:szCs w:val="20"/>
                <w:color w:val="auto"/>
              </w:rPr>
            </w:pPr>
            <w:r>
              <w:rPr>
                <w:rFonts w:ascii="Arial" w:cs="Arial" w:eastAsia="Arial" w:hAnsi="Arial"/>
                <w:sz w:val="18"/>
                <w:szCs w:val="18"/>
                <w:color w:val="auto"/>
                <w:w w:val="79"/>
              </w:rPr>
              <w:t>$</w:t>
            </w:r>
          </w:p>
        </w:tc>
        <w:tc>
          <w:tcPr>
            <w:tcW w:w="3760" w:type="dxa"/>
            <w:vAlign w:val="bottom"/>
            <w:tcBorders>
              <w:right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r>
      <w:tr>
        <w:trPr>
          <w:trHeight w:val="27"/>
        </w:trPr>
        <w:tc>
          <w:tcPr>
            <w:tcW w:w="520" w:type="dxa"/>
            <w:vAlign w:val="bottom"/>
            <w:tcBorders>
              <w:left w:val="single" w:sz="8" w:color="auto"/>
              <w:bottom w:val="single" w:sz="8" w:color="auto"/>
            </w:tcBorders>
          </w:tcPr>
          <w:p>
            <w:pPr>
              <w:spacing w:after="0"/>
              <w:rPr>
                <w:sz w:val="2"/>
                <w:szCs w:val="2"/>
                <w:color w:val="auto"/>
              </w:rPr>
            </w:pPr>
          </w:p>
        </w:tc>
        <w:tc>
          <w:tcPr>
            <w:tcW w:w="340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c>
          <w:tcPr>
            <w:tcW w:w="3760" w:type="dxa"/>
            <w:vAlign w:val="bottom"/>
            <w:tcBorders>
              <w:bottom w:val="single" w:sz="8" w:color="auto"/>
              <w:right w:val="single" w:sz="8" w:color="auto"/>
            </w:tcBorders>
          </w:tcPr>
          <w:p>
            <w:pPr>
              <w:spacing w:after="0"/>
              <w:rPr>
                <w:sz w:val="2"/>
                <w:szCs w:val="2"/>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_____________ ___, 20___ [TO BE INSERTED BY ADMINISTRATIVE AGENT AND WHICH SHALL BE THE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EFFECTIVE DATE OF RECORDATION OF TRANSFER IN THE REGISTER THEREFOR.]</w:t>
      </w:r>
    </w:p>
    <w:p>
      <w:pPr>
        <w:spacing w:after="0" w:line="20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and Assumption are hereby agreed to:</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20"/>
          <w:szCs w:val="20"/>
          <w:u w:val="single" w:color="auto"/>
          <w:color w:val="auto"/>
        </w:rPr>
        <w:t>ASSIGNOR</w:t>
      </w:r>
    </w:p>
    <w:p>
      <w:pPr>
        <w:spacing w:after="0" w:line="33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OF ASSIGNOR]</w:t>
      </w:r>
    </w:p>
    <w:p>
      <w:pPr>
        <w:spacing w:after="0" w:line="337" w:lineRule="exact"/>
        <w:rPr>
          <w:sz w:val="20"/>
          <w:szCs w:val="20"/>
          <w:color w:val="auto"/>
        </w:rPr>
      </w:pPr>
    </w:p>
    <w:p>
      <w:pPr>
        <w:jc w:val="center"/>
        <w:ind w:right="5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27305</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Title:</w:t>
      </w:r>
    </w:p>
    <w:p>
      <w:pPr>
        <w:spacing w:after="0" w:line="337" w:lineRule="exact"/>
        <w:rPr>
          <w:sz w:val="20"/>
          <w:szCs w:val="20"/>
          <w:color w:val="auto"/>
        </w:rPr>
      </w:pPr>
    </w:p>
    <w:p>
      <w:pPr>
        <w:jc w:val="center"/>
        <w:ind w:right="-99"/>
        <w:spacing w:after="0"/>
        <w:rPr>
          <w:sz w:val="20"/>
          <w:szCs w:val="20"/>
          <w:color w:val="auto"/>
        </w:rPr>
      </w:pPr>
      <w:r>
        <w:rPr>
          <w:rFonts w:ascii="Arial" w:cs="Arial" w:eastAsia="Arial" w:hAnsi="Arial"/>
          <w:sz w:val="20"/>
          <w:szCs w:val="20"/>
          <w:u w:val="single" w:color="auto"/>
          <w:color w:val="auto"/>
        </w:rPr>
        <w:t>ASSIGNEE</w:t>
      </w:r>
    </w:p>
    <w:p>
      <w:pPr>
        <w:spacing w:after="0" w:line="33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OF ASSIGNEE]</w:t>
      </w:r>
    </w:p>
    <w:p>
      <w:pPr>
        <w:spacing w:after="0" w:line="337" w:lineRule="exact"/>
        <w:rPr>
          <w:sz w:val="20"/>
          <w:szCs w:val="20"/>
          <w:color w:val="auto"/>
        </w:rPr>
      </w:pPr>
    </w:p>
    <w:p>
      <w:pPr>
        <w:jc w:val="center"/>
        <w:ind w:right="5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27305</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7" w:lineRule="exact"/>
        <w:rPr>
          <w:sz w:val="20"/>
          <w:szCs w:val="20"/>
          <w:color w:val="auto"/>
        </w:rPr>
      </w:pPr>
    </w:p>
    <w:p>
      <w:pPr>
        <w:ind w:left="5980"/>
        <w:spacing w:after="0"/>
        <w:rPr>
          <w:sz w:val="20"/>
          <w:szCs w:val="20"/>
          <w:color w:val="auto"/>
        </w:rPr>
      </w:pPr>
      <w:r>
        <w:rPr>
          <w:rFonts w:ascii="Arial" w:cs="Arial" w:eastAsia="Arial" w:hAnsi="Arial"/>
          <w:sz w:val="20"/>
          <w:szCs w:val="20"/>
          <w:color w:val="auto"/>
        </w:rPr>
        <w:t>Title: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0"/>
          <w:szCs w:val="20"/>
          <w:color w:val="auto"/>
        </w:rPr>
        <w:t>Consented to and Accepted:</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color w:val="auto"/>
        </w:rPr>
        <w:t>JPMORGAN CHASE BANK, N.A., as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Administrative Agent, an Issuing Bank and Swingline Lender</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84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20"/>
          <w:szCs w:val="20"/>
          <w:color w:val="auto"/>
        </w:rPr>
        <w:t>[__________], as an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0"/>
          <w:szCs w:val="20"/>
          <w:color w:val="auto"/>
        </w:rPr>
        <w:t>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5660" w:right="3320" w:hanging="5625"/>
        <w:spacing w:after="0" w:line="482" w:lineRule="auto"/>
        <w:tabs>
          <w:tab w:leader="none" w:pos="143" w:val="left"/>
        </w:tabs>
        <w:numPr>
          <w:ilvl w:val="0"/>
          <w:numId w:val="380"/>
        </w:numPr>
        <w:rPr>
          <w:rFonts w:ascii="Arial" w:cs="Arial" w:eastAsia="Arial" w:hAnsi="Arial"/>
          <w:sz w:val="25"/>
          <w:szCs w:val="25"/>
          <w:color w:val="auto"/>
          <w:vertAlign w:val="superscript"/>
        </w:rPr>
      </w:pPr>
      <w:r>
        <w:rPr>
          <w:rFonts w:ascii="Arial" w:cs="Arial" w:eastAsia="Arial" w:hAnsi="Arial"/>
          <w:sz w:val="20"/>
          <w:szCs w:val="20"/>
          <w:color w:val="auto"/>
        </w:rPr>
        <w:t>Set forth, to at least 9 decimals, as a percentage of the Commitment/Loans of all Lenders thereunder. 2</w:t>
      </w:r>
    </w:p>
    <w:p>
      <w:pPr>
        <w:sectPr>
          <w:pgSz w:w="11900" w:h="16838" w:orient="portrait"/>
          <w:cols w:equalWidth="0" w:num="1">
            <w:col w:w="11440"/>
          </w:cols>
          <w:pgMar w:left="240" w:top="974" w:right="219" w:bottom="1440" w:gutter="0" w:footer="0" w:header="0"/>
        </w:sectPr>
      </w:pPr>
    </w:p>
    <w:bookmarkStart w:id="321" w:name="page322"/>
    <w:bookmarkEnd w:id="321"/>
    <w:p>
      <w:pPr>
        <w:ind w:left="5"/>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805"/>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
        <w:spacing w:after="0"/>
        <w:rPr>
          <w:sz w:val="20"/>
          <w:szCs w:val="20"/>
          <w:color w:val="auto"/>
        </w:rPr>
      </w:pPr>
      <w:r>
        <w:rPr>
          <w:rFonts w:ascii="Arial" w:cs="Arial" w:eastAsia="Arial" w:hAnsi="Arial"/>
          <w:sz w:val="20"/>
          <w:szCs w:val="20"/>
          <w:color w:val="auto"/>
        </w:rPr>
        <w:t>[Consented to:]</w:t>
      </w:r>
      <w:r>
        <w:rPr>
          <w:rFonts w:ascii="Arial" w:cs="Arial" w:eastAsia="Arial" w:hAnsi="Arial"/>
          <w:sz w:val="25"/>
          <w:szCs w:val="25"/>
          <w:color w:val="auto"/>
          <w:vertAlign w:val="superscript"/>
        </w:rPr>
        <w:t>3</w:t>
      </w:r>
    </w:p>
    <w:p>
      <w:pPr>
        <w:spacing w:after="0" w:line="334" w:lineRule="exact"/>
        <w:rPr>
          <w:sz w:val="20"/>
          <w:szCs w:val="20"/>
          <w:color w:val="auto"/>
        </w:rPr>
      </w:pPr>
    </w:p>
    <w:p>
      <w:pPr>
        <w:ind w:left="5"/>
        <w:spacing w:after="0"/>
        <w:rPr>
          <w:sz w:val="20"/>
          <w:szCs w:val="20"/>
          <w:color w:val="auto"/>
        </w:rPr>
      </w:pPr>
      <w:r>
        <w:rPr>
          <w:rFonts w:ascii="Arial" w:cs="Arial" w:eastAsia="Arial" w:hAnsi="Arial"/>
          <w:sz w:val="20"/>
          <w:szCs w:val="20"/>
          <w:color w:val="auto"/>
        </w:rPr>
        <w:t>WINNEBAGO INDUSTRIES, INC.</w:t>
      </w:r>
    </w:p>
    <w:p>
      <w:pPr>
        <w:spacing w:after="0" w:line="391" w:lineRule="exact"/>
        <w:rPr>
          <w:sz w:val="20"/>
          <w:szCs w:val="20"/>
          <w:color w:val="auto"/>
        </w:rPr>
      </w:pPr>
    </w:p>
    <w:p>
      <w:pPr>
        <w:ind w:left="5"/>
        <w:spacing w:after="0"/>
        <w:rPr>
          <w:sz w:val="20"/>
          <w:szCs w:val="20"/>
          <w:color w:val="auto"/>
        </w:rPr>
      </w:pPr>
      <w:r>
        <w:rPr>
          <w:rFonts w:ascii="Arial" w:cs="Arial" w:eastAsia="Arial" w:hAnsi="Arial"/>
          <w:sz w:val="20"/>
          <w:szCs w:val="20"/>
          <w:color w:val="auto"/>
        </w:rPr>
        <w:t>By:</w:t>
      </w:r>
    </w:p>
    <w:p>
      <w:pPr>
        <w:spacing w:after="0" w:line="54" w:lineRule="exact"/>
        <w:rPr>
          <w:sz w:val="20"/>
          <w:szCs w:val="20"/>
          <w:color w:val="auto"/>
        </w:rPr>
      </w:pPr>
    </w:p>
    <w:p>
      <w:pPr>
        <w:ind w:left="805"/>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5173345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85" w:hanging="85"/>
        <w:spacing w:after="0"/>
        <w:tabs>
          <w:tab w:leader="none" w:pos="85" w:val="left"/>
        </w:tabs>
        <w:numPr>
          <w:ilvl w:val="0"/>
          <w:numId w:val="381"/>
        </w:numPr>
        <w:rPr>
          <w:rFonts w:ascii="Arial" w:cs="Arial" w:eastAsia="Arial" w:hAnsi="Arial"/>
          <w:sz w:val="22"/>
          <w:szCs w:val="22"/>
          <w:color w:val="auto"/>
          <w:vertAlign w:val="superscript"/>
        </w:rPr>
      </w:pPr>
      <w:r>
        <w:rPr>
          <w:rFonts w:ascii="Arial" w:cs="Arial" w:eastAsia="Arial" w:hAnsi="Arial"/>
          <w:sz w:val="17"/>
          <w:szCs w:val="17"/>
          <w:color w:val="auto"/>
        </w:rPr>
        <w:t>To be added only if the consent of the Borrower Representative is required by the terms of the Credit Agreement.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48" w:lineRule="exact"/>
        <w:rPr>
          <w:rFonts w:ascii="Arial" w:cs="Arial" w:eastAsia="Arial" w:hAnsi="Arial"/>
          <w:sz w:val="22"/>
          <w:szCs w:val="22"/>
          <w:color w:val="auto"/>
          <w:vertAlign w:val="superscript"/>
        </w:rPr>
      </w:pPr>
    </w:p>
    <w:p>
      <w:pPr>
        <w:ind w:left="5625"/>
        <w:spacing w:after="0"/>
        <w:rPr>
          <w:rFonts w:ascii="Arial" w:cs="Arial" w:eastAsia="Arial" w:hAnsi="Arial"/>
          <w:sz w:val="22"/>
          <w:szCs w:val="22"/>
          <w:color w:val="auto"/>
          <w:vertAlign w:val="superscript"/>
        </w:rPr>
      </w:pPr>
      <w:r>
        <w:rPr>
          <w:rFonts w:ascii="Arial" w:cs="Arial" w:eastAsia="Arial" w:hAnsi="Arial"/>
          <w:sz w:val="20"/>
          <w:szCs w:val="20"/>
          <w:color w:val="auto"/>
        </w:rPr>
        <w:t>3</w:t>
      </w:r>
    </w:p>
    <w:p>
      <w:pPr>
        <w:sectPr>
          <w:pgSz w:w="11900" w:h="16838" w:orient="portrait"/>
          <w:cols w:equalWidth="0" w:num="1">
            <w:col w:w="10184"/>
          </w:cols>
          <w:pgMar w:left="275" w:top="974" w:right="1440" w:bottom="1440" w:gutter="0" w:footer="0" w:header="0"/>
        </w:sectPr>
      </w:pPr>
    </w:p>
    <w:bookmarkStart w:id="322" w:name="page323"/>
    <w:bookmarkEnd w:id="322"/>
    <w:p>
      <w:pPr>
        <w:jc w:val="right"/>
        <w:spacing w:after="0"/>
        <w:rPr>
          <w:sz w:val="20"/>
          <w:szCs w:val="20"/>
          <w:color w:val="auto"/>
        </w:rPr>
      </w:pPr>
      <w:r>
        <w:rPr>
          <w:rFonts w:ascii="Arial" w:cs="Arial" w:eastAsia="Arial" w:hAnsi="Arial"/>
          <w:sz w:val="20"/>
          <w:szCs w:val="20"/>
          <w:color w:val="auto"/>
        </w:rPr>
        <w:t>ANNEX I</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AND ASSUMPTION</w:t>
      </w:r>
    </w:p>
    <w:p>
      <w:pPr>
        <w:spacing w:after="0" w:line="216" w:lineRule="exact"/>
        <w:rPr>
          <w:sz w:val="20"/>
          <w:szCs w:val="20"/>
          <w:color w:val="auto"/>
        </w:rPr>
      </w:pPr>
    </w:p>
    <w:p>
      <w:pPr>
        <w:ind w:left="1500" w:hanging="195"/>
        <w:spacing w:after="0"/>
        <w:tabs>
          <w:tab w:leader="none" w:pos="1500" w:val="left"/>
        </w:tabs>
        <w:numPr>
          <w:ilvl w:val="0"/>
          <w:numId w:val="38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w:t>
      </w:r>
    </w:p>
    <w:p>
      <w:pPr>
        <w:spacing w:after="0" w:line="39" w:lineRule="exact"/>
        <w:rPr>
          <w:sz w:val="20"/>
          <w:szCs w:val="20"/>
          <w:color w:val="auto"/>
        </w:rPr>
      </w:pPr>
    </w:p>
    <w:p>
      <w:pPr>
        <w:jc w:val="both"/>
        <w:ind w:firstLine="8"/>
        <w:spacing w:after="0" w:line="255" w:lineRule="auto"/>
        <w:tabs>
          <w:tab w:leader="none" w:pos="310" w:val="left"/>
        </w:tabs>
        <w:numPr>
          <w:ilvl w:val="0"/>
          <w:numId w:val="383"/>
        </w:numPr>
        <w:rPr>
          <w:rFonts w:ascii="Arial" w:cs="Arial" w:eastAsia="Arial" w:hAnsi="Arial"/>
          <w:sz w:val="19"/>
          <w:szCs w:val="19"/>
          <w:color w:val="auto"/>
        </w:rPr>
      </w:pPr>
      <w:r>
        <w:rPr>
          <w:rFonts w:ascii="Arial" w:cs="Arial" w:eastAsia="Arial" w:hAnsi="Arial"/>
          <w:sz w:val="19"/>
          <w:szCs w:val="19"/>
          <w:color w:val="auto"/>
        </w:rPr>
        <w:t>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8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w:t>
      </w:r>
    </w:p>
    <w:p>
      <w:pPr>
        <w:spacing w:after="0" w:line="4" w:lineRule="exact"/>
        <w:rPr>
          <w:sz w:val="20"/>
          <w:szCs w:val="20"/>
          <w:color w:val="auto"/>
        </w:rPr>
      </w:pPr>
    </w:p>
    <w:p>
      <w:pPr>
        <w:jc w:val="both"/>
        <w:ind w:firstLine="8"/>
        <w:spacing w:after="0" w:line="254" w:lineRule="auto"/>
        <w:tabs>
          <w:tab w:leader="none" w:pos="376" w:val="left"/>
        </w:tabs>
        <w:numPr>
          <w:ilvl w:val="0"/>
          <w:numId w:val="384"/>
        </w:numPr>
        <w:rPr>
          <w:rFonts w:ascii="Arial" w:cs="Arial" w:eastAsia="Arial" w:hAnsi="Arial"/>
          <w:sz w:val="19"/>
          <w:szCs w:val="19"/>
          <w:color w:val="auto"/>
        </w:rPr>
      </w:pPr>
      <w:r>
        <w:rPr>
          <w:rFonts w:ascii="Arial" w:cs="Arial" w:eastAsia="Arial" w:hAnsi="Arial"/>
          <w:sz w:val="19"/>
          <w:szCs w:val="19"/>
          <w:color w:val="auto"/>
        </w:rPr>
        <w:t>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5" w:lineRule="exact"/>
        <w:rPr>
          <w:rFonts w:ascii="Arial" w:cs="Arial" w:eastAsia="Arial" w:hAnsi="Arial"/>
          <w:sz w:val="19"/>
          <w:szCs w:val="19"/>
          <w:color w:val="auto"/>
        </w:rPr>
      </w:pPr>
    </w:p>
    <w:p>
      <w:pPr>
        <w:jc w:val="both"/>
        <w:ind w:firstLine="1305"/>
        <w:spacing w:after="0" w:line="269" w:lineRule="auto"/>
        <w:tabs>
          <w:tab w:leader="none" w:pos="1494" w:val="left"/>
        </w:tabs>
        <w:numPr>
          <w:ilvl w:val="1"/>
          <w:numId w:val="384"/>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70" w:lineRule="exact"/>
        <w:rPr>
          <w:rFonts w:ascii="Arial" w:cs="Arial" w:eastAsia="Arial" w:hAnsi="Arial"/>
          <w:sz w:val="19"/>
          <w:szCs w:val="19"/>
          <w:color w:val="auto"/>
        </w:rPr>
      </w:pPr>
    </w:p>
    <w:p>
      <w:pPr>
        <w:jc w:val="both"/>
        <w:ind w:firstLine="1305"/>
        <w:spacing w:after="0" w:line="244" w:lineRule="auto"/>
        <w:tabs>
          <w:tab w:leader="none" w:pos="1494" w:val="left"/>
        </w:tabs>
        <w:numPr>
          <w:ilvl w:val="1"/>
          <w:numId w:val="384"/>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r>
        <w:rPr>
          <w:rFonts w:ascii="Arial" w:cs="Arial" w:eastAsia="Arial" w:hAnsi="Arial"/>
          <w:sz w:val="20"/>
          <w:szCs w:val="20"/>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Electronic System shall be effective as delivery of a manually executed counterpart of</w:t>
      </w:r>
    </w:p>
    <w:p>
      <w:pPr>
        <w:sectPr>
          <w:pgSz w:w="11900" w:h="16838" w:orient="portrait"/>
          <w:cols w:equalWidth="0" w:num="1">
            <w:col w:w="11420"/>
          </w:cols>
          <w:pgMar w:left="240" w:top="811" w:right="239" w:bottom="1440" w:gutter="0" w:footer="0" w:header="0"/>
        </w:sectPr>
      </w:pPr>
    </w:p>
    <w:bookmarkStart w:id="323" w:name="page324"/>
    <w:bookmarkEnd w:id="323"/>
    <w:p>
      <w:pPr>
        <w:spacing w:after="0" w:line="260" w:lineRule="auto"/>
        <w:rPr>
          <w:sz w:val="20"/>
          <w:szCs w:val="20"/>
          <w:color w:val="auto"/>
        </w:rPr>
      </w:pPr>
      <w:r>
        <w:rPr>
          <w:rFonts w:ascii="Arial" w:cs="Arial" w:eastAsia="Arial" w:hAnsi="Arial"/>
          <w:sz w:val="20"/>
          <w:szCs w:val="20"/>
          <w:color w:val="auto"/>
        </w:rPr>
        <w:t>this Assignment and Assumption. This Assignment and Assumption shall be governed by, and construed in accordance with, the law of the State of New York.</w:t>
      </w:r>
    </w:p>
    <w:p>
      <w:pPr>
        <w:sectPr>
          <w:pgSz w:w="11900" w:h="16838" w:orient="portrait"/>
          <w:cols w:equalWidth="0" w:num="1">
            <w:col w:w="11420"/>
          </w:cols>
          <w:pgMar w:left="240" w:top="811" w:right="239" w:bottom="1440" w:gutter="0" w:footer="0" w:header="0"/>
        </w:sectPr>
      </w:pPr>
    </w:p>
    <w:bookmarkStart w:id="324" w:name="page325"/>
    <w:bookmarkEnd w:id="324"/>
    <w:p>
      <w:pPr>
        <w:jc w:val="center"/>
        <w:spacing w:after="0"/>
        <w:rPr>
          <w:sz w:val="20"/>
          <w:szCs w:val="20"/>
          <w:color w:val="auto"/>
        </w:rPr>
      </w:pPr>
      <w:r>
        <w:rPr>
          <w:rFonts w:ascii="Arial" w:cs="Arial" w:eastAsia="Arial" w:hAnsi="Arial"/>
          <w:sz w:val="20"/>
          <w:szCs w:val="20"/>
          <w:color w:val="auto"/>
        </w:rPr>
        <w:t>EXHIBIT B-1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BORROWING BASE CERTIFICATE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811" w:right="1440" w:bottom="1440" w:gutter="0" w:footer="0" w:header="0"/>
        </w:sectPr>
      </w:pPr>
    </w:p>
    <w:bookmarkStart w:id="325" w:name="page326"/>
    <w:bookmarkEnd w:id="325"/>
    <w:p>
      <w:pPr>
        <w:jc w:val="center"/>
        <w:ind w:right="-20"/>
        <w:spacing w:after="0"/>
        <w:rPr>
          <w:sz w:val="20"/>
          <w:szCs w:val="20"/>
          <w:color w:val="auto"/>
        </w:rPr>
      </w:pPr>
      <w:r>
        <w:rPr>
          <w:rFonts w:ascii="Arial" w:cs="Arial" w:eastAsia="Arial" w:hAnsi="Arial"/>
          <w:sz w:val="20"/>
          <w:szCs w:val="20"/>
          <w:color w:val="auto"/>
        </w:rPr>
        <w:t>EXHIBIT B-2</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AGGREGATE BORROWING BASE CERTIFICATE</w:t>
      </w: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[Attached]</w:t>
      </w:r>
    </w:p>
    <w:p>
      <w:pPr>
        <w:sectPr>
          <w:pgSz w:w="11900" w:h="16838" w:orient="portrait"/>
          <w:cols w:equalWidth="0" w:num="1">
            <w:col w:w="9019"/>
          </w:cols>
          <w:pgMar w:left="1440" w:top="811" w:right="1440" w:bottom="1440" w:gutter="0" w:footer="0" w:header="0"/>
        </w:sectPr>
      </w:pPr>
    </w:p>
    <w:bookmarkStart w:id="326" w:name="page327"/>
    <w:bookmarkEnd w:id="326"/>
    <w:p>
      <w:pPr>
        <w:jc w:val="center"/>
        <w:ind w:right="-19"/>
        <w:spacing w:after="0"/>
        <w:rPr>
          <w:sz w:val="20"/>
          <w:szCs w:val="20"/>
          <w:color w:val="auto"/>
        </w:rPr>
      </w:pPr>
      <w:r>
        <w:rPr>
          <w:rFonts w:ascii="Arial" w:cs="Arial" w:eastAsia="Arial" w:hAnsi="Arial"/>
          <w:sz w:val="20"/>
          <w:szCs w:val="20"/>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COMPLIANCE CERTIFICATE</w:t>
      </w:r>
    </w:p>
    <w:p>
      <w:pPr>
        <w:sectPr>
          <w:pgSz w:w="11900" w:h="16838" w:orient="portrait"/>
          <w:cols w:equalWidth="0" w:num="1">
            <w:col w:w="11420"/>
          </w:cols>
          <w:pgMar w:left="240" w:top="812" w:right="2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The Lenders parties to the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Agreement Described Below</w:t>
      </w:r>
    </w:p>
    <w:p>
      <w:pPr>
        <w:spacing w:after="0" w:line="200" w:lineRule="exact"/>
        <w:rPr>
          <w:sz w:val="20"/>
          <w:szCs w:val="20"/>
          <w:color w:val="auto"/>
        </w:rPr>
      </w:pPr>
    </w:p>
    <w:p>
      <w:pPr>
        <w:sectPr>
          <w:pgSz w:w="11900" w:h="16838" w:orient="portrait"/>
          <w:cols w:equalWidth="0" w:num="2">
            <w:col w:w="260" w:space="400"/>
            <w:col w:w="10760"/>
          </w:cols>
          <w:pgMar w:left="240" w:top="812" w:right="239" w:bottom="1440" w:gutter="0" w:footer="0" w:header="0"/>
          <w:type w:val="continuous"/>
        </w:sectPr>
      </w:pPr>
    </w:p>
    <w:p>
      <w:pPr>
        <w:spacing w:after="0" w:line="3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This Compliance Certificate is furnished pursuant to that certain Credit Agreement, dated as of November 8, 2016 (as amended, restated, supplemented or otherwise modified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among Winnebago Industries, Inc. (the “</w:t>
      </w:r>
      <w:r>
        <w:rPr>
          <w:rFonts w:ascii="Arial" w:cs="Arial" w:eastAsia="Arial" w:hAnsi="Arial"/>
          <w:sz w:val="18"/>
          <w:szCs w:val="18"/>
          <w:u w:val="single" w:color="auto"/>
          <w:color w:val="auto"/>
        </w:rPr>
        <w:t>Borrower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w:t>
      </w:r>
      <w:r>
        <w:rPr>
          <w:rFonts w:ascii="Arial" w:cs="Arial" w:eastAsia="Arial" w:hAnsi="Arial"/>
          <w:sz w:val="18"/>
          <w:szCs w:val="18"/>
          <w:color w:val="auto"/>
        </w:rPr>
        <w:t>”), Winnebago of Indiana, LLC and Grand Design RV, LLC, as Borrowers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from time to time party thereto, the Lenders from time to time party thereto and JPMorgan Chase Bank, N.A., as Administrative Agent. Unless otherwise defined herein, capitalized terms used in this Compliance Certificate have the meanings ascribed thereto in the Agreement.</w:t>
      </w:r>
    </w:p>
    <w:p>
      <w:pPr>
        <w:spacing w:after="0" w:line="17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UNDERSIGNED HEREBY CERTIFIES, ON ITS BEHALF AND ON BEHALF OF THE BORROWERS, SOLELY IN SUCH PERSON’S CAPACITY AS AN OFFICER OF THE COMPANY AND NOT IN AN INDIVIDUAL CAPACITY, THAT:</w:t>
      </w:r>
    </w:p>
    <w:p>
      <w:pPr>
        <w:spacing w:after="0" w:line="190" w:lineRule="exact"/>
        <w:rPr>
          <w:sz w:val="20"/>
          <w:szCs w:val="20"/>
          <w:color w:val="auto"/>
        </w:rPr>
      </w:pPr>
    </w:p>
    <w:p>
      <w:pPr>
        <w:ind w:left="1160" w:hanging="342"/>
        <w:spacing w:after="0"/>
        <w:tabs>
          <w:tab w:leader="none" w:pos="1160" w:val="left"/>
        </w:tabs>
        <w:numPr>
          <w:ilvl w:val="1"/>
          <w:numId w:val="385"/>
        </w:numPr>
        <w:rPr>
          <w:rFonts w:ascii="Arial" w:cs="Arial" w:eastAsia="Arial" w:hAnsi="Arial"/>
          <w:sz w:val="20"/>
          <w:szCs w:val="20"/>
          <w:color w:val="auto"/>
        </w:rPr>
      </w:pPr>
      <w:r>
        <w:rPr>
          <w:rFonts w:ascii="Arial" w:cs="Arial" w:eastAsia="Arial" w:hAnsi="Arial"/>
          <w:sz w:val="20"/>
          <w:szCs w:val="20"/>
          <w:color w:val="auto"/>
        </w:rPr>
        <w:t xml:space="preserve">I am the duly elected </w:t>
      </w:r>
      <w:r>
        <w:rPr>
          <w:rFonts w:ascii="Arial" w:cs="Arial" w:eastAsia="Arial" w:hAnsi="Arial"/>
          <w:sz w:val="20"/>
          <w:szCs w:val="20"/>
          <w:u w:val="single" w:color="auto"/>
          <w:color w:val="auto"/>
        </w:rPr>
        <w:t>[__________]</w:t>
      </w:r>
      <w:r>
        <w:rPr>
          <w:rFonts w:ascii="Arial" w:cs="Arial" w:eastAsia="Arial" w:hAnsi="Arial"/>
          <w:sz w:val="20"/>
          <w:szCs w:val="20"/>
          <w:color w:val="auto"/>
        </w:rPr>
        <w:t xml:space="preserve"> of the Borrower Representative;</w:t>
      </w:r>
    </w:p>
    <w:p>
      <w:pPr>
        <w:spacing w:after="0" w:line="229" w:lineRule="exact"/>
        <w:rPr>
          <w:rFonts w:ascii="Arial" w:cs="Arial" w:eastAsia="Arial" w:hAnsi="Arial"/>
          <w:sz w:val="20"/>
          <w:szCs w:val="20"/>
          <w:color w:val="auto"/>
        </w:rPr>
      </w:pPr>
    </w:p>
    <w:p>
      <w:pPr>
        <w:jc w:val="both"/>
        <w:ind w:firstLine="818"/>
        <w:spacing w:after="0" w:line="278" w:lineRule="auto"/>
        <w:tabs>
          <w:tab w:leader="none" w:pos="1303" w:val="left"/>
        </w:tabs>
        <w:numPr>
          <w:ilvl w:val="1"/>
          <w:numId w:val="385"/>
        </w:numPr>
        <w:rPr>
          <w:rFonts w:ascii="Arial" w:cs="Arial" w:eastAsia="Arial" w:hAnsi="Arial"/>
          <w:sz w:val="18"/>
          <w:szCs w:val="18"/>
          <w:color w:val="auto"/>
        </w:rPr>
      </w:pPr>
      <w:r>
        <w:rPr>
          <w:rFonts w:ascii="Arial" w:cs="Arial" w:eastAsia="Arial" w:hAnsi="Arial"/>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w:t>
      </w:r>
      <w:r>
        <w:rPr>
          <w:rFonts w:ascii="Arial" w:cs="Arial" w:eastAsia="Arial" w:hAnsi="Arial"/>
          <w:sz w:val="18"/>
          <w:szCs w:val="18"/>
          <w:b w:val="1"/>
          <w:bCs w:val="1"/>
          <w:color w:val="auto"/>
        </w:rPr>
        <w:t>for quarterly or monthly financial statements add:</w:t>
      </w:r>
      <w:r>
        <w:rPr>
          <w:rFonts w:ascii="Arial" w:cs="Arial" w:eastAsia="Arial" w:hAnsi="Arial"/>
          <w:sz w:val="18"/>
          <w:szCs w:val="18"/>
          <w:color w:val="auto"/>
        </w:rPr>
        <w:t xml:space="preserve"> and such financial statements present fairly in all material respects the financial condition and results of operations of the Borrowers and their consolidated Subsidiaries on a consolidated basis in accordance with GAAP consis-tently applied, subject to normal year-end audit adjustments and the absence of footnotes];</w:t>
      </w:r>
    </w:p>
    <w:p>
      <w:pPr>
        <w:spacing w:after="0" w:line="178" w:lineRule="exact"/>
        <w:rPr>
          <w:rFonts w:ascii="Arial" w:cs="Arial" w:eastAsia="Arial" w:hAnsi="Arial"/>
          <w:sz w:val="18"/>
          <w:szCs w:val="18"/>
          <w:color w:val="auto"/>
        </w:rPr>
      </w:pPr>
    </w:p>
    <w:p>
      <w:pPr>
        <w:jc w:val="both"/>
        <w:ind w:firstLine="818"/>
        <w:spacing w:after="0" w:line="246" w:lineRule="auto"/>
        <w:tabs>
          <w:tab w:leader="none" w:pos="1323" w:val="left"/>
        </w:tabs>
        <w:numPr>
          <w:ilvl w:val="1"/>
          <w:numId w:val="385"/>
        </w:numPr>
        <w:rPr>
          <w:rFonts w:ascii="Arial" w:cs="Arial" w:eastAsia="Arial" w:hAnsi="Arial"/>
          <w:sz w:val="20"/>
          <w:szCs w:val="20"/>
          <w:color w:val="auto"/>
        </w:rPr>
      </w:pPr>
      <w:r>
        <w:rPr>
          <w:rFonts w:ascii="Arial" w:cs="Arial" w:eastAsia="Arial" w:hAnsi="Arial"/>
          <w:sz w:val="20"/>
          <w:szCs w:val="20"/>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205" w:lineRule="exact"/>
        <w:rPr>
          <w:rFonts w:ascii="Arial" w:cs="Arial" w:eastAsia="Arial" w:hAnsi="Arial"/>
          <w:sz w:val="20"/>
          <w:szCs w:val="20"/>
          <w:color w:val="auto"/>
        </w:rPr>
      </w:pPr>
    </w:p>
    <w:p>
      <w:pPr>
        <w:ind w:right="280" w:firstLine="818"/>
        <w:spacing w:after="0" w:line="250" w:lineRule="auto"/>
        <w:tabs>
          <w:tab w:leader="none" w:pos="1157" w:val="left"/>
        </w:tabs>
        <w:numPr>
          <w:ilvl w:val="1"/>
          <w:numId w:val="385"/>
        </w:numPr>
        <w:rPr>
          <w:rFonts w:ascii="Arial" w:cs="Arial" w:eastAsia="Arial" w:hAnsi="Arial"/>
          <w:sz w:val="20"/>
          <w:szCs w:val="20"/>
          <w:color w:val="auto"/>
        </w:rPr>
      </w:pPr>
      <w:r>
        <w:rPr>
          <w:rFonts w:ascii="Arial" w:cs="Arial" w:eastAsia="Arial" w:hAnsi="Arial"/>
          <w:sz w:val="20"/>
          <w:szCs w:val="20"/>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78" w:lineRule="exact"/>
        <w:rPr>
          <w:rFonts w:ascii="Arial" w:cs="Arial" w:eastAsia="Arial" w:hAnsi="Arial"/>
          <w:sz w:val="20"/>
          <w:szCs w:val="20"/>
          <w:color w:val="auto"/>
        </w:rPr>
      </w:pPr>
    </w:p>
    <w:p>
      <w:pPr>
        <w:ind w:right="20" w:firstLine="818"/>
        <w:spacing w:after="0" w:line="260" w:lineRule="auto"/>
        <w:tabs>
          <w:tab w:leader="none" w:pos="1355" w:val="left"/>
        </w:tabs>
        <w:numPr>
          <w:ilvl w:val="1"/>
          <w:numId w:val="385"/>
        </w:numPr>
        <w:rPr>
          <w:rFonts w:ascii="Arial" w:cs="Arial" w:eastAsia="Arial" w:hAnsi="Arial"/>
          <w:sz w:val="20"/>
          <w:szCs w:val="20"/>
          <w:color w:val="auto"/>
        </w:rPr>
      </w:pP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attached hereto sets forth financial data and computations evidencing the Borrowers’ compliance with certain covenants of the Agreement, all of which data and computations are true, complete and correct;</w:t>
      </w:r>
    </w:p>
    <w:p>
      <w:pPr>
        <w:spacing w:after="0" w:line="190" w:lineRule="exact"/>
        <w:rPr>
          <w:rFonts w:ascii="Arial" w:cs="Arial" w:eastAsia="Arial" w:hAnsi="Arial"/>
          <w:sz w:val="20"/>
          <w:szCs w:val="20"/>
          <w:color w:val="auto"/>
        </w:rPr>
      </w:pPr>
    </w:p>
    <w:p>
      <w:pPr>
        <w:ind w:left="1200" w:hanging="382"/>
        <w:spacing w:after="0"/>
        <w:tabs>
          <w:tab w:leader="none" w:pos="1200" w:val="left"/>
        </w:tabs>
        <w:numPr>
          <w:ilvl w:val="1"/>
          <w:numId w:val="385"/>
        </w:numPr>
        <w:rPr>
          <w:rFonts w:ascii="Arial" w:cs="Arial" w:eastAsia="Arial" w:hAnsi="Arial"/>
          <w:sz w:val="18"/>
          <w:szCs w:val="18"/>
          <w:color w:val="auto"/>
        </w:rPr>
      </w:pP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sets forth the computations necessary to determine the Applicable Rate commencing on the date that is five</w:t>
      </w:r>
    </w:p>
    <w:p>
      <w:pPr>
        <w:spacing w:after="0" w:line="38" w:lineRule="exact"/>
        <w:rPr>
          <w:rFonts w:ascii="Arial" w:cs="Arial" w:eastAsia="Arial" w:hAnsi="Arial"/>
          <w:sz w:val="18"/>
          <w:szCs w:val="18"/>
          <w:color w:val="auto"/>
        </w:rPr>
      </w:pPr>
    </w:p>
    <w:p>
      <w:pPr>
        <w:ind w:left="280" w:hanging="272"/>
        <w:spacing w:after="0"/>
        <w:tabs>
          <w:tab w:leader="none" w:pos="280" w:val="left"/>
        </w:tabs>
        <w:numPr>
          <w:ilvl w:val="0"/>
          <w:numId w:val="386"/>
        </w:numPr>
        <w:rPr>
          <w:rFonts w:ascii="Arial" w:cs="Arial" w:eastAsia="Arial" w:hAnsi="Arial"/>
          <w:sz w:val="20"/>
          <w:szCs w:val="20"/>
          <w:color w:val="auto"/>
        </w:rPr>
      </w:pPr>
      <w:r>
        <w:rPr>
          <w:rFonts w:ascii="Arial" w:cs="Arial" w:eastAsia="Arial" w:hAnsi="Arial"/>
          <w:sz w:val="20"/>
          <w:szCs w:val="20"/>
          <w:color w:val="auto"/>
        </w:rPr>
        <w:t>Business Days after the date this certificate is delivered; and</w:t>
      </w:r>
    </w:p>
    <w:p>
      <w:pPr>
        <w:spacing w:after="0" w:line="8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for annual or quarterly financial statements add:</w:t>
      </w:r>
      <w:r>
        <w:rPr>
          <w:rFonts w:ascii="Arial" w:cs="Arial" w:eastAsia="Arial" w:hAnsi="Arial"/>
          <w:sz w:val="20"/>
          <w:szCs w:val="20"/>
          <w:color w:val="auto"/>
        </w:rPr>
        <w:t xml:space="preserve"> 7. </w:t>
      </w:r>
      <w:r>
        <w:rPr>
          <w:rFonts w:ascii="Arial" w:cs="Arial" w:eastAsia="Arial" w:hAnsi="Arial"/>
          <w:sz w:val="20"/>
          <w:szCs w:val="20"/>
          <w:u w:val="single" w:color="auto"/>
          <w:color w:val="auto"/>
        </w:rPr>
        <w:t>Schedule III</w:t>
      </w:r>
      <w:r>
        <w:rPr>
          <w:rFonts w:ascii="Arial" w:cs="Arial" w:eastAsia="Arial" w:hAnsi="Arial"/>
          <w:sz w:val="20"/>
          <w:szCs w:val="20"/>
          <w:color w:val="auto"/>
        </w:rPr>
        <w:t xml:space="preserve"> hereto sets forth the computations necessary to determine the average daily Total Commitment Utilization for the period referenced in </w:t>
      </w:r>
      <w:r>
        <w:rPr>
          <w:rFonts w:ascii="Arial" w:cs="Arial" w:eastAsia="Arial" w:hAnsi="Arial"/>
          <w:sz w:val="20"/>
          <w:szCs w:val="20"/>
          <w:u w:val="single" w:color="auto"/>
          <w:color w:val="auto"/>
        </w:rPr>
        <w:t>paragraph 2</w:t>
      </w:r>
      <w:r>
        <w:rPr>
          <w:rFonts w:ascii="Arial" w:cs="Arial" w:eastAsia="Arial" w:hAnsi="Arial"/>
          <w:sz w:val="20"/>
          <w:szCs w:val="20"/>
          <w:color w:val="auto"/>
        </w:rPr>
        <w:t xml:space="preserve">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2" w:right="239" w:bottom="1440" w:gutter="0" w:footer="0" w:header="0"/>
          <w:type w:val="continuous"/>
        </w:sectPr>
      </w:pPr>
    </w:p>
    <w:bookmarkStart w:id="327" w:name="page328"/>
    <w:bookmarkEnd w:id="327"/>
    <w:p>
      <w:pPr>
        <w:jc w:val="both"/>
        <w:ind w:firstLine="648"/>
        <w:spacing w:after="0" w:line="291" w:lineRule="auto"/>
        <w:rPr>
          <w:sz w:val="20"/>
          <w:szCs w:val="20"/>
          <w:color w:val="auto"/>
        </w:rPr>
      </w:pPr>
      <w:r>
        <w:rPr>
          <w:rFonts w:ascii="Arial" w:cs="Arial" w:eastAsia="Arial" w:hAnsi="Arial"/>
          <w:sz w:val="18"/>
          <w:szCs w:val="18"/>
          <w:color w:val="auto"/>
        </w:rPr>
        <w:t xml:space="preserve">Described below are the exceptions, if any, to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621665</wp:posOffset>
            </wp:positionV>
            <wp:extent cx="66636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407035</wp:posOffset>
            </wp:positionV>
            <wp:extent cx="66636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foregoing certifications, together with the computations set forth in Schedule I and Schedule II hereto and the financial statements delivered with this Certificate in support hereof, are made and delivered this ___ day of __________, 20__.</w:t>
      </w:r>
    </w:p>
    <w:p>
      <w:pPr>
        <w:spacing w:after="0" w:line="200" w:lineRule="exact"/>
        <w:rPr>
          <w:sz w:val="20"/>
          <w:szCs w:val="20"/>
          <w:color w:val="auto"/>
        </w:rPr>
      </w:pPr>
    </w:p>
    <w:p>
      <w:pPr>
        <w:spacing w:after="0" w:line="369"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WINNEBAGO INDUSTRIES, INC., as</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Borrower Representative</w:t>
      </w:r>
    </w:p>
    <w:p>
      <w:pPr>
        <w:spacing w:after="0" w:line="378" w:lineRule="exact"/>
        <w:rPr>
          <w:sz w:val="20"/>
          <w:szCs w:val="20"/>
          <w:color w:val="auto"/>
        </w:rPr>
      </w:pPr>
    </w:p>
    <w:p>
      <w:pPr>
        <w:jc w:val="center"/>
        <w:ind w:right="5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27305</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4"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3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041" w:right="239" w:bottom="1440" w:gutter="0" w:footer="0" w:header="0"/>
        </w:sectPr>
      </w:pPr>
    </w:p>
    <w:bookmarkStart w:id="328" w:name="page329"/>
    <w:bookmarkEnd w:id="328"/>
    <w:p>
      <w:pPr>
        <w:jc w:val="center"/>
        <w:spacing w:after="0"/>
        <w:rPr>
          <w:sz w:val="20"/>
          <w:szCs w:val="20"/>
          <w:color w:val="auto"/>
        </w:rPr>
      </w:pPr>
      <w:r>
        <w:rPr>
          <w:rFonts w:ascii="Arial" w:cs="Arial" w:eastAsia="Arial" w:hAnsi="Arial"/>
          <w:sz w:val="20"/>
          <w:szCs w:val="20"/>
          <w:color w:val="auto"/>
        </w:rPr>
        <w:t>EXHIBIT 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CLOSING DOCUMENTS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OF INDIANA, LLC</w:t>
      </w:r>
    </w:p>
    <w:p>
      <w:pPr>
        <w:jc w:val="center"/>
        <w:spacing w:after="0"/>
        <w:rPr>
          <w:sz w:val="20"/>
          <w:szCs w:val="20"/>
          <w:color w:val="auto"/>
        </w:rPr>
      </w:pPr>
      <w:r>
        <w:rPr>
          <w:rFonts w:ascii="Arial" w:cs="Arial" w:eastAsia="Arial" w:hAnsi="Arial"/>
          <w:sz w:val="20"/>
          <w:szCs w:val="20"/>
          <w:b w:val="1"/>
          <w:bCs w:val="1"/>
          <w:color w:val="auto"/>
        </w:rPr>
        <w:t>GRAND DESIGN RV, LLC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ABL CREDIT FACILITY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November 8, 2016</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LIST OF CLOSING DOCUMENTS</w:t>
      </w:r>
      <w:r>
        <w:rPr>
          <w:rFonts w:ascii="Arial" w:cs="Arial" w:eastAsia="Arial" w:hAnsi="Arial"/>
          <w:sz w:val="25"/>
          <w:szCs w:val="25"/>
          <w:color w:val="auto"/>
          <w:vertAlign w:val="superscript"/>
        </w:rPr>
        <w:t>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b w:val="1"/>
          <w:bCs w:val="1"/>
          <w:color w:val="auto"/>
        </w:rPr>
        <w:t>LOAN DOCUMENTS</w:t>
      </w:r>
    </w:p>
    <w:p>
      <w:pPr>
        <w:spacing w:after="0" w:line="222" w:lineRule="exact"/>
        <w:rPr>
          <w:sz w:val="20"/>
          <w:szCs w:val="20"/>
          <w:color w:val="auto"/>
        </w:rPr>
      </w:pPr>
    </w:p>
    <w:p>
      <w:pPr>
        <w:jc w:val="both"/>
        <w:ind w:left="660" w:hanging="652"/>
        <w:spacing w:after="0" w:line="260" w:lineRule="auto"/>
        <w:tabs>
          <w:tab w:leader="none" w:pos="660" w:val="left"/>
        </w:tabs>
        <w:numPr>
          <w:ilvl w:val="0"/>
          <w:numId w:val="387"/>
        </w:numPr>
        <w:rPr>
          <w:rFonts w:ascii="Arial" w:cs="Arial" w:eastAsia="Arial" w:hAnsi="Arial"/>
          <w:sz w:val="19"/>
          <w:szCs w:val="19"/>
          <w:color w:val="auto"/>
        </w:rPr>
      </w:pPr>
      <w:r>
        <w:rPr>
          <w:rFonts w:ascii="Arial" w:cs="Arial" w:eastAsia="Arial" w:hAnsi="Arial"/>
          <w:sz w:val="19"/>
          <w:szCs w:val="19"/>
          <w:color w:val="auto"/>
        </w:rPr>
        <w:t>Credit Agreement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by and among Winnebago Industries, Inc., an Indiana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from time to time parties thereto, the institutions from time to time parties thereto as Lenders (the “</w:t>
      </w:r>
      <w:r>
        <w:rPr>
          <w:rFonts w:ascii="Arial" w:cs="Arial" w:eastAsia="Arial" w:hAnsi="Arial"/>
          <w:sz w:val="19"/>
          <w:szCs w:val="19"/>
          <w:u w:val="single" w:color="auto"/>
          <w:color w:val="auto"/>
        </w:rPr>
        <w:t>Lenders</w:t>
      </w:r>
      <w:r>
        <w:rPr>
          <w:rFonts w:ascii="Arial" w:cs="Arial" w:eastAsia="Arial" w:hAnsi="Arial"/>
          <w:sz w:val="19"/>
          <w:szCs w:val="19"/>
          <w:color w:val="auto"/>
        </w:rPr>
        <w:t>”) and JPMorgan Chase Bank, N.A. (“</w:t>
      </w:r>
      <w:r>
        <w:rPr>
          <w:rFonts w:ascii="Arial" w:cs="Arial" w:eastAsia="Arial" w:hAnsi="Arial"/>
          <w:sz w:val="19"/>
          <w:szCs w:val="19"/>
          <w:u w:val="single" w:color="auto"/>
          <w:color w:val="auto"/>
        </w:rPr>
        <w:t>JPMorgan</w:t>
      </w:r>
      <w:r>
        <w:rPr>
          <w:rFonts w:ascii="Arial" w:cs="Arial" w:eastAsia="Arial" w:hAnsi="Arial"/>
          <w:sz w:val="19"/>
          <w:szCs w:val="19"/>
          <w:color w:val="auto"/>
        </w:rPr>
        <w:t>”), in its capacity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evidencing an asset-based revolving credit facility to the Borrowers from the Lenders in an initial aggregate principal amount of $125,000,000.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SCHEDULES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Commitment Schedule</w:t>
      </w:r>
    </w:p>
    <w:tbl>
      <w:tblPr>
        <w:tblLayout w:type="fixed"/>
        <w:tblInd w:w="660" w:type="dxa"/>
        <w:tblCellMar>
          <w:top w:w="0" w:type="dxa"/>
          <w:left w:w="0" w:type="dxa"/>
          <w:bottom w:w="0" w:type="dxa"/>
          <w:right w:w="0" w:type="dxa"/>
        </w:tblCellMar>
      </w:tblPr>
      <w:tr>
        <w:trPr>
          <w:trHeight w:val="229"/>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3.15</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Capitalization and Subsidiaries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3.18</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Insurance</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6.01</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Existing Indebtedness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6.02</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Existing Liens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6.04</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Existing Investments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6.05</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Dispositions</w:t>
            </w:r>
          </w:p>
        </w:tc>
      </w:tr>
      <w:tr>
        <w:trPr>
          <w:trHeight w:val="23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6.08</w:t>
            </w:r>
          </w:p>
        </w:tc>
        <w:tc>
          <w:tcPr>
            <w:tcW w:w="280" w:type="dxa"/>
            <w:vAlign w:val="bottom"/>
          </w:tcPr>
          <w:p>
            <w:pPr>
              <w:jc w:val="right"/>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140"/>
              <w:spacing w:after="0"/>
              <w:rPr>
                <w:sz w:val="20"/>
                <w:szCs w:val="20"/>
                <w:color w:val="auto"/>
              </w:rPr>
            </w:pPr>
            <w:r>
              <w:rPr>
                <w:rFonts w:ascii="Arial" w:cs="Arial" w:eastAsia="Arial" w:hAnsi="Arial"/>
                <w:sz w:val="20"/>
                <w:szCs w:val="20"/>
                <w:b w:val="1"/>
                <w:bCs w:val="1"/>
                <w:i w:val="1"/>
                <w:iCs w:val="1"/>
                <w:color w:val="auto"/>
              </w:rPr>
              <w:t>Transactions with Affiliates</w:t>
            </w:r>
          </w:p>
        </w:tc>
      </w:tr>
      <w:tr>
        <w:trPr>
          <w:trHeight w:val="250"/>
        </w:trPr>
        <w:tc>
          <w:tcPr>
            <w:tcW w:w="1240" w:type="dxa"/>
            <w:vAlign w:val="bottom"/>
          </w:tcPr>
          <w:p>
            <w:pPr>
              <w:spacing w:after="0"/>
              <w:rPr>
                <w:sz w:val="20"/>
                <w:szCs w:val="20"/>
                <w:color w:val="auto"/>
              </w:rPr>
            </w:pPr>
            <w:r>
              <w:rPr>
                <w:rFonts w:ascii="Arial" w:cs="Arial" w:eastAsia="Arial" w:hAnsi="Arial"/>
                <w:sz w:val="20"/>
                <w:szCs w:val="20"/>
                <w:b w:val="1"/>
                <w:bCs w:val="1"/>
                <w:i w:val="1"/>
                <w:iCs w:val="1"/>
                <w:color w:val="auto"/>
                <w:w w:val="91"/>
              </w:rPr>
              <w:t>Schedule 6.11</w:t>
            </w:r>
          </w:p>
        </w:tc>
        <w:tc>
          <w:tcPr>
            <w:tcW w:w="280" w:type="dxa"/>
            <w:vAlign w:val="bottom"/>
          </w:tcPr>
          <w:p>
            <w:pPr>
              <w:jc w:val="right"/>
              <w:ind w:right="21"/>
              <w:spacing w:after="0"/>
              <w:rPr>
                <w:sz w:val="20"/>
                <w:szCs w:val="20"/>
                <w:color w:val="auto"/>
              </w:rPr>
            </w:pPr>
            <w:r>
              <w:rPr>
                <w:rFonts w:ascii="Arial" w:cs="Arial" w:eastAsia="Arial" w:hAnsi="Arial"/>
                <w:sz w:val="20"/>
                <w:szCs w:val="20"/>
                <w:b w:val="1"/>
                <w:bCs w:val="1"/>
                <w:i w:val="1"/>
                <w:iCs w:val="1"/>
                <w:color w:val="auto"/>
              </w:rPr>
              <w:t>-</w:t>
            </w:r>
          </w:p>
        </w:tc>
        <w:tc>
          <w:tcPr>
            <w:tcW w:w="3980" w:type="dxa"/>
            <w:vAlign w:val="bottom"/>
          </w:tcPr>
          <w:p>
            <w:pPr>
              <w:ind w:left="80"/>
              <w:spacing w:after="0"/>
              <w:rPr>
                <w:sz w:val="20"/>
                <w:szCs w:val="20"/>
                <w:color w:val="auto"/>
              </w:rPr>
            </w:pPr>
            <w:r>
              <w:rPr>
                <w:rFonts w:ascii="Arial" w:cs="Arial" w:eastAsia="Arial" w:hAnsi="Arial"/>
                <w:sz w:val="20"/>
                <w:szCs w:val="20"/>
                <w:b w:val="1"/>
                <w:bCs w:val="1"/>
                <w:i w:val="1"/>
                <w:iCs w:val="1"/>
                <w:color w:val="auto"/>
              </w:rPr>
              <w:t>Restrictive Agreements</w:t>
            </w:r>
          </w:p>
        </w:tc>
      </w:tr>
      <w:tr>
        <w:trPr>
          <w:trHeight w:val="45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80" w:type="dxa"/>
            <w:vAlign w:val="bottom"/>
          </w:tcPr>
          <w:p>
            <w:pPr>
              <w:ind w:left="3080"/>
              <w:spacing w:after="0"/>
              <w:rPr>
                <w:sz w:val="20"/>
                <w:szCs w:val="20"/>
                <w:color w:val="auto"/>
              </w:rPr>
            </w:pPr>
            <w:r>
              <w:rPr>
                <w:rFonts w:ascii="Arial" w:cs="Arial" w:eastAsia="Arial" w:hAnsi="Arial"/>
                <w:sz w:val="20"/>
                <w:szCs w:val="20"/>
                <w:color w:val="auto"/>
                <w:w w:val="96"/>
              </w:rPr>
              <w:t>EXHIBITS</w:t>
            </w:r>
          </w:p>
        </w:tc>
      </w:tr>
      <w:tr>
        <w:trPr>
          <w:trHeight w:val="425"/>
        </w:trPr>
        <w:tc>
          <w:tcPr>
            <w:tcW w:w="1240" w:type="dxa"/>
            <w:vAlign w:val="bottom"/>
          </w:tcPr>
          <w:p>
            <w:pPr>
              <w:spacing w:after="0"/>
              <w:rPr>
                <w:sz w:val="20"/>
                <w:szCs w:val="20"/>
                <w:color w:val="auto"/>
              </w:rPr>
            </w:pPr>
            <w:r>
              <w:rPr>
                <w:rFonts w:ascii="Arial" w:cs="Arial" w:eastAsia="Arial" w:hAnsi="Arial"/>
                <w:sz w:val="20"/>
                <w:szCs w:val="20"/>
                <w:color w:val="auto"/>
              </w:rPr>
              <w:t>Exhibit A</w:t>
            </w:r>
          </w:p>
        </w:tc>
        <w:tc>
          <w:tcPr>
            <w:tcW w:w="280" w:type="dxa"/>
            <w:vAlign w:val="bottom"/>
          </w:tcPr>
          <w:p>
            <w:pPr>
              <w:spacing w:after="0"/>
              <w:rPr>
                <w:sz w:val="24"/>
                <w:szCs w:val="24"/>
                <w:color w:val="auto"/>
              </w:rPr>
            </w:pPr>
          </w:p>
        </w:tc>
        <w:tc>
          <w:tcPr>
            <w:tcW w:w="3980" w:type="dxa"/>
            <w:vAlign w:val="bottom"/>
          </w:tcPr>
          <w:p>
            <w:pPr>
              <w:ind w:left="740"/>
              <w:spacing w:after="0"/>
              <w:rPr>
                <w:sz w:val="20"/>
                <w:szCs w:val="20"/>
                <w:color w:val="auto"/>
              </w:rPr>
            </w:pPr>
            <w:r>
              <w:rPr>
                <w:rFonts w:ascii="Arial" w:cs="Arial" w:eastAsia="Arial" w:hAnsi="Arial"/>
                <w:sz w:val="20"/>
                <w:szCs w:val="20"/>
                <w:color w:val="auto"/>
                <w:w w:val="93"/>
              </w:rPr>
              <w:t>-  Form of Assignment and Assumption</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B</w:t>
            </w:r>
          </w:p>
        </w:tc>
        <w:tc>
          <w:tcPr>
            <w:tcW w:w="280" w:type="dxa"/>
            <w:vAlign w:val="bottom"/>
          </w:tcPr>
          <w:p>
            <w:pPr>
              <w:spacing w:after="0"/>
              <w:rPr>
                <w:sz w:val="19"/>
                <w:szCs w:val="19"/>
                <w:color w:val="auto"/>
              </w:rPr>
            </w:pPr>
          </w:p>
        </w:tc>
        <w:tc>
          <w:tcPr>
            <w:tcW w:w="3980" w:type="dxa"/>
            <w:vAlign w:val="bottom"/>
          </w:tcPr>
          <w:p>
            <w:pPr>
              <w:ind w:left="740"/>
              <w:spacing w:after="0"/>
              <w:rPr>
                <w:sz w:val="20"/>
                <w:szCs w:val="20"/>
                <w:color w:val="auto"/>
              </w:rPr>
            </w:pPr>
            <w:r>
              <w:rPr>
                <w:rFonts w:ascii="Arial" w:cs="Arial" w:eastAsia="Arial" w:hAnsi="Arial"/>
                <w:sz w:val="20"/>
                <w:szCs w:val="20"/>
                <w:color w:val="auto"/>
                <w:w w:val="97"/>
              </w:rPr>
              <w:t>-  Form of Borrowing Base Certificate</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C</w:t>
            </w:r>
          </w:p>
        </w:tc>
        <w:tc>
          <w:tcPr>
            <w:tcW w:w="280" w:type="dxa"/>
            <w:vAlign w:val="bottom"/>
          </w:tcPr>
          <w:p>
            <w:pPr>
              <w:spacing w:after="0"/>
              <w:rPr>
                <w:sz w:val="19"/>
                <w:szCs w:val="19"/>
                <w:color w:val="auto"/>
              </w:rPr>
            </w:pPr>
          </w:p>
        </w:tc>
        <w:tc>
          <w:tcPr>
            <w:tcW w:w="3980" w:type="dxa"/>
            <w:vAlign w:val="bottom"/>
          </w:tcPr>
          <w:p>
            <w:pPr>
              <w:ind w:left="740"/>
              <w:spacing w:after="0"/>
              <w:rPr>
                <w:sz w:val="20"/>
                <w:szCs w:val="20"/>
                <w:color w:val="auto"/>
              </w:rPr>
            </w:pPr>
            <w:r>
              <w:rPr>
                <w:rFonts w:ascii="Arial" w:cs="Arial" w:eastAsia="Arial" w:hAnsi="Arial"/>
                <w:sz w:val="20"/>
                <w:szCs w:val="20"/>
                <w:color w:val="auto"/>
              </w:rPr>
              <w:t>-  Form of Compliance Certificate</w:t>
            </w:r>
          </w:p>
        </w:tc>
      </w:tr>
      <w:tr>
        <w:trPr>
          <w:trHeight w:val="230"/>
        </w:trPr>
        <w:tc>
          <w:tcPr>
            <w:tcW w:w="1240" w:type="dxa"/>
            <w:vAlign w:val="bottom"/>
          </w:tcPr>
          <w:p>
            <w:pPr>
              <w:spacing w:after="0"/>
              <w:rPr>
                <w:sz w:val="20"/>
                <w:szCs w:val="20"/>
                <w:color w:val="auto"/>
              </w:rPr>
            </w:pPr>
            <w:r>
              <w:rPr>
                <w:rFonts w:ascii="Arial" w:cs="Arial" w:eastAsia="Arial" w:hAnsi="Arial"/>
                <w:sz w:val="20"/>
                <w:szCs w:val="20"/>
                <w:color w:val="auto"/>
              </w:rPr>
              <w:t>Exhibit D</w:t>
            </w:r>
          </w:p>
        </w:tc>
        <w:tc>
          <w:tcPr>
            <w:tcW w:w="280" w:type="dxa"/>
            <w:vAlign w:val="bottom"/>
          </w:tcPr>
          <w:p>
            <w:pPr>
              <w:spacing w:after="0"/>
              <w:rPr>
                <w:sz w:val="19"/>
                <w:szCs w:val="19"/>
                <w:color w:val="auto"/>
              </w:rPr>
            </w:pPr>
          </w:p>
        </w:tc>
        <w:tc>
          <w:tcPr>
            <w:tcW w:w="3980" w:type="dxa"/>
            <w:vAlign w:val="bottom"/>
          </w:tcPr>
          <w:p>
            <w:pPr>
              <w:ind w:left="740"/>
              <w:spacing w:after="0"/>
              <w:rPr>
                <w:sz w:val="20"/>
                <w:szCs w:val="20"/>
                <w:color w:val="auto"/>
              </w:rPr>
            </w:pPr>
            <w:r>
              <w:rPr>
                <w:rFonts w:ascii="Arial" w:cs="Arial" w:eastAsia="Arial" w:hAnsi="Arial"/>
                <w:sz w:val="20"/>
                <w:szCs w:val="20"/>
                <w:color w:val="auto"/>
              </w:rPr>
              <w:t>-  List of Closing Documents</w:t>
            </w:r>
          </w:p>
        </w:tc>
      </w:tr>
      <w:tr>
        <w:trPr>
          <w:trHeight w:val="250"/>
        </w:trPr>
        <w:tc>
          <w:tcPr>
            <w:tcW w:w="1240" w:type="dxa"/>
            <w:vAlign w:val="bottom"/>
          </w:tcPr>
          <w:p>
            <w:pPr>
              <w:spacing w:after="0"/>
              <w:rPr>
                <w:sz w:val="20"/>
                <w:szCs w:val="20"/>
                <w:color w:val="auto"/>
              </w:rPr>
            </w:pPr>
            <w:r>
              <w:rPr>
                <w:rFonts w:ascii="Arial" w:cs="Arial" w:eastAsia="Arial" w:hAnsi="Arial"/>
                <w:sz w:val="20"/>
                <w:szCs w:val="20"/>
                <w:color w:val="auto"/>
              </w:rPr>
              <w:t>Exhibit E</w:t>
            </w:r>
          </w:p>
        </w:tc>
        <w:tc>
          <w:tcPr>
            <w:tcW w:w="280" w:type="dxa"/>
            <w:vAlign w:val="bottom"/>
          </w:tcPr>
          <w:p>
            <w:pPr>
              <w:spacing w:after="0"/>
              <w:rPr>
                <w:sz w:val="21"/>
                <w:szCs w:val="21"/>
                <w:color w:val="auto"/>
              </w:rPr>
            </w:pPr>
          </w:p>
        </w:tc>
        <w:tc>
          <w:tcPr>
            <w:tcW w:w="3980" w:type="dxa"/>
            <w:vAlign w:val="bottom"/>
          </w:tcPr>
          <w:p>
            <w:pPr>
              <w:ind w:left="740"/>
              <w:spacing w:after="0"/>
              <w:rPr>
                <w:sz w:val="20"/>
                <w:szCs w:val="20"/>
                <w:color w:val="auto"/>
              </w:rPr>
            </w:pPr>
            <w:r>
              <w:rPr>
                <w:rFonts w:ascii="Arial" w:cs="Arial" w:eastAsia="Arial" w:hAnsi="Arial"/>
                <w:sz w:val="20"/>
                <w:szCs w:val="20"/>
                <w:color w:val="auto"/>
              </w:rPr>
              <w:t>-  Form of Joinder Agreement</w:t>
            </w:r>
          </w:p>
        </w:tc>
      </w:tr>
    </w:tbl>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2" w:lineRule="exact"/>
        <w:rPr>
          <w:sz w:val="20"/>
          <w:szCs w:val="20"/>
          <w:color w:val="auto"/>
        </w:rPr>
      </w:pPr>
    </w:p>
    <w:p>
      <w:pPr>
        <w:ind w:right="600"/>
        <w:spacing w:after="0" w:line="224"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Each capitalized term used herein and not defined herein shall have the meaning assigned to such term in the above-defined Credit Agreement. Items appearing in </w:t>
      </w:r>
      <w:r>
        <w:rPr>
          <w:rFonts w:ascii="Arial" w:cs="Arial" w:eastAsia="Arial" w:hAnsi="Arial"/>
          <w:sz w:val="18"/>
          <w:szCs w:val="18"/>
          <w:b w:val="1"/>
          <w:bCs w:val="1"/>
          <w:color w:val="auto"/>
        </w:rPr>
        <w:t>bold</w:t>
      </w:r>
      <w:r>
        <w:rPr>
          <w:rFonts w:ascii="Arial" w:cs="Arial" w:eastAsia="Arial" w:hAnsi="Arial"/>
          <w:sz w:val="18"/>
          <w:szCs w:val="18"/>
          <w:color w:val="auto"/>
        </w:rPr>
        <w:t xml:space="preserve"> and </w:t>
      </w:r>
      <w:r>
        <w:rPr>
          <w:rFonts w:ascii="Arial" w:cs="Arial" w:eastAsia="Arial" w:hAnsi="Arial"/>
          <w:sz w:val="18"/>
          <w:szCs w:val="18"/>
          <w:i w:val="1"/>
          <w:iCs w:val="1"/>
          <w:color w:val="auto"/>
        </w:rPr>
        <w:t>italics</w:t>
      </w:r>
      <w:r>
        <w:rPr>
          <w:rFonts w:ascii="Arial" w:cs="Arial" w:eastAsia="Arial" w:hAnsi="Arial"/>
          <w:sz w:val="18"/>
          <w:szCs w:val="18"/>
          <w:color w:val="auto"/>
        </w:rPr>
        <w:t xml:space="preserve"> shall be prepared and/or provided by the Company and/or Company’s counsel.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811" w:right="239" w:bottom="1440" w:gutter="0" w:footer="0" w:header="0"/>
        </w:sectPr>
      </w:pPr>
    </w:p>
    <w:bookmarkStart w:id="329" w:name="page330"/>
    <w:bookmarkEnd w:id="329"/>
    <w:p>
      <w:pPr>
        <w:ind w:left="660"/>
        <w:spacing w:after="0"/>
        <w:rPr>
          <w:sz w:val="20"/>
          <w:szCs w:val="20"/>
          <w:color w:val="auto"/>
        </w:rPr>
      </w:pPr>
      <w:r>
        <w:rPr>
          <w:rFonts w:ascii="Arial" w:cs="Arial" w:eastAsia="Arial" w:hAnsi="Arial"/>
          <w:sz w:val="19"/>
          <w:szCs w:val="19"/>
          <w:color w:val="auto"/>
        </w:rPr>
        <w:t>Exhibit F-1</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Exhibit F-2</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Exhibit F-3</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Exhibit F-4</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G-1</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G-2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Form of U.S. Tax Certificate (Foreign Lenders That Are Not Partnerships)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Certificate (Foreign Participants That Are Not Partnerships)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Form of U.S. Tax Certificate (Foreign Participants That Are Partnerships)</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Form of U.S. Tax Certificate (Foreign Lenders That Are Partnerships)</w:t>
      </w:r>
    </w:p>
    <w:p>
      <w:pPr>
        <w:spacing w:after="0"/>
        <w:rPr>
          <w:sz w:val="20"/>
          <w:szCs w:val="20"/>
          <w:color w:val="auto"/>
        </w:rPr>
      </w:pPr>
      <w:r>
        <w:rPr>
          <w:rFonts w:ascii="Arial" w:cs="Arial" w:eastAsia="Arial" w:hAnsi="Arial"/>
          <w:sz w:val="20"/>
          <w:szCs w:val="20"/>
          <w:color w:val="auto"/>
        </w:rPr>
        <w:t>Form of Borrowing Request</w:t>
      </w:r>
    </w:p>
    <w:p>
      <w:pPr>
        <w:spacing w:after="0"/>
        <w:rPr>
          <w:sz w:val="20"/>
          <w:szCs w:val="20"/>
          <w:color w:val="auto"/>
        </w:rPr>
      </w:pPr>
      <w:r>
        <w:rPr>
          <w:rFonts w:ascii="Arial" w:cs="Arial" w:eastAsia="Arial" w:hAnsi="Arial"/>
          <w:sz w:val="20"/>
          <w:szCs w:val="20"/>
          <w:color w:val="auto"/>
        </w:rPr>
        <w:t>Form of Interest Election Request</w:t>
      </w:r>
    </w:p>
    <w:p>
      <w:pPr>
        <w:spacing w:after="0" w:line="200" w:lineRule="exact"/>
        <w:rPr>
          <w:sz w:val="20"/>
          <w:szCs w:val="20"/>
          <w:color w:val="auto"/>
        </w:rPr>
      </w:pPr>
    </w:p>
    <w:p>
      <w:pPr>
        <w:sectPr>
          <w:pgSz w:w="11900" w:h="16838" w:orient="portrait"/>
          <w:cols w:equalWidth="0" w:num="3">
            <w:col w:w="2040" w:space="720"/>
            <w:col w:w="60" w:space="200"/>
            <w:col w:w="8400"/>
          </w:cols>
          <w:pgMar w:left="240" w:top="1041" w:right="239" w:bottom="1440" w:gutter="0" w:footer="0" w:header="0"/>
        </w:sectPr>
      </w:pPr>
    </w:p>
    <w:p>
      <w:pPr>
        <w:spacing w:after="0" w:line="13" w:lineRule="exact"/>
        <w:rPr>
          <w:sz w:val="20"/>
          <w:szCs w:val="20"/>
          <w:color w:val="auto"/>
        </w:rPr>
      </w:pPr>
    </w:p>
    <w:p>
      <w:pPr>
        <w:ind w:left="660" w:hanging="652"/>
        <w:spacing w:after="0" w:line="260" w:lineRule="auto"/>
        <w:tabs>
          <w:tab w:leader="none" w:pos="66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Notes executed by the Borrowers in favor of each of the Lenders, if any, which has requested a note pursuant to Section 2.10(e) of the Credit Agreement.</w:t>
      </w:r>
    </w:p>
    <w:p>
      <w:pPr>
        <w:spacing w:after="0" w:line="176" w:lineRule="exact"/>
        <w:rPr>
          <w:rFonts w:ascii="Arial" w:cs="Arial" w:eastAsia="Arial" w:hAnsi="Arial"/>
          <w:sz w:val="20"/>
          <w:szCs w:val="20"/>
          <w:color w:val="auto"/>
        </w:rPr>
      </w:pPr>
    </w:p>
    <w:p>
      <w:pPr>
        <w:ind w:left="660" w:right="20" w:hanging="652"/>
        <w:spacing w:after="0" w:line="386" w:lineRule="auto"/>
        <w:tabs>
          <w:tab w:leader="none" w:pos="6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Pledge and Security Agreement executed by the Loan Parties in favor of the Administrative Agent, </w:t>
      </w:r>
      <w:r>
        <w:rPr>
          <w:rFonts w:ascii="Arial" w:cs="Arial" w:eastAsia="Arial" w:hAnsi="Arial"/>
          <w:sz w:val="16"/>
          <w:szCs w:val="16"/>
          <w:b w:val="1"/>
          <w:bCs w:val="1"/>
          <w:i w:val="1"/>
          <w:iCs w:val="1"/>
          <w:color w:val="auto"/>
        </w:rPr>
        <w:t>together with pledged instruments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and allonges, stock certificates, stock powers executed in blank, pledge instructions and acknowledgments, as appropriate</w:t>
      </w:r>
      <w:r>
        <w:rPr>
          <w:rFonts w:ascii="Arial" w:cs="Arial" w:eastAsia="Arial" w:hAnsi="Arial"/>
          <w:sz w:val="16"/>
          <w:szCs w:val="16"/>
          <w:color w:val="auto"/>
        </w:rPr>
        <w:t>.</w:t>
      </w:r>
    </w:p>
    <w:p>
      <w:pPr>
        <w:spacing w:after="0" w:line="83" w:lineRule="exact"/>
        <w:rPr>
          <w:rFonts w:ascii="Arial" w:cs="Arial" w:eastAsia="Arial" w:hAnsi="Arial"/>
          <w:sz w:val="16"/>
          <w:szCs w:val="16"/>
          <w:color w:val="auto"/>
        </w:rPr>
      </w:pPr>
    </w:p>
    <w:p>
      <w:pPr>
        <w:ind w:left="660" w:hanging="652"/>
        <w:spacing w:after="0" w:line="260" w:lineRule="auto"/>
        <w:tabs>
          <w:tab w:leader="none" w:pos="66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Patents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Patents; Patent Applications; Other Patents</w:t>
      </w:r>
    </w:p>
    <w:p>
      <w:pPr>
        <w:spacing w:after="0" w:line="243" w:lineRule="exact"/>
        <w:rPr>
          <w:sz w:val="20"/>
          <w:szCs w:val="20"/>
          <w:color w:val="auto"/>
        </w:rPr>
      </w:pPr>
    </w:p>
    <w:p>
      <w:pPr>
        <w:ind w:left="660" w:hanging="652"/>
        <w:spacing w:after="0" w:line="260" w:lineRule="auto"/>
        <w:tabs>
          <w:tab w:leader="none" w:pos="660" w:val="left"/>
        </w:tabs>
        <w:numPr>
          <w:ilvl w:val="0"/>
          <w:numId w:val="389"/>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Trademarks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Trademarks; Trademark and Service Mark Applications; Other Trademarks</w:t>
      </w:r>
    </w:p>
    <w:p>
      <w:pPr>
        <w:spacing w:after="0" w:line="243" w:lineRule="exact"/>
        <w:rPr>
          <w:sz w:val="20"/>
          <w:szCs w:val="20"/>
          <w:color w:val="auto"/>
        </w:rPr>
      </w:pPr>
    </w:p>
    <w:p>
      <w:pPr>
        <w:ind w:left="660" w:hanging="652"/>
        <w:spacing w:after="0" w:line="260" w:lineRule="auto"/>
        <w:tabs>
          <w:tab w:leader="none" w:pos="66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Confirmatory Grant of Security Interest in United States Copyrights made by certain of the Loan Parties in favor of the Administrative Agent for the benefit of the Secured Parties.</w:t>
      </w:r>
    </w:p>
    <w:p>
      <w:pPr>
        <w:spacing w:after="0" w:line="339" w:lineRule="exact"/>
        <w:rPr>
          <w:sz w:val="20"/>
          <w:szCs w:val="20"/>
          <w:color w:val="auto"/>
        </w:rPr>
      </w:pPr>
    </w:p>
    <w:p>
      <w:pPr>
        <w:ind w:left="960"/>
        <w:spacing w:after="0"/>
        <w:tabs>
          <w:tab w:leader="none" w:pos="2320" w:val="left"/>
          <w:tab w:leader="none" w:pos="2980" w:val="left"/>
        </w:tabs>
        <w:rPr>
          <w:sz w:val="20"/>
          <w:szCs w:val="20"/>
          <w:color w:val="auto"/>
        </w:rPr>
      </w:pPr>
      <w:r>
        <w:rPr>
          <w:rFonts w:ascii="Arial" w:cs="Arial" w:eastAsia="Arial" w:hAnsi="Arial"/>
          <w:sz w:val="20"/>
          <w:szCs w:val="20"/>
          <w:b w:val="1"/>
          <w:bCs w:val="1"/>
          <w:i w:val="1"/>
          <w:iCs w:val="1"/>
          <w:color w:val="auto"/>
        </w:rPr>
        <w:t>Schedule A</w:t>
      </w:r>
      <w:r>
        <w:rPr>
          <w:sz w:val="20"/>
          <w:szCs w:val="20"/>
          <w:color w:val="auto"/>
        </w:rPr>
        <w:tab/>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Registered Copyrights; Copyright Applications; Other Copyrights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b w:val="1"/>
          <w:bCs w:val="1"/>
          <w:color w:val="auto"/>
        </w:rPr>
        <w:t>UCC DOCUMENTS</w:t>
      </w:r>
    </w:p>
    <w:p>
      <w:pPr>
        <w:spacing w:after="0" w:line="222" w:lineRule="exact"/>
        <w:rPr>
          <w:sz w:val="20"/>
          <w:szCs w:val="20"/>
          <w:color w:val="auto"/>
        </w:rPr>
      </w:pPr>
    </w:p>
    <w:p>
      <w:pPr>
        <w:ind w:left="660" w:hanging="652"/>
        <w:spacing w:after="0"/>
        <w:tabs>
          <w:tab w:leader="none" w:pos="66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UCC, tax lien and name variation search reports naming each Loan Party from the appropriate offices in relevant jurisdictions.</w:t>
      </w:r>
    </w:p>
    <w:p>
      <w:pPr>
        <w:spacing w:after="0" w:line="227" w:lineRule="exact"/>
        <w:rPr>
          <w:rFonts w:ascii="Arial" w:cs="Arial" w:eastAsia="Arial" w:hAnsi="Arial"/>
          <w:sz w:val="19"/>
          <w:szCs w:val="19"/>
          <w:color w:val="auto"/>
        </w:rPr>
      </w:pPr>
    </w:p>
    <w:p>
      <w:pPr>
        <w:ind w:left="660" w:hanging="652"/>
        <w:spacing w:after="0" w:line="260" w:lineRule="auto"/>
        <w:tabs>
          <w:tab w:leader="none" w:pos="66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UCC financing statements naming each Loan Party as debtor and the Administrative Agent as secured party as filed with the appropriate offices in applicable jurisdictions.</w:t>
      </w:r>
    </w:p>
    <w:p>
      <w:pPr>
        <w:spacing w:after="0" w:line="170" w:lineRule="exact"/>
        <w:rPr>
          <w:rFonts w:ascii="Arial" w:cs="Arial" w:eastAsia="Arial" w:hAnsi="Arial"/>
          <w:sz w:val="20"/>
          <w:szCs w:val="20"/>
          <w:color w:val="auto"/>
        </w:rPr>
      </w:pPr>
    </w:p>
    <w:p>
      <w:pPr>
        <w:ind w:left="4540" w:hanging="235"/>
        <w:spacing w:after="0"/>
        <w:tabs>
          <w:tab w:leader="none" w:pos="4540" w:val="left"/>
        </w:tabs>
        <w:numPr>
          <w:ilvl w:val="1"/>
          <w:numId w:val="391"/>
        </w:numPr>
        <w:rPr>
          <w:rFonts w:ascii="Arial" w:cs="Arial" w:eastAsia="Arial" w:hAnsi="Arial"/>
          <w:sz w:val="20"/>
          <w:szCs w:val="20"/>
          <w:color w:val="auto"/>
        </w:rPr>
      </w:pPr>
      <w:r>
        <w:rPr>
          <w:rFonts w:ascii="Arial" w:cs="Arial" w:eastAsia="Arial" w:hAnsi="Arial"/>
          <w:sz w:val="20"/>
          <w:szCs w:val="20"/>
          <w:b w:val="1"/>
          <w:bCs w:val="1"/>
          <w:color w:val="auto"/>
        </w:rPr>
        <w:t>CORPORATE DOCUMENTS</w:t>
      </w:r>
    </w:p>
    <w:p>
      <w:pPr>
        <w:spacing w:after="0" w:line="221" w:lineRule="exact"/>
        <w:rPr>
          <w:rFonts w:ascii="Arial" w:cs="Arial" w:eastAsia="Arial" w:hAnsi="Arial"/>
          <w:sz w:val="20"/>
          <w:szCs w:val="20"/>
          <w:color w:val="auto"/>
        </w:rPr>
      </w:pPr>
    </w:p>
    <w:p>
      <w:pPr>
        <w:jc w:val="both"/>
        <w:ind w:left="660" w:hanging="652"/>
        <w:spacing w:after="0" w:line="342" w:lineRule="auto"/>
        <w:tabs>
          <w:tab w:leader="none" w:pos="660" w:val="left"/>
        </w:tabs>
        <w:numPr>
          <w:ilvl w:val="0"/>
          <w:numId w:val="391"/>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 of the Secretary or an Assistant Secretary of each Loan Party certifying (i) that there have been no changes in the Certificate of Incorporation or other charter document of such Loan Party, as attached thereto and as certified as of a recent date by the Secretary of State (or analogous governmental entity) of the jurisdiction of its organization, since the date of the certification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041" w:right="239" w:bottom="1440" w:gutter="0" w:footer="0" w:header="0"/>
          <w:type w:val="continuous"/>
        </w:sectPr>
      </w:pPr>
    </w:p>
    <w:bookmarkStart w:id="330" w:name="page331"/>
    <w:bookmarkEnd w:id="330"/>
    <w:p>
      <w:pPr>
        <w:jc w:val="both"/>
        <w:ind w:left="660"/>
        <w:spacing w:after="0" w:line="356" w:lineRule="auto"/>
        <w:rPr>
          <w:sz w:val="20"/>
          <w:szCs w:val="20"/>
          <w:color w:val="auto"/>
        </w:rPr>
      </w:pPr>
      <w:r>
        <w:rPr>
          <w:rFonts w:ascii="Arial" w:cs="Arial" w:eastAsia="Arial" w:hAnsi="Arial"/>
          <w:sz w:val="16"/>
          <w:szCs w:val="16"/>
          <w:b w:val="1"/>
          <w:bCs w:val="1"/>
          <w:i w:val="1"/>
          <w:iCs w:val="1"/>
          <w:color w:val="auto"/>
        </w:rPr>
        <w:t>thereof by such governmental entity, (ii) the By-Laws or other applicable organizational document, as attached thereto, of such Loan Party as in effect on the date of such certification, (iii) resolutions of the Board of Directors or other governing body of such Loan Party authorizing the execution, delivery and performance of each Loan Document to which it is a party and (iv) the names and true signatures of the incumbent officers of each Loan Party authorized to sign the Loan Documents to which it is a party, and (in the case of each Borrower) authorized to request a Borrowing or the issuance of a Letter of Credit under the Credit Agreement.</w:t>
      </w:r>
    </w:p>
    <w:p>
      <w:pPr>
        <w:spacing w:after="0" w:line="121" w:lineRule="exact"/>
        <w:rPr>
          <w:sz w:val="20"/>
          <w:szCs w:val="20"/>
          <w:color w:val="auto"/>
        </w:rPr>
      </w:pPr>
    </w:p>
    <w:p>
      <w:pPr>
        <w:ind w:left="660" w:hanging="652"/>
        <w:spacing w:after="0" w:line="316" w:lineRule="auto"/>
        <w:tabs>
          <w:tab w:leader="none" w:pos="660" w:val="left"/>
        </w:tabs>
        <w:numPr>
          <w:ilvl w:val="0"/>
          <w:numId w:val="392"/>
        </w:numPr>
        <w:rPr>
          <w:rFonts w:ascii="Arial" w:cs="Arial" w:eastAsia="Arial" w:hAnsi="Arial"/>
          <w:sz w:val="18"/>
          <w:szCs w:val="18"/>
          <w:color w:val="auto"/>
        </w:rPr>
      </w:pPr>
      <w:r>
        <w:rPr>
          <w:rFonts w:ascii="Arial" w:cs="Arial" w:eastAsia="Arial" w:hAnsi="Arial"/>
          <w:sz w:val="18"/>
          <w:szCs w:val="18"/>
          <w:b w:val="1"/>
          <w:bCs w:val="1"/>
          <w:i w:val="1"/>
          <w:iCs w:val="1"/>
          <w:color w:val="auto"/>
        </w:rPr>
        <w:t>Good Standing Certificate (or analogous documentation if applicable) for each Loan Party from the Secretary of State (or analogous governmental entity) of the jurisdiction of its organization, to the extent generally available in such jurisdiction.</w:t>
      </w:r>
    </w:p>
    <w:p>
      <w:pPr>
        <w:spacing w:after="0" w:line="124" w:lineRule="exact"/>
        <w:rPr>
          <w:rFonts w:ascii="Arial" w:cs="Arial" w:eastAsia="Arial" w:hAnsi="Arial"/>
          <w:sz w:val="18"/>
          <w:szCs w:val="18"/>
          <w:color w:val="auto"/>
        </w:rPr>
      </w:pPr>
    </w:p>
    <w:p>
      <w:pPr>
        <w:ind w:left="5100"/>
        <w:spacing w:after="0"/>
        <w:rPr>
          <w:rFonts w:ascii="Arial" w:cs="Arial" w:eastAsia="Arial" w:hAnsi="Arial"/>
          <w:sz w:val="18"/>
          <w:szCs w:val="18"/>
          <w:color w:val="auto"/>
        </w:rPr>
      </w:pPr>
      <w:r>
        <w:rPr>
          <w:rFonts w:ascii="Arial" w:cs="Arial" w:eastAsia="Arial" w:hAnsi="Arial"/>
          <w:sz w:val="20"/>
          <w:szCs w:val="20"/>
          <w:color w:val="auto"/>
        </w:rPr>
        <w:t xml:space="preserve">D. </w:t>
      </w:r>
      <w:r>
        <w:rPr>
          <w:rFonts w:ascii="Arial" w:cs="Arial" w:eastAsia="Arial" w:hAnsi="Arial"/>
          <w:sz w:val="20"/>
          <w:szCs w:val="20"/>
          <w:b w:val="1"/>
          <w:bCs w:val="1"/>
          <w:color w:val="auto"/>
        </w:rPr>
        <w:t>OPINIONS</w:t>
      </w:r>
    </w:p>
    <w:p>
      <w:pPr>
        <w:spacing w:after="0" w:line="221" w:lineRule="exact"/>
        <w:rPr>
          <w:rFonts w:ascii="Arial" w:cs="Arial" w:eastAsia="Arial" w:hAnsi="Arial"/>
          <w:sz w:val="18"/>
          <w:szCs w:val="18"/>
          <w:color w:val="auto"/>
        </w:rPr>
      </w:pPr>
    </w:p>
    <w:p>
      <w:pPr>
        <w:jc w:val="both"/>
        <w:ind w:left="660" w:hanging="652"/>
        <w:spacing w:after="0" w:line="246" w:lineRule="auto"/>
        <w:tabs>
          <w:tab w:leader="none" w:pos="660" w:val="left"/>
        </w:tabs>
        <w:numPr>
          <w:ilvl w:val="0"/>
          <w:numId w:val="392"/>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K&amp;L Gates LLP, special New York counsel for the Loan Parties, covering such matters relating to the Loan Parties, the Loan Documents or the Transactions as the Administrative Agent shall reasonably request. The Company hereby requests such counsel to deliver such opinion.</w:t>
      </w:r>
    </w:p>
    <w:p>
      <w:pPr>
        <w:spacing w:after="0" w:line="191"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392"/>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Barnes &amp; Thornburg LLP, special Indiana counsel for the Loan Parties, covering such matters relating to the Loan Parties, the Loan Documents or the Transactions as the Administrative Agent shall reasonably request. The Company hereby requests such counsel to deliver such opinion.</w:t>
      </w:r>
    </w:p>
    <w:p>
      <w:pPr>
        <w:spacing w:after="0" w:line="191" w:lineRule="exact"/>
        <w:rPr>
          <w:rFonts w:ascii="Arial" w:cs="Arial" w:eastAsia="Arial" w:hAnsi="Arial"/>
          <w:sz w:val="20"/>
          <w:szCs w:val="20"/>
          <w:color w:val="auto"/>
        </w:rPr>
      </w:pPr>
    </w:p>
    <w:p>
      <w:pPr>
        <w:jc w:val="both"/>
        <w:ind w:left="660" w:hanging="652"/>
        <w:spacing w:after="0" w:line="246" w:lineRule="auto"/>
        <w:tabs>
          <w:tab w:leader="none" w:pos="660" w:val="left"/>
        </w:tabs>
        <w:numPr>
          <w:ilvl w:val="0"/>
          <w:numId w:val="392"/>
        </w:numPr>
        <w:rPr>
          <w:rFonts w:ascii="Arial" w:cs="Arial" w:eastAsia="Arial" w:hAnsi="Arial"/>
          <w:sz w:val="20"/>
          <w:szCs w:val="20"/>
          <w:color w:val="auto"/>
        </w:rPr>
      </w:pPr>
      <w:r>
        <w:rPr>
          <w:rFonts w:ascii="Arial" w:cs="Arial" w:eastAsia="Arial" w:hAnsi="Arial"/>
          <w:sz w:val="20"/>
          <w:szCs w:val="20"/>
          <w:b w:val="1"/>
          <w:bCs w:val="1"/>
          <w:i w:val="1"/>
          <w:iCs w:val="1"/>
          <w:color w:val="auto"/>
        </w:rPr>
        <w:t>Favorable written opinion (addressed to the Administrative Agent and the Lenders and dated the Effective Date) of Davis, Brown, Koehn, Shors &amp; Roberts, P.C., special Iowa counsel for the Loan Parties, covering such matters relating to the Loan Parties, the Loan Documents or the Transactions as the Administrative Agent shall reasonably request. The Company hereby requests such counsel to deliver such opinion.</w:t>
      </w:r>
    </w:p>
    <w:p>
      <w:pPr>
        <w:spacing w:after="0" w:line="185" w:lineRule="exact"/>
        <w:rPr>
          <w:rFonts w:ascii="Arial" w:cs="Arial" w:eastAsia="Arial" w:hAnsi="Arial"/>
          <w:sz w:val="20"/>
          <w:szCs w:val="20"/>
          <w:color w:val="auto"/>
        </w:rPr>
      </w:pPr>
    </w:p>
    <w:p>
      <w:pPr>
        <w:ind w:left="3260"/>
        <w:spacing w:after="0"/>
        <w:rPr>
          <w:rFonts w:ascii="Arial" w:cs="Arial" w:eastAsia="Arial" w:hAnsi="Arial"/>
          <w:sz w:val="20"/>
          <w:szCs w:val="20"/>
          <w:color w:val="auto"/>
        </w:rPr>
      </w:pPr>
      <w:r>
        <w:rPr>
          <w:rFonts w:ascii="Arial" w:cs="Arial" w:eastAsia="Arial" w:hAnsi="Arial"/>
          <w:sz w:val="20"/>
          <w:szCs w:val="20"/>
          <w:color w:val="auto"/>
        </w:rPr>
        <w:t xml:space="preserve">E. </w:t>
      </w:r>
      <w:r>
        <w:rPr>
          <w:rFonts w:ascii="Arial" w:cs="Arial" w:eastAsia="Arial" w:hAnsi="Arial"/>
          <w:sz w:val="20"/>
          <w:szCs w:val="20"/>
          <w:b w:val="1"/>
          <w:bCs w:val="1"/>
          <w:color w:val="auto"/>
        </w:rPr>
        <w:t>CLOSING CERTIFICATES AND MISCELLANEOUS</w:t>
      </w:r>
    </w:p>
    <w:p>
      <w:pPr>
        <w:spacing w:after="0" w:line="221" w:lineRule="exact"/>
        <w:rPr>
          <w:rFonts w:ascii="Arial" w:cs="Arial" w:eastAsia="Arial" w:hAnsi="Arial"/>
          <w:sz w:val="20"/>
          <w:szCs w:val="20"/>
          <w:color w:val="auto"/>
        </w:rPr>
      </w:pPr>
    </w:p>
    <w:p>
      <w:pPr>
        <w:ind w:left="660" w:hanging="652"/>
        <w:spacing w:after="0"/>
        <w:tabs>
          <w:tab w:leader="none" w:pos="660" w:val="left"/>
        </w:tabs>
        <w:numPr>
          <w:ilvl w:val="0"/>
          <w:numId w:val="392"/>
        </w:numPr>
        <w:rPr>
          <w:rFonts w:ascii="Arial" w:cs="Arial" w:eastAsia="Arial" w:hAnsi="Arial"/>
          <w:sz w:val="20"/>
          <w:szCs w:val="20"/>
          <w:color w:val="auto"/>
        </w:rPr>
      </w:pPr>
      <w:r>
        <w:rPr>
          <w:rFonts w:ascii="Arial" w:cs="Arial" w:eastAsia="Arial" w:hAnsi="Arial"/>
          <w:sz w:val="20"/>
          <w:szCs w:val="20"/>
          <w:b w:val="1"/>
          <w:bCs w:val="1"/>
          <w:i w:val="1"/>
          <w:iCs w:val="1"/>
          <w:color w:val="auto"/>
        </w:rPr>
        <w:t>A Certificate signed by the President, a Vice President or a Financial Officer of the Company certifying that:</w:t>
      </w:r>
    </w:p>
    <w:p>
      <w:pPr>
        <w:spacing w:after="0" w:line="215" w:lineRule="exact"/>
        <w:rPr>
          <w:rFonts w:ascii="Arial" w:cs="Arial" w:eastAsia="Arial" w:hAnsi="Arial"/>
          <w:sz w:val="20"/>
          <w:szCs w:val="20"/>
          <w:color w:val="auto"/>
        </w:rPr>
      </w:pPr>
    </w:p>
    <w:p>
      <w:pPr>
        <w:jc w:val="both"/>
        <w:ind w:left="660" w:firstLine="645"/>
        <w:spacing w:after="0" w:line="278" w:lineRule="auto"/>
        <w:tabs>
          <w:tab w:leader="none" w:pos="1551" w:val="left"/>
        </w:tabs>
        <w:numPr>
          <w:ilvl w:val="1"/>
          <w:numId w:val="3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Specified Representations are true and correct in all material respects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that any representation or warranty that is qualified by materiality, Material Adverse Effect or similar language are true and correct in all respects) on and as of the Effective Date, except to the extent that such representations and warranties specifically refer to an earlier date, in which case they are true and correct in all material respects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that any representation or warranty that is qualified by materiality, Material Adverse Effect or similar language are true and correct in all respects) as of such earlier date;</w:t>
      </w:r>
    </w:p>
    <w:p>
      <w:pPr>
        <w:spacing w:after="0" w:line="165" w:lineRule="exact"/>
        <w:rPr>
          <w:rFonts w:ascii="Arial" w:cs="Arial" w:eastAsia="Arial" w:hAnsi="Arial"/>
          <w:sz w:val="18"/>
          <w:szCs w:val="18"/>
          <w:b w:val="1"/>
          <w:bCs w:val="1"/>
          <w:i w:val="1"/>
          <w:iCs w:val="1"/>
          <w:color w:val="auto"/>
        </w:rPr>
      </w:pPr>
    </w:p>
    <w:p>
      <w:pPr>
        <w:jc w:val="both"/>
        <w:ind w:left="660" w:firstLine="645"/>
        <w:spacing w:after="0" w:line="282" w:lineRule="auto"/>
        <w:tabs>
          <w:tab w:leader="none" w:pos="1608" w:val="left"/>
        </w:tabs>
        <w:numPr>
          <w:ilvl w:val="1"/>
          <w:numId w:val="3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Grand Design Purchase Agreement Representations are true and correct in all material respects (</w:t>
      </w:r>
      <w:r>
        <w:rPr>
          <w:rFonts w:ascii="Arial" w:cs="Arial" w:eastAsia="Arial" w:hAnsi="Arial"/>
          <w:sz w:val="18"/>
          <w:szCs w:val="18"/>
          <w:b w:val="1"/>
          <w:bCs w:val="1"/>
          <w:i w:val="1"/>
          <w:iCs w:val="1"/>
          <w:u w:val="single" w:color="auto"/>
          <w:color w:val="auto"/>
        </w:rPr>
        <w:t>provided</w:t>
      </w:r>
      <w:r>
        <w:rPr>
          <w:rFonts w:ascii="Arial" w:cs="Arial" w:eastAsia="Arial" w:hAnsi="Arial"/>
          <w:sz w:val="18"/>
          <w:szCs w:val="18"/>
          <w:b w:val="1"/>
          <w:bCs w:val="1"/>
          <w:i w:val="1"/>
          <w:iCs w:val="1"/>
          <w:color w:val="auto"/>
        </w:rPr>
        <w:t xml:space="preserve"> that any such representation or warranty that is qualified by “materiality,” “Material Adverse Effect,” or similar language shall be true and correct in all respects) on and as of the Effective Date, except to the extent that such representations and warranties specifically refer to an earlier date, in which case they are true and correct in all material respects (</w:t>
      </w:r>
      <w:r>
        <w:rPr>
          <w:rFonts w:ascii="Arial" w:cs="Arial" w:eastAsia="Arial" w:hAnsi="Arial"/>
          <w:sz w:val="18"/>
          <w:szCs w:val="18"/>
          <w:b w:val="1"/>
          <w:bCs w:val="1"/>
          <w:i w:val="1"/>
          <w:iCs w:val="1"/>
          <w:u w:val="single" w:color="auto"/>
          <w:color w:val="auto"/>
        </w:rPr>
        <w:t>provided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825" w:right="239" w:bottom="1440" w:gutter="0" w:footer="0" w:header="0"/>
        </w:sectPr>
      </w:pPr>
    </w:p>
    <w:bookmarkStart w:id="331" w:name="page332"/>
    <w:bookmarkEnd w:id="331"/>
    <w:p>
      <w:pPr>
        <w:ind w:left="652" w:right="20"/>
        <w:spacing w:after="0" w:line="260" w:lineRule="auto"/>
        <w:rPr>
          <w:sz w:val="20"/>
          <w:szCs w:val="20"/>
          <w:color w:val="auto"/>
        </w:rPr>
      </w:pPr>
      <w:r>
        <w:rPr>
          <w:rFonts w:ascii="Arial" w:cs="Arial" w:eastAsia="Arial" w:hAnsi="Arial"/>
          <w:sz w:val="20"/>
          <w:szCs w:val="20"/>
          <w:b w:val="1"/>
          <w:bCs w:val="1"/>
          <w:i w:val="1"/>
          <w:iCs w:val="1"/>
          <w:color w:val="auto"/>
        </w:rPr>
        <w:t>that any representation or warranty that is qualified by “materiality,” “Material Adverse Effect,” or similar language shall be true and correct in all respects) as of such earlier date;</w:t>
      </w:r>
    </w:p>
    <w:p>
      <w:pPr>
        <w:spacing w:after="0" w:line="177" w:lineRule="exact"/>
        <w:rPr>
          <w:sz w:val="20"/>
          <w:szCs w:val="20"/>
          <w:color w:val="auto"/>
        </w:rPr>
      </w:pPr>
    </w:p>
    <w:p>
      <w:pPr>
        <w:jc w:val="both"/>
        <w:ind w:left="652" w:right="20" w:firstLine="645"/>
        <w:spacing w:after="0" w:line="250" w:lineRule="auto"/>
        <w:tabs>
          <w:tab w:leader="none" w:pos="1651" w:val="left"/>
        </w:tabs>
        <w:numPr>
          <w:ilvl w:val="1"/>
          <w:numId w:val="39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after giving effect to the Transactions, neither the Company nor any of its Subsidiaries (including, for the avoidance of doubt, the Target and its subsidiaries) shall have any Indebtedness outstanding other than the Permitted Surviving Debt and the Indebtedness permitted pursuant to Section 6.01 of the Credit Agreement;</w:t>
      </w:r>
    </w:p>
    <w:p>
      <w:pPr>
        <w:spacing w:after="0" w:line="186" w:lineRule="exact"/>
        <w:rPr>
          <w:rFonts w:ascii="Arial" w:cs="Arial" w:eastAsia="Arial" w:hAnsi="Arial"/>
          <w:sz w:val="20"/>
          <w:szCs w:val="20"/>
          <w:b w:val="1"/>
          <w:bCs w:val="1"/>
          <w:i w:val="1"/>
          <w:iCs w:val="1"/>
          <w:color w:val="auto"/>
        </w:rPr>
      </w:pPr>
    </w:p>
    <w:p>
      <w:pPr>
        <w:ind w:left="652" w:firstLine="645"/>
        <w:spacing w:after="0" w:line="260" w:lineRule="auto"/>
        <w:tabs>
          <w:tab w:leader="none" w:pos="1641" w:val="left"/>
        </w:tabs>
        <w:numPr>
          <w:ilvl w:val="1"/>
          <w:numId w:val="393"/>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Since October 2, 2016, there has not been a “Material Adverse Effect” (as such term is defined in the Grand Design Purchase Agreement as in effect on October 2, 2016); and</w:t>
      </w:r>
    </w:p>
    <w:p>
      <w:pPr>
        <w:spacing w:after="0" w:line="176" w:lineRule="exact"/>
        <w:rPr>
          <w:rFonts w:ascii="Arial" w:cs="Arial" w:eastAsia="Arial" w:hAnsi="Arial"/>
          <w:sz w:val="20"/>
          <w:szCs w:val="20"/>
          <w:b w:val="1"/>
          <w:bCs w:val="1"/>
          <w:i w:val="1"/>
          <w:iCs w:val="1"/>
          <w:color w:val="auto"/>
        </w:rPr>
      </w:pPr>
    </w:p>
    <w:p>
      <w:pPr>
        <w:jc w:val="both"/>
        <w:ind w:left="652" w:firstLine="645"/>
        <w:spacing w:after="0" w:line="328" w:lineRule="auto"/>
        <w:tabs>
          <w:tab w:leader="none" w:pos="1599" w:val="left"/>
        </w:tabs>
        <w:numPr>
          <w:ilvl w:val="1"/>
          <w:numId w:val="39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the Grand Design Acquisition shall, substantially concurrently with the initial funding of the Loans hereunder and under the Term Loan Agreement, be consummated pursuant to the Grand Design Purchase Agreement, as in effect on October 2, 2016, and no provision thereof shall have been amended or waived, and no consent or request shall have been given under the Grand Design Purchase Agreement, in any way that is materially adverse to the Lenders in their capacities as such.</w:t>
      </w:r>
    </w:p>
    <w:p>
      <w:pPr>
        <w:spacing w:after="0" w:line="128" w:lineRule="exact"/>
        <w:rPr>
          <w:rFonts w:ascii="Arial" w:cs="Arial" w:eastAsia="Arial" w:hAnsi="Arial"/>
          <w:sz w:val="16"/>
          <w:szCs w:val="16"/>
          <w:b w:val="1"/>
          <w:bCs w:val="1"/>
          <w:i w:val="1"/>
          <w:iCs w:val="1"/>
          <w:color w:val="auto"/>
        </w:rPr>
      </w:pPr>
    </w:p>
    <w:p>
      <w:pPr>
        <w:ind w:left="652" w:hanging="652"/>
        <w:spacing w:after="0" w:line="316" w:lineRule="auto"/>
        <w:tabs>
          <w:tab w:leader="none" w:pos="652" w:val="left"/>
        </w:tabs>
        <w:numPr>
          <w:ilvl w:val="0"/>
          <w:numId w:val="39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Solvency Certificate of the chief financial officer of the Company substantially in the form of </w:t>
      </w:r>
      <w:r>
        <w:rPr>
          <w:rFonts w:ascii="Arial" w:cs="Arial" w:eastAsia="Arial" w:hAnsi="Arial"/>
          <w:sz w:val="18"/>
          <w:szCs w:val="18"/>
          <w:b w:val="1"/>
          <w:bCs w:val="1"/>
          <w:i w:val="1"/>
          <w:iCs w:val="1"/>
          <w:u w:val="single" w:color="auto"/>
          <w:color w:val="auto"/>
        </w:rPr>
        <w:t>Annex I</w:t>
      </w:r>
      <w:r>
        <w:rPr>
          <w:rFonts w:ascii="Arial" w:cs="Arial" w:eastAsia="Arial" w:hAnsi="Arial"/>
          <w:sz w:val="18"/>
          <w:szCs w:val="18"/>
          <w:b w:val="1"/>
          <w:bCs w:val="1"/>
          <w:i w:val="1"/>
          <w:iCs w:val="1"/>
          <w:color w:val="auto"/>
        </w:rPr>
        <w:t xml:space="preserve"> hereto, certifying that the Company and its Subsidiaries, on a consolidated basis after giving effect to the Transactions, are solvent.</w:t>
      </w:r>
    </w:p>
    <w:p>
      <w:pPr>
        <w:spacing w:after="0" w:line="130" w:lineRule="exact"/>
        <w:rPr>
          <w:rFonts w:ascii="Arial" w:cs="Arial" w:eastAsia="Arial" w:hAnsi="Arial"/>
          <w:sz w:val="18"/>
          <w:szCs w:val="18"/>
          <w:color w:val="auto"/>
        </w:rPr>
      </w:pPr>
    </w:p>
    <w:p>
      <w:pPr>
        <w:jc w:val="both"/>
        <w:ind w:left="652" w:hanging="652"/>
        <w:spacing w:after="0" w:line="250" w:lineRule="auto"/>
        <w:tabs>
          <w:tab w:leader="none" w:pos="65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Payoff documentation providing evidence satisfactory to the Administrative Agent that the Existing Credit Agreement has been terminated and cancelled (along with all of the agreements, documents and instruments delivered in connection therewith) and all Indebtedness owing thereunder has been repaid.</w:t>
      </w:r>
    </w:p>
    <w:p>
      <w:pPr>
        <w:spacing w:after="0" w:line="186" w:lineRule="exact"/>
        <w:rPr>
          <w:rFonts w:ascii="Arial" w:cs="Arial" w:eastAsia="Arial" w:hAnsi="Arial"/>
          <w:sz w:val="20"/>
          <w:szCs w:val="20"/>
          <w:color w:val="auto"/>
        </w:rPr>
      </w:pPr>
    </w:p>
    <w:p>
      <w:pPr>
        <w:ind w:left="652" w:hanging="652"/>
        <w:spacing w:after="0" w:line="287" w:lineRule="auto"/>
        <w:tabs>
          <w:tab w:leader="none" w:pos="652" w:val="left"/>
        </w:tabs>
        <w:numPr>
          <w:ilvl w:val="0"/>
          <w:numId w:val="394"/>
        </w:numPr>
        <w:rPr>
          <w:rFonts w:ascii="Arial" w:cs="Arial" w:eastAsia="Arial" w:hAnsi="Arial"/>
          <w:sz w:val="19"/>
          <w:szCs w:val="19"/>
          <w:color w:val="auto"/>
        </w:rPr>
      </w:pPr>
      <w:r>
        <w:rPr>
          <w:rFonts w:ascii="Arial" w:cs="Arial" w:eastAsia="Arial" w:hAnsi="Arial"/>
          <w:sz w:val="19"/>
          <w:szCs w:val="19"/>
          <w:b w:val="1"/>
          <w:bCs w:val="1"/>
          <w:i w:val="1"/>
          <w:iCs w:val="1"/>
          <w:color w:val="auto"/>
        </w:rPr>
        <w:t>An Aggregate Borrowing Base Certificate and a Borrowing Base Certificate for each Borrower, in each case, prepared as of the last day of the most recent month ended at least twenty (20) calendar days prior to the Effective Date.</w:t>
      </w:r>
    </w:p>
    <w:p>
      <w:pPr>
        <w:spacing w:after="0" w:line="152" w:lineRule="exact"/>
        <w:rPr>
          <w:rFonts w:ascii="Arial" w:cs="Arial" w:eastAsia="Arial" w:hAnsi="Arial"/>
          <w:sz w:val="19"/>
          <w:szCs w:val="19"/>
          <w:color w:val="auto"/>
        </w:rPr>
      </w:pPr>
    </w:p>
    <w:p>
      <w:pPr>
        <w:ind w:left="652" w:hanging="652"/>
        <w:spacing w:after="0" w:line="260" w:lineRule="auto"/>
        <w:tabs>
          <w:tab w:leader="none" w:pos="65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ABL/Term Loan Intercreditor Agreement, executed by JPMorgan, as ABL Representative, JPMorgan, as Term Loan Representative, and the Loan Parties.</w:t>
      </w:r>
    </w:p>
    <w:p>
      <w:pPr>
        <w:spacing w:after="0" w:line="190" w:lineRule="exact"/>
        <w:rPr>
          <w:rFonts w:ascii="Arial" w:cs="Arial" w:eastAsia="Arial" w:hAnsi="Arial"/>
          <w:sz w:val="20"/>
          <w:szCs w:val="20"/>
          <w:color w:val="auto"/>
        </w:rPr>
      </w:pPr>
    </w:p>
    <w:p>
      <w:pPr>
        <w:ind w:left="652" w:hanging="652"/>
        <w:spacing w:after="0"/>
        <w:tabs>
          <w:tab w:leader="none" w:pos="65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Funding Account Notice.</w:t>
      </w:r>
    </w:p>
    <w:p>
      <w:pPr>
        <w:spacing w:after="0" w:line="229" w:lineRule="exact"/>
        <w:rPr>
          <w:rFonts w:ascii="Arial" w:cs="Arial" w:eastAsia="Arial" w:hAnsi="Arial"/>
          <w:sz w:val="20"/>
          <w:szCs w:val="20"/>
          <w:color w:val="auto"/>
        </w:rPr>
      </w:pPr>
    </w:p>
    <w:p>
      <w:pPr>
        <w:ind w:left="652" w:hanging="652"/>
        <w:spacing w:after="0"/>
        <w:tabs>
          <w:tab w:leader="none" w:pos="652" w:val="left"/>
        </w:tabs>
        <w:numPr>
          <w:ilvl w:val="0"/>
          <w:numId w:val="394"/>
        </w:numPr>
        <w:rPr>
          <w:rFonts w:ascii="Arial" w:cs="Arial" w:eastAsia="Arial" w:hAnsi="Arial"/>
          <w:sz w:val="20"/>
          <w:szCs w:val="20"/>
          <w:color w:val="auto"/>
        </w:rPr>
      </w:pPr>
      <w:r>
        <w:rPr>
          <w:rFonts w:ascii="Arial" w:cs="Arial" w:eastAsia="Arial" w:hAnsi="Arial"/>
          <w:sz w:val="20"/>
          <w:szCs w:val="20"/>
          <w:color w:val="auto"/>
        </w:rPr>
        <w:t>Term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12"/>
          </w:cols>
          <w:pgMar w:left="248" w:top="812"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20"/>
          <w:szCs w:val="20"/>
          <w:u w:val="single" w:color="auto"/>
          <w:color w:val="auto"/>
        </w:rPr>
        <w:t>Annex I to Exhibit 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FORM OF SOLVENCY CERTIFICATE</w:t>
      </w:r>
    </w:p>
    <w:p>
      <w:pPr>
        <w:spacing w:after="0" w:line="216" w:lineRule="exact"/>
        <w:rPr>
          <w:sz w:val="20"/>
          <w:szCs w:val="20"/>
          <w:color w:val="auto"/>
        </w:rPr>
      </w:pPr>
    </w:p>
    <w:p>
      <w:pPr>
        <w:ind w:left="9680"/>
        <w:spacing w:after="0"/>
        <w:rPr>
          <w:sz w:val="20"/>
          <w:szCs w:val="20"/>
          <w:color w:val="auto"/>
        </w:rPr>
      </w:pPr>
      <w:r>
        <w:rPr>
          <w:rFonts w:ascii="Arial" w:cs="Arial" w:eastAsia="Arial" w:hAnsi="Arial"/>
          <w:sz w:val="18"/>
          <w:szCs w:val="18"/>
          <w:color w:val="auto"/>
        </w:rPr>
        <w:t>[__________], 20[__]</w:t>
      </w:r>
    </w:p>
    <w:p>
      <w:pPr>
        <w:spacing w:after="0" w:line="23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Solvency Certificate is being executed and delivered pursuant to Section 4.01(a) of the Credit Agreement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dated as of November 8, 2016, among Winnebago Industries, Inc. (the “</w:t>
      </w:r>
      <w:r>
        <w:rPr>
          <w:rFonts w:ascii="Arial" w:cs="Arial" w:eastAsia="Arial" w:hAnsi="Arial"/>
          <w:sz w:val="20"/>
          <w:szCs w:val="20"/>
          <w:u w:val="single" w:color="auto"/>
          <w:color w:val="auto"/>
        </w:rPr>
        <w:t>Company</w:t>
      </w:r>
      <w:r>
        <w:rPr>
          <w:rFonts w:ascii="Arial" w:cs="Arial" w:eastAsia="Arial" w:hAnsi="Arial"/>
          <w:sz w:val="20"/>
          <w:szCs w:val="20"/>
          <w:color w:val="auto"/>
        </w:rPr>
        <w:t>”), the other loan parties party thereto from time to time, the lenders party thereto from time to time and JPMorgan Chase Bank, N.A., as the administrative agent; the terms defined therein being used herein as therein defined.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w:t>
      </w:r>
      <w:r>
        <w:rPr>
          <w:rFonts w:ascii="Arial" w:cs="Arial" w:eastAsia="Arial" w:hAnsi="Arial"/>
          <w:sz w:val="18"/>
          <w:szCs w:val="18"/>
          <w:color w:val="auto"/>
        </w:rPr>
        <w:t>__________</w:t>
      </w:r>
      <w:r>
        <w:rPr>
          <w:rFonts w:ascii="Arial" w:cs="Arial" w:eastAsia="Arial" w:hAnsi="Arial"/>
          <w:sz w:val="18"/>
          <w:szCs w:val="18"/>
          <w:b w:val="1"/>
          <w:bCs w:val="1"/>
          <w:color w:val="auto"/>
        </w:rPr>
        <w:t>]</w:t>
      </w:r>
      <w:r>
        <w:rPr>
          <w:rFonts w:ascii="Arial" w:cs="Arial" w:eastAsia="Arial" w:hAnsi="Arial"/>
          <w:sz w:val="18"/>
          <w:szCs w:val="18"/>
          <w:color w:val="auto"/>
        </w:rPr>
        <w:t>, the chief financial officer of the Company, solely in such capacity and not in an individual capacity, hereby certify</w:t>
      </w:r>
    </w:p>
    <w:p>
      <w:pPr>
        <w:spacing w:after="0" w:line="4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that I am the chief financial officer of the Company and that I am generally familiar with the businesses and assets of the Company and its Subsidiaries (taken as a whole), I have made such other investigations and inquiries as I have deemed appropriate and I am duly authorized to execute this Solvency Certificate on behalf of the Company pursuant to the Credit Agreement.</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 further certify, solely in my capacity as chief financial officer of the Company, and not in my individual capacity, as of the date hereof and after giving effect to the Transactions and the incurrence of the indebtedness and obligations being incurred in connection with the Credit Agreement and the Transactions on the date hereof, that, with respect to the Company and its Subsidiaries on a consolidated basis, (a) the sum of the liabilities of the Company and its Subsidiaries, taken as a whole, does not exceed the present fair saleable value of the assets of the Company and its Subsidiaries, taken as a whole; (b) the capital of the Company and its Subsidiaries, taken as a whole, is not unreasonably small in relation to the business of the Company and its Subsidiaries, taken as a whole, contemplated on the date hereof and (c) the Company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Remainder of page intentionally left blank</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270" w:right="2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t>IN WITNESS WHEREOF, I have executed this Solvency Certificate on the date first written above.</w:t>
      </w:r>
    </w:p>
    <w:p>
      <w:pPr>
        <w:sectPr>
          <w:pgSz w:w="11900" w:h="16838" w:orient="portrait"/>
          <w:cols w:equalWidth="0" w:num="1">
            <w:col w:w="9559"/>
          </w:cols>
          <w:pgMar w:left="900" w:top="125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By:__________________________________</w:t>
      </w:r>
    </w:p>
    <w:p>
      <w:pPr>
        <w:spacing w:after="0" w:line="6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9559"/>
          </w:cols>
          <w:pgMar w:left="900" w:top="1257" w:right="1440" w:bottom="1440" w:gutter="0" w:footer="0" w:header="0"/>
          <w:type w:val="continuous"/>
        </w:sectPr>
      </w:pPr>
    </w:p>
    <w:bookmarkStart w:id="334" w:name="page335"/>
    <w:bookmarkEnd w:id="334"/>
    <w:p>
      <w:pPr>
        <w:jc w:val="right"/>
        <w:spacing w:after="0"/>
        <w:rPr>
          <w:sz w:val="20"/>
          <w:szCs w:val="20"/>
          <w:color w:val="auto"/>
        </w:rPr>
      </w:pPr>
      <w:r>
        <w:rPr>
          <w:rFonts w:ascii="Arial" w:cs="Arial" w:eastAsia="Arial" w:hAnsi="Arial"/>
          <w:sz w:val="20"/>
          <w:szCs w:val="20"/>
          <w:color w:val="auto"/>
        </w:rPr>
        <w:t>EXHIBIT 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JOINDER AGREEMENT</w:t>
      </w: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[__________], 20__, is entered into between [__________], 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auto"/>
        </w:rPr>
        <w:t>[__________] (the “</w:t>
      </w:r>
      <w:r>
        <w:rPr>
          <w:rFonts w:ascii="Arial" w:cs="Arial" w:eastAsia="Arial" w:hAnsi="Arial"/>
          <w:sz w:val="19"/>
          <w:szCs w:val="19"/>
          <w:u w:val="single" w:color="auto"/>
          <w:color w:val="auto"/>
        </w:rPr>
        <w:t>New Subsidiary</w:t>
      </w:r>
      <w:r>
        <w:rPr>
          <w:rFonts w:ascii="Arial" w:cs="Arial" w:eastAsia="Arial" w:hAnsi="Arial"/>
          <w:sz w:val="19"/>
          <w:szCs w:val="19"/>
          <w:color w:val="auto"/>
        </w:rPr>
        <w:t>”) and JPMORGAN CHASE BANK, N.A., in its capacity as administrative agent (the “</w:t>
      </w:r>
      <w:r>
        <w:rPr>
          <w:rFonts w:ascii="Arial" w:cs="Arial" w:eastAsia="Arial" w:hAnsi="Arial"/>
          <w:sz w:val="19"/>
          <w:szCs w:val="19"/>
          <w:u w:val="single" w:color="auto"/>
          <w:color w:val="auto"/>
        </w:rPr>
        <w:t>Administrative</w:t>
      </w:r>
    </w:p>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Agent</w:t>
      </w:r>
      <w:r>
        <w:rPr>
          <w:rFonts w:ascii="Arial" w:cs="Arial" w:eastAsia="Arial" w:hAnsi="Arial"/>
          <w:sz w:val="19"/>
          <w:szCs w:val="19"/>
          <w:color w:val="auto"/>
        </w:rPr>
        <w:t>”) under that certain Credit Agreement dated as of November 8, 2016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party thereto, the Lenders party thereto and the Administrative Agent for the Lenders. All capitalized terms used herein and not otherwise defined herein shall have the meanings set forth in the Credit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New Subsidiary and the Administrative Agent, for the benefit of the Lenders, hereby agree as follows:</w:t>
      </w:r>
    </w:p>
    <w:p>
      <w:pPr>
        <w:spacing w:after="0" w:line="229" w:lineRule="exact"/>
        <w:rPr>
          <w:sz w:val="20"/>
          <w:szCs w:val="20"/>
          <w:color w:val="auto"/>
        </w:rPr>
      </w:pPr>
    </w:p>
    <w:p>
      <w:pPr>
        <w:jc w:val="both"/>
        <w:ind w:firstLine="656"/>
        <w:spacing w:after="0" w:line="269" w:lineRule="auto"/>
        <w:tabs>
          <w:tab w:leader="none" w:pos="100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(b) all of the covenants set forth in Articles V and VI of the Credit Agreement 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p>
    <w:p>
      <w:pPr>
        <w:spacing w:after="0" w:line="193" w:lineRule="exact"/>
        <w:rPr>
          <w:rFonts w:ascii="Arial" w:cs="Arial" w:eastAsia="Arial" w:hAnsi="Arial"/>
          <w:sz w:val="18"/>
          <w:szCs w:val="18"/>
          <w:color w:val="auto"/>
        </w:rPr>
      </w:pPr>
    </w:p>
    <w:p>
      <w:pPr>
        <w:ind w:firstLine="656"/>
        <w:spacing w:after="0" w:line="316" w:lineRule="auto"/>
        <w:tabs>
          <w:tab w:leader="none" w:pos="1022"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43" w:lineRule="exact"/>
        <w:rPr>
          <w:rFonts w:ascii="Arial" w:cs="Arial" w:eastAsia="Arial" w:hAnsi="Arial"/>
          <w:sz w:val="18"/>
          <w:szCs w:val="18"/>
          <w:color w:val="auto"/>
        </w:rPr>
      </w:pPr>
    </w:p>
    <w:p>
      <w:pPr>
        <w:ind w:left="1000" w:hanging="344"/>
        <w:spacing w:after="0"/>
        <w:tabs>
          <w:tab w:leader="none" w:pos="10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address of the New Subsidiary for purposes of Section 9.01 of the Credit Agreement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945515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730885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516255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1094105</wp:posOffset>
            </wp:positionH>
            <wp:positionV relativeFrom="paragraph">
              <wp:posOffset>302260</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812" w:right="239" w:bottom="1440" w:gutter="0" w:footer="0" w:header="0"/>
        </w:sectPr>
      </w:pPr>
    </w:p>
    <w:bookmarkStart w:id="335" w:name="page336"/>
    <w:bookmarkEnd w:id="335"/>
    <w:p>
      <w:pPr>
        <w:ind w:firstLine="656"/>
        <w:spacing w:after="0" w:line="260" w:lineRule="auto"/>
        <w:tabs>
          <w:tab w:leader="none" w:pos="1143"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New Subsidiary hereby waives acceptance by the Administrative Agent and the Lenders of the guaranty by the New Subsidiary upon the execution of this Agreement by the New Subsidiary.</w:t>
      </w:r>
    </w:p>
    <w:p>
      <w:pPr>
        <w:spacing w:after="0" w:line="190" w:lineRule="exact"/>
        <w:rPr>
          <w:rFonts w:ascii="Arial" w:cs="Arial" w:eastAsia="Arial" w:hAnsi="Arial"/>
          <w:sz w:val="20"/>
          <w:szCs w:val="20"/>
          <w:color w:val="auto"/>
        </w:rPr>
      </w:pPr>
    </w:p>
    <w:p>
      <w:pPr>
        <w:ind w:firstLine="656"/>
        <w:spacing w:after="0" w:line="260" w:lineRule="auto"/>
        <w:tabs>
          <w:tab w:leader="none" w:pos="1089"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This Agreement may be executed in any number of counterparts, each of which when so executed and delivered shall be an original, but all of which shall constitute one and the same instrument.</w:t>
      </w:r>
    </w:p>
    <w:p>
      <w:pPr>
        <w:spacing w:after="0" w:line="190" w:lineRule="exact"/>
        <w:rPr>
          <w:rFonts w:ascii="Arial" w:cs="Arial" w:eastAsia="Arial" w:hAnsi="Arial"/>
          <w:sz w:val="20"/>
          <w:szCs w:val="20"/>
          <w:color w:val="auto"/>
        </w:rPr>
      </w:pPr>
    </w:p>
    <w:p>
      <w:pPr>
        <w:ind w:firstLine="656"/>
        <w:spacing w:after="0" w:line="287" w:lineRule="auto"/>
        <w:tabs>
          <w:tab w:leader="none" w:pos="1049" w:val="left"/>
        </w:tabs>
        <w:numPr>
          <w:ilvl w:val="0"/>
          <w:numId w:val="396"/>
        </w:numPr>
        <w:rPr>
          <w:rFonts w:ascii="Arial" w:cs="Arial" w:eastAsia="Arial" w:hAnsi="Arial"/>
          <w:sz w:val="19"/>
          <w:szCs w:val="19"/>
          <w:color w:val="auto"/>
        </w:rPr>
      </w:pPr>
      <w:r>
        <w:rPr>
          <w:rFonts w:ascii="Arial" w:cs="Arial" w:eastAsia="Arial" w:hAnsi="Arial"/>
          <w:sz w:val="19"/>
          <w:szCs w:val="19"/>
          <w:color w:val="auto"/>
        </w:rPr>
        <w:t>THIS AGREEMENT AND THE RIGHTS AND OBLIGATIONS OF THE PARTIES HEREUNDER SHALL BE GOVERNED BY AND CONSTRUED AND INTERPRETED IN ACCORDANCE WITH THE LAWS OF THE STATE OF NEW YORK.</w:t>
      </w:r>
    </w:p>
    <w:p>
      <w:pPr>
        <w:spacing w:after="0" w:line="1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362"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[NEW SUBSIDIARY]</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71"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Acknowledged and accepted:</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JPMORGAN CHASE BANK, N.A., as Administrative Agent</w:t>
      </w:r>
    </w:p>
    <w:p>
      <w:pPr>
        <w:spacing w:after="0" w:line="37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27305</wp:posOffset>
            </wp:positionV>
            <wp:extent cx="32588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1041" w:right="239" w:bottom="1440" w:gutter="0" w:footer="0" w:header="0"/>
        </w:sectPr>
      </w:pPr>
    </w:p>
    <w:bookmarkStart w:id="336" w:name="page337"/>
    <w:bookmarkEnd w:id="336"/>
    <w:p>
      <w:pPr>
        <w:jc w:val="center"/>
        <w:spacing w:after="0"/>
        <w:rPr>
          <w:sz w:val="20"/>
          <w:szCs w:val="20"/>
          <w:color w:val="auto"/>
        </w:rPr>
      </w:pPr>
      <w:r>
        <w:rPr>
          <w:rFonts w:ascii="Arial" w:cs="Arial" w:eastAsia="Arial" w:hAnsi="Arial"/>
          <w:sz w:val="20"/>
          <w:szCs w:val="20"/>
          <w:color w:val="auto"/>
        </w:rPr>
        <w:t>EXHIBIT F-1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Not Partnerships For U.S. Federal Income Tax Purposes)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Reference is hereby made to the Credit Agreement dated as of November 8, 2016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Pursuant to the provisions of Section 2.17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 (C) of the Code.</w:t>
      </w:r>
    </w:p>
    <w:p>
      <w:pPr>
        <w:spacing w:after="0" w:line="195"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The undersigned has furnished the Administrative Agent and the Borrowers with a certificate of its non-U.S. Person status on IRS Form W-8BEN or IRS Form W-8BEN-E. By executing this certificate, the undersigned agrees that (1) 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6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27305</wp:posOffset>
            </wp:positionV>
            <wp:extent cx="26073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7543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20"/>
          <w:szCs w:val="20"/>
          <w:color w:val="auto"/>
        </w:rPr>
        <w:t>EXHIBIT F-2</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(For Foreign Participants That Are Not Partnerships For U.S. Federal Income Tax Purposes)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Reference is hereby made to the Credit Agreement dated as of November 8, 2016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Pursuant to the provisions of Section 2.17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any Borrower within the meaning of Section 871(h)(3)(B) of the Code and (iv) it is not a controlled foreign corporation related to any Borrower as described in Section 881(c)(3)(C) of the Code.</w:t>
      </w:r>
    </w:p>
    <w:p>
      <w:pPr>
        <w:spacing w:after="0" w:line="177"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The undersigned has furnished its participating Lender with a certificate of its non-U.S. Person status on IRS Form W-8BEN or IRS Form W-8BEN-E.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27305</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7543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338" w:name="page339"/>
    <w:bookmarkEnd w:id="338"/>
    <w:p>
      <w:pPr>
        <w:jc w:val="center"/>
        <w:spacing w:after="0"/>
        <w:rPr>
          <w:sz w:val="20"/>
          <w:szCs w:val="20"/>
          <w:color w:val="auto"/>
        </w:rPr>
      </w:pPr>
      <w:r>
        <w:rPr>
          <w:rFonts w:ascii="Arial" w:cs="Arial" w:eastAsia="Arial" w:hAnsi="Arial"/>
          <w:sz w:val="20"/>
          <w:szCs w:val="20"/>
          <w:color w:val="auto"/>
        </w:rPr>
        <w:t>EXHIBIT F-3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Participants That Are Partnerships For U.S. Federal Income Tax Purposes)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Reference is hereby made to the Credit Agreement dated as of November 8, 2016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9"/>
          <w:szCs w:val="19"/>
          <w:color w:val="auto"/>
        </w:rPr>
        <w:t>Pursuant to the provisions of Section 2.17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79"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or</w:t>
      </w:r>
    </w:p>
    <w:p>
      <w:pPr>
        <w:spacing w:after="0" w:line="1" w:lineRule="exact"/>
        <w:rPr>
          <w:sz w:val="20"/>
          <w:szCs w:val="20"/>
          <w:color w:val="auto"/>
        </w:rPr>
      </w:pPr>
    </w:p>
    <w:p>
      <w:pPr>
        <w:jc w:val="both"/>
        <w:ind w:firstLine="8"/>
        <w:spacing w:after="0" w:line="256" w:lineRule="auto"/>
        <w:tabs>
          <w:tab w:leader="none" w:pos="301" w:val="left"/>
        </w:tabs>
        <w:numPr>
          <w:ilvl w:val="0"/>
          <w:numId w:val="397"/>
        </w:numPr>
        <w:rPr>
          <w:rFonts w:ascii="Arial" w:cs="Arial" w:eastAsia="Arial" w:hAnsi="Arial"/>
          <w:sz w:val="19"/>
          <w:szCs w:val="19"/>
          <w:color w:val="auto"/>
        </w:rPr>
      </w:pPr>
      <w:r>
        <w:rPr>
          <w:rFonts w:ascii="Arial" w:cs="Arial" w:eastAsia="Arial" w:hAnsi="Arial"/>
          <w:sz w:val="19"/>
          <w:szCs w:val="19"/>
          <w:color w:val="auto"/>
        </w:rPr>
        <w:t>an IRS Form W-8IMY accompanied by an IRS Form W-8BEN or IRS Form W-8BEN-E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3"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PARTICIPANT]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27305</wp:posOffset>
            </wp:positionV>
            <wp:extent cx="26073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7543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339" w:name="page340"/>
    <w:bookmarkEnd w:id="339"/>
    <w:p>
      <w:pPr>
        <w:jc w:val="center"/>
        <w:spacing w:after="0"/>
        <w:rPr>
          <w:sz w:val="20"/>
          <w:szCs w:val="20"/>
          <w:color w:val="auto"/>
        </w:rPr>
      </w:pPr>
      <w:r>
        <w:rPr>
          <w:rFonts w:ascii="Arial" w:cs="Arial" w:eastAsia="Arial" w:hAnsi="Arial"/>
          <w:sz w:val="20"/>
          <w:szCs w:val="20"/>
          <w:color w:val="auto"/>
        </w:rPr>
        <w:t>EXHIBIT F-4</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 TAX COMPLIANCE CERTIFICATE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 Foreign Lenders That Are Partnerships For U.S. Federal Income Tax Purposes)</w:t>
      </w:r>
    </w:p>
    <w:p>
      <w:pPr>
        <w:spacing w:after="0" w:line="200"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Reference is hereby made to the Credit Agreement dated as of November 8, 2016 (as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Pursuant to the provisions of Section 2.17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the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any Borrower within the meaning of Section 871(h)(3)(B) of the Code and (v) none of its direct or indirect partners/members is a controlled foreign corporation related to any Borrower as described in Section 881(c)(3)(C) of the Code.</w:t>
      </w:r>
    </w:p>
    <w:p>
      <w:pPr>
        <w:spacing w:after="0" w:line="18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The undersigned has furnished the Administrative Agent and the Borrowers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w:t>
      </w:r>
    </w:p>
    <w:p>
      <w:pPr>
        <w:spacing w:after="0" w:line="3" w:lineRule="exact"/>
        <w:rPr>
          <w:sz w:val="20"/>
          <w:szCs w:val="20"/>
          <w:color w:val="auto"/>
        </w:rPr>
      </w:pPr>
    </w:p>
    <w:p>
      <w:pPr>
        <w:jc w:val="both"/>
        <w:ind w:firstLine="8"/>
        <w:spacing w:after="0" w:line="241" w:lineRule="auto"/>
        <w:tabs>
          <w:tab w:leader="none" w:pos="304" w:val="left"/>
        </w:tabs>
        <w:numPr>
          <w:ilvl w:val="0"/>
          <w:numId w:val="398"/>
        </w:numPr>
        <w:rPr>
          <w:rFonts w:ascii="Arial" w:cs="Arial" w:eastAsia="Arial" w:hAnsi="Arial"/>
          <w:sz w:val="20"/>
          <w:szCs w:val="20"/>
          <w:color w:val="auto"/>
        </w:rPr>
      </w:pPr>
      <w:r>
        <w:rPr>
          <w:rFonts w:ascii="Arial" w:cs="Arial" w:eastAsia="Arial" w:hAnsi="Arial"/>
          <w:sz w:val="20"/>
          <w:szCs w:val="20"/>
          <w:color w:val="auto"/>
        </w:rPr>
        <w:t>if the information provided on this certificate changes, the undersigned shall promptly so inform the Borrowers and the Administrative Agent, and (2) the undersigned shall have at all times furnished the Borrowers and the Administrative Agent with a properly completed and currently effective certificate in either the calendar year in which each payment is to be made to the undersigned, or in either of the two calendar years preceding such payments.</w:t>
      </w:r>
    </w:p>
    <w:p>
      <w:pPr>
        <w:spacing w:after="0" w:line="195"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[NAME OF LENDER]</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27305</wp:posOffset>
            </wp:positionV>
            <wp:extent cx="26073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Title:</w:t>
      </w:r>
    </w:p>
    <w:p>
      <w:pPr>
        <w:spacing w:after="0" w:line="54" w:lineRule="exact"/>
        <w:rPr>
          <w:sz w:val="20"/>
          <w:szCs w:val="20"/>
          <w:color w:val="auto"/>
        </w:rPr>
      </w:pPr>
    </w:p>
    <w:p>
      <w:pPr>
        <w:ind w:left="40"/>
        <w:spacing w:after="0"/>
        <w:tabs>
          <w:tab w:leader="none" w:pos="22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7543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ectPr>
          <w:pgSz w:w="11900" w:h="16838" w:orient="portrait"/>
          <w:cols w:equalWidth="0" w:num="1">
            <w:col w:w="11420"/>
          </w:cols>
          <w:pgMar w:left="240" w:top="1041" w:right="239" w:bottom="1440" w:gutter="0" w:footer="0" w:header="0"/>
        </w:sectPr>
      </w:pPr>
    </w:p>
    <w:bookmarkStart w:id="340" w:name="page341"/>
    <w:bookmarkEnd w:id="340"/>
    <w:p>
      <w:pPr>
        <w:jc w:val="center"/>
        <w:spacing w:after="0"/>
        <w:rPr>
          <w:sz w:val="20"/>
          <w:szCs w:val="20"/>
          <w:color w:val="auto"/>
        </w:rPr>
      </w:pPr>
      <w:r>
        <w:rPr>
          <w:rFonts w:ascii="Arial" w:cs="Arial" w:eastAsia="Arial" w:hAnsi="Arial"/>
          <w:sz w:val="20"/>
          <w:szCs w:val="20"/>
          <w:color w:val="auto"/>
        </w:rPr>
        <w:t>EXHIBIT G-1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BORROWING REQUEST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for the Lenders referred to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 S. Dearborn St.</w:t>
      </w:r>
    </w:p>
    <w:p>
      <w:pPr>
        <w:spacing w:after="0"/>
        <w:rPr>
          <w:sz w:val="20"/>
          <w:szCs w:val="20"/>
          <w:color w:val="auto"/>
        </w:rPr>
      </w:pPr>
      <w:r>
        <w:rPr>
          <w:rFonts w:ascii="Arial" w:cs="Arial" w:eastAsia="Arial" w:hAnsi="Arial"/>
          <w:sz w:val="20"/>
          <w:szCs w:val="20"/>
          <w:color w:val="auto"/>
        </w:rPr>
        <w:t>Chicago, Illinois 60603</w:t>
      </w:r>
    </w:p>
    <w:p>
      <w:pPr>
        <w:spacing w:after="0"/>
        <w:rPr>
          <w:sz w:val="20"/>
          <w:szCs w:val="20"/>
          <w:color w:val="auto"/>
        </w:rPr>
      </w:pPr>
      <w:r>
        <w:rPr>
          <w:rFonts w:ascii="Arial" w:cs="Arial" w:eastAsia="Arial" w:hAnsi="Arial"/>
          <w:sz w:val="20"/>
          <w:szCs w:val="20"/>
          <w:color w:val="auto"/>
        </w:rPr>
        <w:t>Attention: John Morrone</w:t>
      </w:r>
    </w:p>
    <w:p>
      <w:pPr>
        <w:spacing w:after="0"/>
        <w:rPr>
          <w:sz w:val="20"/>
          <w:szCs w:val="20"/>
          <w:color w:val="auto"/>
        </w:rPr>
      </w:pPr>
      <w:r>
        <w:rPr>
          <w:rFonts w:ascii="Arial" w:cs="Arial" w:eastAsia="Arial" w:hAnsi="Arial"/>
          <w:sz w:val="20"/>
          <w:szCs w:val="20"/>
          <w:color w:val="auto"/>
        </w:rPr>
        <w:t>Facsimile No: (312) 548-1943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Winnebago Industries, Inc.</w:t>
      </w:r>
    </w:p>
    <w:p>
      <w:pPr>
        <w:spacing w:after="0" w:line="108" w:lineRule="exact"/>
        <w:rPr>
          <w:sz w:val="20"/>
          <w:szCs w:val="20"/>
          <w:color w:val="auto"/>
        </w:rPr>
      </w:pPr>
    </w:p>
    <w:p>
      <w:pPr>
        <w:ind w:left="10920"/>
        <w:spacing w:after="0"/>
        <w:rPr>
          <w:sz w:val="20"/>
          <w:szCs w:val="20"/>
          <w:color w:val="auto"/>
        </w:rPr>
      </w:pPr>
      <w:r>
        <w:rPr>
          <w:rFonts w:ascii="Arial" w:cs="Arial" w:eastAsia="Arial" w:hAnsi="Arial"/>
          <w:sz w:val="18"/>
          <w:szCs w:val="18"/>
          <w:color w:val="auto"/>
        </w:rPr>
        <w:t>[Date]</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1297"/>
        <w:spacing w:after="0" w:line="242" w:lineRule="auto"/>
        <w:rPr>
          <w:sz w:val="20"/>
          <w:szCs w:val="20"/>
          <w:color w:val="auto"/>
        </w:rPr>
      </w:pPr>
      <w:r>
        <w:rPr>
          <w:rFonts w:ascii="Arial" w:cs="Arial" w:eastAsia="Arial" w:hAnsi="Arial"/>
          <w:sz w:val="20"/>
          <w:szCs w:val="20"/>
          <w:color w:val="auto"/>
        </w:rPr>
        <w:t>Reference is hereby made to the Credit Agreement dated as of November 8, 2016 (as the same may be amended, restated, supplemented or otherwise modified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among Winnebago Industries, Inc. (the “</w:t>
      </w:r>
      <w:r>
        <w:rPr>
          <w:rFonts w:ascii="Arial" w:cs="Arial" w:eastAsia="Arial" w:hAnsi="Arial"/>
          <w:sz w:val="20"/>
          <w:szCs w:val="20"/>
          <w:u w:val="single" w:color="auto"/>
          <w:color w:val="auto"/>
        </w:rPr>
        <w:t>Borrower</w:t>
      </w:r>
      <w:r>
        <w:rPr>
          <w:rFonts w:ascii="Arial" w:cs="Arial" w:eastAsia="Arial" w:hAnsi="Arial"/>
          <w:sz w:val="20"/>
          <w:szCs w:val="20"/>
          <w:color w:val="auto"/>
        </w:rPr>
        <w:t xml:space="preserve"> </w:t>
      </w:r>
      <w:r>
        <w:rPr>
          <w:rFonts w:ascii="Arial" w:cs="Arial" w:eastAsia="Arial" w:hAnsi="Arial"/>
          <w:sz w:val="20"/>
          <w:szCs w:val="20"/>
          <w:u w:val="single" w:color="auto"/>
          <w:color w:val="auto"/>
        </w:rPr>
        <w:t>Representative</w:t>
      </w:r>
      <w:r>
        <w:rPr>
          <w:rFonts w:ascii="Arial" w:cs="Arial" w:eastAsia="Arial" w:hAnsi="Arial"/>
          <w:sz w:val="20"/>
          <w:szCs w:val="20"/>
          <w:color w:val="auto"/>
        </w:rPr>
        <w:t>”), Winnebago of Indiana, LLC and Grand Design RV, LLC, as Borrowers (the “</w:t>
      </w:r>
      <w:r>
        <w:rPr>
          <w:rFonts w:ascii="Arial" w:cs="Arial" w:eastAsia="Arial" w:hAnsi="Arial"/>
          <w:sz w:val="20"/>
          <w:szCs w:val="20"/>
          <w:u w:val="single" w:color="auto"/>
          <w:color w:val="auto"/>
        </w:rPr>
        <w:t>Borrowers</w:t>
      </w:r>
      <w:r>
        <w:rPr>
          <w:rFonts w:ascii="Arial" w:cs="Arial" w:eastAsia="Arial" w:hAnsi="Arial"/>
          <w:sz w:val="20"/>
          <w:szCs w:val="20"/>
          <w:color w:val="auto"/>
        </w:rPr>
        <w:t>”), the other Loan Parties from time to time party thereto, the Lenders from time to time party thereto and JPMorgan Chase Bank,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Capitalized terms used but not defined herein shall have the meanings assigned to such terms in the Credit Agreement. The Borrower Representative hereby gives you notice pursuant to Section 2.03 of the Credit Agreement that it requests a Borrowing under the Credit Agreement, and in that connection the Borrower Representative specifies the following information with respect to such Borrowing requested hereby:</w:t>
      </w:r>
    </w:p>
    <w:p>
      <w:pPr>
        <w:spacing w:after="0" w:line="198" w:lineRule="exact"/>
        <w:rPr>
          <w:sz w:val="20"/>
          <w:szCs w:val="20"/>
          <w:color w:val="auto"/>
        </w:rPr>
      </w:pPr>
    </w:p>
    <w:p>
      <w:pPr>
        <w:ind w:left="660" w:hanging="652"/>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Name of the applicable Borrower: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Aggregate principal amount of Borrowing:</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__________</w:t>
      </w:r>
    </w:p>
    <w:p>
      <w:pPr>
        <w:spacing w:after="0" w:line="158" w:lineRule="exact"/>
        <w:rPr>
          <w:rFonts w:ascii="Arial" w:cs="Arial" w:eastAsia="Arial" w:hAnsi="Arial"/>
          <w:sz w:val="20"/>
          <w:szCs w:val="20"/>
          <w:color w:val="auto"/>
        </w:rPr>
      </w:pPr>
    </w:p>
    <w:p>
      <w:pPr>
        <w:ind w:left="660" w:hanging="652"/>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Date of Borrowing (which shall be a Business Day):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Type of Borrowing (ABR or Eurodollar):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Interest Period and the last day thereof (if a Eurodollar Borrowing):</w:t>
      </w:r>
      <w:r>
        <w:rPr>
          <w:rFonts w:ascii="Arial" w:cs="Arial" w:eastAsia="Arial" w:hAnsi="Arial"/>
          <w:sz w:val="25"/>
          <w:szCs w:val="25"/>
          <w:color w:val="auto"/>
          <w:vertAlign w:val="superscript"/>
        </w:rPr>
        <w:t>2</w:t>
      </w:r>
      <w:r>
        <w:rPr>
          <w:rFonts w:ascii="Arial" w:cs="Arial" w:eastAsia="Arial" w:hAnsi="Arial"/>
          <w:sz w:val="20"/>
          <w:szCs w:val="20"/>
          <w:color w:val="auto"/>
        </w:rPr>
        <w:t xml:space="preserve"> __________</w:t>
      </w:r>
    </w:p>
    <w:p>
      <w:pPr>
        <w:spacing w:after="0" w:line="158"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399"/>
        </w:numPr>
        <w:rPr>
          <w:rFonts w:ascii="Arial" w:cs="Arial" w:eastAsia="Arial" w:hAnsi="Arial"/>
          <w:sz w:val="20"/>
          <w:szCs w:val="20"/>
          <w:color w:val="auto"/>
        </w:rPr>
      </w:pPr>
      <w:r>
        <w:rPr>
          <w:rFonts w:ascii="Arial" w:cs="Arial" w:eastAsia="Arial" w:hAnsi="Arial"/>
          <w:sz w:val="20"/>
          <w:szCs w:val="20"/>
          <w:color w:val="auto"/>
        </w:rPr>
        <w:t>Location and number of the Borrower’s account or any other account agreed upon by the Administrative Agent and the Borrower to which proceeds of Borrowing are to be disbursed: __________</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w:t>
      </w:r>
    </w:p>
    <w:p>
      <w:pPr>
        <w:spacing w:after="0" w:line="170" w:lineRule="exact"/>
        <w:rPr>
          <w:sz w:val="20"/>
          <w:szCs w:val="20"/>
          <w:color w:val="auto"/>
        </w:rPr>
      </w:pPr>
    </w:p>
    <w:p>
      <w:pPr>
        <w:ind w:left="120" w:hanging="112"/>
        <w:spacing w:after="0"/>
        <w:tabs>
          <w:tab w:leader="none" w:pos="120" w:val="left"/>
        </w:tabs>
        <w:numPr>
          <w:ilvl w:val="0"/>
          <w:numId w:val="400"/>
        </w:numPr>
        <w:rPr>
          <w:rFonts w:ascii="Arial" w:cs="Arial" w:eastAsia="Arial" w:hAnsi="Arial"/>
          <w:sz w:val="25"/>
          <w:szCs w:val="25"/>
          <w:color w:val="auto"/>
          <w:vertAlign w:val="superscript"/>
        </w:rPr>
      </w:pPr>
      <w:r>
        <w:rPr>
          <w:rFonts w:ascii="Arial" w:cs="Arial" w:eastAsia="Arial" w:hAnsi="Arial"/>
          <w:sz w:val="18"/>
          <w:szCs w:val="18"/>
          <w:color w:val="auto"/>
        </w:rPr>
        <w:t>Not less than applicable amounts specified in Section 2.02(c).</w:t>
      </w: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Which must comply with the definition of “Interest Period” and end not later than the Maturity Date.</w:t>
      </w:r>
    </w:p>
    <w:p>
      <w:pPr>
        <w:sectPr>
          <w:pgSz w:w="11900" w:h="16838" w:orient="portrait"/>
          <w:cols w:equalWidth="0" w:num="1">
            <w:col w:w="11420"/>
          </w:cols>
          <w:pgMar w:left="240" w:top="811" w:right="239" w:bottom="1440" w:gutter="0" w:footer="0" w:header="0"/>
        </w:sectPr>
      </w:pPr>
    </w:p>
    <w:bookmarkStart w:id="341" w:name="page342"/>
    <w:bookmarkEnd w:id="341"/>
    <w:p>
      <w:pPr>
        <w:ind w:firstLine="648"/>
        <w:spacing w:after="0" w:line="260" w:lineRule="auto"/>
        <w:rPr>
          <w:sz w:val="20"/>
          <w:szCs w:val="20"/>
          <w:color w:val="auto"/>
        </w:rPr>
      </w:pPr>
      <w:r>
        <w:rPr>
          <w:rFonts w:ascii="Arial" w:cs="Arial" w:eastAsia="Arial" w:hAnsi="Arial"/>
          <w:sz w:val="20"/>
          <w:szCs w:val="20"/>
          <w:color w:val="auto"/>
        </w:rPr>
        <w:t>The undersigned hereby represents and warrants that the conditions to lending specified in Section[s] [4.01 and] To be included only for Borrowings on the Effective Date. 4.02 of the Credit Agreement are satisfied as of the date hereof.</w:t>
      </w:r>
    </w:p>
    <w:p>
      <w:pPr>
        <w:spacing w:after="0" w:line="339"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WINNEBAGO INDUSTRIES, INC.,</w:t>
      </w:r>
    </w:p>
    <w:p>
      <w:pPr>
        <w:spacing w:after="0" w:line="5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as the Borrower Representative</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27305</wp:posOffset>
            </wp:positionV>
            <wp:extent cx="3404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w:t>
      </w:r>
    </w:p>
    <w:p>
      <w:pPr>
        <w:spacing w:after="0" w:line="190" w:lineRule="exact"/>
        <w:rPr>
          <w:sz w:val="20"/>
          <w:szCs w:val="20"/>
          <w:color w:val="auto"/>
        </w:rPr>
      </w:pPr>
    </w:p>
    <w:p>
      <w:pPr>
        <w:ind w:left="100" w:hanging="92"/>
        <w:spacing w:after="0"/>
        <w:tabs>
          <w:tab w:leader="none" w:pos="100" w:val="left"/>
        </w:tabs>
        <w:numPr>
          <w:ilvl w:val="0"/>
          <w:numId w:val="401"/>
        </w:numPr>
        <w:rPr>
          <w:rFonts w:ascii="Arial" w:cs="Arial" w:eastAsia="Arial" w:hAnsi="Arial"/>
          <w:sz w:val="24"/>
          <w:szCs w:val="24"/>
          <w:color w:val="auto"/>
          <w:vertAlign w:val="superscript"/>
        </w:rPr>
      </w:pPr>
      <w:r>
        <w:rPr>
          <w:rFonts w:ascii="Arial" w:cs="Arial" w:eastAsia="Arial" w:hAnsi="Arial"/>
          <w:sz w:val="19"/>
          <w:szCs w:val="19"/>
          <w:color w:val="auto"/>
        </w:rPr>
        <w:t>To be included only for Borrowings on the Effective Date.</w:t>
      </w:r>
    </w:p>
    <w:p>
      <w:pPr>
        <w:sectPr>
          <w:pgSz w:w="11900" w:h="16838" w:orient="portrait"/>
          <w:cols w:equalWidth="0" w:num="1">
            <w:col w:w="11400"/>
          </w:cols>
          <w:pgMar w:left="240" w:top="811" w:right="259" w:bottom="1440" w:gutter="0" w:footer="0" w:header="0"/>
        </w:sectPr>
      </w:pPr>
    </w:p>
    <w:bookmarkStart w:id="342" w:name="page343"/>
    <w:bookmarkEnd w:id="342"/>
    <w:p>
      <w:pPr>
        <w:jc w:val="center"/>
        <w:spacing w:after="0"/>
        <w:rPr>
          <w:sz w:val="20"/>
          <w:szCs w:val="20"/>
          <w:color w:val="auto"/>
        </w:rPr>
      </w:pPr>
      <w:r>
        <w:rPr>
          <w:rFonts w:ascii="Arial" w:cs="Arial" w:eastAsia="Arial" w:hAnsi="Arial"/>
          <w:sz w:val="20"/>
          <w:szCs w:val="20"/>
          <w:color w:val="auto"/>
        </w:rPr>
        <w:t>EXHIBIT G-2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INTEREST ELECTION REQUEST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as Administrative Agent</w:t>
      </w:r>
    </w:p>
    <w:p>
      <w:pPr>
        <w:spacing w:after="0"/>
        <w:rPr>
          <w:sz w:val="20"/>
          <w:szCs w:val="20"/>
          <w:color w:val="auto"/>
        </w:rPr>
      </w:pPr>
      <w:r>
        <w:rPr>
          <w:rFonts w:ascii="Arial" w:cs="Arial" w:eastAsia="Arial" w:hAnsi="Arial"/>
          <w:sz w:val="20"/>
          <w:szCs w:val="20"/>
          <w:color w:val="auto"/>
        </w:rPr>
        <w:t>for the Lenders referred to below</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10 S. Dearborn St.</w:t>
      </w:r>
    </w:p>
    <w:p>
      <w:pPr>
        <w:spacing w:after="0"/>
        <w:rPr>
          <w:sz w:val="20"/>
          <w:szCs w:val="20"/>
          <w:color w:val="auto"/>
        </w:rPr>
      </w:pPr>
      <w:r>
        <w:rPr>
          <w:rFonts w:ascii="Arial" w:cs="Arial" w:eastAsia="Arial" w:hAnsi="Arial"/>
          <w:sz w:val="20"/>
          <w:szCs w:val="20"/>
          <w:color w:val="auto"/>
        </w:rPr>
        <w:t>Chicago, Illinois 60603</w:t>
      </w:r>
    </w:p>
    <w:p>
      <w:pPr>
        <w:spacing w:after="0"/>
        <w:rPr>
          <w:sz w:val="20"/>
          <w:szCs w:val="20"/>
          <w:color w:val="auto"/>
        </w:rPr>
      </w:pPr>
      <w:r>
        <w:rPr>
          <w:rFonts w:ascii="Arial" w:cs="Arial" w:eastAsia="Arial" w:hAnsi="Arial"/>
          <w:sz w:val="20"/>
          <w:szCs w:val="20"/>
          <w:color w:val="auto"/>
        </w:rPr>
        <w:t>Attention: John Morrone</w:t>
      </w:r>
    </w:p>
    <w:p>
      <w:pPr>
        <w:spacing w:after="0"/>
        <w:rPr>
          <w:sz w:val="20"/>
          <w:szCs w:val="20"/>
          <w:color w:val="auto"/>
        </w:rPr>
      </w:pPr>
      <w:r>
        <w:rPr>
          <w:rFonts w:ascii="Arial" w:cs="Arial" w:eastAsia="Arial" w:hAnsi="Arial"/>
          <w:sz w:val="20"/>
          <w:szCs w:val="20"/>
          <w:color w:val="auto"/>
        </w:rPr>
        <w:t>Facsimile No: (312) 548-1943</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Winnebago Industries, Inc.</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[Date]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Reference is hereby made to the Credit Agreement dated as of November 8, 2016 (as the same may be amended,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Winnebago Industries, Inc.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Representative</w:t>
      </w:r>
      <w:r>
        <w:rPr>
          <w:rFonts w:ascii="Arial" w:cs="Arial" w:eastAsia="Arial" w:hAnsi="Arial"/>
          <w:sz w:val="19"/>
          <w:szCs w:val="19"/>
          <w:color w:val="auto"/>
        </w:rPr>
        <w:t>”), Winnebago of Indiana, LLC and Grand Design RV, LLC, as Borrowers (the “</w:t>
      </w:r>
      <w:r>
        <w:rPr>
          <w:rFonts w:ascii="Arial" w:cs="Arial" w:eastAsia="Arial" w:hAnsi="Arial"/>
          <w:sz w:val="19"/>
          <w:szCs w:val="19"/>
          <w:u w:val="single" w:color="auto"/>
          <w:color w:val="auto"/>
        </w:rPr>
        <w:t>Borrowers</w:t>
      </w:r>
      <w:r>
        <w:rPr>
          <w:rFonts w:ascii="Arial" w:cs="Arial" w:eastAsia="Arial" w:hAnsi="Arial"/>
          <w:sz w:val="19"/>
          <w:szCs w:val="19"/>
          <w:color w:val="auto"/>
        </w:rPr>
        <w:t>”), the other Loan Parties from time to time party thereto, the Lenders from time to time party thereto and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Capitalized terms used but not defined herein shall have the meanings assigned to such terms in the Credit Agreement. The Borrower Representative hereby gives you notice pursuant to Section 2.08 of the Credit Agreement that it requests to [convert] [continue] an existing Borrowing under the Credit Agreement, and in that connection the Borrower specifies the following information with respect to such [conversion][continuation] requested hereby:</w:t>
      </w:r>
    </w:p>
    <w:p>
      <w:pPr>
        <w:spacing w:after="0" w:line="181" w:lineRule="exact"/>
        <w:rPr>
          <w:sz w:val="20"/>
          <w:szCs w:val="20"/>
          <w:color w:val="auto"/>
        </w:rPr>
      </w:pPr>
    </w:p>
    <w:p>
      <w:pPr>
        <w:ind w:left="660" w:hanging="652"/>
        <w:spacing w:after="0"/>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Name of Borrower: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List date, Type, Class, principal amount and Interest Period (if applicable) of existing Borrowing: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Aggregate principal amount of resulting Borrowing: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Effective date of interest election (which shall be a Business Day): __________</w:t>
      </w:r>
    </w:p>
    <w:p>
      <w:pPr>
        <w:spacing w:after="0" w:line="215" w:lineRule="exact"/>
        <w:rPr>
          <w:rFonts w:ascii="Arial" w:cs="Arial" w:eastAsia="Arial" w:hAnsi="Arial"/>
          <w:sz w:val="20"/>
          <w:szCs w:val="20"/>
          <w:color w:val="auto"/>
        </w:rPr>
      </w:pPr>
    </w:p>
    <w:p>
      <w:pPr>
        <w:ind w:left="660" w:hanging="652"/>
        <w:spacing w:after="0"/>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Type of Borrowing (ABR or Eurodollar): __________</w:t>
      </w:r>
    </w:p>
    <w:p>
      <w:pPr>
        <w:spacing w:after="0" w:line="215" w:lineRule="exact"/>
        <w:rPr>
          <w:rFonts w:ascii="Arial" w:cs="Arial" w:eastAsia="Arial" w:hAnsi="Arial"/>
          <w:sz w:val="20"/>
          <w:szCs w:val="20"/>
          <w:color w:val="auto"/>
        </w:rPr>
      </w:pPr>
    </w:p>
    <w:p>
      <w:pPr>
        <w:ind w:left="660" w:right="20" w:hanging="652"/>
        <w:spacing w:after="0" w:line="260" w:lineRule="auto"/>
        <w:tabs>
          <w:tab w:leader="none" w:pos="6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Interest Period and the last day thereof (if a Eurodollar Borrowing): Which must comply with the definition of “Interest Period” and end not later than the Maturity Date. __________</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w:t>
      </w:r>
    </w:p>
    <w:p>
      <w:pPr>
        <w:spacing w:after="0" w:line="1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20"/>
          <w:szCs w:val="20"/>
          <w:color w:val="auto"/>
        </w:rPr>
        <w:t>Which must comply with the definition of “Interest Period” and end not later than the Maturity Date.</w:t>
      </w:r>
    </w:p>
    <w:p>
      <w:pPr>
        <w:sectPr>
          <w:pgSz w:w="11900" w:h="16838" w:orient="portrait"/>
          <w:cols w:equalWidth="0" w:num="1">
            <w:col w:w="11420"/>
          </w:cols>
          <w:pgMar w:left="240" w:top="811" w:right="239" w:bottom="1440" w:gutter="0" w:footer="0" w:header="0"/>
        </w:sectPr>
      </w:pPr>
    </w:p>
    <w:bookmarkStart w:id="343" w:name="page344"/>
    <w:bookmarkEnd w:id="343"/>
    <w:p>
      <w:pPr>
        <w:ind w:left="4320"/>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WINNEBAGO INDUSTRIES, INC.</w:t>
      </w:r>
    </w:p>
    <w:p>
      <w:pPr>
        <w:spacing w:after="0" w:line="6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as Borrower Representative</w:t>
      </w:r>
    </w:p>
    <w:p>
      <w:pPr>
        <w:spacing w:after="0" w:line="378"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27305</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4"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9019"/>
          </w:cols>
          <w:pgMar w:left="1440" w:top="1203"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22"/>
          <w:szCs w:val="22"/>
          <w:b w:val="1"/>
          <w:bCs w:val="1"/>
          <w:color w:val="auto"/>
        </w:rPr>
        <w:t>INTERCREDITOR AGREEMENT</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Intercreditor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November 8, 2016, among JPMorgan Chase Bank, N.A., as Administrative Agent (in such capacity, with its successors and assigns in such capacity, and as more specifically defined below, the “</w:t>
      </w:r>
      <w:r>
        <w:rPr>
          <w:rFonts w:ascii="Arial" w:cs="Arial" w:eastAsia="Arial" w:hAnsi="Arial"/>
          <w:sz w:val="22"/>
          <w:szCs w:val="22"/>
          <w:u w:val="single" w:color="auto"/>
          <w:color w:val="auto"/>
        </w:rPr>
        <w:t>ABL Representative</w:t>
      </w:r>
      <w:r>
        <w:rPr>
          <w:rFonts w:ascii="Arial" w:cs="Arial" w:eastAsia="Arial" w:hAnsi="Arial"/>
          <w:sz w:val="22"/>
          <w:szCs w:val="22"/>
          <w:color w:val="auto"/>
        </w:rPr>
        <w:t>”) for the ABL Secured Parties (as defined below), JPMorgan Chase Bank, N.A., as Administrative Agent (in such capacity, with its successors and assigns in such capacity, and as more specifically defined below, the “</w:t>
      </w:r>
      <w:r>
        <w:rPr>
          <w:rFonts w:ascii="Arial" w:cs="Arial" w:eastAsia="Arial" w:hAnsi="Arial"/>
          <w:sz w:val="22"/>
          <w:szCs w:val="22"/>
          <w:u w:val="single" w:color="auto"/>
          <w:color w:val="auto"/>
        </w:rPr>
        <w:t>Term Loan</w:t>
      </w:r>
      <w:r>
        <w:rPr>
          <w:rFonts w:ascii="Arial" w:cs="Arial" w:eastAsia="Arial" w:hAnsi="Arial"/>
          <w:sz w:val="22"/>
          <w:szCs w:val="22"/>
          <w:color w:val="auto"/>
        </w:rPr>
        <w:t xml:space="preserve"> </w:t>
      </w:r>
      <w:r>
        <w:rPr>
          <w:rFonts w:ascii="Arial" w:cs="Arial" w:eastAsia="Arial" w:hAnsi="Arial"/>
          <w:sz w:val="22"/>
          <w:szCs w:val="22"/>
          <w:u w:val="single" w:color="auto"/>
          <w:color w:val="auto"/>
        </w:rPr>
        <w:t>Representative</w:t>
      </w:r>
      <w:r>
        <w:rPr>
          <w:rFonts w:ascii="Arial" w:cs="Arial" w:eastAsia="Arial" w:hAnsi="Arial"/>
          <w:sz w:val="22"/>
          <w:szCs w:val="22"/>
          <w:color w:val="auto"/>
        </w:rPr>
        <w:t>”) for the Term Loan Secured Parties (as defined below), and each of the Loan Parties (as defined below) party hereto.</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WHEREAS Winnebago Industries, Inc., an Iowa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Winnebago of Indiana, LLC, an Iowa limited liability company (“</w:t>
      </w:r>
      <w:r>
        <w:rPr>
          <w:rFonts w:ascii="Arial" w:cs="Arial" w:eastAsia="Arial" w:hAnsi="Arial"/>
          <w:sz w:val="21"/>
          <w:szCs w:val="21"/>
          <w:u w:val="single" w:color="auto"/>
          <w:color w:val="auto"/>
        </w:rPr>
        <w:t>WGO of Indiana</w:t>
      </w:r>
      <w:r>
        <w:rPr>
          <w:rFonts w:ascii="Arial" w:cs="Arial" w:eastAsia="Arial" w:hAnsi="Arial"/>
          <w:sz w:val="21"/>
          <w:szCs w:val="21"/>
          <w:color w:val="auto"/>
        </w:rPr>
        <w:t>”), after giving effect to the Grand Design Acquisition (as defined in the Existing ABL Agreement (defined below)), Grand Design RV, LLC, an Indiana limited liability company (“</w:t>
      </w:r>
      <w:r>
        <w:rPr>
          <w:rFonts w:ascii="Arial" w:cs="Arial" w:eastAsia="Arial" w:hAnsi="Arial"/>
          <w:sz w:val="21"/>
          <w:szCs w:val="21"/>
          <w:u w:val="single" w:color="auto"/>
          <w:color w:val="auto"/>
        </w:rPr>
        <w:t>Grand Design</w:t>
      </w:r>
      <w:r>
        <w:rPr>
          <w:rFonts w:ascii="Arial" w:cs="Arial" w:eastAsia="Arial" w:hAnsi="Arial"/>
          <w:sz w:val="21"/>
          <w:szCs w:val="21"/>
          <w:color w:val="auto"/>
        </w:rPr>
        <w:t>”; the Company, WGO of Indiana and Grand Design are collectively referred to herein as the “</w:t>
      </w:r>
      <w:r>
        <w:rPr>
          <w:rFonts w:ascii="Arial" w:cs="Arial" w:eastAsia="Arial" w:hAnsi="Arial"/>
          <w:sz w:val="21"/>
          <w:szCs w:val="21"/>
          <w:u w:val="single" w:color="auto"/>
          <w:color w:val="auto"/>
        </w:rPr>
        <w:t>ABL Borrowers</w:t>
      </w:r>
      <w:r>
        <w:rPr>
          <w:rFonts w:ascii="Arial" w:cs="Arial" w:eastAsia="Arial" w:hAnsi="Arial"/>
          <w:sz w:val="21"/>
          <w:szCs w:val="21"/>
          <w:color w:val="auto"/>
        </w:rPr>
        <w:t>”), other Loan Parties party thereto, the ABL Representative and certain financial institutions and other entities are parties to the Credit Agreement, dated as of the date hereof (the “</w:t>
      </w:r>
      <w:r>
        <w:rPr>
          <w:rFonts w:ascii="Arial" w:cs="Arial" w:eastAsia="Arial" w:hAnsi="Arial"/>
          <w:sz w:val="21"/>
          <w:szCs w:val="21"/>
          <w:u w:val="single" w:color="auto"/>
          <w:color w:val="auto"/>
        </w:rPr>
        <w:t>Existing ABL Agreement</w:t>
      </w:r>
      <w:r>
        <w:rPr>
          <w:rFonts w:ascii="Arial" w:cs="Arial" w:eastAsia="Arial" w:hAnsi="Arial"/>
          <w:sz w:val="21"/>
          <w:szCs w:val="21"/>
          <w:color w:val="auto"/>
        </w:rPr>
        <w:t>”), pursuant to which such financial institutions and other entities have agreed to make loans and extend other financial accommodations to the Loan Parties;</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WHEREAS Octavius Corporation, a Delaware corporation (“</w:t>
      </w:r>
      <w:r>
        <w:rPr>
          <w:rFonts w:ascii="Arial" w:cs="Arial" w:eastAsia="Arial" w:hAnsi="Arial"/>
          <w:sz w:val="22"/>
          <w:szCs w:val="22"/>
          <w:u w:val="single" w:color="auto"/>
          <w:color w:val="auto"/>
        </w:rPr>
        <w:t>Octavius</w:t>
      </w:r>
      <w:r>
        <w:rPr>
          <w:rFonts w:ascii="Arial" w:cs="Arial" w:eastAsia="Arial" w:hAnsi="Arial"/>
          <w:sz w:val="22"/>
          <w:szCs w:val="22"/>
          <w:color w:val="auto"/>
        </w:rPr>
        <w:t>” and together with the ABL Borrowers, the “</w:t>
      </w:r>
      <w:r>
        <w:rPr>
          <w:rFonts w:ascii="Arial" w:cs="Arial" w:eastAsia="Arial" w:hAnsi="Arial"/>
          <w:sz w:val="22"/>
          <w:szCs w:val="22"/>
          <w:u w:val="single" w:color="auto"/>
          <w:color w:val="auto"/>
        </w:rPr>
        <w:t>Borrowers</w:t>
      </w:r>
      <w:r>
        <w:rPr>
          <w:rFonts w:ascii="Arial" w:cs="Arial" w:eastAsia="Arial" w:hAnsi="Arial"/>
          <w:sz w:val="22"/>
          <w:szCs w:val="22"/>
          <w:color w:val="auto"/>
        </w:rPr>
        <w:t>”), the other Loan Parties party thereto, the Term Loan Representative and certain financial institutions and other entities are parties to the Loan Agreement, dated as of the date hereof (the “</w:t>
      </w:r>
      <w:r>
        <w:rPr>
          <w:rFonts w:ascii="Arial" w:cs="Arial" w:eastAsia="Arial" w:hAnsi="Arial"/>
          <w:sz w:val="22"/>
          <w:szCs w:val="22"/>
          <w:u w:val="single" w:color="auto"/>
          <w:color w:val="auto"/>
        </w:rPr>
        <w:t>Existing Term Loan Agreement</w:t>
      </w:r>
      <w:r>
        <w:rPr>
          <w:rFonts w:ascii="Arial" w:cs="Arial" w:eastAsia="Arial" w:hAnsi="Arial"/>
          <w:sz w:val="22"/>
          <w:szCs w:val="22"/>
          <w:color w:val="auto"/>
        </w:rPr>
        <w:t>”), pursuant to which such financial institutions and other entities have agreed to make term loans to Octavius, and such term loans are guaranteed by the other Loan Parties;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the Loan Parties have granted to the ABL Representative security interests and liens in the Collateral (as defined below) as security for payment and performance of the ABL Obligations (as defined below); and</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Loan Parties have granted to the Term Loan Representative security interests and liens in the Collateral as security for payment and performance of the Term Loan Obligations (as defined below).</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the mutual covenants herein contained and other good and valuable consideration, the existence and sufficiency of which is expressly recognized by all of the parties hereto, the parties agree as follows:</w:t>
      </w:r>
    </w:p>
    <w:p>
      <w:pPr>
        <w:spacing w:after="0" w:line="18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i w:val="1"/>
          <w:iCs w:val="1"/>
          <w:color w:val="auto"/>
        </w:rPr>
        <w:t>Section 1.</w:t>
      </w:r>
      <w:r>
        <w:rPr>
          <w:sz w:val="20"/>
          <w:szCs w:val="20"/>
          <w:color w:val="auto"/>
        </w:rPr>
        <w:tab/>
      </w:r>
      <w:r>
        <w:rPr>
          <w:rFonts w:ascii="Arial" w:cs="Arial" w:eastAsia="Arial" w:hAnsi="Arial"/>
          <w:sz w:val="19"/>
          <w:szCs w:val="19"/>
          <w:i w:val="1"/>
          <w:iCs w:val="1"/>
          <w:color w:val="auto"/>
        </w:rPr>
        <w:t>Definitions; Rules of Construction.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UCC Definitions</w:t>
      </w:r>
      <w:r>
        <w:rPr>
          <w:rFonts w:ascii="Arial" w:cs="Arial" w:eastAsia="Arial" w:hAnsi="Arial"/>
          <w:sz w:val="22"/>
          <w:szCs w:val="22"/>
          <w:color w:val="auto"/>
        </w:rPr>
        <w:t>. The following terms which are defined in the Uniform Commercial Code are used herein as so defined: Accounts, Chattel Paper, Commercial Tort Claims, Deposit Accounts, Documents, Equipment, General Intangibles, Goods, Instruments, Inventory, Investment Property, Letter of Credit, Letter of Credit Rights, Payment Intangibles, Records, Securities Account and Supporting Obligations.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45" w:name="page346"/>
    <w:bookmarkEnd w:id="345"/>
    <w:p>
      <w:pPr>
        <w:ind w:left="660"/>
        <w:spacing w:after="0"/>
        <w:tabs>
          <w:tab w:leader="none" w:pos="15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Defined Terms</w:t>
      </w:r>
      <w:r>
        <w:rPr>
          <w:rFonts w:ascii="Arial" w:cs="Arial" w:eastAsia="Arial" w:hAnsi="Arial"/>
          <w:sz w:val="19"/>
          <w:szCs w:val="19"/>
          <w:color w:val="auto"/>
        </w:rPr>
        <w:t>. The following terms, as used herein, have the following meanings:</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Agreement</w:t>
      </w:r>
      <w:r>
        <w:rPr>
          <w:rFonts w:ascii="Arial" w:cs="Arial" w:eastAsia="Arial" w:hAnsi="Arial"/>
          <w:sz w:val="19"/>
          <w:szCs w:val="19"/>
          <w:color w:val="auto"/>
        </w:rPr>
        <w:t>” means the collective reference to (a) the Existing ABL Agreement, (b) any Additional ABL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ABL Agreement (regardless of whether such replacement, refunding or refinancing is a “working capital” facility, asset-based facility or otherwise), any Additional ABL Agreement or any other agreement or instrument referred to in this clause (c) unless such agreement or instrument expressly provides that it is not intended to be and is not an ABL Agreement hereunder (a “</w:t>
      </w:r>
      <w:r>
        <w:rPr>
          <w:rFonts w:ascii="Arial" w:cs="Arial" w:eastAsia="Arial" w:hAnsi="Arial"/>
          <w:sz w:val="19"/>
          <w:szCs w:val="19"/>
          <w:u w:val="single" w:color="auto"/>
          <w:color w:val="auto"/>
        </w:rPr>
        <w:t>Replacement ABL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Any reference to the ABL Agreement hereunder shall be deemed a reference to any ABL Agreement then extant.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Creditors</w:t>
      </w:r>
      <w:r>
        <w:rPr>
          <w:rFonts w:ascii="Arial" w:cs="Arial" w:eastAsia="Arial" w:hAnsi="Arial"/>
          <w:sz w:val="19"/>
          <w:szCs w:val="19"/>
          <w:color w:val="auto"/>
        </w:rPr>
        <w:t>” means, collectively, the “Lenders” and the “Secured Parties”, each as defined in the ABL Agreement.</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DIP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33"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Documents</w:t>
      </w:r>
      <w:r>
        <w:rPr>
          <w:rFonts w:ascii="Arial" w:cs="Arial" w:eastAsia="Arial" w:hAnsi="Arial"/>
          <w:sz w:val="22"/>
          <w:szCs w:val="22"/>
          <w:color w:val="auto"/>
        </w:rPr>
        <w:t>” means the ABL Agreement, each ABL Security Document, each ABL Guarantee and each other “Loan Document” as defined in the ABL Agreement (other than this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Priority Collateral</w:t>
      </w:r>
      <w:r>
        <w:rPr>
          <w:rFonts w:ascii="Arial" w:cs="Arial" w:eastAsia="Arial" w:hAnsi="Arial"/>
          <w:sz w:val="22"/>
          <w:szCs w:val="22"/>
          <w:color w:val="auto"/>
        </w:rPr>
        <w:t>” means all Collateral consisting of the following:</w:t>
      </w:r>
    </w:p>
    <w:p>
      <w:pPr>
        <w:spacing w:after="0" w:line="233" w:lineRule="exact"/>
        <w:rPr>
          <w:sz w:val="20"/>
          <w:szCs w:val="20"/>
          <w:color w:val="auto"/>
        </w:rPr>
      </w:pPr>
    </w:p>
    <w:p>
      <w:pPr>
        <w:ind w:left="1960" w:hanging="655"/>
        <w:spacing w:after="0"/>
        <w:tabs>
          <w:tab w:leader="none" w:pos="19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all Accounts and Credit Card Receivables;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all Inventory;</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all Deposit Accounts;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all cash and cash equivalents;</w:t>
      </w:r>
    </w:p>
    <w:p>
      <w:pPr>
        <w:spacing w:after="0" w:line="219" w:lineRule="exact"/>
        <w:rPr>
          <w:rFonts w:ascii="Arial" w:cs="Arial" w:eastAsia="Arial" w:hAnsi="Arial"/>
          <w:sz w:val="22"/>
          <w:szCs w:val="22"/>
          <w:color w:val="auto"/>
        </w:rPr>
      </w:pPr>
    </w:p>
    <w:p>
      <w:pPr>
        <w:ind w:left="1960" w:hanging="655"/>
        <w:spacing w:after="0"/>
        <w:tabs>
          <w:tab w:leader="none" w:pos="1960" w:val="left"/>
        </w:tabs>
        <w:numPr>
          <w:ilvl w:val="0"/>
          <w:numId w:val="403"/>
        </w:numPr>
        <w:rPr>
          <w:rFonts w:ascii="Arial" w:cs="Arial" w:eastAsia="Arial" w:hAnsi="Arial"/>
          <w:sz w:val="19"/>
          <w:szCs w:val="19"/>
          <w:color w:val="auto"/>
        </w:rPr>
      </w:pPr>
      <w:r>
        <w:rPr>
          <w:rFonts w:ascii="Arial" w:cs="Arial" w:eastAsia="Arial" w:hAnsi="Arial"/>
          <w:sz w:val="19"/>
          <w:szCs w:val="19"/>
          <w:color w:val="auto"/>
        </w:rPr>
        <w:t xml:space="preserve">to the extent evidencing or governing any of the items referred to in the preceding </w:t>
      </w:r>
      <w:r>
        <w:rPr>
          <w:rFonts w:ascii="Arial" w:cs="Arial" w:eastAsia="Arial" w:hAnsi="Arial"/>
          <w:sz w:val="19"/>
          <w:szCs w:val="19"/>
          <w:u w:val="single" w:color="auto"/>
          <w:color w:val="auto"/>
        </w:rPr>
        <w:t>clauses (1)</w:t>
      </w:r>
      <w:r>
        <w:rPr>
          <w:rFonts w:ascii="Arial" w:cs="Arial" w:eastAsia="Arial" w:hAnsi="Arial"/>
          <w:sz w:val="19"/>
          <w:szCs w:val="19"/>
          <w:color w:val="auto"/>
        </w:rPr>
        <w:t xml:space="preserve">, </w:t>
      </w:r>
      <w:r>
        <w:rPr>
          <w:rFonts w:ascii="Arial" w:cs="Arial" w:eastAsia="Arial" w:hAnsi="Arial"/>
          <w:sz w:val="19"/>
          <w:szCs w:val="19"/>
          <w:u w:val="single" w:color="auto"/>
          <w:color w:val="auto"/>
        </w:rPr>
        <w:t>(2)</w:t>
      </w:r>
      <w:r>
        <w:rPr>
          <w:rFonts w:ascii="Arial" w:cs="Arial" w:eastAsia="Arial" w:hAnsi="Arial"/>
          <w:sz w:val="19"/>
          <w:szCs w:val="19"/>
          <w:color w:val="auto"/>
        </w:rPr>
        <w:t xml:space="preserve">, </w:t>
      </w:r>
      <w:r>
        <w:rPr>
          <w:rFonts w:ascii="Arial" w:cs="Arial" w:eastAsia="Arial" w:hAnsi="Arial"/>
          <w:sz w:val="19"/>
          <w:szCs w:val="19"/>
          <w:u w:val="single" w:color="auto"/>
          <w:color w:val="auto"/>
        </w:rPr>
        <w:t>(3)</w:t>
      </w:r>
      <w:r>
        <w:rPr>
          <w:rFonts w:ascii="Arial" w:cs="Arial" w:eastAsia="Arial" w:hAnsi="Arial"/>
          <w:sz w:val="19"/>
          <w:szCs w:val="19"/>
          <w:color w:val="auto"/>
        </w:rPr>
        <w:t xml:space="preserve"> and</w:t>
      </w:r>
    </w:p>
    <w:p>
      <w:pPr>
        <w:spacing w:after="0" w:line="56" w:lineRule="exact"/>
        <w:rPr>
          <w:rFonts w:ascii="Arial" w:cs="Arial" w:eastAsia="Arial" w:hAnsi="Arial"/>
          <w:sz w:val="19"/>
          <w:szCs w:val="19"/>
          <w:color w:val="auto"/>
        </w:rPr>
      </w:pPr>
    </w:p>
    <w:p>
      <w:pPr>
        <w:jc w:val="both"/>
        <w:ind w:left="1960"/>
        <w:spacing w:after="0" w:line="244" w:lineRule="auto"/>
        <w:rPr>
          <w:rFonts w:ascii="Arial" w:cs="Arial" w:eastAsia="Arial" w:hAnsi="Arial"/>
          <w:sz w:val="19"/>
          <w:szCs w:val="19"/>
          <w:color w:val="auto"/>
        </w:rPr>
      </w:pPr>
      <w:r>
        <w:rPr>
          <w:rFonts w:ascii="Arial" w:cs="Arial" w:eastAsia="Arial" w:hAnsi="Arial"/>
          <w:sz w:val="22"/>
          <w:szCs w:val="22"/>
          <w:u w:val="single" w:color="auto"/>
          <w:color w:val="auto"/>
        </w:rPr>
        <w:t>(4)</w:t>
      </w:r>
      <w:r>
        <w:rPr>
          <w:rFonts w:ascii="Arial" w:cs="Arial" w:eastAsia="Arial" w:hAnsi="Arial"/>
          <w:sz w:val="22"/>
          <w:szCs w:val="22"/>
          <w:color w:val="auto"/>
        </w:rPr>
        <w:t xml:space="preserve">, all Chattel Paper, Documents, Instruments, General Intangibles and Securities Accounts related thereto; provided that to the extent any of the foregoing also relates to Term Loan Priority Collateral only that portion related to the items referred to in the preceding </w:t>
      </w:r>
      <w:r>
        <w:rPr>
          <w:rFonts w:ascii="Arial" w:cs="Arial" w:eastAsia="Arial" w:hAnsi="Arial"/>
          <w:sz w:val="22"/>
          <w:szCs w:val="22"/>
          <w:u w:val="single" w:color="auto"/>
          <w:color w:val="auto"/>
        </w:rPr>
        <w:t>clauses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(2)</w:t>
      </w:r>
      <w:r>
        <w:rPr>
          <w:rFonts w:ascii="Arial" w:cs="Arial" w:eastAsia="Arial" w:hAnsi="Arial"/>
          <w:sz w:val="22"/>
          <w:szCs w:val="22"/>
          <w:color w:val="auto"/>
        </w:rPr>
        <w:t xml:space="preserve">, </w:t>
      </w:r>
      <w:r>
        <w:rPr>
          <w:rFonts w:ascii="Arial" w:cs="Arial" w:eastAsia="Arial" w:hAnsi="Arial"/>
          <w:sz w:val="22"/>
          <w:szCs w:val="22"/>
          <w:u w:val="single" w:color="auto"/>
          <w:color w:val="auto"/>
        </w:rPr>
        <w:t>(3)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(4)</w:t>
      </w:r>
      <w:r>
        <w:rPr>
          <w:rFonts w:ascii="Arial" w:cs="Arial" w:eastAsia="Arial" w:hAnsi="Arial"/>
          <w:sz w:val="22"/>
          <w:szCs w:val="22"/>
          <w:color w:val="auto"/>
        </w:rPr>
        <w:t xml:space="preserve"> shall be included in the ABL Priority Collateral;</w:t>
      </w:r>
    </w:p>
    <w:p>
      <w:pPr>
        <w:spacing w:after="0" w:line="195"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403"/>
        </w:numPr>
        <w:rPr>
          <w:rFonts w:ascii="Arial" w:cs="Arial" w:eastAsia="Arial" w:hAnsi="Arial"/>
          <w:sz w:val="22"/>
          <w:szCs w:val="22"/>
          <w:color w:val="auto"/>
        </w:rPr>
      </w:pPr>
      <w:r>
        <w:rPr>
          <w:rFonts w:ascii="Arial" w:cs="Arial" w:eastAsia="Arial" w:hAnsi="Arial"/>
          <w:sz w:val="22"/>
          <w:szCs w:val="22"/>
          <w:color w:val="auto"/>
        </w:rPr>
        <w:t>all books and records relating to the foregoing (including without limitation all books, databases, customer lists and records, whether tangible or electronic which contain any information relating to any of the foregoing); 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346" w:name="page347"/>
    <w:bookmarkEnd w:id="346"/>
    <w:p>
      <w:pPr>
        <w:jc w:val="both"/>
        <w:ind w:left="1960" w:hanging="655"/>
        <w:spacing w:after="0" w:line="253" w:lineRule="auto"/>
        <w:tabs>
          <w:tab w:leader="none" w:pos="1960" w:val="left"/>
        </w:tabs>
        <w:numPr>
          <w:ilvl w:val="0"/>
          <w:numId w:val="404"/>
        </w:numPr>
        <w:rPr>
          <w:rFonts w:ascii="Arial" w:cs="Arial" w:eastAsia="Arial" w:hAnsi="Arial"/>
          <w:sz w:val="22"/>
          <w:szCs w:val="22"/>
          <w:color w:val="auto"/>
        </w:rPr>
      </w:pPr>
      <w:r>
        <w:rPr>
          <w:rFonts w:ascii="Arial" w:cs="Arial" w:eastAsia="Arial" w:hAnsi="Arial"/>
          <w:sz w:val="22"/>
          <w:szCs w:val="22"/>
          <w:color w:val="auto"/>
        </w:rPr>
        <w:t>all Proceeds of and Supporting Obligations, including, without limitation, Letter of Credit Rights, with respect to any of the foregoing and all collateral security and guarantees given by any Person in favor of any Loan Party with respect to any of the foregoing.</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Guarantee</w:t>
      </w:r>
      <w:r>
        <w:rPr>
          <w:rFonts w:ascii="Arial" w:cs="Arial" w:eastAsia="Arial" w:hAnsi="Arial"/>
          <w:sz w:val="22"/>
          <w:szCs w:val="22"/>
          <w:color w:val="auto"/>
        </w:rPr>
        <w:t>” means any guarantee by any Loan Party of any or all of the ABL Obligations.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Lien</w:t>
      </w:r>
      <w:r>
        <w:rPr>
          <w:rFonts w:ascii="Arial" w:cs="Arial" w:eastAsia="Arial" w:hAnsi="Arial"/>
          <w:sz w:val="22"/>
          <w:szCs w:val="22"/>
          <w:color w:val="auto"/>
        </w:rPr>
        <w:t>” means any Lien created by the ABL Security Documents.</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ABL Obligations</w:t>
      </w:r>
      <w:r>
        <w:rPr>
          <w:rFonts w:ascii="Arial" w:cs="Arial" w:eastAsia="Arial" w:hAnsi="Arial"/>
          <w:sz w:val="21"/>
          <w:szCs w:val="21"/>
          <w:color w:val="auto"/>
        </w:rPr>
        <w:t>” means (a) all principal of and interest (including without limitation any Post- Petition Interest) and premium (if any) on all loans made pursuant to the ABL Agreement or any ABL DIP Financing by the ABL Creditors, (b) all reimbursement obligations (if any) and interest thereon (including without limitation any Post-Petition Interest) with respect to any letter of credit or similar instruments issued pursuant to the ABL Agreement, (c) all Swap Obligations, (d) all Banking Services Obligations and (e) all guarantee obligations, indemnities, fees, expenses and other amounts payable by the Loan Parties from time to time pursuant to the ABL Documents, in each case whether or not allowed or allowable in an Insolvency Proceeding. To the extent any payment with respect to any ABL Obligation (whether by or on behalf of any Loan Party, as Proceeds of security, enforcement of any right of setoff or otherwise, including pursuant to any settlement entered into by an ABL Secured Party or a Term Loan Secured Party in its discretion) is declared to be a fraudulent conveyance or a preference in any respect, set aside or required to be paid to a debtor in possession, any Term Loan Secured Party, receiver or similar Person, then the obligation or part thereof originally intended to be satisfied shall, for the purposes of this Agreement and the rights and obligations of the ABL Secured Parties and the Term Loan Secured Parties, be deemed to be reinstated and outstanding as if such payment had not occurred.</w:t>
      </w:r>
    </w:p>
    <w:p>
      <w:pPr>
        <w:spacing w:after="0" w:line="19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Obligations Payment Date</w:t>
      </w:r>
      <w:r>
        <w:rPr>
          <w:rFonts w:ascii="Arial" w:cs="Arial" w:eastAsia="Arial" w:hAnsi="Arial"/>
          <w:sz w:val="19"/>
          <w:szCs w:val="19"/>
          <w:color w:val="auto"/>
        </w:rPr>
        <w:t>” means the first date on which (a) the ABL Obligations (other than those that constitute Unasserted Contingent Obligations) have been indefeasibly paid in cash in full (or cash collateralized or defeased in accordance with the terms of the ABL Documents), (b) all commitments to extend credit under the ABL Documents have been terminated, (c) there are no outstanding letters of credit or similar instruments issued under the ABL Documents (other than such as have been cash collateralized or defeased in accordance with the terms of the ABL Documents), and (d) so long as the Term Loan Obligations Payment Date shall not have occurred, the ABL Representative has delivered a written notice to the Term Loan Representative stating that the events described in clauses (a), (b) and (c) have occurred to the satisfaction of the ABL Secured Parties.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Post-Petition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Representative</w:t>
      </w:r>
      <w:r>
        <w:rPr>
          <w:rFonts w:ascii="Arial" w:cs="Arial" w:eastAsia="Arial" w:hAnsi="Arial"/>
          <w:sz w:val="22"/>
          <w:szCs w:val="22"/>
          <w:color w:val="auto"/>
        </w:rPr>
        <w:t>” has the meaning set forth in the introductory paragraph hereof. In the case of any Replacement ABL Agreement, the ABL Representative shall be the Person identified as such in such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Secured Parties</w:t>
      </w:r>
      <w:r>
        <w:rPr>
          <w:rFonts w:ascii="Arial" w:cs="Arial" w:eastAsia="Arial" w:hAnsi="Arial"/>
          <w:sz w:val="19"/>
          <w:szCs w:val="19"/>
          <w:color w:val="auto"/>
        </w:rPr>
        <w:t>” means the ABL Representative, the ABL Creditors and any other holders of the ABL Obligations.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347" w:name="page348"/>
    <w:bookmarkEnd w:id="347"/>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ABL Security Documents</w:t>
      </w:r>
      <w:r>
        <w:rPr>
          <w:rFonts w:ascii="Arial" w:cs="Arial" w:eastAsia="Arial" w:hAnsi="Arial"/>
          <w:sz w:val="21"/>
          <w:szCs w:val="21"/>
          <w:color w:val="auto"/>
        </w:rPr>
        <w:t>” means the “Collateral Documents” as defined in the ABL Agreement, and any other documents that are designated under the ABL Agreement as “ABL Security Documents” for purposes of this Agreement.</w:t>
      </w:r>
    </w:p>
    <w:p>
      <w:pPr>
        <w:spacing w:after="0" w:line="13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Access Period</w:t>
      </w:r>
      <w:r>
        <w:rPr>
          <w:rFonts w:ascii="Arial" w:cs="Arial" w:eastAsia="Arial" w:hAnsi="Arial"/>
          <w:sz w:val="19"/>
          <w:szCs w:val="19"/>
          <w:color w:val="auto"/>
        </w:rPr>
        <w:t xml:space="preserve">” means, with respect to each parcel or item of Term Loan Priority Collateral, the period, following the commencement of any Enforcement Action, which begins on the earlier of (a) the day on which the ABL Representative provides the Term Loan Representative with the notice of its election to obtain access to such parcel or item of Term Loan Priority Collateral pursuant to </w:t>
      </w:r>
      <w:r>
        <w:rPr>
          <w:rFonts w:ascii="Arial" w:cs="Arial" w:eastAsia="Arial" w:hAnsi="Arial"/>
          <w:sz w:val="19"/>
          <w:szCs w:val="19"/>
          <w:u w:val="single" w:color="auto"/>
          <w:color w:val="auto"/>
        </w:rPr>
        <w:t>Section 3.4(c)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the fifth Business Day after the Term Loan Representative provides the ABL Representative with notice that the Term Loan Representative (or its agent) has obtained possession or control of such parcel or item of Term Loan Priority Collateral and ends on the earliest of (i) the day which is 180 days after the date (the “</w:t>
      </w:r>
      <w:r>
        <w:rPr>
          <w:rFonts w:ascii="Arial" w:cs="Arial" w:eastAsia="Arial" w:hAnsi="Arial"/>
          <w:sz w:val="19"/>
          <w:szCs w:val="19"/>
          <w:u w:val="single" w:color="auto"/>
          <w:color w:val="auto"/>
        </w:rPr>
        <w:t>Initial Access Date</w:t>
      </w:r>
      <w:r>
        <w:rPr>
          <w:rFonts w:ascii="Arial" w:cs="Arial" w:eastAsia="Arial" w:hAnsi="Arial"/>
          <w:sz w:val="19"/>
          <w:szCs w:val="19"/>
          <w:color w:val="auto"/>
        </w:rPr>
        <w:t>”) on which the ABL Representative initially obtains the ability to take physical possession of, remove or otherwise control physical access to, or actually uses, such parcel or item of Term Loan Priority Collateral plus such number of days, if any, after the Initial Access Date that it is stayed or otherwise prohibited by law or court order from exercising remedies with respect to associated ABL Priority Collateral, (ii) the date on which all or substantially all of the ABL Priority Collateral associated with such parcel or item of Term Loan Priority Collateral is sold, collected or liquidated, (iii) the ABL Obligations Payment Date and (iv) the date on which the default which resulted in such Enforcement Action has been cured or waived in writing.</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ABL Agreement</w:t>
      </w:r>
      <w:r>
        <w:rPr>
          <w:rFonts w:ascii="Arial" w:cs="Arial" w:eastAsia="Arial" w:hAnsi="Arial"/>
          <w:sz w:val="22"/>
          <w:szCs w:val="22"/>
          <w:color w:val="auto"/>
        </w:rPr>
        <w:t>” means any agreement for the incurrence of additional indebtedness that is permitted to be secured by the ABL Priority Collateral pursuant to the ABL Agreement and any agreement approved for designation as such by the ABL Representative and the Term Loan Representative.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Debt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10.5(b)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Term Loan Agreement</w:t>
      </w:r>
      <w:r>
        <w:rPr>
          <w:rFonts w:ascii="Arial" w:cs="Arial" w:eastAsia="Arial" w:hAnsi="Arial"/>
          <w:sz w:val="22"/>
          <w:szCs w:val="22"/>
          <w:color w:val="auto"/>
        </w:rPr>
        <w:t>” means any agreement for the incurrence of additional indebtedness that is permitted to be secured by the Term Loan Priority Collateral pursuant to the Term Loan Agreement and any agreement approved for designation as such by the Term Loan Representative and the ABL Representative.</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Banking Services Obligations</w:t>
      </w:r>
      <w:r>
        <w:rPr>
          <w:rFonts w:ascii="Arial" w:cs="Arial" w:eastAsia="Arial" w:hAnsi="Arial"/>
          <w:sz w:val="21"/>
          <w:szCs w:val="21"/>
          <w:color w:val="auto"/>
        </w:rPr>
        <w:t xml:space="preserve">” means all obligations of the Company and its subsidiaries owed to any ABL Secured Party (or any of its affiliates) in respect of treasury management services (including, without limitation, controlled disbursement, automated clearinghouse transactions, return items, overdrafts and interstate depository network services), credit card services, stored valued card services, merchant processing services, other cash management services, equipment leasing and equipment financing;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“Banking Services Obligations” shall include, without limitation, all “Banking Services Obligations” (as defined in the Existing ABL Agreement as in effect on the date hereof).</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means the United States Bankruptcy Code (11 U.S.C. §101 et seq.).</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has the meaning set forth in the second WHEREAS clause above.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0" w:right="239" w:bottom="1440" w:gutter="0" w:footer="0" w:header="0"/>
        </w:sectPr>
      </w:pPr>
    </w:p>
    <w:bookmarkStart w:id="348" w:name="page349"/>
    <w:bookmarkEnd w:id="348"/>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any day that is not a Saturday, Sunday or other day on which commercial banks in New York City are authorized or required by law to remain closed.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w:t>
      </w:r>
      <w:r>
        <w:rPr>
          <w:rFonts w:ascii="Arial" w:cs="Arial" w:eastAsia="Arial" w:hAnsi="Arial"/>
          <w:sz w:val="22"/>
          <w:szCs w:val="22"/>
          <w:color w:val="auto"/>
        </w:rPr>
        <w:t>” means, collectively, all property upon which a Lien is granted pursuant to the Security Documents.</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Comparable Security Document</w:t>
      </w:r>
      <w:r>
        <w:rPr>
          <w:rFonts w:ascii="Arial" w:cs="Arial" w:eastAsia="Arial" w:hAnsi="Arial"/>
          <w:sz w:val="22"/>
          <w:szCs w:val="22"/>
          <w:color w:val="auto"/>
        </w:rPr>
        <w:t>” means, in relation to any Senior Collateral subject to any Senior Security Document, that Junior Security Document (if any) that creates a security interest in the same Senior Collateral, granted by the same Loan Party, as applicable.</w:t>
      </w:r>
    </w:p>
    <w:p>
      <w:pPr>
        <w:spacing w:after="0" w:line="177"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Copyrights</w:t>
      </w:r>
      <w:r>
        <w:rPr>
          <w:rFonts w:ascii="Arial" w:cs="Arial" w:eastAsia="Arial" w:hAnsi="Arial"/>
          <w:sz w:val="19"/>
          <w:szCs w:val="19"/>
          <w:color w:val="auto"/>
        </w:rPr>
        <w:t>” means, with respect to any Person, all of such Person’s right, title, and interest in and to the following: (a) all copyrights, rights and interests in copyrights, works protectable by copyright, copyright registrations, and copyright applications;</w:t>
      </w:r>
    </w:p>
    <w:p>
      <w:pPr>
        <w:jc w:val="both"/>
        <w:ind w:firstLine="8"/>
        <w:spacing w:after="0" w:line="244" w:lineRule="auto"/>
        <w:tabs>
          <w:tab w:leader="none" w:pos="331" w:val="left"/>
        </w:tabs>
        <w:numPr>
          <w:ilvl w:val="0"/>
          <w:numId w:val="405"/>
        </w:numPr>
        <w:rPr>
          <w:rFonts w:ascii="Arial" w:cs="Arial" w:eastAsia="Arial" w:hAnsi="Arial"/>
          <w:sz w:val="22"/>
          <w:szCs w:val="22"/>
          <w:color w:val="auto"/>
        </w:rPr>
      </w:pPr>
      <w:r>
        <w:rPr>
          <w:rFonts w:ascii="Arial" w:cs="Arial" w:eastAsia="Arial" w:hAnsi="Arial"/>
          <w:sz w:val="22"/>
          <w:szCs w:val="22"/>
          <w:color w:val="auto"/>
        </w:rPr>
        <w:t>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 throughout the world.</w:t>
      </w:r>
    </w:p>
    <w:p>
      <w:pPr>
        <w:spacing w:after="0" w:line="19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Card Issuer</w:t>
      </w:r>
      <w:r>
        <w:rPr>
          <w:rFonts w:ascii="Arial" w:cs="Arial" w:eastAsia="Arial" w:hAnsi="Arial"/>
          <w:sz w:val="22"/>
          <w:szCs w:val="22"/>
          <w:color w:val="auto"/>
        </w:rPr>
        <w:t>” shall mean any Person who issues or whose members issue credit cards, including, without limitation, MasterCard or VISA bank credit or debit cards or other bank credit or debit cards issued through MasterCard International, Inc., Visa, U.S.A., Inc. or Visa International and American Express, Discover, Diners Club, Carte Blanche and other non-bank credit or debit cards, including, without limitation, credit or debit cards issued by or through American Express Travel Related Services Company, Inc., and Novus Services, Inc.</w:t>
      </w:r>
    </w:p>
    <w:p>
      <w:pPr>
        <w:spacing w:after="0" w:line="19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Card Processor</w:t>
      </w:r>
      <w:r>
        <w:rPr>
          <w:rFonts w:ascii="Arial" w:cs="Arial" w:eastAsia="Arial" w:hAnsi="Arial"/>
          <w:sz w:val="22"/>
          <w:szCs w:val="22"/>
          <w:color w:val="auto"/>
        </w:rPr>
        <w:t>” shall mean any servicing or processing agent or any factor or financial intermediary who facilitates, services, processes or manages the credit authorization, billing transfer and/or payment procedures with respect to any Loan Party’s sales transactions involving credit card or debit card purchases by customers using credit cards or debit cards issued by any Credit Card Issuer.</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Card Receivable”</w:t>
      </w:r>
      <w:r>
        <w:rPr>
          <w:rFonts w:ascii="Arial" w:cs="Arial" w:eastAsia="Arial" w:hAnsi="Arial"/>
          <w:sz w:val="22"/>
          <w:szCs w:val="22"/>
          <w:color w:val="auto"/>
        </w:rPr>
        <w:t xml:space="preserve"> means each Payment Intangible, together with all income, payments and proceeds thereof, owed by a Credit Card Issuer or Credit Card Processor to a Loan Party resulting from charges by a customer of a Loan Party on credit or debit cards issued by such Credit Card Issuer in connection with the sale of Inventory by a Loan Party, or services performed by a Loan Party.</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Enforcement Action</w:t>
      </w:r>
      <w:r>
        <w:rPr>
          <w:rFonts w:ascii="Arial" w:cs="Arial" w:eastAsia="Arial" w:hAnsi="Arial"/>
          <w:sz w:val="19"/>
          <w:szCs w:val="19"/>
          <w:color w:val="auto"/>
        </w:rPr>
        <w:t>” means, with respect to the ABL Obligations or the Term Loan Obligations, the exercise of any rights and remedies with respect to any Collateral securing such obligations or the commencement or prosecution of enforcement of any of the rights and remedies with respect to any Collateral under, as applicable, the ABL Documents or the Term Loan Documents, or applicable law, including without limitation the exercise of any rights of set-off or recoupment, and the exercise of any rights or remedies of a secured creditor under the Uniform Commercial Code of any applicable jurisdiction or under the Bankruptcy Code, with the understanding that the commencement and continuation of a Cash Dominion Period (as defined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349" w:name="page350"/>
    <w:bookmarkEnd w:id="349"/>
    <w:p>
      <w:pPr>
        <w:spacing w:after="0"/>
        <w:rPr>
          <w:sz w:val="20"/>
          <w:szCs w:val="20"/>
          <w:color w:val="auto"/>
        </w:rPr>
      </w:pPr>
      <w:r>
        <w:rPr>
          <w:rFonts w:ascii="Arial" w:cs="Arial" w:eastAsia="Arial" w:hAnsi="Arial"/>
          <w:sz w:val="22"/>
          <w:szCs w:val="22"/>
          <w:color w:val="auto"/>
        </w:rPr>
        <w:t>the ABL Security Documents) by itself shall not constitute an Enforcement Action.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ABL Agreement</w:t>
      </w:r>
      <w:r>
        <w:rPr>
          <w:rFonts w:ascii="Arial" w:cs="Arial" w:eastAsia="Arial" w:hAnsi="Arial"/>
          <w:sz w:val="22"/>
          <w:szCs w:val="22"/>
          <w:color w:val="auto"/>
        </w:rPr>
        <w:t>” has the meaning set forth in the first WHEREAS clause of this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Existing Term Loan Agreement</w:t>
      </w:r>
      <w:r>
        <w:rPr>
          <w:rFonts w:ascii="Arial" w:cs="Arial" w:eastAsia="Arial" w:hAnsi="Arial"/>
          <w:sz w:val="21"/>
          <w:szCs w:val="21"/>
          <w:color w:val="auto"/>
        </w:rPr>
        <w:t>” has the meaning set forth in the second WHEREAS clause of this Agreement.</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Proceeding</w:t>
      </w:r>
      <w:r>
        <w:rPr>
          <w:rFonts w:ascii="Arial" w:cs="Arial" w:eastAsia="Arial" w:hAnsi="Arial"/>
          <w:sz w:val="22"/>
          <w:szCs w:val="22"/>
          <w:color w:val="auto"/>
        </w:rPr>
        <w:t>” means any proceeding in respect of bankruptcy, insolvency, winding up, receivership, dissolution or assignment for the benefit of creditors, in each of the foregoing events whether under the Bankruptcy Code or any similar federal, state or foreign bankruptcy, insolvency, reorganization, receivership or similar law.</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Intellectual Property</w:t>
      </w:r>
      <w:r>
        <w:rPr>
          <w:rFonts w:ascii="Arial" w:cs="Arial" w:eastAsia="Arial" w:hAnsi="Arial"/>
          <w:sz w:val="21"/>
          <w:szCs w:val="21"/>
          <w:color w:val="auto"/>
        </w:rPr>
        <w:t>” means, the collective reference to all rights, priorities and privileges relating to intellectual property, whether arising under United States, multinational or foreign laws or otherwise, including, without limitation, the Copyrights, the Patents, the Trademarks, the Trade Secrets and the Licenses, and all rights to sue at law or in equity for any infringement thereof, including the right to receive all proceeds and damages therefrom.</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Junior Collateral</w:t>
      </w:r>
      <w:r>
        <w:rPr>
          <w:rFonts w:ascii="Arial" w:cs="Arial" w:eastAsia="Arial" w:hAnsi="Arial"/>
          <w:sz w:val="21"/>
          <w:szCs w:val="21"/>
          <w:color w:val="auto"/>
        </w:rPr>
        <w:t>” means, with respect to any Junior Secured Party, any Collateral on which it has a Junior Lien.</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Documents</w:t>
      </w:r>
      <w:r>
        <w:rPr>
          <w:rFonts w:ascii="Arial" w:cs="Arial" w:eastAsia="Arial" w:hAnsi="Arial"/>
          <w:sz w:val="22"/>
          <w:szCs w:val="22"/>
          <w:color w:val="auto"/>
        </w:rPr>
        <w:t>” means, collectively, with respect to any Junior Obligations, any provision pertaining to such Junior Obligation in any Loan Document or any other document, instrument or certificate evidencing or delivered in connection with such Junior Obligation.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Liens</w:t>
      </w:r>
      <w:r>
        <w:rPr>
          <w:rFonts w:ascii="Arial" w:cs="Arial" w:eastAsia="Arial" w:hAnsi="Arial"/>
          <w:sz w:val="22"/>
          <w:szCs w:val="22"/>
          <w:color w:val="auto"/>
        </w:rPr>
        <w:t>” means (a) with respect to any ABL Priority Collateral, all Liens securing the Term Loan Obligations and (b) with respect to any Term Loan Priority Collateral, all Liens securing the ABL Obligations.</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Obligations</w:t>
      </w:r>
      <w:r>
        <w:rPr>
          <w:rFonts w:ascii="Arial" w:cs="Arial" w:eastAsia="Arial" w:hAnsi="Arial"/>
          <w:sz w:val="22"/>
          <w:szCs w:val="22"/>
          <w:color w:val="auto"/>
        </w:rPr>
        <w:t>” means (a) with respect to any ABL Priority Collateral, all Term Loan Obligations and (b) with respect to any Term Loan Priority Collateral, all ABL Obligations.</w:t>
      </w:r>
    </w:p>
    <w:p>
      <w:pPr>
        <w:spacing w:after="0" w:line="161" w:lineRule="exact"/>
        <w:rPr>
          <w:sz w:val="20"/>
          <w:szCs w:val="20"/>
          <w:color w:val="auto"/>
        </w:rPr>
      </w:pPr>
    </w:p>
    <w:p>
      <w:pPr>
        <w:jc w:val="both"/>
        <w:ind w:right="20"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Representative</w:t>
      </w:r>
      <w:r>
        <w:rPr>
          <w:rFonts w:ascii="Arial" w:cs="Arial" w:eastAsia="Arial" w:hAnsi="Arial"/>
          <w:sz w:val="19"/>
          <w:szCs w:val="19"/>
          <w:color w:val="auto"/>
        </w:rPr>
        <w:t>” means (a) with respect to any ABL Obligations or any ABL Priority Collateral, the Term Loan Representative and (b) with respect to any Term Loan Obligations or any Term Loan Priority Collateral, the ABL Representative.</w:t>
      </w:r>
    </w:p>
    <w:p>
      <w:pPr>
        <w:spacing w:after="0" w:line="9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Secured Parties</w:t>
      </w:r>
      <w:r>
        <w:rPr>
          <w:rFonts w:ascii="Arial" w:cs="Arial" w:eastAsia="Arial" w:hAnsi="Arial"/>
          <w:sz w:val="22"/>
          <w:szCs w:val="22"/>
          <w:color w:val="auto"/>
        </w:rPr>
        <w:t>” means (a) with respect to the ABL Priority Collateral, all Term Loan Secured Parties and (b) with respect to the Term Loan Priority Collateral, all ABL Secured Parties.</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Junior Security Documents</w:t>
      </w:r>
      <w:r>
        <w:rPr>
          <w:rFonts w:ascii="Arial" w:cs="Arial" w:eastAsia="Arial" w:hAnsi="Arial"/>
          <w:sz w:val="22"/>
          <w:szCs w:val="22"/>
          <w:color w:val="auto"/>
        </w:rPr>
        <w:t>” means, with respect to any Junior Secured Party, the Security Documents that secure the Junior Obligations.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Licenses</w:t>
      </w:r>
      <w:r>
        <w:rPr>
          <w:rFonts w:ascii="Arial" w:cs="Arial" w:eastAsia="Arial" w:hAnsi="Arial"/>
          <w:sz w:val="22"/>
          <w:szCs w:val="22"/>
          <w:color w:val="auto"/>
        </w:rPr>
        <w:t>” means, with respect to any Person, all of such Person’s right, title, and interest in and to (a) any and all licensing agreements or similar arrangements in and to its Patents, Copyrights, Trademarks or Trade Secrets, (b) all income, royalties, damages, claims, and payments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350" w:name="page351"/>
    <w:bookmarkEnd w:id="350"/>
    <w:p>
      <w:pPr>
        <w:jc w:val="both"/>
        <w:ind w:right="20"/>
        <w:spacing w:after="0" w:line="263" w:lineRule="auto"/>
        <w:rPr>
          <w:sz w:val="20"/>
          <w:szCs w:val="20"/>
          <w:color w:val="auto"/>
        </w:rPr>
      </w:pPr>
      <w:r>
        <w:rPr>
          <w:rFonts w:ascii="Arial" w:cs="Arial" w:eastAsia="Arial" w:hAnsi="Arial"/>
          <w:sz w:val="22"/>
          <w:szCs w:val="22"/>
          <w:color w:val="auto"/>
        </w:rPr>
        <w:t>now or hereafter due or payable under and with respect thereto, including, without limitation, damages and payments for past and future breaches thereof, and (c) all rights to sue for past, present, and future breaches thereof.</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with respect to any asset, (a) any mortgage, deed of trust, deed to secure debt, lien, pledge, hypothecation, assignment, assignation, debenture,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7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 Priority</w:t>
      </w:r>
      <w:r>
        <w:rPr>
          <w:rFonts w:ascii="Arial" w:cs="Arial" w:eastAsia="Arial" w:hAnsi="Arial"/>
          <w:sz w:val="22"/>
          <w:szCs w:val="22"/>
          <w:color w:val="auto"/>
        </w:rPr>
        <w:t xml:space="preserve">” means with respect to any Lien of the ABL Representative or Term Loan Representative in the Collateral, the order of priority of such Lien specified in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collectively, the ABL Documents and the Term Loan Documents.</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Party</w:t>
      </w:r>
      <w:r>
        <w:rPr>
          <w:rFonts w:ascii="Arial" w:cs="Arial" w:eastAsia="Arial" w:hAnsi="Arial"/>
          <w:sz w:val="22"/>
          <w:szCs w:val="22"/>
          <w:color w:val="auto"/>
        </w:rPr>
        <w:t>” means the Borrowers and each direct or indirect affiliate or shareholder (or equivalent) of the Borrowers or any of their affiliates that are now or hereafter become a party to any ABL Document or any Term Loan Document, in each case as a direct obligor or guarantor of the ABL Obligations or Term Loan Obligations, as applicable. All references in this Agreement to any Loan Party shall include such Loan Party as a debtor-in-possession and any receiver or trustee for such Loan Party in any Insolvency Proceeding.</w:t>
      </w:r>
    </w:p>
    <w:p>
      <w:pPr>
        <w:spacing w:after="0" w:line="19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means with respect to any Person, all of such Person’s right, title, and interest in and to: (a) any and all patents and patent applications; (b) all inventions and improvements described and claimed therein; (c) all reissues, divisions, continuations, renewals, extensions, and continuations-in-part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 throughout the world.</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person, individual, sole proprietorship, partnership, joint venture, corporation, limited liability company, unincorporated organization, association, institution, entity or party, including any government and any political subdivision, agency or instrumentality thereof.</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accrues after the commencement of any Insolvency Proceeding (or would accrue but for the commencement of an Insolvency Proceeding), whether or not allowed or allowable in any such Insolvency Proceeding.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Priority Collateral</w:t>
      </w:r>
      <w:r>
        <w:rPr>
          <w:rFonts w:ascii="Arial" w:cs="Arial" w:eastAsia="Arial" w:hAnsi="Arial"/>
          <w:sz w:val="22"/>
          <w:szCs w:val="22"/>
          <w:color w:val="auto"/>
        </w:rPr>
        <w:t>” means the ABL Priority Collateral or the Term Loan Priority Collateral.</w:t>
      </w:r>
    </w:p>
    <w:p>
      <w:pPr>
        <w:spacing w:after="0" w:line="23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Proceeds</w:t>
      </w:r>
      <w:r>
        <w:rPr>
          <w:rFonts w:ascii="Arial" w:cs="Arial" w:eastAsia="Arial" w:hAnsi="Arial"/>
          <w:sz w:val="22"/>
          <w:szCs w:val="22"/>
          <w:color w:val="auto"/>
        </w:rPr>
        <w:t>” means (a) all “proceeds,” as defined in Article 9 of the Uniform Commercial Code, with respect to the Collateral, and (b) whatever is recoverable or recovered when any Collateral is sold, exchanged, collected, or disposed of, whether voluntarily or involuntarily, including, without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351" w:name="page352"/>
    <w:bookmarkEnd w:id="351"/>
    <w:p>
      <w:pPr>
        <w:spacing w:after="0"/>
        <w:rPr>
          <w:sz w:val="20"/>
          <w:szCs w:val="20"/>
          <w:color w:val="auto"/>
        </w:rPr>
      </w:pPr>
      <w:r>
        <w:rPr>
          <w:rFonts w:ascii="Arial" w:cs="Arial" w:eastAsia="Arial" w:hAnsi="Arial"/>
          <w:sz w:val="21"/>
          <w:szCs w:val="21"/>
          <w:color w:val="auto"/>
        </w:rPr>
        <w:t>limitation, all proceeds of any insurance policy covering the Collateral and all tax refunds received in respect of Collateral.</w:t>
      </w:r>
    </w:p>
    <w:p>
      <w:pPr>
        <w:spacing w:after="0" w:line="23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Real Property</w:t>
      </w:r>
      <w:r>
        <w:rPr>
          <w:rFonts w:ascii="Arial" w:cs="Arial" w:eastAsia="Arial" w:hAnsi="Arial"/>
          <w:sz w:val="21"/>
          <w:szCs w:val="21"/>
          <w:color w:val="auto"/>
        </w:rPr>
        <w:t>” means any right, title or interest in and to real property, including any fee interest, leasehold interest, easement, or license and any other right to use or occupy real property, including any right arising by contract.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ABL Agreement</w:t>
      </w:r>
      <w:r>
        <w:rPr>
          <w:rFonts w:ascii="Arial" w:cs="Arial" w:eastAsia="Arial" w:hAnsi="Arial"/>
          <w:sz w:val="22"/>
          <w:szCs w:val="22"/>
          <w:color w:val="auto"/>
        </w:rPr>
        <w:t>” has the meaning set forth in the definition of “ABL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Term Loan Agreement</w:t>
      </w:r>
      <w:r>
        <w:rPr>
          <w:rFonts w:ascii="Arial" w:cs="Arial" w:eastAsia="Arial" w:hAnsi="Arial"/>
          <w:sz w:val="22"/>
          <w:szCs w:val="22"/>
          <w:color w:val="auto"/>
        </w:rPr>
        <w:t>” has the meaning set forth in the definition of “Term Loan Agreement.”</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Obligations</w:t>
      </w:r>
      <w:r>
        <w:rPr>
          <w:rFonts w:ascii="Arial" w:cs="Arial" w:eastAsia="Arial" w:hAnsi="Arial"/>
          <w:sz w:val="22"/>
          <w:szCs w:val="22"/>
          <w:color w:val="auto"/>
        </w:rPr>
        <w:t>” means the ABL Obligations and the Term Loan Obligations. “</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the ABL Secured Parties and the Term Loan Secured Parties.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Security Documents</w:t>
      </w:r>
      <w:r>
        <w:rPr>
          <w:rFonts w:ascii="Arial" w:cs="Arial" w:eastAsia="Arial" w:hAnsi="Arial"/>
          <w:sz w:val="21"/>
          <w:szCs w:val="21"/>
          <w:color w:val="auto"/>
        </w:rPr>
        <w:t>” means, collectively, the ABL Security Documents and the Term Loan Security Documents.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Collateral</w:t>
      </w:r>
      <w:r>
        <w:rPr>
          <w:rFonts w:ascii="Arial" w:cs="Arial" w:eastAsia="Arial" w:hAnsi="Arial"/>
          <w:sz w:val="21"/>
          <w:szCs w:val="21"/>
          <w:color w:val="auto"/>
        </w:rPr>
        <w:t>” means with respect to any Senior Secured Party, any Collateral on which it has a Senior Lien.</w:t>
      </w:r>
    </w:p>
    <w:p>
      <w:pPr>
        <w:spacing w:after="0" w:line="2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Documents</w:t>
      </w:r>
      <w:r>
        <w:rPr>
          <w:rFonts w:ascii="Arial" w:cs="Arial" w:eastAsia="Arial" w:hAnsi="Arial"/>
          <w:sz w:val="22"/>
          <w:szCs w:val="22"/>
          <w:color w:val="auto"/>
        </w:rPr>
        <w:t>” means, collectively, with respect to any Senior Obligation, any provision pertaining to such Senior Obligation in any Loan Document or any other document, instrument or certificate evidencing or delivered in connection with such Senior Obligation.</w:t>
      </w:r>
    </w:p>
    <w:p>
      <w:pPr>
        <w:spacing w:after="0" w:line="177"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Liens</w:t>
      </w:r>
      <w:r>
        <w:rPr>
          <w:rFonts w:ascii="Arial" w:cs="Arial" w:eastAsia="Arial" w:hAnsi="Arial"/>
          <w:sz w:val="22"/>
          <w:szCs w:val="22"/>
          <w:color w:val="auto"/>
        </w:rPr>
        <w:t>” means (a) with respect to the ABL Priority Collateral, all Liens securing the ABL Obligations and (b) with respect to the Term Loan Priority Collateral, all Liens securing the Term Loan Obligations.</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Obligations</w:t>
      </w:r>
      <w:r>
        <w:rPr>
          <w:rFonts w:ascii="Arial" w:cs="Arial" w:eastAsia="Arial" w:hAnsi="Arial"/>
          <w:sz w:val="22"/>
          <w:szCs w:val="22"/>
          <w:color w:val="auto"/>
        </w:rPr>
        <w:t>” means (a) with respect to any ABL Priority Collateral, all ABL Obligations and (b) with respect to any Term Loan Priority Collateral, all Term Loan Obligations.</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Obligations Payment Date</w:t>
      </w:r>
      <w:r>
        <w:rPr>
          <w:rFonts w:ascii="Arial" w:cs="Arial" w:eastAsia="Arial" w:hAnsi="Arial"/>
          <w:sz w:val="22"/>
          <w:szCs w:val="22"/>
          <w:color w:val="auto"/>
        </w:rPr>
        <w:t>” means (a) with respect to any ABL Obligations, the ABL Obligations Payment Date and (b) with respect to any Term Loan Obligations, the Term Loan Obligations Payment Date.</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Representative</w:t>
      </w:r>
      <w:r>
        <w:rPr>
          <w:rFonts w:ascii="Arial" w:cs="Arial" w:eastAsia="Arial" w:hAnsi="Arial"/>
          <w:sz w:val="22"/>
          <w:szCs w:val="22"/>
          <w:color w:val="auto"/>
        </w:rPr>
        <w:t>” means (a) with respect to any ABL Priority Collateral, the ABL Representative and (b) with respect to any Term Loan Priority Collateral, the Term Loan Representative.</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Secured Parties</w:t>
      </w:r>
      <w:r>
        <w:rPr>
          <w:rFonts w:ascii="Arial" w:cs="Arial" w:eastAsia="Arial" w:hAnsi="Arial"/>
          <w:sz w:val="22"/>
          <w:szCs w:val="22"/>
          <w:color w:val="auto"/>
        </w:rPr>
        <w:t>” means (a) with respect to the ABL Priority Collateral, all ABL Secured Parties and (b) with respect to the Term Loan Priority Collateral, all Term Loan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352" w:name="page353"/>
    <w:bookmarkEnd w:id="352"/>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Security Documents</w:t>
      </w:r>
      <w:r>
        <w:rPr>
          <w:rFonts w:ascii="Arial" w:cs="Arial" w:eastAsia="Arial" w:hAnsi="Arial"/>
          <w:sz w:val="22"/>
          <w:szCs w:val="22"/>
          <w:color w:val="auto"/>
        </w:rPr>
        <w:t>” means, with respect to any Senior Secured Party, the Security Documents that secure the Senior Obligations.</w:t>
      </w:r>
    </w:p>
    <w:p>
      <w:pPr>
        <w:spacing w:after="0" w:line="16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Obligations</w:t>
      </w:r>
      <w:r>
        <w:rPr>
          <w:rFonts w:ascii="Arial" w:cs="Arial" w:eastAsia="Arial" w:hAnsi="Arial"/>
          <w:sz w:val="21"/>
          <w:szCs w:val="21"/>
          <w:color w:val="auto"/>
        </w:rPr>
        <w:t xml:space="preserve">” means all obligations of the Company and its subsidiaries owed to any ABL Creditor (or any of its affiliates) in respect of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“Swap Obligations” shall include, without limitation, all “Swap Agreement Obligations” (as defined in the Existing ABL Agreement as in effect on the date hereof).</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Agreement</w:t>
      </w:r>
      <w:r>
        <w:rPr>
          <w:rFonts w:ascii="Arial" w:cs="Arial" w:eastAsia="Arial" w:hAnsi="Arial"/>
          <w:sz w:val="21"/>
          <w:szCs w:val="21"/>
          <w:color w:val="auto"/>
        </w:rPr>
        <w:t>” means the collective reference to (a) the Existing Term Loan Agreement, (b) any Additional Term Loan Agreement and (c) any other credit agreement, loan agreement, note agreement, promissory note, indenture or other agreement or instrument evidencing or governing the terms of any indebtedness or other financial accommodation that has been incurred to extend, replace, refinance or refund in whole or in part the indebtedness and other obligations outstanding under the Existing Term Loan Agreement, any Additional Term Loan Agreement or any other agreement or instrument referred to in this clause (c) unless such agreement or instrument expressly provides that it is not intended to be and is not a Term Loan Agreement hereunder (a “</w:t>
      </w:r>
      <w:r>
        <w:rPr>
          <w:rFonts w:ascii="Arial" w:cs="Arial" w:eastAsia="Arial" w:hAnsi="Arial"/>
          <w:sz w:val="21"/>
          <w:szCs w:val="21"/>
          <w:u w:val="single" w:color="auto"/>
          <w:color w:val="auto"/>
        </w:rPr>
        <w:t>Replacement Term Loan Agreement</w:t>
      </w:r>
      <w:r>
        <w:rPr>
          <w:rFonts w:ascii="Arial" w:cs="Arial" w:eastAsia="Arial" w:hAnsi="Arial"/>
          <w:sz w:val="21"/>
          <w:szCs w:val="21"/>
          <w:color w:val="auto"/>
        </w:rPr>
        <w:t>”). Any reference to the Term Loan Agreement hereunder shall be deemed a reference to any Term Loan Agreement then extant.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Creditors</w:t>
      </w:r>
      <w:r>
        <w:rPr>
          <w:rFonts w:ascii="Arial" w:cs="Arial" w:eastAsia="Arial" w:hAnsi="Arial"/>
          <w:sz w:val="22"/>
          <w:szCs w:val="22"/>
          <w:color w:val="auto"/>
        </w:rPr>
        <w:t>” means, collectively, the “Lenders” and the “Secured Parties”, each as defined in the Term Loan Agreement.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DIP Financing</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5.2(b)</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Documents</w:t>
      </w:r>
      <w:r>
        <w:rPr>
          <w:rFonts w:ascii="Arial" w:cs="Arial" w:eastAsia="Arial" w:hAnsi="Arial"/>
          <w:sz w:val="21"/>
          <w:szCs w:val="21"/>
          <w:color w:val="auto"/>
        </w:rPr>
        <w:t>” means the Term Loan Agreement, each Term Loan Security Document, each Term Loan Guarantee and each other “Loan Document” as defined in the Term Loan Agreement (other than this Agreement).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Guarantee</w:t>
      </w:r>
      <w:r>
        <w:rPr>
          <w:rFonts w:ascii="Arial" w:cs="Arial" w:eastAsia="Arial" w:hAnsi="Arial"/>
          <w:sz w:val="22"/>
          <w:szCs w:val="22"/>
          <w:color w:val="auto"/>
        </w:rPr>
        <w:t>” means any guarantee by any Loan Party of any or all of the Term Loan Obligations.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Lien</w:t>
      </w:r>
      <w:r>
        <w:rPr>
          <w:rFonts w:ascii="Arial" w:cs="Arial" w:eastAsia="Arial" w:hAnsi="Arial"/>
          <w:sz w:val="22"/>
          <w:szCs w:val="22"/>
          <w:color w:val="auto"/>
        </w:rPr>
        <w:t>” means any Lien created by the Term Loan Security Documents.</w:t>
      </w:r>
    </w:p>
    <w:p>
      <w:pPr>
        <w:spacing w:after="0" w:line="23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Obligations</w:t>
      </w:r>
      <w:r>
        <w:rPr>
          <w:rFonts w:ascii="Arial" w:cs="Arial" w:eastAsia="Arial" w:hAnsi="Arial"/>
          <w:sz w:val="19"/>
          <w:szCs w:val="19"/>
          <w:color w:val="auto"/>
        </w:rPr>
        <w:t>” means (a) all principal of and interest (including without limitation any Post-Petition Interest) and premium (if any) on all loans made pursuant to the Term Loan Agreement or any Term Loan DIP Financing by the Term Loan Creditors and (b) all guarantee obligations, indemnities, fees, expenses and other amounts payable from time to time by the Loan Parties pursuant to the Term Loan Documents, in each case whether or not allowed or allowable in an Insolvency Proceeding. To the extent any payment with respect to any Term Loan Obligation (whether by or on behalf of any Loan Party, as Proceeds of security, enforcement of any right of setoff or otherwise, including pursuant to any settlement entered into by an ABL Secured Party or a Term Loan Secured Party in its discretion) is declared to be a fraudulent conveyance or a preference in any respect, set aside or required to be paid to a debtor in possession, any ABL Secured Party,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0" w:right="239" w:bottom="1440" w:gutter="0" w:footer="0" w:header="0"/>
        </w:sectPr>
      </w:pPr>
    </w:p>
    <w:bookmarkStart w:id="353" w:name="page354"/>
    <w:bookmarkEnd w:id="353"/>
    <w:p>
      <w:pPr>
        <w:jc w:val="both"/>
        <w:spacing w:after="0" w:line="253" w:lineRule="auto"/>
        <w:rPr>
          <w:sz w:val="20"/>
          <w:szCs w:val="20"/>
          <w:color w:val="auto"/>
        </w:rPr>
      </w:pPr>
      <w:r>
        <w:rPr>
          <w:rFonts w:ascii="Arial" w:cs="Arial" w:eastAsia="Arial" w:hAnsi="Arial"/>
          <w:sz w:val="22"/>
          <w:szCs w:val="22"/>
          <w:color w:val="auto"/>
        </w:rPr>
        <w:t>receiver or similar Person, then the obligation or part thereof originally intended to be satisfied shall, for the purposes of this Agreement and the rights and obligations of the ABL Secured Parties and the Term Loan Secured Parties, be deemed to be reinstated and outstanding as if such payment had not occurred.</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Loan Obligations Payment Date</w:t>
      </w:r>
      <w:r>
        <w:rPr>
          <w:rFonts w:ascii="Arial" w:cs="Arial" w:eastAsia="Arial" w:hAnsi="Arial"/>
          <w:sz w:val="21"/>
          <w:szCs w:val="21"/>
          <w:color w:val="auto"/>
        </w:rPr>
        <w:t>” means the first date on which (a) the Term Loan Obligations (other than those that constitute Unasserted Contingent Obligations) have been indefeasibly paid in cash in full, (b) all commitments to extend credit under the Term Loan Documents have been terminated, and (c) so long as the ABL Obligations Payment Date shall not have occurred, the Term Loan Representative has delivered a written notice to the ABL Representative stating that the events described in clauses (a) and (b) have occurred to the satisfaction of the Term Loan Secured Parties.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Post-Petition Assets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5.2(a)</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Priority Collateral</w:t>
      </w:r>
      <w:r>
        <w:rPr>
          <w:rFonts w:ascii="Arial" w:cs="Arial" w:eastAsia="Arial" w:hAnsi="Arial"/>
          <w:sz w:val="19"/>
          <w:szCs w:val="19"/>
          <w:color w:val="auto"/>
        </w:rPr>
        <w:t xml:space="preserve">” means all Collateral (other than the ABL Priority Collateral) and all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“Term Loan Priority Collateral” shall not include Proceeds from the disposition of any Term Loan Priority Collateral that otherwise constitute ABL Priority Collateral (such as, but not limited to, cash proceeds) to the extent such Proceeds are not required to be applied to the mandatory prepayment of the Term Loan Obligations pursuant to the Term Loan Documents, unless such Proceeds either (x) arise from a disposition of Term Loan Priority Collateral resulting from an Enforcement Action taken by the Term Loan Secured Parties permitted by this Agreement or (y) are deposited in a segregated cash collateral account with the Term Loan Representative (in its capacity as Term Loan Representative under the Term Loan Documents) to the extent required by the Term Loan Documents. If such Proceeds are required to be applied to the mandatory prepayment of the Term Loan Obligations or arise from a disposition of Term Loan Priority Collateral resulting from an Enforcement Action, such Proceeds shall not be included in the ABL Priority Collateral (notwithstanding anything in the definition thereof to the contrary, including anything in the definition of Accounts to the contrary, but subject to Section 4.1) and shall be Term Loan Priority Collateral, but otherwise such Proceeds will constitute ABL Priority Collateral.</w:t>
      </w:r>
    </w:p>
    <w:p>
      <w:pPr>
        <w:spacing w:after="0" w:line="16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Representative</w:t>
      </w:r>
      <w:r>
        <w:rPr>
          <w:rFonts w:ascii="Arial" w:cs="Arial" w:eastAsia="Arial" w:hAnsi="Arial"/>
          <w:sz w:val="19"/>
          <w:szCs w:val="19"/>
          <w:color w:val="auto"/>
        </w:rPr>
        <w:t>” has the meaning set forth in the introductory paragraph hereof. In the case of any Replacement Term Loan Agreement, the Term Loan Representative shall be the Person identified as such in such Agreement.</w:t>
      </w:r>
    </w:p>
    <w:p>
      <w:pPr>
        <w:spacing w:after="0" w:line="9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Secured Parties</w:t>
      </w:r>
      <w:r>
        <w:rPr>
          <w:rFonts w:ascii="Arial" w:cs="Arial" w:eastAsia="Arial" w:hAnsi="Arial"/>
          <w:sz w:val="22"/>
          <w:szCs w:val="22"/>
          <w:color w:val="auto"/>
        </w:rPr>
        <w:t>” means the Term Loan Representative, the Term Loan Creditors and any other holders of the Term Loan Obligations.</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Loan Security Documents</w:t>
      </w:r>
      <w:r>
        <w:rPr>
          <w:rFonts w:ascii="Arial" w:cs="Arial" w:eastAsia="Arial" w:hAnsi="Arial"/>
          <w:sz w:val="22"/>
          <w:szCs w:val="22"/>
          <w:color w:val="auto"/>
        </w:rPr>
        <w:t>” means the “Collateral Documents” as defined in the Term Loan Agreement, and any other documents that are designated under the Term Loan Agreement as “Term Loan Security Documents” for purposes of this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Secrets</w:t>
      </w:r>
      <w:r>
        <w:rPr>
          <w:rFonts w:ascii="Arial" w:cs="Arial" w:eastAsia="Arial" w:hAnsi="Arial"/>
          <w:sz w:val="22"/>
          <w:szCs w:val="22"/>
          <w:color w:val="auto"/>
        </w:rPr>
        <w:t>” means all trade secrets and all other confidential or proprietary information and know-how, whether or not reduced to a writing or other tangible form, now or hereafter in force, owned or used in, or contemplated at any time for use in, the business of any Loan Party, including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354" w:name="page355"/>
    <w:bookmarkEnd w:id="354"/>
    <w:p>
      <w:pPr>
        <w:spacing w:after="0"/>
        <w:rPr>
          <w:sz w:val="20"/>
          <w:szCs w:val="20"/>
          <w:color w:val="auto"/>
        </w:rPr>
      </w:pPr>
      <w:r>
        <w:rPr>
          <w:rFonts w:ascii="Arial" w:cs="Arial" w:eastAsia="Arial" w:hAnsi="Arial"/>
          <w:sz w:val="19"/>
          <w:szCs w:val="19"/>
          <w:color w:val="auto"/>
        </w:rPr>
        <w:t>with respect to any and all of the foregoing: (i) all documents and things embodying, incorporating, or referring in any way thereto,</w:t>
      </w:r>
    </w:p>
    <w:p>
      <w:pPr>
        <w:spacing w:after="0" w:line="56" w:lineRule="exact"/>
        <w:rPr>
          <w:sz w:val="20"/>
          <w:szCs w:val="20"/>
          <w:color w:val="auto"/>
        </w:rPr>
      </w:pPr>
    </w:p>
    <w:p>
      <w:pPr>
        <w:jc w:val="both"/>
        <w:ind w:firstLine="8"/>
        <w:spacing w:after="0" w:line="245" w:lineRule="auto"/>
        <w:tabs>
          <w:tab w:leader="none" w:pos="323" w:val="left"/>
        </w:tabs>
        <w:numPr>
          <w:ilvl w:val="0"/>
          <w:numId w:val="406"/>
        </w:numPr>
        <w:rPr>
          <w:rFonts w:ascii="Arial" w:cs="Arial" w:eastAsia="Arial" w:hAnsi="Arial"/>
          <w:sz w:val="22"/>
          <w:szCs w:val="22"/>
          <w:color w:val="auto"/>
        </w:rPr>
      </w:pPr>
      <w:r>
        <w:rPr>
          <w:rFonts w:ascii="Arial" w:cs="Arial" w:eastAsia="Arial" w:hAnsi="Arial"/>
          <w:sz w:val="22"/>
          <w:szCs w:val="22"/>
          <w:color w:val="auto"/>
        </w:rPr>
        <w:t>all rights to sue for past, present and future infringement thereof, (iii) all licenses, claims, damages, and proceeds of suit arising therefrom, and (iv) all payments and royalties and rights to payments and royalties arising out of the sale, lease, license, assignment, or other dispositions thereof.</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with respect to any Person, all of such Person’s right, title, and interest in and to the following: (a) all trademarks (including service marks), trade names, trade dress, trade styles, brand names, corporate names, business names, domain names, logos and other source or business identifiers and the registrations and applications for registration thereof, all common-law rights related thereto, and the goodwill of the business symbolized by the foregoing; (b) all renewals of the foregoing;</w:t>
      </w:r>
    </w:p>
    <w:p>
      <w:pPr>
        <w:spacing w:after="0" w:line="2" w:lineRule="exact"/>
        <w:rPr>
          <w:sz w:val="20"/>
          <w:szCs w:val="20"/>
          <w:color w:val="auto"/>
        </w:rPr>
      </w:pPr>
    </w:p>
    <w:p>
      <w:pPr>
        <w:jc w:val="both"/>
        <w:ind w:firstLine="8"/>
        <w:spacing w:after="0" w:line="244" w:lineRule="auto"/>
        <w:tabs>
          <w:tab w:leader="none" w:pos="349" w:val="left"/>
        </w:tabs>
        <w:numPr>
          <w:ilvl w:val="0"/>
          <w:numId w:val="407"/>
        </w:numPr>
        <w:rPr>
          <w:rFonts w:ascii="Arial" w:cs="Arial" w:eastAsia="Arial" w:hAnsi="Arial"/>
          <w:sz w:val="22"/>
          <w:szCs w:val="22"/>
          <w:color w:val="auto"/>
        </w:rPr>
      </w:pPr>
      <w:r>
        <w:rPr>
          <w:rFonts w:ascii="Arial" w:cs="Arial" w:eastAsia="Arial" w:hAnsi="Arial"/>
          <w:sz w:val="22"/>
          <w:szCs w:val="22"/>
          <w:color w:val="auto"/>
        </w:rPr>
        <w:t>all income, royalties, damages, and payments now or hereafter due or payable with respect thereto, including, without limitation, damages, claims, and payments for past and future infringements thereof; (d) all rights to sue for past, present, and future infringements of the foregoing, including the right to settle suits involving claims and demands for royalties owing; and (e) all rights corresponding to any of the foregoing throughout the world.</w:t>
      </w:r>
    </w:p>
    <w:p>
      <w:pPr>
        <w:spacing w:after="0" w:line="19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Unasserted Contingent Obligations</w:t>
      </w:r>
      <w:r>
        <w:rPr>
          <w:rFonts w:ascii="Arial" w:cs="Arial" w:eastAsia="Arial" w:hAnsi="Arial"/>
          <w:sz w:val="19"/>
          <w:szCs w:val="19"/>
          <w:color w:val="auto"/>
        </w:rPr>
        <w:t>” means, at any time, ABL Obligations or Term Loan Obligations, as applicable, for taxes, costs, indemnifications, reimbursements, damages and other liabilities (excluding (a) the principal of, and interest and premium (if any) on, and fees and expenses relating to, any ABL Obligation or Term Loan Obligation, as applicable, and (b) with respect to ABL Obligations, contingent reimbursement obligations in respect of amounts that may be drawn under outstanding letters of credit) in respect of which no assertion of liability (whether oral or written) and no claim or demand for payment (whether oral or written) has been made (and, in the case of ABL Obligations or Term Loan Obligations, as applicable, for indemnification, no notice for indemnification has been issued by the indemnitee) at such time.</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Uniform Commercial Code</w:t>
      </w:r>
      <w:r>
        <w:rPr>
          <w:rFonts w:ascii="Arial" w:cs="Arial" w:eastAsia="Arial" w:hAnsi="Arial"/>
          <w:sz w:val="22"/>
          <w:szCs w:val="22"/>
          <w:color w:val="auto"/>
        </w:rPr>
        <w:t>” means the Uniform Commercial Code as in effect from time to time in the applicable jurisdiction.</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Rules of Construction</w:t>
      </w:r>
      <w:r>
        <w:rPr>
          <w:rFonts w:ascii="Arial" w:cs="Arial" w:eastAsia="Arial" w:hAnsi="Arial"/>
          <w:sz w:val="19"/>
          <w:szCs w:val="19"/>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extended, renewed, restated, replaced or otherwise modified (subject to any restrictions on such amendments, supplements, extensions, renewals, restatements, replacements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355" w:name="page356"/>
    <w:bookmarkEnd w:id="355"/>
    <w:p>
      <w:pPr>
        <w:jc w:val="both"/>
        <w:spacing w:after="0" w:line="263" w:lineRule="auto"/>
        <w:rPr>
          <w:sz w:val="20"/>
          <w:szCs w:val="20"/>
          <w:color w:val="auto"/>
        </w:rPr>
      </w:pPr>
      <w:r>
        <w:rPr>
          <w:rFonts w:ascii="Arial" w:cs="Arial" w:eastAsia="Arial" w:hAnsi="Arial"/>
          <w:sz w:val="22"/>
          <w:szCs w:val="22"/>
          <w:color w:val="auto"/>
        </w:rPr>
        <w:t>the same meaning and effect and to refer to any and all tangible and intangible assets and properties, including cash, securities, accounts and contract rights.</w:t>
      </w:r>
    </w:p>
    <w:p>
      <w:pPr>
        <w:spacing w:after="0" w:line="175"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2.</w:t>
      </w:r>
      <w:r>
        <w:rPr>
          <w:sz w:val="20"/>
          <w:szCs w:val="20"/>
          <w:color w:val="auto"/>
        </w:rPr>
        <w:tab/>
      </w:r>
      <w:r>
        <w:rPr>
          <w:rFonts w:ascii="Arial" w:cs="Arial" w:eastAsia="Arial" w:hAnsi="Arial"/>
          <w:sz w:val="21"/>
          <w:szCs w:val="21"/>
          <w:i w:val="1"/>
          <w:iCs w:val="1"/>
          <w:color w:val="auto"/>
        </w:rPr>
        <w:t>Lien Priority</w:t>
      </w:r>
      <w:r>
        <w:rPr>
          <w:rFonts w:ascii="Arial" w:cs="Arial" w:eastAsia="Arial" w:hAnsi="Arial"/>
          <w:sz w:val="21"/>
          <w:szCs w:val="21"/>
          <w:color w:val="auto"/>
        </w:rPr>
        <w:t>.</w:t>
      </w:r>
    </w:p>
    <w:p>
      <w:pPr>
        <w:spacing w:after="0" w:line="26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Lien Subordination</w:t>
      </w:r>
      <w:r>
        <w:rPr>
          <w:rFonts w:ascii="Arial" w:cs="Arial" w:eastAsia="Arial" w:hAnsi="Arial"/>
          <w:sz w:val="22"/>
          <w:szCs w:val="22"/>
          <w:color w:val="auto"/>
        </w:rPr>
        <w:t>. Notwithstanding the date, manner or order of grant, attachment or perfection of any Junior Lien in respect of any Collateral or of any Senior Lien in respect of any Collateral and notwithstanding any provision of the Uniform Commercial Code, any applicable law, any Security Document, any alleged or actual defect or deficiency in any of the foregoing or any other circumstance whatsoever, the Junior Representative, on behalf of each Junior Secured Party, in respect of such Collateral hereby agrees that:</w:t>
      </w:r>
    </w:p>
    <w:p>
      <w:pPr>
        <w:spacing w:after="0" w:line="233" w:lineRule="exact"/>
        <w:rPr>
          <w:sz w:val="20"/>
          <w:szCs w:val="20"/>
          <w:color w:val="auto"/>
        </w:rPr>
      </w:pPr>
    </w:p>
    <w:p>
      <w:pPr>
        <w:jc w:val="both"/>
        <w:ind w:right="20" w:firstLine="656"/>
        <w:spacing w:after="0" w:line="253" w:lineRule="auto"/>
        <w:tabs>
          <w:tab w:leader="none" w:pos="1536" w:val="left"/>
        </w:tabs>
        <w:numPr>
          <w:ilvl w:val="0"/>
          <w:numId w:val="408"/>
        </w:numPr>
        <w:rPr>
          <w:rFonts w:ascii="Arial" w:cs="Arial" w:eastAsia="Arial" w:hAnsi="Arial"/>
          <w:sz w:val="22"/>
          <w:szCs w:val="22"/>
          <w:color w:val="auto"/>
        </w:rPr>
      </w:pPr>
      <w:r>
        <w:rPr>
          <w:rFonts w:ascii="Arial" w:cs="Arial" w:eastAsia="Arial" w:hAnsi="Arial"/>
          <w:sz w:val="22"/>
          <w:szCs w:val="22"/>
          <w:color w:val="auto"/>
        </w:rPr>
        <w:t>any Senior Lien in respect of such Collateral, regardless of how acquired, whether by grant, statute, operation of law, subrogation or otherwise, shall be and shall remain senior and prior to any Junior Lien in respect of such Collateral (whether or not such Senior Lien is subordinated to any Lien securing any other obligation); and</w:t>
      </w:r>
    </w:p>
    <w:p>
      <w:pPr>
        <w:spacing w:after="0" w:line="226" w:lineRule="exact"/>
        <w:rPr>
          <w:rFonts w:ascii="Arial" w:cs="Arial" w:eastAsia="Arial" w:hAnsi="Arial"/>
          <w:sz w:val="22"/>
          <w:szCs w:val="22"/>
          <w:color w:val="auto"/>
        </w:rPr>
      </w:pPr>
    </w:p>
    <w:p>
      <w:pPr>
        <w:ind w:firstLine="656"/>
        <w:spacing w:after="0" w:line="343" w:lineRule="auto"/>
        <w:tabs>
          <w:tab w:leader="none" w:pos="1549" w:val="left"/>
        </w:tabs>
        <w:numPr>
          <w:ilvl w:val="0"/>
          <w:numId w:val="408"/>
        </w:numPr>
        <w:rPr>
          <w:rFonts w:ascii="Arial" w:cs="Arial" w:eastAsia="Arial" w:hAnsi="Arial"/>
          <w:sz w:val="19"/>
          <w:szCs w:val="19"/>
          <w:color w:val="auto"/>
        </w:rPr>
      </w:pPr>
      <w:r>
        <w:rPr>
          <w:rFonts w:ascii="Arial" w:cs="Arial" w:eastAsia="Arial" w:hAnsi="Arial"/>
          <w:sz w:val="19"/>
          <w:szCs w:val="19"/>
          <w:color w:val="auto"/>
        </w:rPr>
        <w:t>any Junior Lien in respect of such Collateral, regardless of how acquired, whether by grant, statute, operation of law, subrogation or otherwise, shall be junior and subordinate in all respects to any Senior Lien in respect of such Collateral.</w:t>
      </w:r>
    </w:p>
    <w:p>
      <w:pPr>
        <w:spacing w:after="0" w:line="14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Prohibition on Contesting Liens</w:t>
      </w:r>
      <w:r>
        <w:rPr>
          <w:rFonts w:ascii="Arial" w:cs="Arial" w:eastAsia="Arial" w:hAnsi="Arial"/>
          <w:sz w:val="22"/>
          <w:szCs w:val="22"/>
          <w:color w:val="auto"/>
        </w:rPr>
        <w:t>. In respect of any Collateral, the Junior Representative, on behalf of each Junior Secured Party, agrees that it shall not, and hereby waives any right to:</w:t>
      </w:r>
    </w:p>
    <w:p>
      <w:pPr>
        <w:spacing w:after="0" w:line="215" w:lineRule="exact"/>
        <w:rPr>
          <w:sz w:val="20"/>
          <w:szCs w:val="20"/>
          <w:color w:val="auto"/>
        </w:rPr>
      </w:pPr>
    </w:p>
    <w:p>
      <w:pPr>
        <w:ind w:firstLine="656"/>
        <w:spacing w:after="0" w:line="263" w:lineRule="auto"/>
        <w:tabs>
          <w:tab w:leader="none" w:pos="1536" w:val="left"/>
        </w:tabs>
        <w:numPr>
          <w:ilvl w:val="0"/>
          <w:numId w:val="409"/>
        </w:numPr>
        <w:rPr>
          <w:rFonts w:ascii="Arial" w:cs="Arial" w:eastAsia="Arial" w:hAnsi="Arial"/>
          <w:sz w:val="22"/>
          <w:szCs w:val="22"/>
          <w:color w:val="auto"/>
        </w:rPr>
      </w:pPr>
      <w:r>
        <w:rPr>
          <w:rFonts w:ascii="Arial" w:cs="Arial" w:eastAsia="Arial" w:hAnsi="Arial"/>
          <w:sz w:val="22"/>
          <w:szCs w:val="22"/>
          <w:color w:val="auto"/>
        </w:rPr>
        <w:t>contest, or support any other Person in contesting, in any proceeding (including any Insolvency Proceeding), the priority, validity or enforceability of any Senior Lien on such Collateral; or</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409"/>
        </w:numPr>
        <w:rPr>
          <w:rFonts w:ascii="Arial" w:cs="Arial" w:eastAsia="Arial" w:hAnsi="Arial"/>
          <w:sz w:val="22"/>
          <w:szCs w:val="22"/>
          <w:color w:val="auto"/>
        </w:rPr>
      </w:pPr>
      <w:r>
        <w:rPr>
          <w:rFonts w:ascii="Arial" w:cs="Arial" w:eastAsia="Arial" w:hAnsi="Arial"/>
          <w:sz w:val="22"/>
          <w:szCs w:val="22"/>
          <w:color w:val="auto"/>
        </w:rPr>
        <w:t>demand, request, plead or otherwise assert or claim the benefit of any marshalling, appraisal, valuation or similar right which it may have in respect of such Collateral or the Senior Liens on such Collateral, except to the extent that such rights are expressly granted in this Agreement.</w:t>
      </w:r>
    </w:p>
    <w:p>
      <w:pPr>
        <w:spacing w:after="0" w:line="2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2.3 </w:t>
      </w:r>
      <w:r>
        <w:rPr>
          <w:rFonts w:ascii="Arial" w:cs="Arial" w:eastAsia="Arial" w:hAnsi="Arial"/>
          <w:sz w:val="21"/>
          <w:szCs w:val="21"/>
          <w:u w:val="single" w:color="auto"/>
          <w:color w:val="auto"/>
        </w:rPr>
        <w:t>Nature of Obligations</w:t>
      </w:r>
      <w:r>
        <w:rPr>
          <w:rFonts w:ascii="Arial" w:cs="Arial" w:eastAsia="Arial" w:hAnsi="Arial"/>
          <w:sz w:val="21"/>
          <w:szCs w:val="21"/>
          <w:color w:val="auto"/>
        </w:rPr>
        <w:t>. The Term Loan Representative on behalf of itself and the other Term Loan Secured Parties acknowledges that a portion of the ABL Obligations represents debt that is revolving in nature and that the amount thereof that may be outstanding at any time or from time to time may be increased, reduced or repaid and subsequently reborrowed, and that the terms of the ABL Obligations and any ABL Agreement or any provision thereof may be waived, modified, extended, amended, restated or supplemented from time to time, and that the aggregate amount of the ABL Obligations may be increased, replaced or refinanced, in each event, without notice to or consent by the Term Loan Secured Parties and without affecting the provisions hereof. The ABL Representative on behalf of itself and the other ABL Secured Parties acknowledges that Term Loan Obligations may be replaced or refinanced and the amount of any Term Loan Obligations may be increased, reduced, or repaid, and any Term Loan Document or any provision thereof may be waived, modified, extended, amended, restated or supplemented from time to time, and that the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0" w:right="239" w:bottom="1440" w:gutter="0" w:footer="0" w:header="0"/>
        </w:sectPr>
      </w:pPr>
    </w:p>
    <w:bookmarkStart w:id="356" w:name="page357"/>
    <w:bookmarkEnd w:id="356"/>
    <w:p>
      <w:pPr>
        <w:jc w:val="both"/>
        <w:spacing w:after="0" w:line="248" w:lineRule="auto"/>
        <w:rPr>
          <w:sz w:val="20"/>
          <w:szCs w:val="20"/>
          <w:color w:val="auto"/>
        </w:rPr>
      </w:pPr>
      <w:r>
        <w:rPr>
          <w:rFonts w:ascii="Arial" w:cs="Arial" w:eastAsia="Arial" w:hAnsi="Arial"/>
          <w:sz w:val="22"/>
          <w:szCs w:val="22"/>
          <w:color w:val="auto"/>
        </w:rPr>
        <w:t xml:space="preserve">aggregate amount of the Term Loan Obligations may be increased, replaced or refinanced, in each event, without notice to or consent by the ABL Secured Parties and without affecting the provisions hereof. The Lien Priorities provided in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shall not be altered or otherwise affected by any such amendment, modification, supplement, extension, repayment, reborrowing, increase, replacement, renewal, restatement or refinancing of either the ABL Obligations or the Term Loan Obligations, or any portion thereof.</w:t>
      </w:r>
    </w:p>
    <w:p>
      <w:pPr>
        <w:spacing w:after="0" w:line="23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No New Liens</w:t>
      </w:r>
      <w:r>
        <w:rPr>
          <w:rFonts w:ascii="Arial" w:cs="Arial" w:eastAsia="Arial" w:hAnsi="Arial"/>
          <w:sz w:val="21"/>
          <w:szCs w:val="21"/>
          <w:color w:val="auto"/>
        </w:rPr>
        <w:t>. (a) Until the ABL Obligations Payment Date, no Term Loan Secured Party shall acquire or hold any Lien on any assets of any Loan Party securing any Term Loan Obligation which assets are not also subject to the Lien of the ABL Representative under the ABL Documents, subject to the Lien Priority set forth herein. If any Term Loan Secured Party shall (nonetheless and in breach hereof) acquire or hold any Lien on any assets of any Loan Party securing any Term Loan Obligation which assets are not also subject to the Lien of the ABL Representative under the ABL Documents, subject to the Lien Priority set forth herein, then the Term Loan Representative (or the relevant Term Loan Secured Party) shall, without the need for any further consent of any other Term Loan Secured Party and notwithstanding anything to the contrary in any other Term Loan Document be deemed to also hold and have held such lien for the benefit of the ABL Representative as security for the ABL Obligations (subject to the Lien Priority and other terms hereof) and shall promptly notify the ABL Representative in writing of the existence of such Lien.</w:t>
      </w:r>
    </w:p>
    <w:p>
      <w:pPr>
        <w:spacing w:after="0" w:line="227" w:lineRule="exact"/>
        <w:rPr>
          <w:sz w:val="20"/>
          <w:szCs w:val="20"/>
          <w:color w:val="auto"/>
        </w:rPr>
      </w:pPr>
    </w:p>
    <w:p>
      <w:pPr>
        <w:jc w:val="both"/>
        <w:ind w:firstLine="656"/>
        <w:spacing w:after="0" w:line="258" w:lineRule="auto"/>
        <w:tabs>
          <w:tab w:leader="none" w:pos="1549" w:val="left"/>
        </w:tabs>
        <w:numPr>
          <w:ilvl w:val="0"/>
          <w:numId w:val="410"/>
        </w:numPr>
        <w:rPr>
          <w:rFonts w:ascii="Arial" w:cs="Arial" w:eastAsia="Arial" w:hAnsi="Arial"/>
          <w:sz w:val="21"/>
          <w:szCs w:val="21"/>
          <w:color w:val="auto"/>
        </w:rPr>
      </w:pPr>
      <w:r>
        <w:rPr>
          <w:rFonts w:ascii="Arial" w:cs="Arial" w:eastAsia="Arial" w:hAnsi="Arial"/>
          <w:sz w:val="21"/>
          <w:szCs w:val="21"/>
          <w:color w:val="auto"/>
        </w:rPr>
        <w:t>Until the Term Loan Obligations Payment Date, no ABL Secured Party shall acquire or hold any Lien on any assets of any Loan Party securing any ABL Obligation which assets are not also subject to the Lien of the Term Loan Representative under the Term Loan Documents, subject to the Lien Priority set forth herein. If any ABL Secured Party shall (nonetheless and in breach hereof) acquire or hold any Lien on any assets of any Loan Party securing any ABL Obligation which assets are not also subject to the Lien of the Term Loan Representative under the Term Loan Documents, subject to the Lien Priority set forth herein, then the ABL Representative (or the relevant ABL Secured Party) shall, without the need for any further consent of any other ABL Secured Party and notwithstanding anything to the contrary in any other ABL Document be deemed to also hold and have held such lien for the benefit of the Term Loan Representative as security for the Term Loan Obligations (subject to the Lien Priority and other terms hereof) and shall promptly notify the Term Loan Representative in writing of the existence of such Lien.</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2.5 </w:t>
      </w:r>
      <w:r>
        <w:rPr>
          <w:rFonts w:ascii="Arial" w:cs="Arial" w:eastAsia="Arial" w:hAnsi="Arial"/>
          <w:sz w:val="21"/>
          <w:szCs w:val="21"/>
          <w:u w:val="single" w:color="auto"/>
          <w:color w:val="auto"/>
        </w:rPr>
        <w:t>Separate Grants of Security and Separate Classification.</w:t>
      </w:r>
      <w:r>
        <w:rPr>
          <w:rFonts w:ascii="Arial" w:cs="Arial" w:eastAsia="Arial" w:hAnsi="Arial"/>
          <w:sz w:val="21"/>
          <w:szCs w:val="21"/>
          <w:color w:val="auto"/>
        </w:rPr>
        <w:t xml:space="preserve"> Each Secured Party acknowledges and agrees that (i) the grants of Liens pursuant to the ABL Security Documents and the Term Loan Security Documents constitute two separate and distinct grants of Liens and (ii) because of, among other things, their differing rights in the Collateral, the Term Loan Obligations are fundamentally different from the ABL Obligations and should be separately classified in any plan of reorganization proposed or adopted in an Insolvency Proceeding. To further effectuate the intent of the parties as provided in the immediately preceding sentence, if it is held that the claims of the ABL Secured Parties and the Term Loan Secured Parties in respect of the Collateral constitute claims in the same class (rather than separate classes of senior and junior secured claims), then the ABL Secured Parties and the Term Loan Secured Parties hereby acknowledge and agree that all distributions shall be made as if there were separate classes of ABL Obligation claims and Term</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357" w:name="page358"/>
    <w:bookmarkEnd w:id="357"/>
    <w:p>
      <w:pPr>
        <w:jc w:val="both"/>
        <w:spacing w:after="0" w:line="259" w:lineRule="auto"/>
        <w:rPr>
          <w:sz w:val="20"/>
          <w:szCs w:val="20"/>
          <w:color w:val="auto"/>
        </w:rPr>
      </w:pPr>
      <w:r>
        <w:rPr>
          <w:rFonts w:ascii="Arial" w:cs="Arial" w:eastAsia="Arial" w:hAnsi="Arial"/>
          <w:sz w:val="21"/>
          <w:szCs w:val="21"/>
          <w:color w:val="auto"/>
        </w:rPr>
        <w:t>Loan Obligation claims against the Loan Parties (with the effect being that, to the extent that the aggregate value of the ABL Priority Collateral or Term Loan Priority Collateral is sufficient (for this purpose ignoring all claims held by the other Secured Parties), the ABL Secured Parties or the Term Loan Secured Parties, respectively, shall be entitled to receive, in addition to amounts distributed to them in respect of principal, pre-petition interest and other claims, all amounts owing in respect of Post-Petition Interest that are available from each pool of Priority Collateral for each of the ABL Secured Parties and the Term Loan Secured Parties, respectively, before any distribution is made in respect of the claims held by the other Secured Parties, with the other Secured Parties hereby acknowledging and agreeing to turn over to the respective other Secured Parties amounts otherwise received or receivable by them to the extent necessary to effectuate the intent of this sentence, even if such turnover has the effect of reducing the aggregate recoveries.</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Agreements Regarding Actions to Perfect Liens</w:t>
      </w:r>
      <w:r>
        <w:rPr>
          <w:rFonts w:ascii="Arial" w:cs="Arial" w:eastAsia="Arial" w:hAnsi="Arial"/>
          <w:sz w:val="22"/>
          <w:szCs w:val="22"/>
          <w:color w:val="auto"/>
        </w:rPr>
        <w:t>. (a) The ABL Representative agrees on behalf of itself and the other ABL Secured Parties that all mortgages, deeds of trust, deeds and similar instruments (collectively, “</w:t>
      </w:r>
      <w:r>
        <w:rPr>
          <w:rFonts w:ascii="Arial" w:cs="Arial" w:eastAsia="Arial" w:hAnsi="Arial"/>
          <w:sz w:val="22"/>
          <w:szCs w:val="22"/>
          <w:u w:val="single" w:color="auto"/>
          <w:color w:val="auto"/>
        </w:rPr>
        <w:t>mortgages</w:t>
      </w:r>
      <w:r>
        <w:rPr>
          <w:rFonts w:ascii="Arial" w:cs="Arial" w:eastAsia="Arial" w:hAnsi="Arial"/>
          <w:sz w:val="22"/>
          <w:szCs w:val="22"/>
          <w:color w:val="auto"/>
        </w:rPr>
        <w:t>”) now or hereafter filed against Real Property in favor of or for the benefit of the ABL Representative shall contain the following notation: “The lien created by this mortgage on the property described herein is junior and subordinate to the lien on such property created by any mortgage, deed of trust or similar instrument now or hereafter granted to JPMorgan Chase Bank, N.A., as Term Loan Representative, in accordance with the provisions of the Intercreditor Agreement dated as of November 8, 2016, as amended from time to time.”</w:t>
      </w:r>
    </w:p>
    <w:p>
      <w:pPr>
        <w:spacing w:after="0" w:line="238" w:lineRule="exact"/>
        <w:rPr>
          <w:sz w:val="20"/>
          <w:szCs w:val="20"/>
          <w:color w:val="auto"/>
        </w:rPr>
      </w:pPr>
    </w:p>
    <w:p>
      <w:pPr>
        <w:jc w:val="both"/>
        <w:ind w:firstLine="656"/>
        <w:spacing w:after="0" w:line="285" w:lineRule="auto"/>
        <w:tabs>
          <w:tab w:leader="none" w:pos="1549" w:val="left"/>
        </w:tabs>
        <w:numPr>
          <w:ilvl w:val="0"/>
          <w:numId w:val="411"/>
        </w:numPr>
        <w:rPr>
          <w:rFonts w:ascii="Arial" w:cs="Arial" w:eastAsia="Arial" w:hAnsi="Arial"/>
          <w:sz w:val="19"/>
          <w:szCs w:val="19"/>
          <w:color w:val="auto"/>
        </w:rPr>
      </w:pPr>
      <w:r>
        <w:rPr>
          <w:rFonts w:ascii="Arial" w:cs="Arial" w:eastAsia="Arial" w:hAnsi="Arial"/>
          <w:sz w:val="19"/>
          <w:szCs w:val="19"/>
          <w:color w:val="auto"/>
        </w:rPr>
        <w:t xml:space="preserve">Each of the ABL Representative and the Term Loan Representative hereby acknowledges that, to the extent that it holds, or a third party holds on its behalf, physical possession of or “control” (as defined in the Uniform Commercial Code) over Collateral pursuant to the ABL Security Documents or the Term Loan Security Documents, as applicable, such possession or control is also for the benefit of the Term Loan Representative and the other Term Loan Secured Parties or the ABL Representative and the other ABL Secured Parties, as applicable, solely to the extent required to perfect their security interest (if any) in such Collateral. Nothing in the preceding sentence shall be construed to impose any duty on the ABL Representative or the Term Loan Representative (or any third party acting on either such Person’s behalf) with respect to such Collateral or provide the Term Loan Representative, any other Term Loan Secured Party, the ABL Representative or any other ABL Secured Party, as applicable, with any rights with respect to such Collateral beyond those specified in this Agreement, the ABL Security Documents and the Term Loan Security Documents,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subsequent to the occurrence of the ABL Obligations Payment Date (so long as the Term Loan Obligations Payment Date shall not have occurred), the ABL Representative shall (i) deliver to the Term Loan Representative, at the Loan Parties’ sole cost and expense, the Collateral in its possession or control together with any necessary endorsements to the extent required by the Term Loan Documents or (ii) direct and deliver such Collateral as a court of competent jurisdiction otherwise directs;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subsequent to the occurrence of the Term Loan Obligations Payment Date (so long as the ABL Obligations Payment Date shall not have occurred), the Term Loan Representative shall (i) deliver to the ABL Representative, at the Loan Parties’ sole cost and expense, the Collateral in its possession or control together with any necessary endorsements to the extent required by the ABL Documents or (ii) direct and deliver such Collateral as a court of competent jurisdiction otherwise directs;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 prior to the occurrence of the Term Loan Obligations Payment Date, upon the request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1" w:right="23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21"/>
          <w:szCs w:val="21"/>
          <w:color w:val="auto"/>
        </w:rPr>
        <w:t>of the Term Loan Representative or the Borrower, the ABL Loan Representative shall turn over to the Term Loan Representative any Term Loan Priority Collateral of which it has physical possession, and (ii) prior to the occurrence of the ABL Obligations Payment Date, upon the request of the ABL Representative or the Borrower, the Term Loan Representative shall turn over to the ABL Representative any ABL Priority Collateral of which it has physical possession. The provisions of this Agreement are intended solely to govern the respective Lien priorities as between the ABL Secured Parties and the Term Loan Secured Parties and shall not impose on the ABL Secured Parties or the Term Loan Secured Parties any obligations in respect of the disposition of any Collateral (or any proceeds thereof) that would conflict with prior perfected Liens or any claims thereon in favor of any other Person that is not a Secured Party.</w:t>
      </w:r>
    </w:p>
    <w:p>
      <w:pPr>
        <w:spacing w:after="0" w:line="184"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3.</w:t>
      </w:r>
      <w:r>
        <w:rPr>
          <w:sz w:val="20"/>
          <w:szCs w:val="20"/>
          <w:color w:val="auto"/>
        </w:rPr>
        <w:tab/>
      </w:r>
      <w:r>
        <w:rPr>
          <w:rFonts w:ascii="Arial" w:cs="Arial" w:eastAsia="Arial" w:hAnsi="Arial"/>
          <w:sz w:val="19"/>
          <w:szCs w:val="19"/>
          <w:i w:val="1"/>
          <w:iCs w:val="1"/>
          <w:color w:val="auto"/>
        </w:rPr>
        <w:t>Enforcement Rights.</w:t>
      </w:r>
    </w:p>
    <w:p>
      <w:pPr>
        <w:spacing w:after="0" w:line="26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3.1 </w:t>
      </w:r>
      <w:r>
        <w:rPr>
          <w:rFonts w:ascii="Arial" w:cs="Arial" w:eastAsia="Arial" w:hAnsi="Arial"/>
          <w:sz w:val="21"/>
          <w:szCs w:val="21"/>
          <w:u w:val="single" w:color="auto"/>
          <w:color w:val="auto"/>
        </w:rPr>
        <w:t>Exclusive Enforcement</w:t>
      </w:r>
      <w:r>
        <w:rPr>
          <w:rFonts w:ascii="Arial" w:cs="Arial" w:eastAsia="Arial" w:hAnsi="Arial"/>
          <w:sz w:val="21"/>
          <w:szCs w:val="21"/>
          <w:color w:val="auto"/>
        </w:rPr>
        <w:t xml:space="preserve">. Until the Senior Obligations Payment Date has occurred, whether or not an Insolvency Proceeding has been commenced by or against any Loan Party, the Senior Secured Parties shall have the exclusive right to take and continue any Enforcement Action (including the right to credit bid their debt) with respect to the Senior Collateral, without any consultation with or consent of any Junior Secured Party, but subject to the proviso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Senior Secured Parties shall provide prior written notice to the relevant Junior Secured Party of any such Enforcement Action with respect to the Senior Collateral, but the failure to give any such notice shall not create a cause of action against or cause a forfeiture of any rights of the party failing to give such notice or create any claim or right on behalf of any other party. Upon the occurrence and during the continuance of an event of default under the Senior Documents, the Senior Representative and the other Senior Secured Parties may take and continue any Enforcement Action with respect to the Senior Obligations and the Senior Collateral in such order and manner as they may determine in their sole discretion in accordance with the terms and conditions of the Senior Documents.</w:t>
      </w:r>
    </w:p>
    <w:p>
      <w:pPr>
        <w:spacing w:after="0" w:line="22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Standstill and Waivers</w:t>
      </w:r>
      <w:r>
        <w:rPr>
          <w:rFonts w:ascii="Arial" w:cs="Arial" w:eastAsia="Arial" w:hAnsi="Arial"/>
          <w:sz w:val="21"/>
          <w:szCs w:val="21"/>
          <w:color w:val="auto"/>
        </w:rPr>
        <w:t xml:space="preserve">. Each Junior Representative, on behalf of itself and the other Junior Secured Parties, agrees that, until the Senior Obligations Payment Date has occurred, but subject to the proviso set forth in </w:t>
      </w:r>
      <w:r>
        <w:rPr>
          <w:rFonts w:ascii="Arial" w:cs="Arial" w:eastAsia="Arial" w:hAnsi="Arial"/>
          <w:sz w:val="21"/>
          <w:szCs w:val="21"/>
          <w:u w:val="single" w:color="auto"/>
          <w:color w:val="auto"/>
        </w:rPr>
        <w:t>Section 5.1</w:t>
      </w:r>
      <w:r>
        <w:rPr>
          <w:rFonts w:ascii="Arial" w:cs="Arial" w:eastAsia="Arial" w:hAnsi="Arial"/>
          <w:sz w:val="21"/>
          <w:szCs w:val="21"/>
          <w:color w:val="auto"/>
        </w:rPr>
        <w:t>:</w:t>
      </w:r>
    </w:p>
    <w:p>
      <w:pPr>
        <w:spacing w:after="0" w:line="192" w:lineRule="exact"/>
        <w:rPr>
          <w:sz w:val="20"/>
          <w:szCs w:val="20"/>
          <w:color w:val="auto"/>
        </w:rPr>
      </w:pPr>
    </w:p>
    <w:p>
      <w:pPr>
        <w:jc w:val="both"/>
        <w:ind w:left="660" w:right="20" w:firstLine="645"/>
        <w:spacing w:after="0" w:line="312" w:lineRule="auto"/>
        <w:tabs>
          <w:tab w:leader="none" w:pos="216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they will not take or cause to be taken any action, the purpose or effect of which is to make any Lien on any Senior Collateral that secures any Junior Obligation pari passu with or senior to, or to give any Junior Secured Party any preference or priority relative to, the Liens on the Senior Collateral securing the Senior Obligations;</w:t>
      </w:r>
    </w:p>
    <w:p>
      <w:pPr>
        <w:spacing w:after="0" w:line="174" w:lineRule="exact"/>
        <w:rPr>
          <w:rFonts w:ascii="Arial" w:cs="Arial" w:eastAsia="Arial" w:hAnsi="Arial"/>
          <w:sz w:val="19"/>
          <w:szCs w:val="19"/>
          <w:color w:val="auto"/>
        </w:rPr>
      </w:pPr>
    </w:p>
    <w:p>
      <w:pPr>
        <w:jc w:val="both"/>
        <w:ind w:left="660" w:firstLine="645"/>
        <w:spacing w:after="0" w:line="248" w:lineRule="auto"/>
        <w:tabs>
          <w:tab w:leader="none" w:pos="2221"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they will not contest, oppose, object to, interfere with, hinder or delay, in any manner, whether by judicial proceedings (including without limitation the filing of an Insolvency Proceeding) or otherwise, any foreclosure, sale, lease, exchange, transfer or other disposition of the Senior Collateral by any Senior Secured Party or any other Enforcement Action taken (or any forbearance from taking any Enforcement Action) in respect of the Senior Collateral by or on behalf of any Senior Secured Party;</w:t>
      </w:r>
    </w:p>
    <w:p>
      <w:pPr>
        <w:spacing w:after="0" w:line="232" w:lineRule="exact"/>
        <w:rPr>
          <w:rFonts w:ascii="Arial" w:cs="Arial" w:eastAsia="Arial" w:hAnsi="Arial"/>
          <w:sz w:val="22"/>
          <w:szCs w:val="22"/>
          <w:color w:val="auto"/>
        </w:rPr>
      </w:pPr>
    </w:p>
    <w:p>
      <w:pPr>
        <w:ind w:left="2280" w:hanging="975"/>
        <w:spacing w:after="0"/>
        <w:tabs>
          <w:tab w:leader="none" w:pos="2280" w:val="left"/>
        </w:tabs>
        <w:numPr>
          <w:ilvl w:val="0"/>
          <w:numId w:val="412"/>
        </w:numPr>
        <w:rPr>
          <w:rFonts w:ascii="Arial" w:cs="Arial" w:eastAsia="Arial" w:hAnsi="Arial"/>
          <w:sz w:val="22"/>
          <w:szCs w:val="22"/>
          <w:color w:val="auto"/>
        </w:rPr>
      </w:pPr>
      <w:r>
        <w:rPr>
          <w:rFonts w:ascii="Arial" w:cs="Arial" w:eastAsia="Arial" w:hAnsi="Arial"/>
          <w:sz w:val="22"/>
          <w:szCs w:val="22"/>
          <w:color w:val="auto"/>
        </w:rPr>
        <w:t>they have no right to (x) direct either the Senior Representative or any other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1" w:right="239" w:bottom="1440" w:gutter="0" w:footer="0" w:header="0"/>
        </w:sectPr>
      </w:pPr>
    </w:p>
    <w:bookmarkStart w:id="359" w:name="page360"/>
    <w:bookmarkEnd w:id="359"/>
    <w:p>
      <w:pPr>
        <w:jc w:val="both"/>
        <w:ind w:left="660"/>
        <w:spacing w:after="0" w:line="294" w:lineRule="auto"/>
        <w:rPr>
          <w:sz w:val="20"/>
          <w:szCs w:val="20"/>
          <w:color w:val="auto"/>
        </w:rPr>
      </w:pPr>
      <w:r>
        <w:rPr>
          <w:rFonts w:ascii="Arial" w:cs="Arial" w:eastAsia="Arial" w:hAnsi="Arial"/>
          <w:sz w:val="19"/>
          <w:szCs w:val="19"/>
          <w:color w:val="auto"/>
        </w:rPr>
        <w:t>Senior Secured Party to exercise any right, remedy or power with respect to the Senior Collateral or pursuant to the Senior Security Documents in respect of the Senior Collateral or (y) consent or object to the exercise by the Senior Representative or any other Senior Secured Party of any right, remedy or power with respect to the Senior Collateral or pursuant to the Senior Security Documents with respect to the Senior Collateral or to the timing or manner in which any such right is exercised or not exercised (or, to the extent they may have any such right described in this clause (iii), whether as a junior lien creditor in respect of the Senior Collateral or otherwise, they hereby irrevocably waive such right);</w:t>
      </w:r>
    </w:p>
    <w:p>
      <w:pPr>
        <w:spacing w:after="0" w:line="190" w:lineRule="exact"/>
        <w:rPr>
          <w:sz w:val="20"/>
          <w:szCs w:val="20"/>
          <w:color w:val="auto"/>
        </w:rPr>
      </w:pPr>
    </w:p>
    <w:p>
      <w:pPr>
        <w:jc w:val="both"/>
        <w:ind w:left="660" w:firstLine="645"/>
        <w:spacing w:after="0" w:line="248" w:lineRule="auto"/>
        <w:tabs>
          <w:tab w:leader="none" w:pos="2268" w:val="left"/>
        </w:tabs>
        <w:numPr>
          <w:ilvl w:val="0"/>
          <w:numId w:val="413"/>
        </w:numPr>
        <w:rPr>
          <w:rFonts w:ascii="Arial" w:cs="Arial" w:eastAsia="Arial" w:hAnsi="Arial"/>
          <w:sz w:val="22"/>
          <w:szCs w:val="22"/>
          <w:color w:val="auto"/>
        </w:rPr>
      </w:pPr>
      <w:r>
        <w:rPr>
          <w:rFonts w:ascii="Arial" w:cs="Arial" w:eastAsia="Arial" w:hAnsi="Arial"/>
          <w:sz w:val="22"/>
          <w:szCs w:val="22"/>
          <w:color w:val="auto"/>
        </w:rPr>
        <w:t>they will not institute any suit or other proceeding or assert in any suit, Insolvency Proceeding or other proceeding any claim against any Senior Secured Party seeking damages from or other relief by way of specific performance, instructions or otherwise, with respect to, and no Senior Secured Party shall be liable for, any action taken or omitted to be taken by any Senior Secured Party with respect to the Senior Collateral or pursuant to the Senior Documents in respect of the Senior Collateral;</w:t>
      </w:r>
    </w:p>
    <w:p>
      <w:pPr>
        <w:spacing w:after="0" w:line="232" w:lineRule="exact"/>
        <w:rPr>
          <w:rFonts w:ascii="Arial" w:cs="Arial" w:eastAsia="Arial" w:hAnsi="Arial"/>
          <w:sz w:val="22"/>
          <w:szCs w:val="22"/>
          <w:color w:val="auto"/>
        </w:rPr>
      </w:pPr>
    </w:p>
    <w:p>
      <w:pPr>
        <w:jc w:val="both"/>
        <w:ind w:left="660" w:firstLine="645"/>
        <w:spacing w:after="0" w:line="250" w:lineRule="auto"/>
        <w:tabs>
          <w:tab w:leader="none" w:pos="2209" w:val="left"/>
        </w:tabs>
        <w:numPr>
          <w:ilvl w:val="0"/>
          <w:numId w:val="413"/>
        </w:numPr>
        <w:rPr>
          <w:rFonts w:ascii="Arial" w:cs="Arial" w:eastAsia="Arial" w:hAnsi="Arial"/>
          <w:sz w:val="22"/>
          <w:szCs w:val="22"/>
          <w:color w:val="auto"/>
        </w:rPr>
      </w:pPr>
      <w:r>
        <w:rPr>
          <w:rFonts w:ascii="Arial" w:cs="Arial" w:eastAsia="Arial" w:hAnsi="Arial"/>
          <w:sz w:val="22"/>
          <w:szCs w:val="22"/>
          <w:color w:val="auto"/>
        </w:rPr>
        <w:t>they will not commence judicial or nonjudicial foreclosure proceedings with respect to, seek to have a trustee, receiver, liquidator or similar official appointed for or over, attempt any action to take possession of, exercise any right, remedy or power with respect to, or otherwise take any action to enforce their interest in or realize upon, the Senior Collateral; and</w:t>
      </w:r>
    </w:p>
    <w:p>
      <w:pPr>
        <w:spacing w:after="0" w:line="228" w:lineRule="exact"/>
        <w:rPr>
          <w:rFonts w:ascii="Arial" w:cs="Arial" w:eastAsia="Arial" w:hAnsi="Arial"/>
          <w:sz w:val="22"/>
          <w:szCs w:val="22"/>
          <w:color w:val="auto"/>
        </w:rPr>
      </w:pPr>
    </w:p>
    <w:p>
      <w:pPr>
        <w:ind w:left="660" w:right="20" w:firstLine="645"/>
        <w:spacing w:after="0" w:line="263" w:lineRule="auto"/>
        <w:tabs>
          <w:tab w:leader="none" w:pos="2268" w:val="left"/>
        </w:tabs>
        <w:numPr>
          <w:ilvl w:val="0"/>
          <w:numId w:val="413"/>
        </w:numPr>
        <w:rPr>
          <w:rFonts w:ascii="Arial" w:cs="Arial" w:eastAsia="Arial" w:hAnsi="Arial"/>
          <w:sz w:val="22"/>
          <w:szCs w:val="22"/>
          <w:color w:val="auto"/>
        </w:rPr>
      </w:pPr>
      <w:r>
        <w:rPr>
          <w:rFonts w:ascii="Arial" w:cs="Arial" w:eastAsia="Arial" w:hAnsi="Arial"/>
          <w:sz w:val="22"/>
          <w:szCs w:val="22"/>
          <w:color w:val="auto"/>
        </w:rPr>
        <w:t>they will not seek, and hereby waive any right, to have the Senior Collateral or any part thereof marshaled upon any foreclosure or other disposition of the Senior Collateral.</w:t>
      </w:r>
    </w:p>
    <w:p>
      <w:pPr>
        <w:spacing w:after="0" w:line="21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Judgment Creditors</w:t>
      </w:r>
      <w:r>
        <w:rPr>
          <w:rFonts w:ascii="Arial" w:cs="Arial" w:eastAsia="Arial" w:hAnsi="Arial"/>
          <w:sz w:val="22"/>
          <w:szCs w:val="22"/>
          <w:color w:val="auto"/>
        </w:rPr>
        <w:t>. In the event that any Term Loan Secured Party becomes a judgment lien creditor in respect of Collateral as a result of its enforcement of its rights as an unsecured creditor, such judgment lien shall be subject to the terms of this Agreement for all purposes (including in relation to the ABL Liens and the ABL Obligations) to the same extent as all other Liens securing the Term Loan Obligations are subject to the terms of this Agreement. In the event that any ABL Secured Party becomes a judgment lien creditor in respect of Collateral as a result of its enforcement of its rights as an unsecured creditor, such judgment lien shall be subject to the terms of this Agreement for all purposes (including in relation to the Term Loan Liens and the Term Loan Obligations) to the same extent as all other Liens securing the ABL Obligations are subject to the terms of this Agreement.</w:t>
      </w:r>
    </w:p>
    <w:p>
      <w:pPr>
        <w:spacing w:after="0" w:line="23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Cooperation: Sharing of Information and Access</w:t>
      </w:r>
      <w:r>
        <w:rPr>
          <w:rFonts w:ascii="Arial" w:cs="Arial" w:eastAsia="Arial" w:hAnsi="Arial"/>
          <w:sz w:val="21"/>
          <w:szCs w:val="21"/>
          <w:color w:val="auto"/>
        </w:rPr>
        <w:t>. (a) The Term Loan Representative, on behalf of itself and the other Term Loan Secured Parties, agrees that each of them shall take such actions as the ABL Representative shall reasonably request in connection with the exercise by the ABL Secured Parties of their rights set forth herein in respect of the ABL Priority Collateral. The ABL Representative, on behalf of itself and the other ABL Secured Parties, agrees that each of them shall take such actions as the Term Loan Representative shall reasonably request in connection with the exercise by the Term Loan Secured Parties of their rights set forth herein in respect of the Term Loan Priority Collateral.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1" w:right="239" w:bottom="1440" w:gutter="0" w:footer="0" w:header="0"/>
        </w:sectPr>
      </w:pPr>
    </w:p>
    <w:bookmarkStart w:id="360" w:name="page361"/>
    <w:bookmarkEnd w:id="360"/>
    <w:p>
      <w:pPr>
        <w:jc w:val="both"/>
        <w:ind w:firstLine="657"/>
        <w:spacing w:after="0" w:line="285" w:lineRule="auto"/>
        <w:tabs>
          <w:tab w:leader="none" w:pos="1468" w:val="left"/>
        </w:tabs>
        <w:numPr>
          <w:ilvl w:val="0"/>
          <w:numId w:val="414"/>
        </w:numPr>
        <w:rPr>
          <w:rFonts w:ascii="Arial" w:cs="Arial" w:eastAsia="Arial" w:hAnsi="Arial"/>
          <w:sz w:val="19"/>
          <w:szCs w:val="19"/>
          <w:color w:val="auto"/>
        </w:rPr>
      </w:pPr>
      <w:r>
        <w:rPr>
          <w:rFonts w:ascii="Arial" w:cs="Arial" w:eastAsia="Arial" w:hAnsi="Arial"/>
          <w:sz w:val="19"/>
          <w:szCs w:val="19"/>
          <w:color w:val="auto"/>
        </w:rPr>
        <w:t>In the event that the ABL Representative shall, in the exercise of its rights under the ABL Security Documents or otherwise, receive possession or control of any books and Records of any Loan Party which contain information identifying or pertaining to the Term Loan Priority Collateral, the ABL Representative shall promptly notify the Term Loan Representative of such fact and, upon request from the Term Loan Representative and as promptly as practicable thereafter, either make available to the Term Loan Representative such books and Records for inspection and duplication or provide to the Term Loan Representative copies thereof. In the event that the Term Loan Representative shall, in the exercise of its rights under the Term Loan Security Documents or otherwise, receive possession or control of any books and records of any Loan Party which contain information identifying or pertaining to any of the ABL Priority Collateral, the Term Loan Representative shall promptly notify the ABL Representative of such fact and, upon request from the ABL Representative and as promptly as practicable thereafter, either make available to the ABL Representative such books and records for inspection and duplication or provide the ABL Representative copies thereof. The Term Loan Representative hereby irrevocably grants the ABL Representative (or its designee) a non-exclusive worldwide license or right to use, to the maximum extent permitted by applicable law and to the extent of the Term Loan Representative’s interest therein, exercisable without payment of royalty or other compensation, to use any of the Intellectual Property now or hereafter owned by, licensed to, or otherwise used by the Loan Parties in order for the ABL Representative (or its designee) and the ABL Secured Parties to purchase, use, market, repossess, possess, store, assemble, manufacture, process, sell, transfer, distribute .or otherwise dispose of any asset included in the ABL Priority Collateral in connection with the liquidation, disposition or realization upon the ABL Priority Collateral in accordance with the terms and conditions of the ABL Security Documents and the other ABL Documents. The Term Loan Representative agrees that any sale, transfer or other disposition of any of the Loan Parties’ Intellectual Property (whether by foreclosure or otherwise) will be subject to the ABL Representative’s rights as set forth in the foregoing sentence.</w:t>
      </w:r>
    </w:p>
    <w:p>
      <w:pPr>
        <w:spacing w:after="0" w:line="200" w:lineRule="exact"/>
        <w:rPr>
          <w:rFonts w:ascii="Arial" w:cs="Arial" w:eastAsia="Arial" w:hAnsi="Arial"/>
          <w:sz w:val="19"/>
          <w:szCs w:val="19"/>
          <w:color w:val="auto"/>
        </w:rPr>
      </w:pPr>
    </w:p>
    <w:p>
      <w:pPr>
        <w:spacing w:after="0" w:line="258" w:lineRule="exact"/>
        <w:rPr>
          <w:rFonts w:ascii="Arial" w:cs="Arial" w:eastAsia="Arial" w:hAnsi="Arial"/>
          <w:sz w:val="19"/>
          <w:szCs w:val="19"/>
          <w:color w:val="auto"/>
        </w:rPr>
      </w:pPr>
    </w:p>
    <w:p>
      <w:pPr>
        <w:jc w:val="both"/>
        <w:ind w:firstLine="657"/>
        <w:spacing w:after="0" w:line="286" w:lineRule="auto"/>
        <w:tabs>
          <w:tab w:leader="none" w:pos="1455" w:val="left"/>
        </w:tabs>
        <w:numPr>
          <w:ilvl w:val="0"/>
          <w:numId w:val="414"/>
        </w:numPr>
        <w:rPr>
          <w:rFonts w:ascii="Arial" w:cs="Arial" w:eastAsia="Arial" w:hAnsi="Arial"/>
          <w:sz w:val="19"/>
          <w:szCs w:val="19"/>
          <w:color w:val="auto"/>
        </w:rPr>
      </w:pPr>
      <w:r>
        <w:rPr>
          <w:rFonts w:ascii="Arial" w:cs="Arial" w:eastAsia="Arial" w:hAnsi="Arial"/>
          <w:sz w:val="19"/>
          <w:szCs w:val="19"/>
          <w:color w:val="auto"/>
        </w:rPr>
        <w:t>If the Term Loan Representative, or any agent or representative thereof, or any receiver, shall, after the commencement of any Enforcement Action, obtain possession or physical control of any of the Term Loan Priority Collateral, the Term Loan Representative shall promptly notify the ABL Representative in writing of that fact, and the ABL Representative shall, within ten Business Days thereafter, notify the Term Loan Representative in writing as to whether the ABL Representative desires to exercise access rights under this Agreement. In addition, if the ABL Representative, or any agent or representative of the ABL Representative, or any receiver, shall obtain possession or physical control of any of the Term Loan Priority Collateral in connection with an Enforcement Action, then the ABL Representative shall promptly notify the Term Loan Representative that the ABL Representative is exercising its access rights under this Agreement. Upon delivery of such notice by the ABL Representative to the Term Loan Representative, the ABL Representative and Term Loan Representative shall confer in good faith to coordinate with respect to the ABL Representative’s exercise of such access rights, with such access rights to apply to any parcel or item of Term Loan Priority Collateral access to which is reasonably necessary to enable the ABL Representative during normal business hours to convert ABL Priority Collateral consisting of raw materials and work-in-process into saleable finished goods and/or to transport such ABL Priority Collateral to a point where such conversion can occur, to otherwise prepare ABL Priority Collateral for sale and/or to arrange or effect the sale of ABL Priority Collateral</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320" w:top="590" w:right="239" w:bottom="1440" w:gutter="0" w:footer="0" w:header="0"/>
        </w:sectPr>
      </w:pPr>
    </w:p>
    <w:bookmarkStart w:id="361" w:name="page362"/>
    <w:bookmarkEnd w:id="361"/>
    <w:p>
      <w:pPr>
        <w:jc w:val="both"/>
        <w:ind w:left="80"/>
        <w:spacing w:after="0" w:line="284" w:lineRule="auto"/>
        <w:rPr>
          <w:sz w:val="20"/>
          <w:szCs w:val="20"/>
          <w:color w:val="auto"/>
        </w:rPr>
      </w:pPr>
      <w:r>
        <w:rPr>
          <w:rFonts w:ascii="Arial" w:cs="Arial" w:eastAsia="Arial" w:hAnsi="Arial"/>
          <w:sz w:val="19"/>
          <w:szCs w:val="19"/>
          <w:color w:val="auto"/>
        </w:rPr>
        <w:t>(including the conducting of auctions), all in accordance with the manner in which such matters are completed in the ordinary course of business. Consistent with the definition of “</w:t>
      </w:r>
      <w:r>
        <w:rPr>
          <w:rFonts w:ascii="Arial" w:cs="Arial" w:eastAsia="Arial" w:hAnsi="Arial"/>
          <w:sz w:val="19"/>
          <w:szCs w:val="19"/>
          <w:u w:val="single" w:color="auto"/>
          <w:color w:val="auto"/>
        </w:rPr>
        <w:t>Access Period</w:t>
      </w:r>
      <w:r>
        <w:rPr>
          <w:rFonts w:ascii="Arial" w:cs="Arial" w:eastAsia="Arial" w:hAnsi="Arial"/>
          <w:sz w:val="19"/>
          <w:szCs w:val="19"/>
          <w:color w:val="auto"/>
        </w:rPr>
        <w:t xml:space="preserve">,” access rights will apply to differing parcels or items of Term Loan Priority Collateral at differing times, in which case, a differing Access Period will apply to each such parcel or items. During any pertinent Access Period, the ABL Representative and its agents, representatives and designees shall have an irrevocable, non-exclusive right to have access to, and a rent-free right to use, the relevant parcel or item the Term Loan Priority Collateral for the purposes described above. The ABL Representative shall take proper and reasonable care under the circumstances of any Term Loan Priority Collateral that is used by the ABL Representative during the Access Period and repair and replace any damage (ordinary wear-and-tear excepted) caused by the ABL Representative or its agents, representatives or designees and the ABL Representative shall comply with all applicable laws in all material respects in connection with its use or occupancy or possession of the Term Loan Priority Collateral. The ABL Representative shall indemnify and hold harmless the Term Loan Representative and the Term Loan Secured Parties for any injury or damage to Persons or property (ordinary wear-and-tear excepted) caused by the acts or omissions of Persons under its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ABL Representative and the ABL Secured Parties will not be liable for any diminution in the value of Term Loan Priority Collateral caused by the absence of the ABL Priority Collateral therefrom. The ABL Representative and the Term Loan Representative shall cooperate and use reasonable efforts to ensure that their activities during the Access Period as described above do not interfere materially with the activities of the other as described above, including the right of Term Loan Representative to show the Term Loan Priority Collateral to prospective purchasers and to ready the Term Loan Priority Collateral for sale. Consistent with the definition of the term “</w:t>
      </w:r>
      <w:r>
        <w:rPr>
          <w:rFonts w:ascii="Arial" w:cs="Arial" w:eastAsia="Arial" w:hAnsi="Arial"/>
          <w:sz w:val="19"/>
          <w:szCs w:val="19"/>
          <w:u w:val="single" w:color="auto"/>
          <w:color w:val="auto"/>
        </w:rPr>
        <w:t>Access Period</w:t>
      </w:r>
      <w:r>
        <w:rPr>
          <w:rFonts w:ascii="Arial" w:cs="Arial" w:eastAsia="Arial" w:hAnsi="Arial"/>
          <w:sz w:val="19"/>
          <w:szCs w:val="19"/>
          <w:color w:val="auto"/>
        </w:rPr>
        <w:t xml:space="preserve">,” if any order or injunction is issued or stay is granted or is otherwise effective by operation of law that prohibits the ABL Representative from exercising any of its rights hereunder, then the Access Period granted to the ABL Representative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shall be stayed during the period of such prohibition and shall continue thereafter for the number of days remaining as required under this </w:t>
      </w:r>
      <w:r>
        <w:rPr>
          <w:rFonts w:ascii="Arial" w:cs="Arial" w:eastAsia="Arial" w:hAnsi="Arial"/>
          <w:sz w:val="19"/>
          <w:szCs w:val="19"/>
          <w:u w:val="single" w:color="auto"/>
          <w:color w:val="auto"/>
        </w:rPr>
        <w:t>Section 3.4</w:t>
      </w:r>
      <w:r>
        <w:rPr>
          <w:rFonts w:ascii="Arial" w:cs="Arial" w:eastAsia="Arial" w:hAnsi="Arial"/>
          <w:sz w:val="19"/>
          <w:szCs w:val="19"/>
          <w:color w:val="auto"/>
        </w:rPr>
        <w:t>. The Term Loan Representative shall not foreclose or otherwise sell, remove or dispose of any of the Term Loan Priority Collateral during the Access Period with respect to such Collateral if the ABL Representative (acting in good faith) informs the Term Loan Representative in writing that such Collateral is reasonably necessary to enable the ABL Representative to convert, transport or arrange to sell the ABL Priority Collateral as described above.</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No Additional Rights For the Loan Parties Hereunder</w:t>
      </w:r>
      <w:r>
        <w:rPr>
          <w:rFonts w:ascii="Arial" w:cs="Arial" w:eastAsia="Arial" w:hAnsi="Arial"/>
          <w:sz w:val="22"/>
          <w:szCs w:val="22"/>
          <w:color w:val="auto"/>
        </w:rPr>
        <w:t xml:space="preserve">. Except as provided in </w:t>
      </w:r>
      <w:r>
        <w:rPr>
          <w:rFonts w:ascii="Arial" w:cs="Arial" w:eastAsia="Arial" w:hAnsi="Arial"/>
          <w:sz w:val="22"/>
          <w:szCs w:val="22"/>
          <w:u w:val="single" w:color="auto"/>
          <w:color w:val="auto"/>
        </w:rPr>
        <w:t>Section 3.6</w:t>
      </w:r>
      <w:r>
        <w:rPr>
          <w:rFonts w:ascii="Arial" w:cs="Arial" w:eastAsia="Arial" w:hAnsi="Arial"/>
          <w:sz w:val="22"/>
          <w:szCs w:val="22"/>
          <w:color w:val="auto"/>
        </w:rPr>
        <w:t xml:space="preserve"> hereof, if any ABL Secured Party or Term Loan Secured Party shall enforce its rights or remedies in violation of the terms of this Agreement, no Loan Party shall be entitled to use such violation as a defense to any action by any ABL Secured Party or Term Loan Secured Party, nor to assert such violation as a counterclaim or basis for set off or recoupment against any ABL Secured Party or Term Loan Secured Party.</w:t>
      </w:r>
    </w:p>
    <w:p>
      <w:pPr>
        <w:spacing w:after="0" w:line="23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Actions Upon Breach</w:t>
      </w:r>
      <w:r>
        <w:rPr>
          <w:rFonts w:ascii="Arial" w:cs="Arial" w:eastAsia="Arial" w:hAnsi="Arial"/>
          <w:sz w:val="19"/>
          <w:szCs w:val="19"/>
          <w:color w:val="auto"/>
        </w:rPr>
        <w:t>. (a) If any ABL Secured Party or Term Loan Secured Party, contrary to this Agreement, commences or participates in any action or proceeding against any Loan Party or the Collateral, such Loan Party, with the prior written consent of the ABL Representative or the Term Loan Representative, as applicable, may interpose as a defense or dilatory plea the making of this Agreement, and any ABL Secured Party or Term Loan Secured Party, as applicable,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1" w:right="239" w:bottom="1440" w:gutter="0" w:footer="0" w:header="0"/>
        </w:sectPr>
      </w:pPr>
    </w:p>
    <w:bookmarkStart w:id="362" w:name="page363"/>
    <w:bookmarkEnd w:id="362"/>
    <w:p>
      <w:pPr>
        <w:spacing w:after="0"/>
        <w:rPr>
          <w:sz w:val="20"/>
          <w:szCs w:val="20"/>
          <w:color w:val="auto"/>
        </w:rPr>
      </w:pPr>
      <w:r>
        <w:rPr>
          <w:rFonts w:ascii="Arial" w:cs="Arial" w:eastAsia="Arial" w:hAnsi="Arial"/>
          <w:sz w:val="22"/>
          <w:szCs w:val="22"/>
          <w:color w:val="auto"/>
        </w:rPr>
        <w:t>may intervene and interpose such defense or plea in its or their name or in the name of such Loan Party.</w:t>
      </w:r>
    </w:p>
    <w:p>
      <w:pPr>
        <w:spacing w:after="0" w:line="260" w:lineRule="exact"/>
        <w:rPr>
          <w:sz w:val="20"/>
          <w:szCs w:val="20"/>
          <w:color w:val="auto"/>
        </w:rPr>
      </w:pPr>
    </w:p>
    <w:p>
      <w:pPr>
        <w:jc w:val="both"/>
        <w:ind w:firstLine="656"/>
        <w:spacing w:after="0" w:line="258" w:lineRule="auto"/>
        <w:tabs>
          <w:tab w:leader="none" w:pos="1549" w:val="left"/>
        </w:tabs>
        <w:numPr>
          <w:ilvl w:val="0"/>
          <w:numId w:val="415"/>
        </w:numPr>
        <w:rPr>
          <w:rFonts w:ascii="Arial" w:cs="Arial" w:eastAsia="Arial" w:hAnsi="Arial"/>
          <w:sz w:val="21"/>
          <w:szCs w:val="21"/>
          <w:color w:val="auto"/>
        </w:rPr>
      </w:pPr>
      <w:r>
        <w:rPr>
          <w:rFonts w:ascii="Arial" w:cs="Arial" w:eastAsia="Arial" w:hAnsi="Arial"/>
          <w:sz w:val="21"/>
          <w:szCs w:val="21"/>
          <w:color w:val="auto"/>
        </w:rPr>
        <w:t>Should any ABL Secured Party or Term Loan Secured Party, contrary to this Agreement, in any way take, attempt to or threaten to take any action with respect to the Collateral (including, without limitation, any attempt to realize upon or enforce any remedy with respect to this Agreement), or fail to take any action required by this Agreement, any ABL Secured Party or Term Loan Secured Party (in its own name or in the name of the relevant Loan Party), as applicable, or the relevant Loan Party, may obtain relief against such ABL Secured Party or Term Loan Secured Party, as applicable, by injunction, specific performance and/or other appropriate equitable relief, it being understood and agreed by each of the ABL Representative on behalf of each ABL Secured Party and the Term Loan Representative on behalf of each Term Loan Secured Party that (i) the ABL Secured Parties’ or Term Loan Secured Parties’, as applicable, damages from its actions may at that time be difficult to ascertain and may be irreparable, and (ii) each Term Loan Secured Party or ABL Secured Party, as applicable, waives any defense that the Loan Parties and/or the Term Loan Secured Parties and/or ABL Secured Parties, as applicable, cannot demonstrate damage and/or be made whole by the awarding of damages.</w:t>
      </w:r>
    </w:p>
    <w:p>
      <w:pPr>
        <w:spacing w:after="0" w:line="183"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4.</w:t>
      </w:r>
      <w:r>
        <w:rPr>
          <w:sz w:val="20"/>
          <w:szCs w:val="20"/>
          <w:color w:val="auto"/>
        </w:rPr>
        <w:tab/>
      </w:r>
      <w:r>
        <w:rPr>
          <w:rFonts w:ascii="Arial" w:cs="Arial" w:eastAsia="Arial" w:hAnsi="Arial"/>
          <w:sz w:val="19"/>
          <w:szCs w:val="19"/>
          <w:i w:val="1"/>
          <w:iCs w:val="1"/>
          <w:color w:val="auto"/>
        </w:rPr>
        <w:t>Application of Proceeds of Senior Collateral; Dispositions and Releases of Lien; Notices and Insurance.</w:t>
      </w:r>
    </w:p>
    <w:p>
      <w:pPr>
        <w:spacing w:after="0" w:line="260"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53" w:lineRule="auto"/>
        <w:tabs>
          <w:tab w:leader="none" w:pos="1536" w:val="left"/>
        </w:tabs>
        <w:numPr>
          <w:ilvl w:val="0"/>
          <w:numId w:val="416"/>
        </w:numPr>
        <w:rPr>
          <w:rFonts w:ascii="Arial" w:cs="Arial" w:eastAsia="Arial" w:hAnsi="Arial"/>
          <w:sz w:val="22"/>
          <w:szCs w:val="22"/>
          <w:color w:val="auto"/>
        </w:rPr>
      </w:pPr>
      <w:r>
        <w:rPr>
          <w:rFonts w:ascii="Arial" w:cs="Arial" w:eastAsia="Arial" w:hAnsi="Arial"/>
          <w:sz w:val="22"/>
          <w:szCs w:val="22"/>
          <w:u w:val="single" w:color="auto"/>
          <w:color w:val="auto"/>
        </w:rPr>
        <w:t>Application of Proceeds of Senior Collateral</w:t>
      </w:r>
      <w:r>
        <w:rPr>
          <w:rFonts w:ascii="Arial" w:cs="Arial" w:eastAsia="Arial" w:hAnsi="Arial"/>
          <w:sz w:val="22"/>
          <w:szCs w:val="22"/>
          <w:color w:val="auto"/>
        </w:rPr>
        <w:t>. The Senior Representative and Junior Representative hereby agree that all Senior Collateral, and all Proceeds thereof, received by either of them in connection with the collection, sale or disposition of Senior Collateral shall be applied,</w:t>
      </w:r>
    </w:p>
    <w:p>
      <w:pPr>
        <w:spacing w:after="0" w:line="226"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to the payment of costs and expenses (including reasonable attorneys fees and expenses and court costs) of the Senior Representative in connection with such Enforcement Action,</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to the payment of the Senior Obligations in accordance with the Senior Documents until the Senior Obligations Payment Date,</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u w:val="single" w:color="auto"/>
          <w:color w:val="auto"/>
        </w:rPr>
        <w:t>third</w:t>
      </w:r>
      <w:r>
        <w:rPr>
          <w:rFonts w:ascii="Arial" w:cs="Arial" w:eastAsia="Arial" w:hAnsi="Arial"/>
          <w:sz w:val="22"/>
          <w:szCs w:val="22"/>
          <w:color w:val="auto"/>
        </w:rPr>
        <w:t>, to the payment of the Junior Obligations, to the extent such Senior Collateral also constitutes Junior Collateral, in accordance with the Junior Documents, and</w:t>
      </w:r>
    </w:p>
    <w:p>
      <w:pPr>
        <w:spacing w:after="0" w:line="17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u w:val="single" w:color="auto"/>
          <w:color w:val="auto"/>
        </w:rPr>
        <w:t>fourth</w:t>
      </w:r>
      <w:r>
        <w:rPr>
          <w:rFonts w:ascii="Arial" w:cs="Arial" w:eastAsia="Arial" w:hAnsi="Arial"/>
          <w:sz w:val="22"/>
          <w:szCs w:val="22"/>
          <w:color w:val="auto"/>
        </w:rPr>
        <w:t>, the balance, if any, to the Loan Parties or to whosoever may be lawfully entitled to receive the same or as a court of competent jurisdiction may direct.</w:t>
      </w:r>
    </w:p>
    <w:p>
      <w:pPr>
        <w:spacing w:after="0" w:line="175" w:lineRule="exact"/>
        <w:rPr>
          <w:sz w:val="20"/>
          <w:szCs w:val="20"/>
          <w:color w:val="auto"/>
        </w:rPr>
      </w:pPr>
    </w:p>
    <w:p>
      <w:pPr>
        <w:jc w:val="both"/>
        <w:ind w:left="660" w:firstLine="648"/>
        <w:spacing w:after="0" w:line="248" w:lineRule="auto"/>
        <w:rPr>
          <w:sz w:val="20"/>
          <w:szCs w:val="20"/>
          <w:color w:val="auto"/>
        </w:rPr>
      </w:pPr>
      <w:r>
        <w:rPr>
          <w:rFonts w:ascii="Arial" w:cs="Arial" w:eastAsia="Arial" w:hAnsi="Arial"/>
          <w:sz w:val="22"/>
          <w:szCs w:val="22"/>
          <w:color w:val="auto"/>
        </w:rPr>
        <w:t>All Proceeds of any sale of a Loan Party as a whole, or substantially all of the assets of any Loan Party, or any sale where ABL Priority Collateral and Term Loan Priority Collateral are sold together as a combined pool of assets, where the consideration received is not allocated by type of asset, in connection with or resulting from any Enforcement Action, and whether or not pursuant to an Insolvency Proceeding, shall be distributed as follows under clause “second” above: first to the ABL Representative for application to the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91" w:right="239" w:bottom="1440" w:gutter="0" w:footer="0" w:header="0"/>
        </w:sectPr>
      </w:pPr>
    </w:p>
    <w:bookmarkStart w:id="363" w:name="page364"/>
    <w:bookmarkEnd w:id="363"/>
    <w:p>
      <w:pPr>
        <w:jc w:val="both"/>
        <w:ind w:left="660"/>
        <w:spacing w:after="0" w:line="302" w:lineRule="auto"/>
        <w:rPr>
          <w:sz w:val="20"/>
          <w:szCs w:val="20"/>
          <w:color w:val="auto"/>
        </w:rPr>
      </w:pPr>
      <w:r>
        <w:rPr>
          <w:rFonts w:ascii="Arial" w:cs="Arial" w:eastAsia="Arial" w:hAnsi="Arial"/>
          <w:sz w:val="19"/>
          <w:szCs w:val="19"/>
          <w:color w:val="auto"/>
        </w:rPr>
        <w:t>ABL Obligations in accordance with the terms of the ABL Documents, up to the amount of the book value of the ABL Priority Collateral disposed of in such sale or owned by such Loan Party (in the case of a sale of such Loan Party as a whole), and second to the Term Loan Representative for application to the Term Loan Obligations in accordance with the terms of the Term Loan Documents to the extent such Proceeds exceed the book value of the ABL Priority Collateral.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656"/>
        <w:spacing w:after="0" w:line="250" w:lineRule="auto"/>
        <w:tabs>
          <w:tab w:leader="none" w:pos="1549" w:val="left"/>
        </w:tabs>
        <w:numPr>
          <w:ilvl w:val="0"/>
          <w:numId w:val="417"/>
        </w:numPr>
        <w:rPr>
          <w:rFonts w:ascii="Arial" w:cs="Arial" w:eastAsia="Arial" w:hAnsi="Arial"/>
          <w:sz w:val="22"/>
          <w:szCs w:val="22"/>
          <w:color w:val="auto"/>
        </w:rPr>
      </w:pPr>
      <w:r>
        <w:rPr>
          <w:rFonts w:ascii="Arial" w:cs="Arial" w:eastAsia="Arial" w:hAnsi="Arial"/>
          <w:sz w:val="22"/>
          <w:szCs w:val="22"/>
          <w:u w:val="single" w:color="auto"/>
          <w:color w:val="auto"/>
        </w:rPr>
        <w:t>Limited Obligation or Liability</w:t>
      </w:r>
      <w:r>
        <w:rPr>
          <w:rFonts w:ascii="Arial" w:cs="Arial" w:eastAsia="Arial" w:hAnsi="Arial"/>
          <w:sz w:val="22"/>
          <w:szCs w:val="22"/>
          <w:color w:val="auto"/>
        </w:rPr>
        <w:t>. In exercising remedies, whether as a secured creditor or otherwise, the Senior Representative shall have no obligation or liability to the Junior Representative or to any Junior Secured Party, regarding the adequacy of any Proceeds or for any action or omission, save and except solely for an action or omission that breaches the express obligations undertaken by each party under the terms of this Agreement.</w:t>
      </w:r>
    </w:p>
    <w:p>
      <w:pPr>
        <w:spacing w:after="0" w:line="228" w:lineRule="exact"/>
        <w:rPr>
          <w:rFonts w:ascii="Arial" w:cs="Arial" w:eastAsia="Arial" w:hAnsi="Arial"/>
          <w:sz w:val="22"/>
          <w:szCs w:val="22"/>
          <w:color w:val="auto"/>
        </w:rPr>
      </w:pPr>
    </w:p>
    <w:p>
      <w:pPr>
        <w:jc w:val="both"/>
        <w:ind w:firstLine="656"/>
        <w:spacing w:after="0" w:line="261" w:lineRule="auto"/>
        <w:tabs>
          <w:tab w:leader="none" w:pos="1536" w:val="left"/>
        </w:tabs>
        <w:numPr>
          <w:ilvl w:val="0"/>
          <w:numId w:val="417"/>
        </w:numPr>
        <w:rPr>
          <w:rFonts w:ascii="Arial" w:cs="Arial" w:eastAsia="Arial" w:hAnsi="Arial"/>
          <w:sz w:val="21"/>
          <w:szCs w:val="21"/>
          <w:color w:val="auto"/>
        </w:rPr>
      </w:pPr>
      <w:r>
        <w:rPr>
          <w:rFonts w:ascii="Arial" w:cs="Arial" w:eastAsia="Arial" w:hAnsi="Arial"/>
          <w:sz w:val="21"/>
          <w:szCs w:val="21"/>
          <w:u w:val="single" w:color="auto"/>
          <w:color w:val="auto"/>
        </w:rPr>
        <w:t>Segregation of Collateral</w:t>
      </w:r>
      <w:r>
        <w:rPr>
          <w:rFonts w:ascii="Arial" w:cs="Arial" w:eastAsia="Arial" w:hAnsi="Arial"/>
          <w:sz w:val="21"/>
          <w:szCs w:val="21"/>
          <w:color w:val="auto"/>
        </w:rPr>
        <w:t>. Until the occurrence of the Senior Obligations Payment Date, any Senior Collateral that may be received by any Junior Secured Party in violation of this Agreement shall, to the extent practicable and in accordance with its normal practices, be segregated and held in trust and promptly paid over to the Senior Representative, for the benefit of the Senior Secured Parties, in the same form as received, with any necessary endorsements, and each Junior Secured Party hereby authorizes the Senior Representative to make any such endorsements as agent for the Junior Representative (which authorization, being coupled with an interest, is irrevocable).</w:t>
      </w:r>
    </w:p>
    <w:p>
      <w:pPr>
        <w:spacing w:after="0" w:line="22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Releases of Liens</w:t>
      </w:r>
      <w:r>
        <w:rPr>
          <w:rFonts w:ascii="Arial" w:cs="Arial" w:eastAsia="Arial" w:hAnsi="Arial"/>
          <w:sz w:val="22"/>
          <w:szCs w:val="22"/>
          <w:color w:val="auto"/>
        </w:rPr>
        <w:t>. (a) (i) Upon any release, sale or disposition of ABL Priority Collateral permitted pursuant to the terms of the ABL Documents that results in the release of the ABL Lien (other than release of the ABL Lien due to the occurrence of the ABL Obligations Payment Date, and any release of the ABL Lien after the occurrence and during the continuance of any event of default under the Term Loan Agreement) on any ABL Priority Collateral, the Term Loan Lien on such ABL Priority Collateral (excluding any portion of the proceeds of such ABL Priority Collateral remaining after the ABL Obligations Payment Date occurs) shall be automatically and unconditionally released with no further consent or action of any Person so long as such release, sale or disposition of ABL Priority Collateral is permitted pursuant to the terms of the Term Loan Documents.</w:t>
      </w:r>
    </w:p>
    <w:p>
      <w:pPr>
        <w:spacing w:after="0" w:line="235" w:lineRule="exact"/>
        <w:rPr>
          <w:sz w:val="20"/>
          <w:szCs w:val="20"/>
          <w:color w:val="auto"/>
        </w:rPr>
      </w:pPr>
    </w:p>
    <w:p>
      <w:pPr>
        <w:jc w:val="both"/>
        <w:ind w:left="660" w:firstLine="645"/>
        <w:spacing w:after="0" w:line="292" w:lineRule="auto"/>
        <w:tabs>
          <w:tab w:leader="none" w:pos="2221" w:val="left"/>
        </w:tabs>
        <w:numPr>
          <w:ilvl w:val="0"/>
          <w:numId w:val="418"/>
        </w:numPr>
        <w:rPr>
          <w:rFonts w:ascii="Arial" w:cs="Arial" w:eastAsia="Arial" w:hAnsi="Arial"/>
          <w:sz w:val="19"/>
          <w:szCs w:val="19"/>
          <w:color w:val="auto"/>
        </w:rPr>
      </w:pPr>
      <w:r>
        <w:rPr>
          <w:rFonts w:ascii="Arial" w:cs="Arial" w:eastAsia="Arial" w:hAnsi="Arial"/>
          <w:sz w:val="19"/>
          <w:szCs w:val="19"/>
          <w:color w:val="auto"/>
        </w:rPr>
        <w:t xml:space="preserve">Upon any release, sale or disposition of ABL Priority Collateral pursuant to any Enforcement Action that results in the release of the ABL Lien (other than release of the ABL Lien due to the occurrence of the ABL Obligations Payment Date) on any ABL Priority Collateral, the Term Loan Lien on such ABL Priority Collateral (excluding any portion of the proceeds of such ABL Priority Collateral remaining after the ABL Obligations Payment Date occurs) shall be automatically and unconditionally released with no further consent or action of any Person so long as the proceeds of such ABL Priority Collateral are applied in accordance with </w:t>
      </w:r>
      <w:r>
        <w:rPr>
          <w:rFonts w:ascii="Arial" w:cs="Arial" w:eastAsia="Arial" w:hAnsi="Arial"/>
          <w:sz w:val="19"/>
          <w:szCs w:val="19"/>
          <w:u w:val="single" w:color="auto"/>
          <w:color w:val="auto"/>
        </w:rPr>
        <w:t>Section 4.1(a)</w:t>
      </w:r>
      <w:r>
        <w:rPr>
          <w:rFonts w:ascii="Arial" w:cs="Arial" w:eastAsia="Arial" w:hAnsi="Arial"/>
          <w:sz w:val="19"/>
          <w:szCs w:val="19"/>
          <w:color w:val="auto"/>
        </w:rPr>
        <w:t xml:space="preserve"> (with, in the case of ABL Obligations consisting of debt of a revolving nature, a corresponding permanent reduction in the commitments thereto).</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91" w:right="239" w:bottom="1440" w:gutter="0" w:footer="0" w:header="0"/>
        </w:sectPr>
      </w:pPr>
    </w:p>
    <w:bookmarkStart w:id="364" w:name="page365"/>
    <w:bookmarkEnd w:id="364"/>
    <w:p>
      <w:pPr>
        <w:jc w:val="both"/>
        <w:ind w:left="660" w:firstLine="645"/>
        <w:spacing w:after="0" w:line="258" w:lineRule="auto"/>
        <w:tabs>
          <w:tab w:leader="none" w:pos="2281" w:val="left"/>
        </w:tabs>
        <w:numPr>
          <w:ilvl w:val="1"/>
          <w:numId w:val="419"/>
        </w:numPr>
        <w:rPr>
          <w:rFonts w:ascii="Arial" w:cs="Arial" w:eastAsia="Arial" w:hAnsi="Arial"/>
          <w:sz w:val="21"/>
          <w:szCs w:val="21"/>
          <w:color w:val="auto"/>
        </w:rPr>
      </w:pPr>
      <w:r>
        <w:rPr>
          <w:rFonts w:ascii="Arial" w:cs="Arial" w:eastAsia="Arial" w:hAnsi="Arial"/>
          <w:sz w:val="21"/>
          <w:szCs w:val="21"/>
          <w:color w:val="auto"/>
        </w:rPr>
        <w:t xml:space="preserve">The Term Loan Representative shall promptly execute and deliver such release documents and instruments and shall take such further actions as the ABL Representative or the Borrower shall reasonably request in writing to evidence any release of the Term Loan Lien described herein. The Term Loan Representative hereby appoints the ABL Representative and any officer or duly authorized person of the ABL Representative, with full power of substitution, as its true and lawful attorney-in-fact with full irrevocable power of attorney in the place and stead of the Term Loan Representative and in the name of the Term Loan Representative or in the ABL Representative’s own name, from time to time, in the ABL Representative’s sole discretion, for the purposes of carrying out the terms of this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to take any and all appropriate action and to execute and deliver any and all documents and instruments as may be necessary or desirable to accomplish the purposes of this </w:t>
      </w:r>
      <w:r>
        <w:rPr>
          <w:rFonts w:ascii="Arial" w:cs="Arial" w:eastAsia="Arial" w:hAnsi="Arial"/>
          <w:sz w:val="21"/>
          <w:szCs w:val="21"/>
          <w:u w:val="single" w:color="auto"/>
          <w:color w:val="auto"/>
        </w:rPr>
        <w:t>Section 4.2</w:t>
      </w:r>
      <w:r>
        <w:rPr>
          <w:rFonts w:ascii="Arial" w:cs="Arial" w:eastAsia="Arial" w:hAnsi="Arial"/>
          <w:sz w:val="21"/>
          <w:szCs w:val="21"/>
          <w:color w:val="auto"/>
        </w:rPr>
        <w:t>, including, without limitation, any financing statements, endorsements, assignments, releases or other documents or instruments of transfer (which appointment, being coupled with an interest, is irrevocable).</w:t>
      </w:r>
    </w:p>
    <w:p>
      <w:pPr>
        <w:spacing w:after="0" w:line="223" w:lineRule="exact"/>
        <w:rPr>
          <w:rFonts w:ascii="Arial" w:cs="Arial" w:eastAsia="Arial" w:hAnsi="Arial"/>
          <w:sz w:val="21"/>
          <w:szCs w:val="21"/>
          <w:color w:val="auto"/>
        </w:rPr>
      </w:pPr>
    </w:p>
    <w:p>
      <w:pPr>
        <w:jc w:val="both"/>
        <w:ind w:firstLine="656"/>
        <w:spacing w:after="0" w:line="246" w:lineRule="auto"/>
        <w:tabs>
          <w:tab w:leader="none" w:pos="1549" w:val="left"/>
        </w:tabs>
        <w:numPr>
          <w:ilvl w:val="0"/>
          <w:numId w:val="420"/>
        </w:numPr>
        <w:rPr>
          <w:rFonts w:ascii="Arial" w:cs="Arial" w:eastAsia="Arial" w:hAnsi="Arial"/>
          <w:sz w:val="22"/>
          <w:szCs w:val="22"/>
          <w:color w:val="auto"/>
        </w:rPr>
      </w:pPr>
      <w:r>
        <w:rPr>
          <w:rFonts w:ascii="Arial" w:cs="Arial" w:eastAsia="Arial" w:hAnsi="Arial"/>
          <w:sz w:val="22"/>
          <w:szCs w:val="22"/>
          <w:color w:val="auto"/>
        </w:rPr>
        <w:t>(i) Upon any release, sale or disposition of Term Loan Priority Collateral permitted pursuant to the terms of the Term Loan Documents that results in the release of the Term Loan Lien (other than release of the Term Loan Lien due to the occurrence of the Term Loan Obligations Payment Date, and any release of the Term Loan Lien after the occurrence and during the continuance of any event of default under the ABL Agreement) on any Term Loan Priority Collateral, the ABL Lien on such Term Loan Priority Collateral (excluding any portion of the proceeds of such Term Loan Priority Collateral remaining after the Term Loan Obligations Payment Date occurs) shall be automatically and unconditionally released with no further consent or action of any Person so long as such release, sale or disposition of Term Loan Priority Collateral is permitted pursuant to the terms of the ABL Documents.</w:t>
      </w:r>
    </w:p>
    <w:p>
      <w:pPr>
        <w:spacing w:after="0" w:line="235" w:lineRule="exact"/>
        <w:rPr>
          <w:rFonts w:ascii="Arial" w:cs="Arial" w:eastAsia="Arial" w:hAnsi="Arial"/>
          <w:sz w:val="22"/>
          <w:szCs w:val="22"/>
          <w:color w:val="auto"/>
        </w:rPr>
      </w:pPr>
    </w:p>
    <w:p>
      <w:pPr>
        <w:jc w:val="both"/>
        <w:ind w:left="660" w:firstLine="645"/>
        <w:spacing w:after="0" w:line="261" w:lineRule="auto"/>
        <w:tabs>
          <w:tab w:leader="none" w:pos="1752" w:val="left"/>
        </w:tabs>
        <w:numPr>
          <w:ilvl w:val="1"/>
          <w:numId w:val="420"/>
        </w:numPr>
        <w:rPr>
          <w:rFonts w:ascii="Arial" w:cs="Arial" w:eastAsia="Arial" w:hAnsi="Arial"/>
          <w:sz w:val="21"/>
          <w:szCs w:val="21"/>
          <w:color w:val="auto"/>
        </w:rPr>
      </w:pPr>
      <w:r>
        <w:rPr>
          <w:rFonts w:ascii="Arial" w:cs="Arial" w:eastAsia="Arial" w:hAnsi="Arial"/>
          <w:sz w:val="21"/>
          <w:szCs w:val="21"/>
          <w:color w:val="auto"/>
        </w:rPr>
        <w:t xml:space="preserve">Upon any release, sale or disposition of Term Loan Priority Collateral pursuant to any Enforcement Action that results in the release of the Term Loan Lien (other than release of the Term Loan Lien due to the occurrence of the Term Loan Obligations Payment Date) on any Term Loan Priority Collateral, the ABL Lien on such Term Loan Priority Collateral (excluding any portion of the proceeds of such Term Loan Priority Collateral remaining after the Term Loan Obligations Payment Date occurs) shall be automatically and unconditionally released with no further consent or action of any Person so long as the proceeds of such Term Loan Priority Collateral are applied in accordance with </w:t>
      </w:r>
      <w:r>
        <w:rPr>
          <w:rFonts w:ascii="Arial" w:cs="Arial" w:eastAsia="Arial" w:hAnsi="Arial"/>
          <w:sz w:val="21"/>
          <w:szCs w:val="21"/>
          <w:u w:val="single" w:color="auto"/>
          <w:color w:val="auto"/>
        </w:rPr>
        <w:t>Section 4.1(a)</w:t>
      </w:r>
      <w:r>
        <w:rPr>
          <w:rFonts w:ascii="Arial" w:cs="Arial" w:eastAsia="Arial" w:hAnsi="Arial"/>
          <w:sz w:val="21"/>
          <w:szCs w:val="21"/>
          <w:color w:val="auto"/>
        </w:rPr>
        <w:t xml:space="preserve"> (with, in the case of Term Loan Obligations consisting of debt of a revolving nature, a corresponding permanent reduction in the commitments thereto).</w:t>
      </w:r>
    </w:p>
    <w:p>
      <w:pPr>
        <w:spacing w:after="0" w:line="181" w:lineRule="exact"/>
        <w:rPr>
          <w:sz w:val="20"/>
          <w:szCs w:val="20"/>
          <w:color w:val="auto"/>
        </w:rPr>
      </w:pPr>
    </w:p>
    <w:p>
      <w:pPr>
        <w:jc w:val="both"/>
        <w:ind w:left="660" w:firstLine="645"/>
        <w:spacing w:after="0" w:line="297" w:lineRule="auto"/>
        <w:tabs>
          <w:tab w:leader="none" w:pos="1812" w:val="left"/>
        </w:tabs>
        <w:numPr>
          <w:ilvl w:val="0"/>
          <w:numId w:val="421"/>
        </w:numPr>
        <w:rPr>
          <w:rFonts w:ascii="Arial" w:cs="Arial" w:eastAsia="Arial" w:hAnsi="Arial"/>
          <w:sz w:val="19"/>
          <w:szCs w:val="19"/>
          <w:color w:val="auto"/>
        </w:rPr>
      </w:pPr>
      <w:r>
        <w:rPr>
          <w:rFonts w:ascii="Arial" w:cs="Arial" w:eastAsia="Arial" w:hAnsi="Arial"/>
          <w:sz w:val="19"/>
          <w:szCs w:val="19"/>
          <w:color w:val="auto"/>
        </w:rPr>
        <w:t>The ABL Representative shall promptly execute and deliver such release documents and instruments and shall take such further actions as the Term Loan Representative or the Borrower shall reasonably request in writing to evidence any release of the ABL Lien described herein. The ABL Representative hereby appoints the Term Loan Representative and any officer or duly authorized person of the Term Loan Representative, with full power of substitution, as its true and lawful attorney-in-fact with full irrevocable power of attorney in the place and stead of the ABL Representative and in the name of the ABL Representative or in the Term Loan Representative’s own name, from time to time, in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91" w:right="239" w:bottom="1440" w:gutter="0" w:footer="0" w:header="0"/>
        </w:sectPr>
      </w:pPr>
    </w:p>
    <w:bookmarkStart w:id="365" w:name="page366"/>
    <w:bookmarkEnd w:id="365"/>
    <w:p>
      <w:pPr>
        <w:jc w:val="both"/>
        <w:ind w:left="660"/>
        <w:spacing w:after="0" w:line="248" w:lineRule="auto"/>
        <w:rPr>
          <w:sz w:val="20"/>
          <w:szCs w:val="20"/>
          <w:color w:val="auto"/>
        </w:rPr>
      </w:pPr>
      <w:r>
        <w:rPr>
          <w:rFonts w:ascii="Arial" w:cs="Arial" w:eastAsia="Arial" w:hAnsi="Arial"/>
          <w:sz w:val="22"/>
          <w:szCs w:val="22"/>
          <w:color w:val="auto"/>
        </w:rPr>
        <w:t>the Term Loan Representative’s sole discretion, for the purposes of carrying out the terms of this Section 4.2, to take any and all appropriate action and to execute and deliver any and all documents and instruments as may be necessary or desirable to accomplish the purposes of this Section 4.2, including, without limitation, any financing statements, endorsements, assignments, releases or other documents or instruments of transfer (which appointment, being coupled with an interest, is irrevocable).</w:t>
      </w:r>
    </w:p>
    <w:p>
      <w:pPr>
        <w:spacing w:after="0" w:line="19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Certain Real Property Notices: Insurance</w:t>
      </w:r>
      <w:r>
        <w:rPr>
          <w:rFonts w:ascii="Arial" w:cs="Arial" w:eastAsia="Arial" w:hAnsi="Arial"/>
          <w:sz w:val="21"/>
          <w:szCs w:val="21"/>
          <w:color w:val="auto"/>
        </w:rPr>
        <w:t>. (a) The Term Loan Representative shall give the ABL Representative at least 30 days notice prior to commencing any Enforcement Action against any Real Property (including, for the avoidance of doubt, the commencement of any action against title insurance policies) owned by any Loan Party at which ABL Priority Collateral is stored or otherwise located or to dispossess any Loan Party from such Real Property.</w:t>
      </w:r>
    </w:p>
    <w:p>
      <w:pPr>
        <w:spacing w:after="0" w:line="216" w:lineRule="exact"/>
        <w:rPr>
          <w:sz w:val="20"/>
          <w:szCs w:val="20"/>
          <w:color w:val="auto"/>
        </w:rPr>
      </w:pPr>
    </w:p>
    <w:p>
      <w:pPr>
        <w:jc w:val="both"/>
        <w:ind w:firstLine="656"/>
        <w:spacing w:after="0" w:line="258" w:lineRule="auto"/>
        <w:tabs>
          <w:tab w:leader="none" w:pos="1549" w:val="left"/>
        </w:tabs>
        <w:numPr>
          <w:ilvl w:val="0"/>
          <w:numId w:val="422"/>
        </w:numPr>
        <w:rPr>
          <w:rFonts w:ascii="Arial" w:cs="Arial" w:eastAsia="Arial" w:hAnsi="Arial"/>
          <w:sz w:val="21"/>
          <w:szCs w:val="21"/>
          <w:color w:val="auto"/>
        </w:rPr>
      </w:pPr>
      <w:r>
        <w:rPr>
          <w:rFonts w:ascii="Arial" w:cs="Arial" w:eastAsia="Arial" w:hAnsi="Arial"/>
          <w:sz w:val="21"/>
          <w:szCs w:val="21"/>
          <w:color w:val="auto"/>
        </w:rPr>
        <w:t xml:space="preserve">Proceeds of Collateral include insurance proceeds and therefore the Lien Priority shall govern the ultimate disposition of casualty insurance proceeds. The ABL Representative and Term Loan Representative shall be named as additional insureds and lender loss payees with respect to all insurance policies relating to Collateral, to the extent required pursuant to the terms of the Loan Documents. The ABL Representative shall have the sole and exclusive right, as against the Term Loan Representative, to adjust settlement of insurance claims in the event of any covered loss, theft or destruction of ABL Priority Collateral. The Term Loan Representative shall have the sole and exclusive right, as against the ABL Representative, to adjust settlement of insurance claims in the event of any covered loss, theft or destruction of Term Loan Priority Collateral. All proceeds of such insurance shall be remitted to the ABL Representative or the Term Loan Representative, as the case may be, and each of the Term Loan Representative and ABL Representative shall cooperate (if necessary) in a reasonable manner in effecting the payment of insurance proceeds in accordance with </w:t>
      </w:r>
      <w:r>
        <w:rPr>
          <w:rFonts w:ascii="Arial" w:cs="Arial" w:eastAsia="Arial" w:hAnsi="Arial"/>
          <w:sz w:val="21"/>
          <w:szCs w:val="21"/>
          <w:u w:val="single" w:color="auto"/>
          <w:color w:val="auto"/>
        </w:rPr>
        <w:t>Section 4.1</w:t>
      </w:r>
      <w:r>
        <w:rPr>
          <w:rFonts w:ascii="Arial" w:cs="Arial" w:eastAsia="Arial" w:hAnsi="Arial"/>
          <w:sz w:val="21"/>
          <w:szCs w:val="21"/>
          <w:color w:val="auto"/>
        </w:rPr>
        <w:t>.</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5.</w:t>
      </w:r>
      <w:r>
        <w:rPr>
          <w:sz w:val="20"/>
          <w:szCs w:val="20"/>
          <w:color w:val="auto"/>
        </w:rPr>
        <w:tab/>
      </w:r>
      <w:r>
        <w:rPr>
          <w:rFonts w:ascii="Arial" w:cs="Arial" w:eastAsia="Arial" w:hAnsi="Arial"/>
          <w:sz w:val="19"/>
          <w:szCs w:val="19"/>
          <w:i w:val="1"/>
          <w:iCs w:val="1"/>
          <w:color w:val="auto"/>
        </w:rPr>
        <w:t>Insolvency Proceedings.</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Filing of Motions.</w:t>
      </w:r>
      <w:r>
        <w:rPr>
          <w:rFonts w:ascii="Arial" w:cs="Arial" w:eastAsia="Arial" w:hAnsi="Arial"/>
          <w:sz w:val="19"/>
          <w:szCs w:val="19"/>
          <w:color w:val="auto"/>
        </w:rPr>
        <w:t xml:space="preserve"> Until the Senior Obligations Payment Date has occurred, the Junior Representative agrees on behalf of itself and the other Junior Secured Parties that no Junior Secured Party shall, in or in connection with any Insolvency Proceeding, file any pleadings or motions, take any position at any hearing or proceeding of any nature, or otherwise take any action whatsoever, in each case in respect of any of the Senior Collateral, including, without limitation, with respect to the determination of any Liens or claims held by the Senior Representative (including the validity and enforceability thereof) or any other Senior Secured Party in respect of any Senior Collateral or the value of any claims of such parties under Section 506(a) of the Bankruptcy Code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Junior Representative may (i) file a proof of claim in an Insolvency Proceeding, and (ii) file any necessary responsive or defensive pleadings in opposition of any motion or other pleadings made by any Person objecting to or otherwise seeking the disallowance of any Person objecting to or otherwise seeking the disallowance of the claims of the Junior Secured Parties on the Senior Collateral, subject to the limitations contained in this Agreement and only if consistent with the terms and the limitations on the Junior Representative imposed hereby.</w:t>
      </w:r>
    </w:p>
    <w:p>
      <w:pPr>
        <w:spacing w:after="0" w:line="19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Financing Matters</w:t>
      </w:r>
      <w:r>
        <w:rPr>
          <w:rFonts w:ascii="Arial" w:cs="Arial" w:eastAsia="Arial" w:hAnsi="Arial"/>
          <w:sz w:val="19"/>
          <w:szCs w:val="19"/>
          <w:color w:val="auto"/>
        </w:rPr>
        <w:t>. (a) If any Loan Party becomes subject to any Insolvency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0" w:right="239" w:bottom="1440" w:gutter="0" w:footer="0" w:header="0"/>
        </w:sectPr>
      </w:pPr>
    </w:p>
    <w:bookmarkStart w:id="366" w:name="page367"/>
    <w:bookmarkEnd w:id="366"/>
    <w:p>
      <w:pPr>
        <w:jc w:val="both"/>
        <w:spacing w:after="0" w:line="284" w:lineRule="auto"/>
        <w:rPr>
          <w:sz w:val="20"/>
          <w:szCs w:val="20"/>
          <w:color w:val="auto"/>
        </w:rPr>
      </w:pPr>
      <w:r>
        <w:rPr>
          <w:rFonts w:ascii="Arial" w:cs="Arial" w:eastAsia="Arial" w:hAnsi="Arial"/>
          <w:sz w:val="19"/>
          <w:szCs w:val="19"/>
          <w:color w:val="auto"/>
        </w:rPr>
        <w:t>Proceeding in the United States at any time prior to the ABL Obligations Payment Date, and if the ABL Representative or the other ABL Secured Parties desire to consent (or not object) to the use of cash collateral under the Bankruptcy Code or to provide financing to any Loan Party under the Bankruptcy Code or to consent (or not object) to the provision of such financing to any Loan Party by any third party (any such financing, “</w:t>
      </w:r>
      <w:r>
        <w:rPr>
          <w:rFonts w:ascii="Arial" w:cs="Arial" w:eastAsia="Arial" w:hAnsi="Arial"/>
          <w:sz w:val="19"/>
          <w:szCs w:val="19"/>
          <w:u w:val="single" w:color="auto"/>
          <w:color w:val="auto"/>
        </w:rPr>
        <w:t>ABL DIP Financing</w:t>
      </w:r>
      <w:r>
        <w:rPr>
          <w:rFonts w:ascii="Arial" w:cs="Arial" w:eastAsia="Arial" w:hAnsi="Arial"/>
          <w:sz w:val="19"/>
          <w:szCs w:val="19"/>
          <w:color w:val="auto"/>
        </w:rPr>
        <w:t xml:space="preserve">”‘), then the Term Loan Representative agrees, on behalf of itself and the other Term Loan Secured Parties, that each Term Loan Secured Party (i) (x) will be deemed to have consented to, will raise no objection to, nor support any other Person objecting to, the use of such cash collateral or to such ABL DIP Financing on the grounds of a failure to provide “adequate protection” for the Term Loan Representative’s Lien on the Collateral to secure the Term Loan Obligations or on any other grounds and (y) will not request any adequate protection solely as a result of such ABL DIP Financing except as set forth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below and (ii) will subordinate (and will be deemed hereunder to have subordinated) the Term Loan Liens on any ABL Priority Collateral (A) to such ABL DIP Financing on the same terms as the ABL Liens are subordinated thereto (and such subordination will not alter in any manner the terms of this Agreement), (B) to any adequate protection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to the ABL Secured Parties and (C) to any “carve-out” agreed to by the ABL Representative or the other ABL Secured Parties, so long as (x) the Term Loan Representative retains its Lien on the Collateral to secure the Term Loan Obligations (in each case, including Proceeds thereof arising after the commencement of the case under the Bankruptcy Code) and, as to the Term Loan Priority Collateral only, such Lien has the same priority as existed prior to the commencement of the case under the Bankruptcy Code and any Lien securing such ABL DIP Financing is junior and subordinate to the Lien of the Term Loan Representative on the Term Loan Priority Collateral, (y) all Liens on ABL Priority Collateral securing any such ABL DIP Financing shall be senior to or on a parity with the Liens of the ABL Representative and the ABL Lenders securing the ABL Obligations on ABL Priority Collateral and (z) if the ABL Representative receives a replacement or adequate protection Lien on post-petition assets of the debtor to secure the ABL Obligations, and such replacement or adequate protection Lien is on any of the Term Loan Priority Collateral, (1) such replacement or adequate protection Lien on such post-petition assets which are part of the Term Loan Priority Collateral (the “</w:t>
      </w:r>
      <w:r>
        <w:rPr>
          <w:rFonts w:ascii="Arial" w:cs="Arial" w:eastAsia="Arial" w:hAnsi="Arial"/>
          <w:sz w:val="19"/>
          <w:szCs w:val="19"/>
          <w:u w:val="single" w:color="auto"/>
          <w:color w:val="auto"/>
        </w:rPr>
        <w:t>Term Loan Post-Petition Assets</w:t>
      </w:r>
      <w:r>
        <w:rPr>
          <w:rFonts w:ascii="Arial" w:cs="Arial" w:eastAsia="Arial" w:hAnsi="Arial"/>
          <w:sz w:val="19"/>
          <w:szCs w:val="19"/>
          <w:color w:val="auto"/>
        </w:rPr>
        <w:t>”) is junior and subordinate to the Lien in favor of the Term Loan Representative on the Term Loan Priority Collateral and (2) the Term Loan Representative also receives a replacement or adequate protection Lien on such Term Loan Post- Petition Assets of the debtor to secure the Term Loan Obligations. In no event will any of the ABL Secured Parties seek to obtain a priming Lien on any of the Term Loan Priority Collateral and nothing contained herein shall be deemed to be a consent by Term Loan Secured Parties to any adequate protection payments using Term Loan Priority Collateral</w:t>
      </w:r>
    </w:p>
    <w:p>
      <w:pPr>
        <w:spacing w:after="0" w:line="200" w:lineRule="exact"/>
        <w:rPr>
          <w:sz w:val="20"/>
          <w:szCs w:val="20"/>
          <w:color w:val="auto"/>
        </w:rPr>
      </w:pPr>
    </w:p>
    <w:p>
      <w:pPr>
        <w:spacing w:after="0" w:line="263" w:lineRule="exact"/>
        <w:rPr>
          <w:sz w:val="20"/>
          <w:szCs w:val="20"/>
          <w:color w:val="auto"/>
        </w:rPr>
      </w:pPr>
    </w:p>
    <w:p>
      <w:pPr>
        <w:jc w:val="both"/>
        <w:ind w:firstLine="656"/>
        <w:spacing w:after="0" w:line="292" w:lineRule="auto"/>
        <w:tabs>
          <w:tab w:leader="none" w:pos="1549" w:val="left"/>
        </w:tabs>
        <w:numPr>
          <w:ilvl w:val="0"/>
          <w:numId w:val="423"/>
        </w:numPr>
        <w:rPr>
          <w:rFonts w:ascii="Arial" w:cs="Arial" w:eastAsia="Arial" w:hAnsi="Arial"/>
          <w:sz w:val="19"/>
          <w:szCs w:val="19"/>
          <w:color w:val="auto"/>
        </w:rPr>
      </w:pPr>
      <w:r>
        <w:rPr>
          <w:rFonts w:ascii="Arial" w:cs="Arial" w:eastAsia="Arial" w:hAnsi="Arial"/>
          <w:sz w:val="19"/>
          <w:szCs w:val="19"/>
          <w:color w:val="auto"/>
        </w:rPr>
        <w:t>If any Loan Party becomes subject to any Insolvency Proceeding in the United States at any time prior to the Term Loan Obligations Payment Date, and if the Term Loan Representative or the other Term Loan Secured Parties desire to consent (or not object) or to provide financing to any Loan Party under the Bankruptcy Code or to consent (or not object) to the provision of such financing to any Loan Party by any third party (any such financing, “</w:t>
      </w:r>
      <w:r>
        <w:rPr>
          <w:rFonts w:ascii="Arial" w:cs="Arial" w:eastAsia="Arial" w:hAnsi="Arial"/>
          <w:sz w:val="19"/>
          <w:szCs w:val="19"/>
          <w:u w:val="single" w:color="auto"/>
          <w:color w:val="auto"/>
        </w:rPr>
        <w:t>Term Loan DIP Financing</w:t>
      </w:r>
      <w:r>
        <w:rPr>
          <w:rFonts w:ascii="Arial" w:cs="Arial" w:eastAsia="Arial" w:hAnsi="Arial"/>
          <w:sz w:val="19"/>
          <w:szCs w:val="19"/>
          <w:color w:val="auto"/>
        </w:rPr>
        <w:t>”), then the ABL Representative agrees, on behalf of itself and the other ABL Secured Parties, that each ABL Secured Party (i) (x) will be deemed to have consented to, will raise no objection to, nor support any other Person objecting to such Term Loan DIP Financing on the grounds of a failure to provide “adequate protection” for the ABL Representative’s Lien on the Collateral to secure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90" w:right="239" w:bottom="1440" w:gutter="0" w:footer="0" w:header="0"/>
        </w:sectPr>
      </w:pPr>
    </w:p>
    <w:bookmarkStart w:id="367" w:name="page368"/>
    <w:bookmarkEnd w:id="367"/>
    <w:p>
      <w:pPr>
        <w:jc w:val="both"/>
        <w:spacing w:after="0" w:line="284" w:lineRule="auto"/>
        <w:rPr>
          <w:sz w:val="20"/>
          <w:szCs w:val="20"/>
          <w:color w:val="auto"/>
        </w:rPr>
      </w:pPr>
      <w:r>
        <w:rPr>
          <w:rFonts w:ascii="Arial" w:cs="Arial" w:eastAsia="Arial" w:hAnsi="Arial"/>
          <w:sz w:val="19"/>
          <w:szCs w:val="19"/>
          <w:color w:val="auto"/>
        </w:rPr>
        <w:t xml:space="preserve">ABL Obligations or on any other grounds and (y) will not request any adequate protection solely as a result of such Term Loan DIP Financing except as set forth in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below and (ii) will subordinate (and will be deemed hereunder to have subordinated) the ABL Liens on any Term Loan Priority Collateral (A) to such Term Loan DIP Financing on the same terms as the Term Loan Liens are subordinated thereto (and such subordination will not alter in any manner the terms of this Agreement), (B) to any adequate protection provided to the Term Loan Secured Parties and (C) to any “carve-out” agreed to by the Term Loan Representative or the other Term Loan Secured Parties, so long as (x) the ABL Representative retains its Lien on the Collateral to secure the ABL Obligations (in each case, including Proceeds thereof arising after the commencement of the case under the Bankruptcy Code) and, as to the ABL Priority Collateral only, such Lien has the same priority as existed prior to the commencement of the case under the Bankruptcy Code and any Lien securing such Term Loan DIP Financing is junior and subordinate to the Lien of the ABL Representative on the ABL Priority Collateral, (y) all Liens on Term Loan Priority Collateral securing any such Term Loan DIP Financing shall be senior to or on a parity with the Liens of the Term Loan Representative and the Term Loan Secured Parties securing the Term Loan Obligations on Term Loan Priority Collateral and (z) if the Term Loan Representative receives a replacement or adequate protection Lien on post-petition assets of the debtor to secure the Term Loan Obligations, and such replacement or adequate protection Lien is on any of the ABL Priority Collateral, (1) such replacement or adequate protection Lien on such post-petition assets which are part of the ABL Priority Collateral (the “</w:t>
      </w:r>
      <w:r>
        <w:rPr>
          <w:rFonts w:ascii="Arial" w:cs="Arial" w:eastAsia="Arial" w:hAnsi="Arial"/>
          <w:sz w:val="19"/>
          <w:szCs w:val="19"/>
          <w:u w:val="single" w:color="auto"/>
          <w:color w:val="auto"/>
        </w:rPr>
        <w:t>ABL Post-Petition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Assets</w:t>
      </w:r>
      <w:r>
        <w:rPr>
          <w:rFonts w:ascii="Arial" w:cs="Arial" w:eastAsia="Arial" w:hAnsi="Arial"/>
          <w:sz w:val="19"/>
          <w:szCs w:val="19"/>
          <w:color w:val="auto"/>
        </w:rPr>
        <w:t>”) is junior and subordinate to the Lien in favor of the ABL Representative on the ABL Priority Collateral and (2) the ABL Representative also receives a replacement or adequate protection Lien on such ABL Post-Petition Assets of the debtor to secure the ABL Obligations. In no event will any of the Term Loan Secured Parties seek to obtain a priming Lien on any of the ABL Priority Collateral, and nothing contained herein shall be deemed to be a consent by the ABL Secured Parties to any adequate protection payments using ABL Priority Collateral. In addition, nothing contained herein shall be deemed to be a consent by any of the ABL Secured Parties to the use of cash collateral under the Bankruptcy Code, and any use of such cash collateral shall require the prior written consent of the ABL Representative.</w:t>
      </w:r>
    </w:p>
    <w:p>
      <w:pPr>
        <w:spacing w:after="0" w:line="200" w:lineRule="exact"/>
        <w:rPr>
          <w:sz w:val="20"/>
          <w:szCs w:val="20"/>
          <w:color w:val="auto"/>
        </w:rPr>
      </w:pPr>
    </w:p>
    <w:p>
      <w:pPr>
        <w:spacing w:after="0" w:line="272" w:lineRule="exact"/>
        <w:rPr>
          <w:sz w:val="20"/>
          <w:szCs w:val="20"/>
          <w:color w:val="auto"/>
        </w:rPr>
      </w:pPr>
    </w:p>
    <w:p>
      <w:pPr>
        <w:jc w:val="both"/>
        <w:ind w:firstLine="656"/>
        <w:spacing w:after="0" w:line="253" w:lineRule="auto"/>
        <w:tabs>
          <w:tab w:leader="none" w:pos="1536" w:val="left"/>
        </w:tabs>
        <w:numPr>
          <w:ilvl w:val="0"/>
          <w:numId w:val="424"/>
        </w:numPr>
        <w:rPr>
          <w:rFonts w:ascii="Arial" w:cs="Arial" w:eastAsia="Arial" w:hAnsi="Arial"/>
          <w:sz w:val="22"/>
          <w:szCs w:val="22"/>
          <w:color w:val="auto"/>
        </w:rPr>
      </w:pPr>
      <w:r>
        <w:rPr>
          <w:rFonts w:ascii="Arial" w:cs="Arial" w:eastAsia="Arial" w:hAnsi="Arial"/>
          <w:sz w:val="22"/>
          <w:szCs w:val="22"/>
          <w:color w:val="auto"/>
        </w:rPr>
        <w:t>All Liens granted to the Term Loan Representative or the ABL Representative in any Insolvency Proceeding, whether as adequate protection or otherwise, are intended to be and shall be deemed to be subject to the Lien Priority and the other terms and conditions of this Agreement.</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Relief From the Automatic Stay</w:t>
      </w:r>
      <w:r>
        <w:rPr>
          <w:rFonts w:ascii="Arial" w:cs="Arial" w:eastAsia="Arial" w:hAnsi="Arial"/>
          <w:sz w:val="19"/>
          <w:szCs w:val="19"/>
          <w:color w:val="auto"/>
        </w:rPr>
        <w:t>. Until the ABL Obligations Payment Date, the Term Loan Representative agrees, on behalf of itself and the other Term Loan Secured Parties, that none of them will seek relief from the automatic stay or from any other stay in any Insolvency Proceeding or take any action in derogation thereof, in each case in respect of any ABL Priority Collateral, without the prior written consent of the ABL Representative. Until the Term Loan Obligations Payment Date, the ABL Representative agrees, on behalf of itself and the other ABL Secured Parties, that none of them will seek relief from the automatic stay or from any other stay in any Insolvency Proceeding or take any action in derogation thereof, in each case in respect of any Term Loan Priority Collateral, without the prior written consent of the Term Loan Representative. In addition, neither the Term Loan Representative nor the ABL Representative shall seek any relief from the automatic stay with respect to any Collateral without providing 10 days’ prior written notice to the other, unless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1" w:right="239" w:bottom="1440" w:gutter="0" w:footer="0" w:header="0"/>
        </w:sectPr>
      </w:pPr>
    </w:p>
    <w:bookmarkStart w:id="368" w:name="page369"/>
    <w:bookmarkEnd w:id="368"/>
    <w:p>
      <w:pPr>
        <w:spacing w:after="0"/>
        <w:rPr>
          <w:sz w:val="20"/>
          <w:szCs w:val="20"/>
          <w:color w:val="auto"/>
        </w:rPr>
      </w:pPr>
      <w:r>
        <w:rPr>
          <w:rFonts w:ascii="Arial" w:cs="Arial" w:eastAsia="Arial" w:hAnsi="Arial"/>
          <w:sz w:val="22"/>
          <w:szCs w:val="22"/>
          <w:color w:val="auto"/>
        </w:rPr>
        <w:t>otherwise agreed by both the ABL Representative and the Term Loan Representative.</w:t>
      </w:r>
    </w:p>
    <w:p>
      <w:pPr>
        <w:spacing w:after="0" w:line="26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u w:val="single" w:color="auto"/>
          <w:color w:val="auto"/>
        </w:rPr>
        <w:t>Adequate Protection</w:t>
      </w:r>
      <w:r>
        <w:rPr>
          <w:rFonts w:ascii="Arial" w:cs="Arial" w:eastAsia="Arial" w:hAnsi="Arial"/>
          <w:sz w:val="19"/>
          <w:szCs w:val="19"/>
          <w:color w:val="auto"/>
        </w:rPr>
        <w:t xml:space="preserve">. (a) The Term Loan Representative, on behalf of itself and the other Term Loan Secured Parties, agrees that, prior to the ABL Obligations Payment Date, so long as the ABL Representative and the other ABL Secured Parties comply with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none of them shall object to, contest, or support any other Person objecting to or contesting, (i) any request by the ABL Representative or the other ABL Secured Parties for adequate protection of its interest in the Collateral or any adequate protection provided to the ABL Representative or the other ABL Secured Parties, (ii) any objection by the ABL Representative or any other ABL Secured Parties to any motion, relief, action or proceeding based on a claim of a lack of adequate protection in the Collateral or (iii) the payment of interest, fees, expenses or other amounts to the ABL Representative or any other ABL Secured Party under Section 506(b) or 506(c) of the Bankruptcy Code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action described in the foregoing clauses (i) and (ii) does not violate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The Term Loan Representative, on behalf of itself and the other Term Loan Secured Parties, further agrees that, prior to the ABL Obligations Payment Date, none of them shall assert or enforce any claim under Section 506(b) or 506(c) of the Bankruptcy Code or otherwise that is senior to or on a parity with the ABL Liens for costs or expenses of preserving or disposing of any ABL Priority Collateral. Notwithstanding anything to the contrary set forth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and in </w:t>
      </w:r>
      <w:r>
        <w:rPr>
          <w:rFonts w:ascii="Arial" w:cs="Arial" w:eastAsia="Arial" w:hAnsi="Arial"/>
          <w:sz w:val="19"/>
          <w:szCs w:val="19"/>
          <w:u w:val="single" w:color="auto"/>
          <w:color w:val="auto"/>
        </w:rPr>
        <w:t>Section 5.2(a)(i)(v)</w:t>
      </w:r>
      <w:r>
        <w:rPr>
          <w:rFonts w:ascii="Arial" w:cs="Arial" w:eastAsia="Arial" w:hAnsi="Arial"/>
          <w:sz w:val="19"/>
          <w:szCs w:val="19"/>
          <w:color w:val="auto"/>
        </w:rPr>
        <w:t xml:space="preserve">, but subject to all other provisions of this Agreement (including, without limitation,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5.2(a)(i)(x)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5.3</w:t>
      </w:r>
      <w:r>
        <w:rPr>
          <w:rFonts w:ascii="Arial" w:cs="Arial" w:eastAsia="Arial" w:hAnsi="Arial"/>
          <w:sz w:val="19"/>
          <w:szCs w:val="19"/>
          <w:color w:val="auto"/>
        </w:rPr>
        <w:t>), in any Insolvency Proceeding, if the ABL Secured Parties (or any subset thereof) are granted adequate protection consisting of additional collateral that constitutes ABL Priority Collateral (with replacement liens on such additional collateral) and superpriority claims in connection with any ABL DIP Financing or use of cash collateral, and the ABL Secured Parties do not object to the adequate protection being provided to them, then in connection with any such ABL DIP Financing or use of cash collateral the Term Loan Representative, on behalf of itself and any of the Term Loan Secured Parties, may, as adequate protection of their interests in the ABL Priority Collateral, seek or accept (and the ABL Representative and the ABL Secured Parties shall not object to) adequate protection consisting solely of (x) a replacement Lien on the same additional collateral, subordinated to the Liens securing the ABL Obligations and such ABL DIP Financing on the same basis as the other Term Loan Liens on the ABL Priority Collateral are so subordinated to the ABL Obligations under this Agreement and (y) superpriority claims junior in all respects to the superpriority claims granted to the ABL Secured Parties, provided, however, that the Term Loan Representative shall have irrevocably agreed, pursuant to Section 1129(a)(9) of the Bankruptcy Code, on behalf of itself and the Term Loan Secured Parties,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w:t>
      </w:r>
    </w:p>
    <w:p>
      <w:pPr>
        <w:spacing w:after="0" w:line="200" w:lineRule="exact"/>
        <w:rPr>
          <w:sz w:val="20"/>
          <w:szCs w:val="20"/>
          <w:color w:val="auto"/>
        </w:rPr>
      </w:pPr>
    </w:p>
    <w:p>
      <w:pPr>
        <w:spacing w:after="0" w:line="263" w:lineRule="exact"/>
        <w:rPr>
          <w:sz w:val="20"/>
          <w:szCs w:val="20"/>
          <w:color w:val="auto"/>
        </w:rPr>
      </w:pPr>
    </w:p>
    <w:p>
      <w:pPr>
        <w:jc w:val="both"/>
        <w:ind w:firstLine="656"/>
        <w:spacing w:after="0" w:line="247" w:lineRule="auto"/>
        <w:tabs>
          <w:tab w:leader="none" w:pos="1549" w:val="left"/>
        </w:tabs>
        <w:numPr>
          <w:ilvl w:val="0"/>
          <w:numId w:val="425"/>
        </w:numPr>
        <w:rPr>
          <w:rFonts w:ascii="Arial" w:cs="Arial" w:eastAsia="Arial" w:hAnsi="Arial"/>
          <w:sz w:val="22"/>
          <w:szCs w:val="22"/>
          <w:color w:val="auto"/>
        </w:rPr>
      </w:pPr>
      <w:r>
        <w:rPr>
          <w:rFonts w:ascii="Arial" w:cs="Arial" w:eastAsia="Arial" w:hAnsi="Arial"/>
          <w:sz w:val="22"/>
          <w:szCs w:val="22"/>
          <w:color w:val="auto"/>
        </w:rPr>
        <w:t xml:space="preserve">The ABL Representative, on behalf of itself and the other ABL Secured Parties, agrees that, prior to the Term Loan Obligations Payment Date, so long as the Term Loan Representative and the other Term Loan Secured Parties comply with </w:t>
      </w:r>
      <w:r>
        <w:rPr>
          <w:rFonts w:ascii="Arial" w:cs="Arial" w:eastAsia="Arial" w:hAnsi="Arial"/>
          <w:sz w:val="22"/>
          <w:szCs w:val="22"/>
          <w:u w:val="single" w:color="auto"/>
          <w:color w:val="auto"/>
        </w:rPr>
        <w:t>Section 5.4(a)</w:t>
      </w:r>
      <w:r>
        <w:rPr>
          <w:rFonts w:ascii="Arial" w:cs="Arial" w:eastAsia="Arial" w:hAnsi="Arial"/>
          <w:sz w:val="22"/>
          <w:szCs w:val="22"/>
          <w:color w:val="auto"/>
        </w:rPr>
        <w:t>, none of them shall object to, contest, or support any other Person objecting to or contesting, (i) any request by the Term Loan Representative or the other Term Loan Secured Parties for adequate protection of its interest in the Collateral or any adequate protection provided to the Term Loan Representative or the other Term Loan Secured Parties, (ii) any objection by the Term Loan Representative or any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91" w:right="239" w:bottom="1440" w:gutter="0" w:footer="0" w:header="0"/>
        </w:sectPr>
      </w:pPr>
    </w:p>
    <w:bookmarkStart w:id="369" w:name="page370"/>
    <w:bookmarkEnd w:id="369"/>
    <w:p>
      <w:pPr>
        <w:jc w:val="both"/>
        <w:spacing w:after="0" w:line="284" w:lineRule="auto"/>
        <w:rPr>
          <w:sz w:val="20"/>
          <w:szCs w:val="20"/>
          <w:color w:val="auto"/>
        </w:rPr>
      </w:pPr>
      <w:r>
        <w:rPr>
          <w:rFonts w:ascii="Arial" w:cs="Arial" w:eastAsia="Arial" w:hAnsi="Arial"/>
          <w:sz w:val="19"/>
          <w:szCs w:val="19"/>
          <w:color w:val="auto"/>
        </w:rPr>
        <w:t xml:space="preserve">other Term Loan Secured Parties to any motion, relief, action or proceeding based on a claim of a lack of adequate protection in the Collateral or (iii) the payment of interest, fees, expenses or other amounts to the Term Loan Representative or any other Term Loan Secured Party under Section 506(b) or 506(c) of the Bankruptcy Code or otherwise; provided that any action described in the foregoing clauses (i) and (ii) does not violate </w:t>
      </w:r>
      <w:r>
        <w:rPr>
          <w:rFonts w:ascii="Arial" w:cs="Arial" w:eastAsia="Arial" w:hAnsi="Arial"/>
          <w:sz w:val="19"/>
          <w:szCs w:val="19"/>
          <w:u w:val="single" w:color="auto"/>
          <w:color w:val="auto"/>
        </w:rPr>
        <w:t>Section 5.2</w:t>
      </w:r>
      <w:r>
        <w:rPr>
          <w:rFonts w:ascii="Arial" w:cs="Arial" w:eastAsia="Arial" w:hAnsi="Arial"/>
          <w:sz w:val="19"/>
          <w:szCs w:val="19"/>
          <w:color w:val="auto"/>
        </w:rPr>
        <w:t xml:space="preserve">. The ABL Representative, on behalf of itself and the other ABL Secured Parties, further agrees that, prior to the Term Loan Obligations Payment Date, none of them shall assert or enforce any claim under Section 506(b) or 506(c) of the Bankruptcy Code or otherwise that is senior to or on a parity with the Term Loan Liens for costs or expenses of preserving or disposing of any Term Loan Priority Collateral. Notwithstanding anything to the contrary set forth in this Section and in </w:t>
      </w:r>
      <w:r>
        <w:rPr>
          <w:rFonts w:ascii="Arial" w:cs="Arial" w:eastAsia="Arial" w:hAnsi="Arial"/>
          <w:sz w:val="19"/>
          <w:szCs w:val="19"/>
          <w:u w:val="single" w:color="auto"/>
          <w:color w:val="auto"/>
        </w:rPr>
        <w:t>Section 5.2(b)(i)(v)</w:t>
      </w:r>
      <w:r>
        <w:rPr>
          <w:rFonts w:ascii="Arial" w:cs="Arial" w:eastAsia="Arial" w:hAnsi="Arial"/>
          <w:sz w:val="19"/>
          <w:szCs w:val="19"/>
          <w:color w:val="auto"/>
        </w:rPr>
        <w:t xml:space="preserve">, but subject to all other provisions of this Agreement (including, without limitation,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5.2(b)(i)(x)</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5.3</w:t>
      </w:r>
      <w:r>
        <w:rPr>
          <w:rFonts w:ascii="Arial" w:cs="Arial" w:eastAsia="Arial" w:hAnsi="Arial"/>
          <w:sz w:val="19"/>
          <w:szCs w:val="19"/>
          <w:color w:val="auto"/>
        </w:rPr>
        <w:t>), in any Insolvency Proceeding, if the Term Loan Secured Parties (or any subset thereof) are granted adequate protection consisting of additional collateral that constitutes Term Loan Priority Collateral (with replacement liens on such additional collateral) and superpriority claims in connection with any Term Loan DIP Financing or use of cash collateral, and the Term Loan Secured Parties do not object to the adequate protection being provided to them, then in connection with any such Term Loan DIP Financing or use of cash collateral the ABL Representative, on behalf of itself and any of the ABL Secured Parties, may, as adequate protection of their interests in the Term Loan Priority Collateral, seek or accept (and the Term Loan Representative and the Term Loan Secured Parties shall not object to) adequate protection consisting solely of (x) a replacement Lien on the same additional collateral, subordinated to the Liens securing the Term Loan Obligations on the same basis as the other ABL Liens on the Term Loan Priority Collateral are so subordinated to the Term Loan Liens under this Agreement and (y) superpriority claims junior in all respects to such superpriority claims granted to the Term Loan Secured Parties, provided, however, that the ABL Representative shall have irrevocably agreed, pursuant to Section 1129(a)(9) of the Bankruptcy Code, on behalf of itself and the ABL Secured Parties, in any stipulation and/or order granting such adequate protection, that such junior superpriority claims may be paid under any plan of reorganization in any combination of cash, debt, equity or other property having a value on the effective date of such plan equal to the allowed amount of such claims.</w:t>
      </w:r>
    </w:p>
    <w:p>
      <w:pPr>
        <w:spacing w:after="0" w:line="200" w:lineRule="exact"/>
        <w:rPr>
          <w:sz w:val="20"/>
          <w:szCs w:val="20"/>
          <w:color w:val="auto"/>
        </w:rPr>
      </w:pPr>
    </w:p>
    <w:p>
      <w:pPr>
        <w:spacing w:after="0" w:line="27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Avoidance Issues</w:t>
      </w:r>
      <w:r>
        <w:rPr>
          <w:rFonts w:ascii="Arial" w:cs="Arial" w:eastAsia="Arial" w:hAnsi="Arial"/>
          <w:sz w:val="19"/>
          <w:szCs w:val="19"/>
          <w:color w:val="auto"/>
        </w:rPr>
        <w:t>. If any Senior Secured Party is required in any Insolvency Proceeding or otherwise to disgorge, turn over or otherwise pay to the estate of any Loan Party, because such amount was avoided or ordered to be paid or disgorged for any reason, including without limitation because it was found to be a fraudulent or preferential transfer, any amount (a “</w:t>
      </w:r>
      <w:r>
        <w:rPr>
          <w:rFonts w:ascii="Arial" w:cs="Arial" w:eastAsia="Arial" w:hAnsi="Arial"/>
          <w:sz w:val="19"/>
          <w:szCs w:val="19"/>
          <w:u w:val="single" w:color="auto"/>
          <w:color w:val="auto"/>
        </w:rPr>
        <w:t>Recovery</w:t>
      </w:r>
      <w:r>
        <w:rPr>
          <w:rFonts w:ascii="Arial" w:cs="Arial" w:eastAsia="Arial" w:hAnsi="Arial"/>
          <w:sz w:val="19"/>
          <w:szCs w:val="19"/>
          <w:color w:val="auto"/>
        </w:rPr>
        <w:t>”), whether received as proceeds of security, enforcement of any right of set-off or otherwise (including pursuant to any settlement entered into by an ABL Secured Party or a Term Loan Secured Party in its discretion), then the Senior Obligations shall be reinstated to the extent of such Recovery and deemed to be outstanding as if such payment had not occurred and the Senior Obligations Payment Date shall be deemed not to have occurred. If this Agreement shall have been terminated prior to such Recovery, this Agreement shall be reinstated in full force and effect, and such prior termination shall not diminish, release, discharge, impair or otherwise affect the obligations of the parties hereto. The Junior Secured Parties agree that none of them shall be entitled to benefit from any avoidance action affecting or otherwise relating to any distribution or allocation made in accordance with this Agreement, whether by preference or otherwise, it being understood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91" w:right="239" w:bottom="1440" w:gutter="0" w:footer="0" w:header="0"/>
        </w:sectPr>
      </w:pPr>
    </w:p>
    <w:bookmarkStart w:id="370" w:name="page371"/>
    <w:bookmarkEnd w:id="370"/>
    <w:p>
      <w:pPr>
        <w:jc w:val="both"/>
        <w:ind w:right="20"/>
        <w:spacing w:after="0" w:line="251" w:lineRule="auto"/>
        <w:rPr>
          <w:sz w:val="20"/>
          <w:szCs w:val="20"/>
          <w:color w:val="auto"/>
        </w:rPr>
      </w:pPr>
      <w:r>
        <w:rPr>
          <w:rFonts w:ascii="Arial" w:cs="Arial" w:eastAsia="Arial" w:hAnsi="Arial"/>
          <w:sz w:val="22"/>
          <w:szCs w:val="22"/>
          <w:color w:val="auto"/>
        </w:rPr>
        <w:t>and agreed that the benefit of such avoidance action otherwise allocable to them shall instead be allocated and turned over for application in accordance with the priorities set forth in this Agreement.</w:t>
      </w:r>
    </w:p>
    <w:p>
      <w:pPr>
        <w:spacing w:after="0" w:line="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Asset Dispositions in an Insolvency Proceeding</w:t>
      </w:r>
      <w:r>
        <w:rPr>
          <w:rFonts w:ascii="Arial" w:cs="Arial" w:eastAsia="Arial" w:hAnsi="Arial"/>
          <w:sz w:val="22"/>
          <w:szCs w:val="22"/>
          <w:color w:val="auto"/>
        </w:rPr>
        <w:t xml:space="preserve">. Neither the Junior Representative nor any other Junior Secured Party shall, in an Insolvency Proceeding or otherwise, oppose any sale or disposition of any Senior Collateral that is supported by the Senior Secured Parties, and the Junior Representative and each other Junior Secured Party will be deemed to have consented under Section 363 of the Bankruptcy Code (and otherwise) to any sale of any Senior Collateral supported by the Senior Secured Parties and to have released their Junior Liens on such assets, provided that this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shall not apply to any case of a sale or disposition of Real Property unless the ABL Representative has received at least 90 days prior notice of the consummation of any such sale.</w:t>
      </w:r>
    </w:p>
    <w:p>
      <w:pPr>
        <w:spacing w:after="0" w:line="23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Other Matters</w:t>
      </w:r>
      <w:r>
        <w:rPr>
          <w:rFonts w:ascii="Arial" w:cs="Arial" w:eastAsia="Arial" w:hAnsi="Arial"/>
          <w:sz w:val="22"/>
          <w:szCs w:val="22"/>
          <w:color w:val="auto"/>
        </w:rPr>
        <w:t xml:space="preserve">. To the extent that the Senior Representative or any Senior Secured Party has or acquires rights under Section 363 or Section 364 of the Bankruptcy Code with respect to any of the Collateral on which it has a Junior Lien, such Senior Representative agrees, on behalf of itself and the other Senior Secured Parties, not to assert any of such rights without the prior written consent of the Junior Representative;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requested by the Junior Representative, such Senior Representative shall timely exercise such rights in the manner requested by the Junior Representative, including any rights to payments in respect of such rights.</w:t>
      </w:r>
    </w:p>
    <w:p>
      <w:pPr>
        <w:spacing w:after="0" w:line="23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5.8 </w:t>
      </w:r>
      <w:r>
        <w:rPr>
          <w:rFonts w:ascii="Arial" w:cs="Arial" w:eastAsia="Arial" w:hAnsi="Arial"/>
          <w:sz w:val="22"/>
          <w:szCs w:val="22"/>
          <w:u w:val="single" w:color="auto"/>
          <w:color w:val="auto"/>
        </w:rPr>
        <w:t>Effectiveness in Insolvency Proceedings</w:t>
      </w:r>
      <w:r>
        <w:rPr>
          <w:rFonts w:ascii="Arial" w:cs="Arial" w:eastAsia="Arial" w:hAnsi="Arial"/>
          <w:sz w:val="22"/>
          <w:szCs w:val="22"/>
          <w:color w:val="auto"/>
        </w:rPr>
        <w:t>. This Agreement, which the parties hereto expressly acknowledge is a “subordination agreement” under section 510(a) of the Bankruptcy Code, shall be effective before, during and after the commencement of an Insolvency Proceeding.</w:t>
      </w:r>
    </w:p>
    <w:p>
      <w:pPr>
        <w:spacing w:after="0" w:line="186"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6.</w:t>
      </w:r>
      <w:r>
        <w:rPr>
          <w:sz w:val="20"/>
          <w:szCs w:val="20"/>
          <w:color w:val="auto"/>
        </w:rPr>
        <w:tab/>
      </w:r>
      <w:r>
        <w:rPr>
          <w:rFonts w:ascii="Arial" w:cs="Arial" w:eastAsia="Arial" w:hAnsi="Arial"/>
          <w:sz w:val="19"/>
          <w:szCs w:val="19"/>
          <w:i w:val="1"/>
          <w:iCs w:val="1"/>
          <w:color w:val="auto"/>
        </w:rPr>
        <w:t>Term Loan Documents and ABL Documents.</w:t>
      </w:r>
    </w:p>
    <w:p>
      <w:pPr>
        <w:spacing w:after="0" w:line="260" w:lineRule="exact"/>
        <w:rPr>
          <w:sz w:val="20"/>
          <w:szCs w:val="20"/>
          <w:color w:val="auto"/>
        </w:rPr>
      </w:pPr>
    </w:p>
    <w:p>
      <w:pPr>
        <w:jc w:val="both"/>
        <w:ind w:firstLine="656"/>
        <w:spacing w:after="0" w:line="253" w:lineRule="auto"/>
        <w:tabs>
          <w:tab w:leader="none" w:pos="1536" w:val="left"/>
        </w:tabs>
        <w:numPr>
          <w:ilvl w:val="0"/>
          <w:numId w:val="426"/>
        </w:numPr>
        <w:rPr>
          <w:rFonts w:ascii="Arial" w:cs="Arial" w:eastAsia="Arial" w:hAnsi="Arial"/>
          <w:sz w:val="22"/>
          <w:szCs w:val="22"/>
          <w:color w:val="auto"/>
        </w:rPr>
      </w:pPr>
      <w:r>
        <w:rPr>
          <w:rFonts w:ascii="Arial" w:cs="Arial" w:eastAsia="Arial" w:hAnsi="Arial"/>
          <w:sz w:val="22"/>
          <w:szCs w:val="22"/>
          <w:color w:val="auto"/>
        </w:rPr>
        <w:t>Each Loan Party and the Term Loan Representative, on behalf of itself and the Term Loan Secured Parties, agrees that it shall not at any time execute or deliver any amendment or other modification to any of the Term Loan Documents in violation of this Agreement.</w:t>
      </w:r>
    </w:p>
    <w:p>
      <w:pPr>
        <w:spacing w:after="0" w:line="226" w:lineRule="exact"/>
        <w:rPr>
          <w:rFonts w:ascii="Arial" w:cs="Arial" w:eastAsia="Arial" w:hAnsi="Arial"/>
          <w:sz w:val="22"/>
          <w:szCs w:val="22"/>
          <w:color w:val="auto"/>
        </w:rPr>
      </w:pPr>
    </w:p>
    <w:p>
      <w:pPr>
        <w:jc w:val="both"/>
        <w:ind w:firstLine="656"/>
        <w:spacing w:after="0" w:line="253" w:lineRule="auto"/>
        <w:tabs>
          <w:tab w:leader="none" w:pos="1549" w:val="left"/>
        </w:tabs>
        <w:numPr>
          <w:ilvl w:val="0"/>
          <w:numId w:val="426"/>
        </w:numPr>
        <w:rPr>
          <w:rFonts w:ascii="Arial" w:cs="Arial" w:eastAsia="Arial" w:hAnsi="Arial"/>
          <w:sz w:val="22"/>
          <w:szCs w:val="22"/>
          <w:color w:val="auto"/>
        </w:rPr>
      </w:pPr>
      <w:r>
        <w:rPr>
          <w:rFonts w:ascii="Arial" w:cs="Arial" w:eastAsia="Arial" w:hAnsi="Arial"/>
          <w:sz w:val="22"/>
          <w:szCs w:val="22"/>
          <w:color w:val="auto"/>
        </w:rPr>
        <w:t>Each Loan Party and the ABL Representative, on behalf of itself and the ABL Secured Parties, agrees that it shall not at any time execute or deliver any amendment or other modification to any of the ABL Documents in violation of this Agreement.</w:t>
      </w:r>
    </w:p>
    <w:p>
      <w:pPr>
        <w:spacing w:after="0" w:line="226" w:lineRule="exact"/>
        <w:rPr>
          <w:rFonts w:ascii="Arial" w:cs="Arial" w:eastAsia="Arial" w:hAnsi="Arial"/>
          <w:sz w:val="22"/>
          <w:szCs w:val="22"/>
          <w:color w:val="auto"/>
        </w:rPr>
      </w:pPr>
    </w:p>
    <w:p>
      <w:pPr>
        <w:jc w:val="both"/>
        <w:ind w:firstLine="656"/>
        <w:spacing w:after="0" w:line="258" w:lineRule="auto"/>
        <w:tabs>
          <w:tab w:leader="none" w:pos="1536" w:val="left"/>
        </w:tabs>
        <w:numPr>
          <w:ilvl w:val="0"/>
          <w:numId w:val="426"/>
        </w:numPr>
        <w:rPr>
          <w:rFonts w:ascii="Arial" w:cs="Arial" w:eastAsia="Arial" w:hAnsi="Arial"/>
          <w:sz w:val="21"/>
          <w:szCs w:val="21"/>
          <w:color w:val="auto"/>
        </w:rPr>
      </w:pPr>
      <w:r>
        <w:rPr>
          <w:rFonts w:ascii="Arial" w:cs="Arial" w:eastAsia="Arial" w:hAnsi="Arial"/>
          <w:sz w:val="21"/>
          <w:szCs w:val="21"/>
          <w:color w:val="auto"/>
        </w:rPr>
        <w:t xml:space="preserve">In the event the Senior Representative enters into any amendment, waiver or consent in respect of any of the Senior Security Documents which is not materially adverse to the Junior Secured Parties for the purpose of adding to, or deleting from, or waiving or consenting to any departures from any provisions of, any Senior Security Document or changing in any manner the rights of any parties thereunder, in each case solely with respect to any Senior Collateral, then such amendment, waiver or consent shall apply automatically to any comparable provision of the Comparable Security Document without the consent of or action by any Junior Secured Party (with all such amendments, waivers and modifications subject to the terms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no such amendment, waiver or consent shall have the effect of removing assets subject to the Lien of any Junior Security Document, except to the extent that a release of such Lien is required by </w:t>
      </w:r>
      <w:r>
        <w:rPr>
          <w:rFonts w:ascii="Arial" w:cs="Arial" w:eastAsia="Arial" w:hAnsi="Arial"/>
          <w:sz w:val="21"/>
          <w:szCs w:val="21"/>
          <w:u w:val="single" w:color="auto"/>
          <w:color w:val="auto"/>
        </w:rPr>
        <w:t>Section 4.2</w:t>
      </w:r>
      <w:r>
        <w:rPr>
          <w:rFonts w:ascii="Arial" w:cs="Arial" w:eastAsia="Arial" w:hAnsi="Arial"/>
          <w:sz w:val="21"/>
          <w:szCs w:val="21"/>
          <w:color w:val="auto"/>
        </w:rPr>
        <w:t>, (ii) any such amendment, waiver or consent that materially and adversely affects the rights of the Junior Secured Parties and does not affect the Senior Secured Parties in a like or similar manner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90" w:right="239" w:bottom="1440" w:gutter="0" w:footer="0" w:header="0"/>
        </w:sectPr>
      </w:pPr>
    </w:p>
    <w:bookmarkStart w:id="371" w:name="page372"/>
    <w:bookmarkEnd w:id="371"/>
    <w:p>
      <w:pPr>
        <w:jc w:val="both"/>
        <w:spacing w:after="0" w:line="261" w:lineRule="auto"/>
        <w:rPr>
          <w:sz w:val="20"/>
          <w:szCs w:val="20"/>
          <w:color w:val="auto"/>
        </w:rPr>
      </w:pPr>
      <w:r>
        <w:rPr>
          <w:rFonts w:ascii="Arial" w:cs="Arial" w:eastAsia="Arial" w:hAnsi="Arial"/>
          <w:sz w:val="21"/>
          <w:szCs w:val="21"/>
          <w:color w:val="auto"/>
        </w:rPr>
        <w:t xml:space="preserve">shall not apply to the Junior Security Documents without the consent of the Junior Representative, (iii) no such amendment, waiver or consent with respect to any provision applicable to the Junior Representative under the Junior Loan Documents shall be made without the prior written consent of the Junior Representative, (iv) notice of such amendment, waiver or consent shall be given to the Junior Representative no later than 30 days after its effectiveness,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failure to give such notice shall not affect the effectiveness and validity thereof and (v) such amendment, waiver or modification to the applicable Junior Security Documents shall be approved by the Borrower in writing.</w:t>
      </w:r>
    </w:p>
    <w:p>
      <w:pPr>
        <w:spacing w:after="0" w:line="18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7.</w:t>
      </w:r>
      <w:r>
        <w:rPr>
          <w:sz w:val="20"/>
          <w:szCs w:val="20"/>
          <w:color w:val="auto"/>
        </w:rPr>
        <w:tab/>
      </w:r>
      <w:r>
        <w:rPr>
          <w:rFonts w:ascii="Arial" w:cs="Arial" w:eastAsia="Arial" w:hAnsi="Arial"/>
          <w:sz w:val="19"/>
          <w:szCs w:val="19"/>
          <w:i w:val="1"/>
          <w:iCs w:val="1"/>
          <w:color w:val="auto"/>
        </w:rPr>
        <w:t>Purchase Options.</w:t>
      </w:r>
    </w:p>
    <w:p>
      <w:pPr>
        <w:spacing w:after="0" w:line="26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Notice of Exercise</w:t>
      </w:r>
      <w:r>
        <w:rPr>
          <w:rFonts w:ascii="Arial" w:cs="Arial" w:eastAsia="Arial" w:hAnsi="Arial"/>
          <w:sz w:val="22"/>
          <w:szCs w:val="22"/>
          <w:color w:val="auto"/>
        </w:rPr>
        <w:t>. (a) Upon the occurrence and during the continuance of an “Event of Default” under the ABL Documents, if such Event of Default remains uncured or unwaived for at least sixty (60) consecutive days and the requisite ABL Lenders have not agreed to forbear from the exercise of remedies (or, if earlier, within five (5) Business Days after the ABL Representative notifies the Term Loan Representative that it shall exercise remedies), all or a portion of the Term Loan Creditors, acting as a single group, shall have the option at any time upon five (5) Business Days’ prior written notice to the ABL Representative to purchase all of the ABL Obligations from the ABL Secured Parties. Such notice from such Term Loan Creditors to the ABL Representative shall be irrevocable.</w:t>
      </w:r>
    </w:p>
    <w:p>
      <w:pPr>
        <w:spacing w:after="0" w:line="238" w:lineRule="exact"/>
        <w:rPr>
          <w:sz w:val="20"/>
          <w:szCs w:val="20"/>
          <w:color w:val="auto"/>
        </w:rPr>
      </w:pPr>
    </w:p>
    <w:p>
      <w:pPr>
        <w:jc w:val="both"/>
        <w:ind w:firstLine="656"/>
        <w:spacing w:after="0" w:line="246" w:lineRule="auto"/>
        <w:tabs>
          <w:tab w:leader="none" w:pos="1549" w:val="left"/>
        </w:tabs>
        <w:numPr>
          <w:ilvl w:val="0"/>
          <w:numId w:val="427"/>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 “Event of Default” under the Term Loan Documents,, if such Event of Default remains uncured or unwaived for at least sixty (60) consecutive days and the Term Loan Representative has not agreed to forbear from the exercise of remedies (or, if earlier, within five (5) Business Days after the Term Loan Representative notifies the ABL Representative that it shall exercise remedies), all or a portion of the ABL Creditors, acting as a single group, shall have the option at any time upon five (5) Business Days’ prior written notice to the Term Loan Representative to purchase all of the Term Loan Obligations from the Term Loan Creditors. Such notice from such ABL Creditors to the Term Loan Representative shall be irrevocable.</w:t>
      </w:r>
    </w:p>
    <w:p>
      <w:pPr>
        <w:spacing w:after="0" w:line="23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Purchase and Sale</w:t>
      </w:r>
      <w:r>
        <w:rPr>
          <w:rFonts w:ascii="Arial" w:cs="Arial" w:eastAsia="Arial" w:hAnsi="Arial"/>
          <w:sz w:val="22"/>
          <w:szCs w:val="22"/>
          <w:color w:val="auto"/>
        </w:rPr>
        <w:t xml:space="preserve">. (a) On the date specified by the relevant Term Loan Creditors in the notice contemplated </w:t>
      </w:r>
      <w:r>
        <w:rPr>
          <w:rFonts w:ascii="Arial" w:cs="Arial" w:eastAsia="Arial" w:hAnsi="Arial"/>
          <w:sz w:val="22"/>
          <w:szCs w:val="22"/>
          <w:u w:val="single" w:color="auto"/>
          <w:color w:val="auto"/>
        </w:rPr>
        <w:t>by</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above (which shall not be less than five (5) Business Days, nor more than twenty (20) calendar days, after the receipt by the ABL Representative of the notice of the relevant Term Loan Creditor’s election to exercise such option), the ABL Lenders shall sell to the relevant Term Loan Creditors, and the relevant Term Loan Creditors shall purchase from the ABL Lenders, the ABL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ABL Representative and the ABL Secured Parties shall retain all rights to be indemnified or held harmless by the Loan Parties in accordance with the terms of the ABL Documents but shall not retain any rights to the security therefor.</w:t>
      </w:r>
    </w:p>
    <w:p>
      <w:pPr>
        <w:spacing w:after="0" w:line="238" w:lineRule="exact"/>
        <w:rPr>
          <w:sz w:val="20"/>
          <w:szCs w:val="20"/>
          <w:color w:val="auto"/>
        </w:rPr>
      </w:pPr>
    </w:p>
    <w:p>
      <w:pPr>
        <w:jc w:val="both"/>
        <w:ind w:firstLine="656"/>
        <w:spacing w:after="0" w:line="302" w:lineRule="auto"/>
        <w:tabs>
          <w:tab w:leader="none" w:pos="1549" w:val="left"/>
        </w:tabs>
        <w:numPr>
          <w:ilvl w:val="0"/>
          <w:numId w:val="428"/>
        </w:numPr>
        <w:rPr>
          <w:rFonts w:ascii="Arial" w:cs="Arial" w:eastAsia="Arial" w:hAnsi="Arial"/>
          <w:sz w:val="19"/>
          <w:szCs w:val="19"/>
          <w:color w:val="auto"/>
        </w:rPr>
      </w:pPr>
      <w:r>
        <w:rPr>
          <w:rFonts w:ascii="Arial" w:cs="Arial" w:eastAsia="Arial" w:hAnsi="Arial"/>
          <w:sz w:val="19"/>
          <w:szCs w:val="19"/>
          <w:color w:val="auto"/>
        </w:rPr>
        <w:t xml:space="preserve">On the date specified by the relevant ABL Creditors in the notice contemplated 25 by </w:t>
      </w:r>
      <w:r>
        <w:rPr>
          <w:rFonts w:ascii="Arial" w:cs="Arial" w:eastAsia="Arial" w:hAnsi="Arial"/>
          <w:sz w:val="19"/>
          <w:szCs w:val="19"/>
          <w:u w:val="single" w:color="auto"/>
          <w:color w:val="auto"/>
        </w:rPr>
        <w:t>Section 7.l(b)</w:t>
      </w:r>
      <w:r>
        <w:rPr>
          <w:rFonts w:ascii="Arial" w:cs="Arial" w:eastAsia="Arial" w:hAnsi="Arial"/>
          <w:sz w:val="19"/>
          <w:szCs w:val="19"/>
          <w:color w:val="auto"/>
        </w:rPr>
        <w:t xml:space="preserve"> above (which shall not be less than five (5) Business Days, nor more than twenty (20) calendar days, after the receipt by Term Loan Representative of the notice of the relevant ABL Creditor’s election to exercise such option), the Term Loan Creditors shall sell to the relevant ABL Creditors, and the relevant ABL Creditors shall purchase from the Term Loan Creditors, the Term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90" w:right="239" w:bottom="1440" w:gutter="0" w:footer="0" w:header="0"/>
        </w:sectPr>
      </w:pPr>
    </w:p>
    <w:bookmarkStart w:id="372" w:name="page373"/>
    <w:bookmarkEnd w:id="372"/>
    <w:p>
      <w:pPr>
        <w:jc w:val="both"/>
        <w:spacing w:after="0" w:line="253" w:lineRule="auto"/>
        <w:rPr>
          <w:sz w:val="20"/>
          <w:szCs w:val="20"/>
          <w:color w:val="auto"/>
        </w:rPr>
      </w:pPr>
      <w:r>
        <w:rPr>
          <w:rFonts w:ascii="Arial" w:cs="Arial" w:eastAsia="Arial" w:hAnsi="Arial"/>
          <w:sz w:val="22"/>
          <w:szCs w:val="22"/>
          <w:color w:val="auto"/>
        </w:rPr>
        <w:t>Loan Obligations, provided that, the Term Loan Representative and the Term Loan Secured Parties shall retain all rights to be indemnified or held harmless by the Loan Parties in accordance with the terms of the Term Loan Documents but shall not retain any rights to the security therefor.</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Payment of Purchase Price</w:t>
      </w:r>
      <w:r>
        <w:rPr>
          <w:rFonts w:ascii="Arial" w:cs="Arial" w:eastAsia="Arial" w:hAnsi="Arial"/>
          <w:sz w:val="19"/>
          <w:szCs w:val="19"/>
          <w:color w:val="auto"/>
        </w:rPr>
        <w:t>. Upon the date of such purchase and sale, the relevant Term Loan Creditors or the relevant ABL Creditors, as applicable, shall (a) pay to the ABL Representative for the benefit of the ABL Creditors (with respect to a purchase of the ABL Obligations) or to the Term Loan Representative for the benefit of the Term Loan Creditors (with respect to a purchase of the Term Loan Obligations) as the purchase price therefor the full amount of all the ABL Obligations or Term Loan Obligations, as applicable, then outstanding and unpaid (including principal, interest, fees and expenses, including reasonable attorneys’ fees and legal expenses but specifically excluding any prepayment premium, termination or similar fees), (b) with respect to a purchase of the ABL Obligations, furnish cash collateral to the ABL Representative in a manner and in such amounts as the ABL Representative determines is reasonably necessary to secure the ABL Representative, the ABL Secured Parties, letter of credit issuing banks and applicable affiliates in connection with any issued and outstanding letters of credit, hedging obligations and cash management obligations secured by the ABL Documents, (c) with respect to a purchase of the ABL Obligations, agree to reimburse the ABL Representative, the ABL Secured Parties and letter of credit issuing banks for any loss, cost, damage or expense (including reasonable attorneys’ fees and legal expenses) in connection with any commissions, fees, costs or expenses related to any issued and outstanding letters of credit as described above, ACH transfers and any checks or other payments provisionally credited to the ABL Obligations, and/or as to which the ABL Representative has not yet received final payment, (d) agree to reimburse the ABL Secured Parties or the Term Loan Secured Parties, as applicable, and with respect to a purchase of the ABL Obligations letter of credit issuing banks, in respect of indemnification obligations of the Loan Parties under the ABL Documents or the Term Loan Documents, as applicable, as to matters or circumstances known to the ABL Representative or the Term Loan Representative, as applicable, at the time of the purchase and sale which would reasonably be expected to result in any loss, cost, damage or expense (including reasonable attorneys’ fees and legal expenses) to the ABL Secured Parties, the Term Loan Secured Parties or letter of credit issuing banks, as applicable, and (e) agree to indemnify and hold harmless the ABL Secured Parties or the Term Loan Secured Parties, as applicable, and with respect to a purchase of the ABL Obligations letter of credit issuing banks, from and against any loss, liability, claim, damage or expense (including reasonable fees and expenses of legal counsel) arising out of any claim asserted by a third party in respect of the ABL Obligations or the Term Loan Obligations, as applicable, as a direct result of any acts by any Term Loan Secured Party or any ABL Secured Party, as applicable, occurring after the date of such purchase. Such purchase price and cash collateral shall be remitted by wire transfer in federal funds to such bank account as the ABL Representative or the Term Loan Representative, as applicable, may designate in writing for such purpose.</w:t>
      </w:r>
    </w:p>
    <w:p>
      <w:pPr>
        <w:spacing w:after="0" w:line="20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Limitation on Representations and Warranties</w:t>
      </w:r>
      <w:r>
        <w:rPr>
          <w:rFonts w:ascii="Arial" w:cs="Arial" w:eastAsia="Arial" w:hAnsi="Arial"/>
          <w:sz w:val="19"/>
          <w:szCs w:val="19"/>
          <w:color w:val="auto"/>
        </w:rPr>
        <w:t>. Such purchase shall be expressly made without representation or warranty of any kind by any selling party (or the ABL Representative or the Term Loan Representative, as applicable) and without recourse of any kind, except that the selling party shall represent and warrant: (a) the amount of the ABL Obligations or Term Loan Obligations, as applicable, being purchased from it, (b) that such ABL Secured Party or Term Loan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91" w:right="239" w:bottom="1440" w:gutter="0" w:footer="0" w:header="0"/>
        </w:sectPr>
      </w:pPr>
    </w:p>
    <w:bookmarkStart w:id="373" w:name="page374"/>
    <w:bookmarkEnd w:id="373"/>
    <w:p>
      <w:pPr>
        <w:jc w:val="both"/>
        <w:spacing w:after="0" w:line="271" w:lineRule="auto"/>
        <w:rPr>
          <w:sz w:val="20"/>
          <w:szCs w:val="20"/>
          <w:color w:val="auto"/>
        </w:rPr>
      </w:pPr>
      <w:r>
        <w:rPr>
          <w:rFonts w:ascii="Arial" w:cs="Arial" w:eastAsia="Arial" w:hAnsi="Arial"/>
          <w:sz w:val="21"/>
          <w:szCs w:val="21"/>
          <w:color w:val="auto"/>
        </w:rPr>
        <w:t>Secured Party, as applicable, or the Borrower own the ABL Obligations or Term Loan Obligations, as applicable, free and clear of any Liens or encumbrances and (c) that such ABL Secured Party or Term Loan Secured Party, as applicable, has the right to assign such ABL Obligations or Term Loan Obligations, as applicable, and the assignment is duly authorized.</w:t>
      </w:r>
    </w:p>
    <w:p>
      <w:pPr>
        <w:spacing w:after="0" w:line="168"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i w:val="1"/>
          <w:iCs w:val="1"/>
          <w:u w:val="single" w:color="auto"/>
          <w:color w:val="auto"/>
        </w:rPr>
        <w:t>Section 8.</w:t>
      </w:r>
      <w:r>
        <w:rPr>
          <w:sz w:val="20"/>
          <w:szCs w:val="20"/>
          <w:color w:val="auto"/>
        </w:rPr>
        <w:tab/>
      </w:r>
      <w:r>
        <w:rPr>
          <w:rFonts w:ascii="Arial" w:cs="Arial" w:eastAsia="Arial" w:hAnsi="Arial"/>
          <w:sz w:val="19"/>
          <w:szCs w:val="19"/>
          <w:i w:val="1"/>
          <w:iCs w:val="1"/>
          <w:color w:val="auto"/>
        </w:rPr>
        <w:t>Reliance; Waivers; etc.</w:t>
      </w:r>
    </w:p>
    <w:p>
      <w:pPr>
        <w:spacing w:after="0" w:line="26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Reliance</w:t>
      </w:r>
      <w:r>
        <w:rPr>
          <w:rFonts w:ascii="Arial" w:cs="Arial" w:eastAsia="Arial" w:hAnsi="Arial"/>
          <w:sz w:val="19"/>
          <w:szCs w:val="19"/>
          <w:color w:val="auto"/>
        </w:rPr>
        <w:t>. The ABL Documents are deemed to have been executed and delivered, and all extensions of credit thereunder are deemed to have been made or incurred, in reliance upon this Agreement. The Term Loan Representative, on behalf of it itself and the other Term Loan Secured Parties, expressly waives all notice of the acceptance of and reliance on this Agreement by the ABL Representative and the other ABL Secured Parties. The Term Loan Documents are deemed to have been executed and delivered, and all extensions of credit thereunder are deemed to have been made or incurred, in reliance upon this Agreement. The ABL Representative, on behalf of itself and the other ABL Secured Parties, expressly waives all notices of the acceptance of and reliance on this Agreement by the Term Loan Representative and the other Term Loan Secured Parties.</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No Warranties or Liability</w:t>
      </w:r>
      <w:r>
        <w:rPr>
          <w:rFonts w:ascii="Arial" w:cs="Arial" w:eastAsia="Arial" w:hAnsi="Arial"/>
          <w:sz w:val="19"/>
          <w:szCs w:val="19"/>
          <w:color w:val="auto"/>
        </w:rPr>
        <w:t>. The Term Loan Representative and the ABL Representative acknowledge and agree that neither has made any representation or warranty with respect to the execution, validity, legality, completeness, collectability or enforceability of any other ABL Document or any Term Loan Document. Except as otherwise provided in this Agreement, the Term Loan Representative and the ABL Representative will be entitled to manage and supervise the respective extensions of credit to any Loan Party in accordance with law and their usual practices, modified from time to time as they deem appropriate.</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22"/>
          <w:szCs w:val="22"/>
          <w:u w:val="single" w:color="auto"/>
          <w:color w:val="auto"/>
        </w:rPr>
        <w:t>No Waivers</w:t>
      </w:r>
      <w:r>
        <w:rPr>
          <w:rFonts w:ascii="Arial" w:cs="Arial" w:eastAsia="Arial" w:hAnsi="Arial"/>
          <w:sz w:val="22"/>
          <w:szCs w:val="22"/>
          <w:color w:val="auto"/>
        </w:rPr>
        <w:t>. No right or benefit of any party hereunder shall at any time in any way be prejudiced or impaired by any act or failure to act on the part of such party or any other party hereto or by any noncompliance by any Loan Party with the terms and conditions of any of the ABL Documents or the Term Loan Documents.</w:t>
      </w:r>
    </w:p>
    <w:p>
      <w:pPr>
        <w:spacing w:after="0" w:line="186"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i w:val="1"/>
          <w:iCs w:val="1"/>
          <w:u w:val="single" w:color="auto"/>
          <w:color w:val="auto"/>
        </w:rPr>
        <w:t>Section 9.</w:t>
      </w:r>
      <w:r>
        <w:rPr>
          <w:rFonts w:ascii="Arial" w:cs="Arial" w:eastAsia="Arial" w:hAnsi="Arial"/>
          <w:sz w:val="22"/>
          <w:szCs w:val="22"/>
          <w:i w:val="1"/>
          <w:iCs w:val="1"/>
          <w:color w:val="auto"/>
        </w:rPr>
        <w:t xml:space="preserve"> Obligations Unconditional</w:t>
      </w:r>
      <w:r>
        <w:rPr>
          <w:rFonts w:ascii="Arial" w:cs="Arial" w:eastAsia="Arial" w:hAnsi="Arial"/>
          <w:sz w:val="22"/>
          <w:szCs w:val="22"/>
          <w:color w:val="auto"/>
        </w:rPr>
        <w:t>. All rights, interests, agreements and obligations hereunder of the Senior Representative</w:t>
      </w:r>
      <w:r>
        <w:rPr>
          <w:rFonts w:ascii="Arial" w:cs="Arial" w:eastAsia="Arial" w:hAnsi="Arial"/>
          <w:sz w:val="22"/>
          <w:szCs w:val="22"/>
          <w:i w:val="1"/>
          <w:iCs w:val="1"/>
          <w:color w:val="auto"/>
        </w:rPr>
        <w:t xml:space="preserve"> </w:t>
      </w:r>
      <w:r>
        <w:rPr>
          <w:rFonts w:ascii="Arial" w:cs="Arial" w:eastAsia="Arial" w:hAnsi="Arial"/>
          <w:sz w:val="22"/>
          <w:szCs w:val="22"/>
          <w:color w:val="auto"/>
        </w:rPr>
        <w:t>and the Senior Secured Parties in respect of any Collateral and the Junior Representative and the Junior Secured Parties in respect of such Collateral shall remain in full force and effect regardless of:</w:t>
      </w:r>
    </w:p>
    <w:p>
      <w:pPr>
        <w:spacing w:after="0" w:line="226" w:lineRule="exact"/>
        <w:rPr>
          <w:sz w:val="20"/>
          <w:szCs w:val="20"/>
          <w:color w:val="auto"/>
        </w:rPr>
      </w:pPr>
    </w:p>
    <w:p>
      <w:pPr>
        <w:ind w:firstLine="656"/>
        <w:spacing w:after="0" w:line="343" w:lineRule="auto"/>
        <w:tabs>
          <w:tab w:leader="none" w:pos="1536" w:val="left"/>
        </w:tabs>
        <w:numPr>
          <w:ilvl w:val="0"/>
          <w:numId w:val="429"/>
        </w:numPr>
        <w:rPr>
          <w:rFonts w:ascii="Arial" w:cs="Arial" w:eastAsia="Arial" w:hAnsi="Arial"/>
          <w:sz w:val="19"/>
          <w:szCs w:val="19"/>
          <w:color w:val="auto"/>
        </w:rPr>
      </w:pPr>
      <w:r>
        <w:rPr>
          <w:rFonts w:ascii="Arial" w:cs="Arial" w:eastAsia="Arial" w:hAnsi="Arial"/>
          <w:sz w:val="19"/>
          <w:szCs w:val="19"/>
          <w:color w:val="auto"/>
        </w:rPr>
        <w:t>any lack of validity or enforceability of any Senior Document or any Junior Document and regardless of whether the Liens of the Senior Representative and Senior Secured Parties are not perfected or are voidable for any reason;</w:t>
      </w:r>
    </w:p>
    <w:p>
      <w:pPr>
        <w:spacing w:after="0" w:line="145" w:lineRule="exact"/>
        <w:rPr>
          <w:rFonts w:ascii="Arial" w:cs="Arial" w:eastAsia="Arial" w:hAnsi="Arial"/>
          <w:sz w:val="19"/>
          <w:szCs w:val="19"/>
          <w:color w:val="auto"/>
        </w:rPr>
      </w:pPr>
    </w:p>
    <w:p>
      <w:pPr>
        <w:jc w:val="both"/>
        <w:ind w:firstLine="656"/>
        <w:spacing w:after="0" w:line="312" w:lineRule="auto"/>
        <w:tabs>
          <w:tab w:leader="none" w:pos="1549" w:val="left"/>
        </w:tabs>
        <w:numPr>
          <w:ilvl w:val="0"/>
          <w:numId w:val="429"/>
        </w:numPr>
        <w:rPr>
          <w:rFonts w:ascii="Arial" w:cs="Arial" w:eastAsia="Arial" w:hAnsi="Arial"/>
          <w:sz w:val="19"/>
          <w:szCs w:val="19"/>
          <w:color w:val="auto"/>
        </w:rPr>
      </w:pPr>
      <w:r>
        <w:rPr>
          <w:rFonts w:ascii="Arial" w:cs="Arial" w:eastAsia="Arial" w:hAnsi="Arial"/>
          <w:sz w:val="19"/>
          <w:szCs w:val="19"/>
          <w:color w:val="auto"/>
        </w:rPr>
        <w:t>any change in the time, manner or place of payment of, or in any other terms of, all or any of the Senior Obligations or Junior Obligations, or any amendment or waiver or other modification, including any increase in the amount thereof or any refinancing, whether by course of conduct or otherwise, of the terms of any Senior Document or any Junior Document;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91" w:right="239" w:bottom="1440" w:gutter="0" w:footer="0" w:header="0"/>
        </w:sectPr>
      </w:pPr>
    </w:p>
    <w:bookmarkStart w:id="374" w:name="page375"/>
    <w:bookmarkEnd w:id="374"/>
    <w:p>
      <w:pPr>
        <w:jc w:val="both"/>
        <w:ind w:firstLine="656"/>
        <w:spacing w:after="0" w:line="253" w:lineRule="auto"/>
        <w:tabs>
          <w:tab w:leader="none" w:pos="1536" w:val="left"/>
        </w:tabs>
        <w:numPr>
          <w:ilvl w:val="0"/>
          <w:numId w:val="430"/>
        </w:numPr>
        <w:rPr>
          <w:rFonts w:ascii="Arial" w:cs="Arial" w:eastAsia="Arial" w:hAnsi="Arial"/>
          <w:sz w:val="22"/>
          <w:szCs w:val="22"/>
          <w:color w:val="auto"/>
        </w:rPr>
      </w:pPr>
      <w:r>
        <w:rPr>
          <w:rFonts w:ascii="Arial" w:cs="Arial" w:eastAsia="Arial" w:hAnsi="Arial"/>
          <w:sz w:val="22"/>
          <w:szCs w:val="22"/>
          <w:color w:val="auto"/>
        </w:rPr>
        <w:t>any exchange, release or lack of perfection of any Lien on any Collateral or any other asset, or any amendment, waiver or other modification, whether in writing or by course of conduct or otherwise, of all or any of the Senior Obligations or Junior Obligations or any guarantee thereof;</w:t>
      </w:r>
    </w:p>
    <w:p>
      <w:pPr>
        <w:spacing w:after="0" w:line="226" w:lineRule="exact"/>
        <w:rPr>
          <w:rFonts w:ascii="Arial" w:cs="Arial" w:eastAsia="Arial" w:hAnsi="Arial"/>
          <w:sz w:val="22"/>
          <w:szCs w:val="22"/>
          <w:color w:val="auto"/>
        </w:rPr>
      </w:pPr>
    </w:p>
    <w:p>
      <w:pPr>
        <w:ind w:left="1560" w:hanging="904"/>
        <w:spacing w:after="0"/>
        <w:tabs>
          <w:tab w:leader="none" w:pos="1560" w:val="left"/>
        </w:tabs>
        <w:numPr>
          <w:ilvl w:val="0"/>
          <w:numId w:val="430"/>
        </w:numPr>
        <w:rPr>
          <w:rFonts w:ascii="Arial" w:cs="Arial" w:eastAsia="Arial" w:hAnsi="Arial"/>
          <w:sz w:val="22"/>
          <w:szCs w:val="22"/>
          <w:color w:val="auto"/>
        </w:rPr>
      </w:pPr>
      <w:r>
        <w:rPr>
          <w:rFonts w:ascii="Arial" w:cs="Arial" w:eastAsia="Arial" w:hAnsi="Arial"/>
          <w:sz w:val="22"/>
          <w:szCs w:val="22"/>
          <w:color w:val="auto"/>
        </w:rPr>
        <w:t>the commencement of any Insolvency Proceeding in respect of any Loan Party; or</w:t>
      </w:r>
    </w:p>
    <w:p>
      <w:pPr>
        <w:spacing w:after="0" w:line="260" w:lineRule="exact"/>
        <w:rPr>
          <w:rFonts w:ascii="Arial" w:cs="Arial" w:eastAsia="Arial" w:hAnsi="Arial"/>
          <w:sz w:val="22"/>
          <w:szCs w:val="22"/>
          <w:color w:val="auto"/>
        </w:rPr>
      </w:pPr>
    </w:p>
    <w:p>
      <w:pPr>
        <w:ind w:right="20" w:firstLine="656"/>
        <w:spacing w:after="0" w:line="263" w:lineRule="auto"/>
        <w:tabs>
          <w:tab w:leader="none" w:pos="1536" w:val="left"/>
        </w:tabs>
        <w:numPr>
          <w:ilvl w:val="0"/>
          <w:numId w:val="430"/>
        </w:numPr>
        <w:rPr>
          <w:rFonts w:ascii="Arial" w:cs="Arial" w:eastAsia="Arial" w:hAnsi="Arial"/>
          <w:sz w:val="22"/>
          <w:szCs w:val="22"/>
          <w:color w:val="auto"/>
        </w:rPr>
      </w:pPr>
      <w:r>
        <w:rPr>
          <w:rFonts w:ascii="Arial" w:cs="Arial" w:eastAsia="Arial" w:hAnsi="Arial"/>
          <w:sz w:val="22"/>
          <w:szCs w:val="22"/>
          <w:color w:val="auto"/>
        </w:rPr>
        <w:t>any other circumstances which otherwise might constitute a defense available to, or a discharge of, any Loan Party in respect of any Secured Obligation or of any Junior Secured Party in respect of this Agreement,</w:t>
      </w:r>
    </w:p>
    <w:p>
      <w:pPr>
        <w:spacing w:after="0" w:line="175" w:lineRule="exact"/>
        <w:rPr>
          <w:sz w:val="20"/>
          <w:szCs w:val="20"/>
          <w:color w:val="auto"/>
        </w:rPr>
      </w:pPr>
    </w:p>
    <w:p>
      <w:pPr>
        <w:spacing w:after="0"/>
        <w:tabs>
          <w:tab w:leader="none" w:pos="1160" w:val="left"/>
        </w:tabs>
        <w:rPr>
          <w:sz w:val="20"/>
          <w:szCs w:val="20"/>
          <w:color w:val="auto"/>
        </w:rPr>
      </w:pPr>
      <w:r>
        <w:rPr>
          <w:rFonts w:ascii="Arial" w:cs="Arial" w:eastAsia="Arial" w:hAnsi="Arial"/>
          <w:sz w:val="22"/>
          <w:szCs w:val="22"/>
          <w:i w:val="1"/>
          <w:iCs w:val="1"/>
          <w:u w:val="single" w:color="auto"/>
          <w:color w:val="auto"/>
        </w:rPr>
        <w:t>Section 10.</w:t>
      </w:r>
      <w:r>
        <w:rPr>
          <w:sz w:val="20"/>
          <w:szCs w:val="20"/>
          <w:color w:val="auto"/>
        </w:rPr>
        <w:tab/>
      </w:r>
      <w:r>
        <w:rPr>
          <w:rFonts w:ascii="Arial" w:cs="Arial" w:eastAsia="Arial" w:hAnsi="Arial"/>
          <w:sz w:val="19"/>
          <w:szCs w:val="19"/>
          <w:i w:val="1"/>
          <w:iCs w:val="1"/>
          <w:color w:val="auto"/>
        </w:rPr>
        <w:t>Miscellaneous</w:t>
      </w:r>
      <w:r>
        <w:rPr>
          <w:rFonts w:ascii="Arial" w:cs="Arial" w:eastAsia="Arial" w:hAnsi="Arial"/>
          <w:sz w:val="19"/>
          <w:szCs w:val="19"/>
          <w:color w:val="auto"/>
        </w:rPr>
        <w:t>.</w:t>
      </w:r>
    </w:p>
    <w:p>
      <w:pPr>
        <w:spacing w:after="0" w:line="2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Rights of Subrogation</w:t>
      </w:r>
      <w:r>
        <w:rPr>
          <w:rFonts w:ascii="Arial" w:cs="Arial" w:eastAsia="Arial" w:hAnsi="Arial"/>
          <w:sz w:val="19"/>
          <w:szCs w:val="19"/>
          <w:color w:val="auto"/>
        </w:rPr>
        <w:t>. The Term Loan Representative, for and on behalf of itself and the Term Loan Secured Parties, agrees that no payment to the ABL Representative or any ABL Secured Party pursuant to the provisions of this Agreement shall entitle the Term Loan Representative or any Term Loan Secured Party to exercise any rights of subrogation in respect thereof until the ABL Obligations Payment Date. Following the ABL Obligations Payment Date, the ABL Representative agrees to execute such documents, agreements, and instruments as the Term Loan Representative or any Term Loan Secured Party may reasonably request to evidence the transfer by subrogation to any such Person of an interest in the ABL Obligations resulting from payments to the ABL Representative by such Person, so long as all costs and expenses (including all reasonable legal fees and disbursements) incurred in connection therewith by the ABL Representative are paid by such Person upon request for payment thereof. The ABL Representative, for and on behalf of itself and the ABL Secured Parties, agrees that no payment to the Term Loan Representative or any Term Loan Secured Party pursuant to the provisions of this Agreement shall entitle the ABL Representative or any ABL Secured Party to exercise any rights of subrogation in respect thereof until the Term Loan Obligations Payment Date. Following the Term Loan Obligations Payment Date, the Term Loan Representative agrees to execute such documents, agreements, and instruments as the ABL Representative or any ABL Secured Party may reasonably request to evidence the transfer by subrogation to any such Person of an interest in the Term Loan Obligations resulting from payments to the Term Loan Representative by such Person, so long as all costs and expenses (including all reasonable legal fees and disbursements) incurred in connection therewith by the Term Loan Representative are paid by such Person upon request for payment thereof.</w:t>
      </w:r>
    </w:p>
    <w:p>
      <w:pPr>
        <w:spacing w:after="0" w:line="21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Further Assurances.</w:t>
      </w:r>
      <w:r>
        <w:rPr>
          <w:rFonts w:ascii="Arial" w:cs="Arial" w:eastAsia="Arial" w:hAnsi="Arial"/>
          <w:sz w:val="19"/>
          <w:szCs w:val="19"/>
          <w:color w:val="auto"/>
        </w:rPr>
        <w:t xml:space="preserve"> Each of the Term Loan Representative and the ABL Representative will, at any time and from time to time, promptly execute and deliver all further instruments and documents, and take all further action, that may be necessary or desirable, or that the other party may reasonably request, in order to protect any right or interest granted or purported to be granted hereby or to enable the ABL Representative or the Term Loan Representative to exercise and enforce its rights and remedies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party shall be required to pay over any payment or distribution, execute any instruments or documents, or take any other action referred to in this </w:t>
      </w:r>
      <w:r>
        <w:rPr>
          <w:rFonts w:ascii="Arial" w:cs="Arial" w:eastAsia="Arial" w:hAnsi="Arial"/>
          <w:sz w:val="19"/>
          <w:szCs w:val="19"/>
          <w:u w:val="single" w:color="auto"/>
          <w:color w:val="auto"/>
        </w:rPr>
        <w:t>Section 10.2</w:t>
      </w:r>
      <w:r>
        <w:rPr>
          <w:rFonts w:ascii="Arial" w:cs="Arial" w:eastAsia="Arial" w:hAnsi="Arial"/>
          <w:sz w:val="19"/>
          <w:szCs w:val="19"/>
          <w:color w:val="auto"/>
        </w:rPr>
        <w:t>, to the extent that such action would contravene any law, order or other legal requirement or any of the terms or provisions of this Agreement,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91" w:right="239" w:bottom="1440" w:gutter="0" w:footer="0" w:header="0"/>
        </w:sectPr>
      </w:pPr>
    </w:p>
    <w:bookmarkStart w:id="375" w:name="page376"/>
    <w:bookmarkEnd w:id="375"/>
    <w:p>
      <w:pPr>
        <w:jc w:val="both"/>
        <w:spacing w:after="0" w:line="287" w:lineRule="auto"/>
        <w:rPr>
          <w:sz w:val="20"/>
          <w:szCs w:val="20"/>
          <w:color w:val="auto"/>
        </w:rPr>
      </w:pPr>
      <w:r>
        <w:rPr>
          <w:rFonts w:ascii="Arial" w:cs="Arial" w:eastAsia="Arial" w:hAnsi="Arial"/>
          <w:sz w:val="21"/>
          <w:szCs w:val="21"/>
          <w:color w:val="auto"/>
        </w:rPr>
        <w:t xml:space="preserve">in the event of a controversy or dispute, such party may interplead any payment or distribution in any court of competent jurisdiction, without further responsibility in respect of such payment or distribution under this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Conflicts</w:t>
      </w:r>
      <w:r>
        <w:rPr>
          <w:rFonts w:ascii="Arial" w:cs="Arial" w:eastAsia="Arial" w:hAnsi="Arial"/>
          <w:sz w:val="22"/>
          <w:szCs w:val="22"/>
          <w:color w:val="auto"/>
        </w:rPr>
        <w:t>. In the event of any conflict between the provisions of this Agreement and the provisions of any ABL Document or any Term Loan Document, the provisions of this Agreement shall govern.</w:t>
      </w:r>
    </w:p>
    <w:p>
      <w:pPr>
        <w:spacing w:after="0" w:line="21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Continuing Nature of Provisions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this Agreement shall continue to be effective, and shall not be terminable by any party hereto, until the earlier of (i) the ABL Obligations Payment Date and (ii) the Term Loan Obligations Payment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Replacement ABL Agreement or Replacement Term Loan Agreement, as applicable, is entered into following such termination, the relevant Secured Parties agree to, upon the request of any Loan Party, restore this Agreement on the terms and conditions set forth herein until the earlier to occur of the next following ABL Obligations Payment Date or Term Loan Obligations Payment Date. This is a continuing agreement and the ABL Secured Parties and the Term Loan Secured Parties may continue, at any time and without notice to the other parties hereto, to extend credit and other financial accommodations, lend monies and provide indebtedness to, or for the benefit of, any Loan Party on the faith hereof. In furtherance of the foregoing:</w:t>
      </w:r>
    </w:p>
    <w:p>
      <w:pPr>
        <w:spacing w:after="0" w:line="197" w:lineRule="exact"/>
        <w:rPr>
          <w:sz w:val="20"/>
          <w:szCs w:val="20"/>
          <w:color w:val="auto"/>
        </w:rPr>
      </w:pPr>
    </w:p>
    <w:p>
      <w:pPr>
        <w:jc w:val="both"/>
        <w:ind w:firstLine="656"/>
        <w:spacing w:after="0" w:line="288" w:lineRule="auto"/>
        <w:tabs>
          <w:tab w:leader="none" w:pos="1536" w:val="left"/>
        </w:tabs>
        <w:numPr>
          <w:ilvl w:val="0"/>
          <w:numId w:val="431"/>
        </w:numPr>
        <w:rPr>
          <w:rFonts w:ascii="Arial" w:cs="Arial" w:eastAsia="Arial" w:hAnsi="Arial"/>
          <w:sz w:val="19"/>
          <w:szCs w:val="19"/>
          <w:color w:val="auto"/>
        </w:rPr>
      </w:pPr>
      <w:r>
        <w:rPr>
          <w:rFonts w:ascii="Arial" w:cs="Arial" w:eastAsia="Arial" w:hAnsi="Arial"/>
          <w:sz w:val="19"/>
          <w:szCs w:val="19"/>
          <w:color w:val="auto"/>
        </w:rPr>
        <w:t>Upon receipt of a notice from the Loan Parties stating that the Loan Parties (or any of them) have entered into a Replacement ABL Agreement (which notice shall include the identity of the new ABL Representative, if applicable), the Term Loan Representative shall promptly (i) enter into such documents and agreements (including amendments or supplements to this Agreement) as the Loan Parties or the new ABL Representative shall reasonably request in order to provide to the new ABL Representative or the applicable new ABL Secured Parties the rights contemplated hereby, in each case consistent in all material respects with the terms of this Agreement, (ii) deliver to the new ABL Representative any ABL Priority Collateral held by it, together with any necessary endorsements (or otherwise allow the new ABL Representative to obtain control of such ABL Priority Collateral), and (iii) take such other actions as the Loan Parties or the new ABL Representative may reasonably request to provide the new ABL Representative or the applicable ABL Creditors the benefits of this Agreement. The new ABL Representative shall agree in a writing addressed to the Term Loan Representative to be bound by the terms of this Agreement, and</w:t>
      </w:r>
    </w:p>
    <w:p>
      <w:pPr>
        <w:spacing w:after="0" w:line="200" w:lineRule="exact"/>
        <w:rPr>
          <w:rFonts w:ascii="Arial" w:cs="Arial" w:eastAsia="Arial" w:hAnsi="Arial"/>
          <w:sz w:val="19"/>
          <w:szCs w:val="19"/>
          <w:color w:val="auto"/>
        </w:rPr>
      </w:pPr>
    </w:p>
    <w:p>
      <w:pPr>
        <w:jc w:val="both"/>
        <w:ind w:firstLine="656"/>
        <w:spacing w:after="0" w:line="259" w:lineRule="auto"/>
        <w:tabs>
          <w:tab w:leader="none" w:pos="1549" w:val="left"/>
        </w:tabs>
        <w:numPr>
          <w:ilvl w:val="0"/>
          <w:numId w:val="431"/>
        </w:numPr>
        <w:rPr>
          <w:rFonts w:ascii="Arial" w:cs="Arial" w:eastAsia="Arial" w:hAnsi="Arial"/>
          <w:sz w:val="21"/>
          <w:szCs w:val="21"/>
          <w:color w:val="auto"/>
        </w:rPr>
      </w:pPr>
      <w:r>
        <w:rPr>
          <w:rFonts w:ascii="Arial" w:cs="Arial" w:eastAsia="Arial" w:hAnsi="Arial"/>
          <w:sz w:val="21"/>
          <w:szCs w:val="21"/>
          <w:color w:val="auto"/>
        </w:rPr>
        <w:t>Upon receipt of a notice from the Loan Parties stating that the Loan Parties (or any of them) have entered into a Replacement Term Loan Agreement (which notice shall include the identity of the new Term Loan Representative, if applicable), the ABL Representative shall promptly (i) enter into such documents and agreements (including amendments or supplements to this Agreement) as the Loan Parties or the new Term Loan Representative shall reasonably request in order to provide to the new Term Loan Representative or the applicable new Term Loan Secured Parties the rights contemplated hereby, in each case consistent in all material respects with the terms of this Agreement, (ii) deliver to the new Term Loan Representative any Term Loan Priority Collateral held by it together with any necessary endorsements (or otherwise allow the new Term Loan Representative to obtain control of such Term Loan Priority Collateral), and (iii) take such other actions as the Loan Parties or the new Term Loan Representative may reasonably request to</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90" w:right="239" w:bottom="1440" w:gutter="0" w:footer="0" w:header="0"/>
        </w:sectPr>
      </w:pPr>
    </w:p>
    <w:bookmarkStart w:id="376" w:name="page377"/>
    <w:bookmarkEnd w:id="376"/>
    <w:p>
      <w:pPr>
        <w:jc w:val="both"/>
        <w:spacing w:after="0" w:line="343" w:lineRule="auto"/>
        <w:rPr>
          <w:sz w:val="20"/>
          <w:szCs w:val="20"/>
          <w:color w:val="auto"/>
        </w:rPr>
      </w:pPr>
      <w:r>
        <w:rPr>
          <w:rFonts w:ascii="Arial" w:cs="Arial" w:eastAsia="Arial" w:hAnsi="Arial"/>
          <w:sz w:val="19"/>
          <w:szCs w:val="19"/>
          <w:color w:val="auto"/>
        </w:rPr>
        <w:t>provide the new Term Loan Representative or the applicable Term Loan Creditors the benefits of this Agreement. The new Term Loan Representative shall agree in a writing addressed to the ABL Representative to be bound by the terms of this Agreement.</w:t>
      </w:r>
    </w:p>
    <w:p>
      <w:pPr>
        <w:spacing w:after="0" w:line="14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Amendments; Waivers</w:t>
      </w:r>
      <w:r>
        <w:rPr>
          <w:rFonts w:ascii="Arial" w:cs="Arial" w:eastAsia="Arial" w:hAnsi="Arial"/>
          <w:sz w:val="21"/>
          <w:szCs w:val="21"/>
          <w:color w:val="auto"/>
        </w:rPr>
        <w:t xml:space="preserve">. (a) No amendment or modification of or supplement to any of the provisions of this Agreement shall be effective unless the same shall be in writing and signed by the ABL Representative and the Term Loan Representative, and, in the cases of amendments or modifications of or supplements to this Agreement that directly or indirectly affect the rights or duties of any Loan Party, including amendments or modifications of </w:t>
      </w:r>
      <w:r>
        <w:rPr>
          <w:rFonts w:ascii="Arial" w:cs="Arial" w:eastAsia="Arial" w:hAnsi="Arial"/>
          <w:sz w:val="21"/>
          <w:szCs w:val="21"/>
          <w:u w:val="single" w:color="auto"/>
          <w:color w:val="auto"/>
        </w:rPr>
        <w:t>Sections 2.6(b)</w:t>
      </w:r>
      <w:r>
        <w:rPr>
          <w:rFonts w:ascii="Arial" w:cs="Arial" w:eastAsia="Arial" w:hAnsi="Arial"/>
          <w:sz w:val="21"/>
          <w:szCs w:val="21"/>
          <w:color w:val="auto"/>
        </w:rPr>
        <w:t xml:space="preserve">, </w:t>
      </w:r>
      <w:r>
        <w:rPr>
          <w:rFonts w:ascii="Arial" w:cs="Arial" w:eastAsia="Arial" w:hAnsi="Arial"/>
          <w:sz w:val="21"/>
          <w:szCs w:val="21"/>
          <w:u w:val="single" w:color="auto"/>
          <w:color w:val="auto"/>
        </w:rPr>
        <w:t>3.5</w:t>
      </w:r>
      <w:r>
        <w:rPr>
          <w:rFonts w:ascii="Arial" w:cs="Arial" w:eastAsia="Arial" w:hAnsi="Arial"/>
          <w:sz w:val="21"/>
          <w:szCs w:val="21"/>
          <w:color w:val="auto"/>
        </w:rPr>
        <w:t xml:space="preserve">, </w:t>
      </w:r>
      <w:r>
        <w:rPr>
          <w:rFonts w:ascii="Arial" w:cs="Arial" w:eastAsia="Arial" w:hAnsi="Arial"/>
          <w:sz w:val="21"/>
          <w:szCs w:val="21"/>
          <w:u w:val="single" w:color="auto"/>
          <w:color w:val="auto"/>
        </w:rPr>
        <w:t>3.6</w:t>
      </w:r>
      <w:r>
        <w:rPr>
          <w:rFonts w:ascii="Arial" w:cs="Arial" w:eastAsia="Arial" w:hAnsi="Arial"/>
          <w:sz w:val="21"/>
          <w:szCs w:val="21"/>
          <w:color w:val="auto"/>
        </w:rPr>
        <w:t xml:space="preserve">, </w:t>
      </w:r>
      <w:r>
        <w:rPr>
          <w:rFonts w:ascii="Arial" w:cs="Arial" w:eastAsia="Arial" w:hAnsi="Arial"/>
          <w:sz w:val="21"/>
          <w:szCs w:val="21"/>
          <w:u w:val="single" w:color="auto"/>
          <w:color w:val="auto"/>
        </w:rPr>
        <w:t>4.2</w:t>
      </w:r>
      <w:r>
        <w:rPr>
          <w:rFonts w:ascii="Arial" w:cs="Arial" w:eastAsia="Arial" w:hAnsi="Arial"/>
          <w:sz w:val="21"/>
          <w:szCs w:val="21"/>
          <w:color w:val="auto"/>
        </w:rPr>
        <w:t xml:space="preserve">, </w:t>
      </w:r>
      <w:r>
        <w:rPr>
          <w:rFonts w:ascii="Arial" w:cs="Arial" w:eastAsia="Arial" w:hAnsi="Arial"/>
          <w:sz w:val="21"/>
          <w:szCs w:val="21"/>
          <w:u w:val="single" w:color="auto"/>
          <w:color w:val="auto"/>
        </w:rPr>
        <w:t>6</w:t>
      </w:r>
      <w:r>
        <w:rPr>
          <w:rFonts w:ascii="Arial" w:cs="Arial" w:eastAsia="Arial" w:hAnsi="Arial"/>
          <w:sz w:val="21"/>
          <w:szCs w:val="21"/>
          <w:color w:val="auto"/>
        </w:rPr>
        <w:t xml:space="preserve">, </w:t>
      </w:r>
      <w:r>
        <w:rPr>
          <w:rFonts w:ascii="Arial" w:cs="Arial" w:eastAsia="Arial" w:hAnsi="Arial"/>
          <w:sz w:val="21"/>
          <w:szCs w:val="21"/>
          <w:u w:val="single" w:color="auto"/>
          <w:color w:val="auto"/>
        </w:rPr>
        <w:t>10.4</w:t>
      </w:r>
      <w:r>
        <w:rPr>
          <w:rFonts w:ascii="Arial" w:cs="Arial" w:eastAsia="Arial" w:hAnsi="Arial"/>
          <w:sz w:val="21"/>
          <w:szCs w:val="21"/>
          <w:color w:val="auto"/>
        </w:rPr>
        <w:t xml:space="preserve">, </w:t>
      </w:r>
      <w:r>
        <w:rPr>
          <w:rFonts w:ascii="Arial" w:cs="Arial" w:eastAsia="Arial" w:hAnsi="Arial"/>
          <w:sz w:val="21"/>
          <w:szCs w:val="21"/>
          <w:u w:val="single" w:color="auto"/>
          <w:color w:val="auto"/>
        </w:rPr>
        <w:t>10.5</w:t>
      </w:r>
      <w:r>
        <w:rPr>
          <w:rFonts w:ascii="Arial" w:cs="Arial" w:eastAsia="Arial" w:hAnsi="Arial"/>
          <w:sz w:val="21"/>
          <w:szCs w:val="21"/>
          <w:color w:val="auto"/>
        </w:rPr>
        <w:t xml:space="preserve">, </w:t>
      </w:r>
      <w:r>
        <w:rPr>
          <w:rFonts w:ascii="Arial" w:cs="Arial" w:eastAsia="Arial" w:hAnsi="Arial"/>
          <w:sz w:val="21"/>
          <w:szCs w:val="21"/>
          <w:u w:val="single" w:color="auto"/>
          <w:color w:val="auto"/>
        </w:rPr>
        <w:t>10.7</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10.8</w:t>
      </w:r>
      <w:r>
        <w:rPr>
          <w:rFonts w:ascii="Arial" w:cs="Arial" w:eastAsia="Arial" w:hAnsi="Arial"/>
          <w:sz w:val="21"/>
          <w:szCs w:val="21"/>
          <w:color w:val="auto"/>
        </w:rPr>
        <w:t xml:space="preserve"> that indirectly or directly affect the rights or duties of any Loan Party, such Loan Party.</w:t>
      </w:r>
    </w:p>
    <w:p>
      <w:pPr>
        <w:spacing w:after="0" w:line="216" w:lineRule="exact"/>
        <w:rPr>
          <w:sz w:val="20"/>
          <w:szCs w:val="20"/>
          <w:color w:val="auto"/>
        </w:rPr>
      </w:pPr>
    </w:p>
    <w:p>
      <w:pPr>
        <w:jc w:val="both"/>
        <w:ind w:firstLine="656"/>
        <w:spacing w:after="0" w:line="259" w:lineRule="auto"/>
        <w:tabs>
          <w:tab w:leader="none" w:pos="1549" w:val="left"/>
        </w:tabs>
        <w:numPr>
          <w:ilvl w:val="0"/>
          <w:numId w:val="432"/>
        </w:numPr>
        <w:rPr>
          <w:rFonts w:ascii="Arial" w:cs="Arial" w:eastAsia="Arial" w:hAnsi="Arial"/>
          <w:sz w:val="21"/>
          <w:szCs w:val="21"/>
          <w:color w:val="auto"/>
        </w:rPr>
      </w:pPr>
      <w:r>
        <w:rPr>
          <w:rFonts w:ascii="Arial" w:cs="Arial" w:eastAsia="Arial" w:hAnsi="Arial"/>
          <w:sz w:val="21"/>
          <w:szCs w:val="21"/>
          <w:color w:val="auto"/>
        </w:rPr>
        <w:t>It is understood that the ABL Representative and the Term Loan Representative, without the consent of any other ABL Secured Party or Term Loan Secured Party, may in their discretion determine that a supplemental agreement (which may take the form of an amendment and restatement of this Agreement) is necessary or appropriate to facilitate having additional indebtedness or other obligations (“</w:t>
      </w:r>
      <w:r>
        <w:rPr>
          <w:rFonts w:ascii="Arial" w:cs="Arial" w:eastAsia="Arial" w:hAnsi="Arial"/>
          <w:sz w:val="21"/>
          <w:szCs w:val="21"/>
          <w:u w:val="single" w:color="auto"/>
          <w:color w:val="auto"/>
        </w:rPr>
        <w:t>Additional Debt</w:t>
      </w:r>
      <w:r>
        <w:rPr>
          <w:rFonts w:ascii="Arial" w:cs="Arial" w:eastAsia="Arial" w:hAnsi="Arial"/>
          <w:sz w:val="21"/>
          <w:szCs w:val="21"/>
          <w:color w:val="auto"/>
        </w:rPr>
        <w:t xml:space="preserve">”) of any of the Loan Parties become ABL Obligations or Term Loan Obligations, as the case may be, under this Agreement, which supplemental agreement shall specify whether such Additional Debt constitutes ABL Obligations or Term Loan Obligations, </w:t>
      </w:r>
      <w:r>
        <w:rPr>
          <w:rFonts w:ascii="Arial" w:cs="Arial" w:eastAsia="Arial" w:hAnsi="Arial"/>
          <w:sz w:val="21"/>
          <w:szCs w:val="21"/>
          <w:u w:val="single" w:color="auto"/>
          <w:color w:val="auto"/>
        </w:rPr>
        <w:t>provided</w:t>
      </w:r>
      <w:r>
        <w:rPr>
          <w:rFonts w:ascii="Arial" w:cs="Arial" w:eastAsia="Arial" w:hAnsi="Arial"/>
          <w:sz w:val="21"/>
          <w:szCs w:val="21"/>
          <w:color w:val="auto"/>
        </w:rPr>
        <w:t>, that such Additional Debt is permitted to be incurred by the ABL Agreement and Term Loan Agreement then extant, and is permitted by such agreements to be subject to the provisions of this Agreement as ABL Obligations or Term Loan Obligations, as applicable.</w:t>
      </w:r>
    </w:p>
    <w:p>
      <w:pPr>
        <w:spacing w:after="0" w:line="224" w:lineRule="exact"/>
        <w:rPr>
          <w:rFonts w:ascii="Arial" w:cs="Arial" w:eastAsia="Arial" w:hAnsi="Arial"/>
          <w:sz w:val="21"/>
          <w:szCs w:val="21"/>
          <w:color w:val="auto"/>
        </w:rPr>
      </w:pPr>
    </w:p>
    <w:p>
      <w:pPr>
        <w:jc w:val="both"/>
        <w:ind w:firstLine="656"/>
        <w:spacing w:after="0" w:line="289" w:lineRule="auto"/>
        <w:tabs>
          <w:tab w:leader="none" w:pos="1536" w:val="left"/>
        </w:tabs>
        <w:numPr>
          <w:ilvl w:val="0"/>
          <w:numId w:val="432"/>
        </w:numPr>
        <w:rPr>
          <w:rFonts w:ascii="Arial" w:cs="Arial" w:eastAsia="Arial" w:hAnsi="Arial"/>
          <w:sz w:val="19"/>
          <w:szCs w:val="19"/>
          <w:color w:val="auto"/>
        </w:rPr>
      </w:pPr>
      <w:r>
        <w:rPr>
          <w:rFonts w:ascii="Arial" w:cs="Arial" w:eastAsia="Arial" w:hAnsi="Arial"/>
          <w:sz w:val="19"/>
          <w:szCs w:val="19"/>
          <w:color w:val="auto"/>
        </w:rPr>
        <w:t xml:space="preserve">Notwithstanding the terms of Section 10.5(a) and (b), in the event that the Term Loan Representative does not take the actions contemplated by Section 10.4(a)(i) in connection with any permitted Additional Debt within 10 days after the delivery of a written request to do so, the ABL Representative, without the consent of the Term Loan Representative, may modify this Agreement (which modification may take the form of an amendment and restatement of this Agreement) for the purpose of having any Replacement ABL Agreement or Additional Debt of any of the Loan Parties become ABL Obligations under this Agreement, which agreement shall specify that such Replacement ABL Agreement or Additional Debt constitutes ABL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Additional Debt is permitted to be incurred pursuant to each Term Loan Agreement then extant, and is permitted by such agreements (as determined by the ABL Representative in good faith and certified by an officer of the Borrower to the Term Loan Representative) to be subject to the provisions of this Agreement as ABL Obligations, as applicable.</w:t>
      </w:r>
    </w:p>
    <w:p>
      <w:pPr>
        <w:spacing w:after="0" w:line="198" w:lineRule="exact"/>
        <w:rPr>
          <w:rFonts w:ascii="Arial" w:cs="Arial" w:eastAsia="Arial" w:hAnsi="Arial"/>
          <w:sz w:val="19"/>
          <w:szCs w:val="19"/>
          <w:color w:val="auto"/>
        </w:rPr>
      </w:pPr>
    </w:p>
    <w:p>
      <w:pPr>
        <w:jc w:val="both"/>
        <w:ind w:firstLine="656"/>
        <w:spacing w:after="0" w:line="246" w:lineRule="auto"/>
        <w:tabs>
          <w:tab w:leader="none" w:pos="1549" w:val="left"/>
        </w:tabs>
        <w:numPr>
          <w:ilvl w:val="0"/>
          <w:numId w:val="432"/>
        </w:numPr>
        <w:rPr>
          <w:rFonts w:ascii="Arial" w:cs="Arial" w:eastAsia="Arial" w:hAnsi="Arial"/>
          <w:sz w:val="22"/>
          <w:szCs w:val="22"/>
          <w:color w:val="auto"/>
        </w:rPr>
      </w:pPr>
      <w:r>
        <w:rPr>
          <w:rFonts w:ascii="Arial" w:cs="Arial" w:eastAsia="Arial" w:hAnsi="Arial"/>
          <w:sz w:val="22"/>
          <w:szCs w:val="22"/>
          <w:color w:val="auto"/>
        </w:rPr>
        <w:t>Notwithstanding the terms of Section 10.5(a) and (b), in the event that the ABL Representative does not take the actions contemplated by Section 10.4(b)(i) in connection with any permitted Additional Debt within 10 days after the delivery of a written request to do so, the Term Loan Representative, without the consent of the ABL Representative, may modify this Agreement (which modification may take the form of an amendment and restatement of this Agreement) for the purpose of having any Replacement Term Loan Agreement or Additional Debt of any of the Loan Parties become Term Loan Obligations under this Agreement, which agreement shall specify that such Replacement Term Loan Agreement or Additional Debt constitutes Term Loan Obligations,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91" w:right="239" w:bottom="1440" w:gutter="0" w:footer="0" w:header="0"/>
        </w:sectPr>
      </w:pPr>
    </w:p>
    <w:bookmarkStart w:id="377" w:name="page378"/>
    <w:bookmarkEnd w:id="377"/>
    <w:p>
      <w:pPr>
        <w:jc w:val="both"/>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such Additional Debt is permitted to be incurred pursuant to each ABL Agreement then extant, and is permitted by such agreements (as determined by the Term Loan Representative in good faith and certified by an officer of the Borrower to the ABL Representative) to be subject to the provisions of this Agreement as Term Loan Obligations, as applicable.</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Information Concerning Financial Condition of the Loan Parties</w:t>
      </w:r>
      <w:r>
        <w:rPr>
          <w:rFonts w:ascii="Arial" w:cs="Arial" w:eastAsia="Arial" w:hAnsi="Arial"/>
          <w:sz w:val="19"/>
          <w:szCs w:val="19"/>
          <w:color w:val="auto"/>
        </w:rPr>
        <w:t>. Each of the Term Loan Representative and the ABL Representative hereby assume responsibility for keeping itself informed of the financial condition of the Loan Parties and all other circumstances bearing upon the risk of nonpayment of the ABL Obligations or the Term Loan Obligations. The Term Loan Representative and the ABL Representative hereby agree that no party shall have any duty to advise any other party of information known to it regarding such condition or any such circumstances (except as otherwise provided in the ABL Documents and Term Loan Documents). In the event the Term Loan Representative or the ABL Representative, in its sole discretion, undertakes at any time or from time to time to provide any information to any other party to this Agreement, it shall be under no obligation (a) to provide any such information to such other party or any other party on any subsequent occasion, (b) to undertake any investigation not a part of its regular business routine, or (c) to disclose any other information.</w:t>
      </w:r>
    </w:p>
    <w:p>
      <w:pPr>
        <w:spacing w:after="0" w:line="1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10.7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IN ACCORDANCE WITH AND GOVERNED BY THE LAW OF THE STATE OF NEW YORK.</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10.8 </w:t>
      </w:r>
      <w:r>
        <w:rPr>
          <w:rFonts w:ascii="Arial" w:cs="Arial" w:eastAsia="Arial" w:hAnsi="Arial"/>
          <w:sz w:val="19"/>
          <w:szCs w:val="19"/>
          <w:u w:val="single" w:color="auto"/>
          <w:color w:val="auto"/>
        </w:rPr>
        <w:t>Submission to Jurisdiction; JURY TRIAL WAIVER</w:t>
      </w:r>
      <w:r>
        <w:rPr>
          <w:rFonts w:ascii="Arial" w:cs="Arial" w:eastAsia="Arial" w:hAnsi="Arial"/>
          <w:sz w:val="19"/>
          <w:szCs w:val="19"/>
          <w:color w:val="auto"/>
        </w:rPr>
        <w:t>. (a) Each ABL Secured Party, each Term Loan Secured Party and each Loan Party hereby irrevocably and unconditionally submits, for itself and its property, to the exclusive jurisdiction of the Supreme Court of the State of New York sitting in New York County, Borough of Manhattan and of the United States District Court of the Southern District of New York, and any appellate court from any thereof, in any action or proceeding arising out of or relating to this Agreement, or for recognition or enforcement of any judgment, and each such party hereby irrevocably and unconditionally agrees that all claims in respect of any such action or proceeding may be heard and determined in such New York State or, to the extent permitted by law, in such Federal court. Each such party agrees that a final judgment in any such action or proceeding shall be conclusive and may be enforced in other jurisdictions by suit on the judgment or in any other manner provided by law. Nothing in this Agreement shall affect any right that the any ABL Secured Party or Term Loan Secured Party may otherwise have to bring any action or proceeding against any Loan Party or its properties in the courts of any jurisdiction.</w:t>
      </w:r>
    </w:p>
    <w:p>
      <w:pPr>
        <w:spacing w:after="0" w:line="201" w:lineRule="exact"/>
        <w:rPr>
          <w:sz w:val="20"/>
          <w:szCs w:val="20"/>
          <w:color w:val="auto"/>
        </w:rPr>
      </w:pPr>
    </w:p>
    <w:p>
      <w:pPr>
        <w:jc w:val="both"/>
        <w:ind w:firstLine="656"/>
        <w:spacing w:after="0" w:line="302" w:lineRule="auto"/>
        <w:tabs>
          <w:tab w:leader="none" w:pos="1549" w:val="left"/>
        </w:tabs>
        <w:numPr>
          <w:ilvl w:val="0"/>
          <w:numId w:val="433"/>
        </w:numPr>
        <w:rPr>
          <w:rFonts w:ascii="Arial" w:cs="Arial" w:eastAsia="Arial" w:hAnsi="Arial"/>
          <w:sz w:val="19"/>
          <w:szCs w:val="19"/>
          <w:color w:val="auto"/>
        </w:rPr>
      </w:pPr>
      <w:r>
        <w:rPr>
          <w:rFonts w:ascii="Arial" w:cs="Arial" w:eastAsia="Arial" w:hAnsi="Arial"/>
          <w:sz w:val="19"/>
          <w:szCs w:val="19"/>
          <w:color w:val="auto"/>
        </w:rPr>
        <w:t>Each ABL Secured Party, each Term Loan Secured Party and each Loan Party hereby irrevocably and unconditionally waives, to the fullest extent it may legally and effectively do so (i) any objection it may now or hereafter have to the laying of venue of any suit, action or proceeding arising out of or relating to this Agreement in any court referred to in paragraph (a) of this Section and (ii) the defense of an inconvenient forum to the maintenance of such action or proceeding.</w:t>
      </w:r>
    </w:p>
    <w:p>
      <w:pPr>
        <w:spacing w:after="0" w:line="183" w:lineRule="exact"/>
        <w:rPr>
          <w:rFonts w:ascii="Arial" w:cs="Arial" w:eastAsia="Arial" w:hAnsi="Arial"/>
          <w:sz w:val="19"/>
          <w:szCs w:val="19"/>
          <w:color w:val="auto"/>
        </w:rPr>
      </w:pPr>
    </w:p>
    <w:p>
      <w:pPr>
        <w:jc w:val="both"/>
        <w:ind w:firstLine="656"/>
        <w:spacing w:after="0" w:line="253" w:lineRule="auto"/>
        <w:tabs>
          <w:tab w:leader="none" w:pos="1536" w:val="left"/>
        </w:tabs>
        <w:numPr>
          <w:ilvl w:val="0"/>
          <w:numId w:val="433"/>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10.9. Nothing in this Agreement will affect the right of any party to this Agreement to serve process in any other manner permitted by law.</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91" w:right="239" w:bottom="1440" w:gutter="0" w:footer="0" w:header="0"/>
        </w:sectPr>
      </w:pPr>
    </w:p>
    <w:bookmarkStart w:id="378" w:name="page379"/>
    <w:bookmarkEnd w:id="378"/>
    <w:p>
      <w:pPr>
        <w:jc w:val="both"/>
        <w:ind w:firstLine="656"/>
        <w:spacing w:after="0" w:line="246" w:lineRule="auto"/>
        <w:tabs>
          <w:tab w:leader="none" w:pos="1549" w:val="left"/>
        </w:tabs>
        <w:numPr>
          <w:ilvl w:val="0"/>
          <w:numId w:val="434"/>
        </w:numPr>
        <w:rPr>
          <w:rFonts w:ascii="Arial" w:cs="Arial" w:eastAsia="Arial" w:hAnsi="Arial"/>
          <w:sz w:val="22"/>
          <w:szCs w:val="22"/>
          <w:color w:val="auto"/>
        </w:rPr>
      </w:pPr>
      <w:r>
        <w:rPr>
          <w:rFonts w:ascii="Arial" w:cs="Arial" w:eastAsia="Arial" w:hAnsi="Arial"/>
          <w:sz w:val="22"/>
          <w:szCs w:val="22"/>
          <w:color w:val="auto"/>
        </w:rPr>
        <w:t>EACH PARTY HERETO HEREBY WAIVES ITS RESPECTIVE RIGHTS TO A JURY TRIAL OF ANY CLAIM OR CAUSE OF ACTION BASED UPON OR ARISING OUT OF THIS AGREEMENT OR ANY OF THE TRANSACTIONS CONTEMPLATED HEREIN, INCLUDING CONTRACT CLAIMS, TORT CLAIMS, BREACH OF DUTY CLAIMS, AND ALL OTHER COMMON LAW OR STATUTORY CLAIMS. EACH PARTY HERETO REPRESENTS THAT IT HAS REVIEWED THIS WAIVER AND IT KNOWINGLY AND VOLUNTARILY WAIVES ITS JURY TRIAL RIGHTS FOLLOWING CONSULTATION WITH LEGAL COUNSEL. IN THE EVENT OF LITIGATION, A COPY OF THIS AGREEMENT MAY BE FILED AS A WRITTEN CONSENT TO A TRIAL BY THE COURT.</w:t>
      </w:r>
    </w:p>
    <w:p>
      <w:pPr>
        <w:spacing w:after="0" w:line="23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10.9 </w:t>
      </w:r>
      <w:r>
        <w:rPr>
          <w:rFonts w:ascii="Arial" w:cs="Arial" w:eastAsia="Arial" w:hAnsi="Arial"/>
          <w:sz w:val="21"/>
          <w:szCs w:val="21"/>
          <w:u w:val="single" w:color="auto"/>
          <w:color w:val="auto"/>
        </w:rPr>
        <w:t>Notices</w:t>
      </w:r>
      <w:r>
        <w:rPr>
          <w:rFonts w:ascii="Arial" w:cs="Arial" w:eastAsia="Arial" w:hAnsi="Arial"/>
          <w:sz w:val="21"/>
          <w:szCs w:val="21"/>
          <w:color w:val="auto"/>
        </w:rPr>
        <w:t xml:space="preserve">. Unless otherwise specifically provided herein, any notice or other communication herein required or permitted to be given shall be in writing and may be personally served, telecopied, or sent by overnight express courier service or United States mail and shall be deemed to have been given when delivered in person or by courier service, upon receipt of a telecopy or five days after deposit in the United States mail (certified, with postage prepaid and properly addressed). For the purposes hereof, the addresses of the parties hereto (until notice of a change thereof is delivered as provided in this </w:t>
      </w:r>
      <w:r>
        <w:rPr>
          <w:rFonts w:ascii="Arial" w:cs="Arial" w:eastAsia="Arial" w:hAnsi="Arial"/>
          <w:sz w:val="21"/>
          <w:szCs w:val="21"/>
          <w:u w:val="single" w:color="auto"/>
          <w:color w:val="auto"/>
        </w:rPr>
        <w:t>Section 10.9</w:t>
      </w:r>
      <w:r>
        <w:rPr>
          <w:rFonts w:ascii="Arial" w:cs="Arial" w:eastAsia="Arial" w:hAnsi="Arial"/>
          <w:sz w:val="21"/>
          <w:szCs w:val="21"/>
          <w:color w:val="auto"/>
        </w:rPr>
        <w:t>) shall be as set forth below each party’s name on the signature pages hereof, or, as to each party, at such other address as may be designated by such party in a written notice to all of the other parties.</w:t>
      </w:r>
    </w:p>
    <w:p>
      <w:pPr>
        <w:spacing w:after="0" w:line="222" w:lineRule="exact"/>
        <w:rPr>
          <w:sz w:val="20"/>
          <w:szCs w:val="20"/>
          <w:color w:val="auto"/>
        </w:rPr>
      </w:pPr>
    </w:p>
    <w:p>
      <w:pPr>
        <w:jc w:val="both"/>
        <w:ind w:left="80" w:firstLine="567"/>
        <w:spacing w:after="0" w:line="250"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22"/>
          <w:szCs w:val="22"/>
          <w:u w:val="single" w:color="auto"/>
          <w:color w:val="auto"/>
        </w:rPr>
        <w:t>Successors and Assigns</w:t>
      </w:r>
      <w:r>
        <w:rPr>
          <w:rFonts w:ascii="Arial" w:cs="Arial" w:eastAsia="Arial" w:hAnsi="Arial"/>
          <w:sz w:val="22"/>
          <w:szCs w:val="22"/>
          <w:color w:val="auto"/>
        </w:rPr>
        <w:t>. This Agreement shall be binding upon and inure to the benefit of each of the parties hereto and each of the ABL Secured Parties and Term Loan Secured Parties and their respective successors and assigns, and nothing herein is intended, or shall be construed to give, any other Person any right, remedy or claim under, to or in respect of this Agreement or any Collateral.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Headings</w:t>
      </w:r>
      <w:r>
        <w:rPr>
          <w:rFonts w:ascii="Arial" w:cs="Arial" w:eastAsia="Arial" w:hAnsi="Arial"/>
          <w:sz w:val="22"/>
          <w:szCs w:val="22"/>
          <w:color w:val="auto"/>
        </w:rPr>
        <w:t>. Section headings used herein are for convenience of reference only, are not part of this Agreement and shall not affect the construction of, or be taken into consideration in interpreting, this Agreement.</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Other Remedies</w:t>
      </w:r>
      <w:r>
        <w:rPr>
          <w:rFonts w:ascii="Arial" w:cs="Arial" w:eastAsia="Arial" w:hAnsi="Arial"/>
          <w:sz w:val="22"/>
          <w:szCs w:val="22"/>
          <w:color w:val="auto"/>
        </w:rPr>
        <w:t>. For avoidance of doubt, it is understood that nothing in this Agreement shall prevent any ABL Secured Party or any Term Loan Secured Party from exercising any available remedy to accelerate the maturity of any indebtedness or other obligations owing under the ABL Documents or the Term Loan Documents, as applicable, or to demand payment under any guarantee in respect thereof.</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Counterparts; Integration; Effectiveness</w:t>
      </w:r>
      <w:r>
        <w:rPr>
          <w:rFonts w:ascii="Arial" w:cs="Arial" w:eastAsia="Arial" w:hAnsi="Arial"/>
          <w:sz w:val="22"/>
          <w:szCs w:val="22"/>
          <w:color w:val="auto"/>
        </w:rPr>
        <w:t>. This Agreement may be executed in counterparts (and by different parties hereto on different counterparts), each of which shall constitute an original, but all of which when taken together shall constitute a single contract. Delivery of 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91" w:right="239" w:bottom="1440" w:gutter="0" w:footer="0" w:header="0"/>
        </w:sectPr>
      </w:pPr>
    </w:p>
    <w:bookmarkStart w:id="379" w:name="page380"/>
    <w:bookmarkEnd w:id="379"/>
    <w:p>
      <w:pPr>
        <w:jc w:val="both"/>
        <w:spacing w:after="0" w:line="343" w:lineRule="auto"/>
        <w:rPr>
          <w:sz w:val="20"/>
          <w:szCs w:val="20"/>
          <w:color w:val="auto"/>
        </w:rPr>
      </w:pPr>
      <w:r>
        <w:rPr>
          <w:rFonts w:ascii="Arial" w:cs="Arial" w:eastAsia="Arial" w:hAnsi="Arial"/>
          <w:sz w:val="19"/>
          <w:szCs w:val="19"/>
          <w:color w:val="auto"/>
        </w:rPr>
        <w:t>executed counterpart of a signature page of this Agreement by telecopy shall be effective as delivery of a manually executed counterpart of this Agreement. This Agreement shall become effective when it shall have been executed by each party hereto.</w:t>
      </w:r>
    </w:p>
    <w:p>
      <w:pPr>
        <w:spacing w:after="0" w:line="14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10.15 </w:t>
      </w:r>
      <w:r>
        <w:rPr>
          <w:rFonts w:ascii="Arial" w:cs="Arial" w:eastAsia="Arial" w:hAnsi="Arial"/>
          <w:sz w:val="22"/>
          <w:szCs w:val="22"/>
          <w:u w:val="single" w:color="auto"/>
          <w:color w:val="auto"/>
        </w:rPr>
        <w:t>Additional Loan Parties</w:t>
      </w:r>
      <w:r>
        <w:rPr>
          <w:rFonts w:ascii="Arial" w:cs="Arial" w:eastAsia="Arial" w:hAnsi="Arial"/>
          <w:sz w:val="22"/>
          <w:szCs w:val="22"/>
          <w:color w:val="auto"/>
        </w:rPr>
        <w:t>. The Borrowers shall cause each Person that becomes a Loan Party after the date hereof to become a party to this Agreement by execution and delivery by such Person of a Joinder Agreement in the form of Annex 1 hereto.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PAGES TO FOLLOW]</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91" w:right="239" w:bottom="1440" w:gutter="0" w:footer="0" w:header="0"/>
        </w:sectPr>
      </w:pPr>
    </w:p>
    <w:bookmarkStart w:id="380" w:name="page381"/>
    <w:bookmarkEnd w:id="380"/>
    <w:p>
      <w:pPr>
        <w:spacing w:after="0"/>
        <w:rPr>
          <w:sz w:val="20"/>
          <w:szCs w:val="20"/>
          <w:color w:val="auto"/>
        </w:rPr>
      </w:pPr>
      <w:r>
        <w:rPr>
          <w:rFonts w:ascii="Arial" w:cs="Arial" w:eastAsia="Arial" w:hAnsi="Arial"/>
          <w:sz w:val="21"/>
          <w:szCs w:val="21"/>
          <w:color w:val="auto"/>
        </w:rPr>
        <w:t>IN WITNESS WHEREOF, the parties hereto have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40"/>
        <w:spacing w:after="0" w:line="263" w:lineRule="auto"/>
        <w:rPr>
          <w:sz w:val="20"/>
          <w:szCs w:val="20"/>
          <w:color w:val="auto"/>
        </w:rPr>
      </w:pPr>
      <w:r>
        <w:rPr>
          <w:rFonts w:ascii="Arial" w:cs="Arial" w:eastAsia="Arial" w:hAnsi="Arial"/>
          <w:sz w:val="22"/>
          <w:szCs w:val="22"/>
          <w:color w:val="auto"/>
        </w:rPr>
        <w:t>JPMORGAN CHASE BANK, N.A., as ABL Representative for and on behalf of the ABL Secured Parties</w:t>
      </w:r>
    </w:p>
    <w:p>
      <w:pPr>
        <w:spacing w:after="0" w:line="39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tabs>
          <w:tab w:leader="none" w:pos="3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Authorized Officer</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10 S. Dearborn St.</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Chicago, Illinois 60603</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Attention: John Morrone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Telecopy No.: (312) 548-1943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40"/>
        <w:spacing w:after="0"/>
        <w:rPr>
          <w:sz w:val="20"/>
          <w:szCs w:val="20"/>
          <w:color w:val="auto"/>
        </w:rPr>
      </w:pPr>
      <w:r>
        <w:rPr>
          <w:rFonts w:ascii="Arial" w:cs="Arial" w:eastAsia="Arial" w:hAnsi="Arial"/>
          <w:sz w:val="22"/>
          <w:szCs w:val="22"/>
          <w:i w:val="1"/>
          <w:iCs w:val="1"/>
          <w:color w:val="auto"/>
        </w:rPr>
        <w:t>Signature Page to</w:t>
      </w:r>
    </w:p>
    <w:p>
      <w:pPr>
        <w:spacing w:after="0" w:line="22" w:lineRule="exact"/>
        <w:rPr>
          <w:sz w:val="20"/>
          <w:szCs w:val="20"/>
          <w:color w:val="auto"/>
        </w:rPr>
      </w:pPr>
    </w:p>
    <w:p>
      <w:pPr>
        <w:jc w:val="center"/>
        <w:ind w:right="440"/>
        <w:spacing w:after="0"/>
        <w:rPr>
          <w:sz w:val="20"/>
          <w:szCs w:val="20"/>
          <w:color w:val="auto"/>
        </w:rPr>
      </w:pPr>
      <w:r>
        <w:rPr>
          <w:rFonts w:ascii="Arial" w:cs="Arial" w:eastAsia="Arial" w:hAnsi="Arial"/>
          <w:sz w:val="22"/>
          <w:szCs w:val="22"/>
          <w:i w:val="1"/>
          <w:iCs w:val="1"/>
          <w:color w:val="auto"/>
        </w:rPr>
        <w:t>Winnebago Industries, Inc. Intercreditor Agreement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60"/>
          </w:cols>
          <w:pgMar w:left="900" w:top="1063" w:right="439" w:bottom="1440" w:gutter="0" w:footer="0" w:header="0"/>
        </w:sectPr>
      </w:pPr>
    </w:p>
    <w:bookmarkStart w:id="381" w:name="page382"/>
    <w:bookmarkEnd w:id="381"/>
    <w:p>
      <w:pPr>
        <w:ind w:left="2700"/>
        <w:spacing w:after="0" w:line="263" w:lineRule="auto"/>
        <w:rPr>
          <w:sz w:val="20"/>
          <w:szCs w:val="20"/>
          <w:color w:val="auto"/>
        </w:rPr>
      </w:pPr>
      <w:r>
        <w:rPr>
          <w:rFonts w:ascii="Arial" w:cs="Arial" w:eastAsia="Arial" w:hAnsi="Arial"/>
          <w:sz w:val="22"/>
          <w:szCs w:val="22"/>
          <w:color w:val="auto"/>
        </w:rPr>
        <w:t>JPMORGAN CHASE BANK, N,A„ as Term Loan Representative for and on behalf of the Term Loan Secured Parties</w:t>
      </w:r>
    </w:p>
    <w:p>
      <w:pPr>
        <w:spacing w:after="0" w:line="175"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29"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JPMorgan Chase Bank, N.A</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Loan and Agency Services Group</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10 S. Dearborn, Floor L2S</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Chicago, IL 60603</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Attention: April Yebd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Telecopy No: 844-490-5665</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Email Address: april.yebd@jpmorgan.com; Jpm.agency.servicing.1@jpmorgan.com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80"/>
        <w:spacing w:after="0"/>
        <w:rPr>
          <w:sz w:val="20"/>
          <w:szCs w:val="20"/>
          <w:color w:val="auto"/>
        </w:rPr>
      </w:pPr>
      <w:r>
        <w:rPr>
          <w:rFonts w:ascii="Arial" w:cs="Arial" w:eastAsia="Arial" w:hAnsi="Arial"/>
          <w:sz w:val="22"/>
          <w:szCs w:val="22"/>
          <w:i w:val="1"/>
          <w:iCs w:val="1"/>
          <w:color w:val="auto"/>
        </w:rPr>
        <w:t>Signature Page to</w:t>
      </w:r>
    </w:p>
    <w:p>
      <w:pPr>
        <w:spacing w:after="0" w:line="22" w:lineRule="exact"/>
        <w:rPr>
          <w:sz w:val="20"/>
          <w:szCs w:val="20"/>
          <w:color w:val="auto"/>
        </w:rPr>
      </w:pPr>
    </w:p>
    <w:p>
      <w:pPr>
        <w:jc w:val="center"/>
        <w:ind w:right="1180"/>
        <w:spacing w:after="0"/>
        <w:rPr>
          <w:sz w:val="20"/>
          <w:szCs w:val="20"/>
          <w:color w:val="auto"/>
        </w:rPr>
      </w:pPr>
      <w:r>
        <w:rPr>
          <w:rFonts w:ascii="Arial" w:cs="Arial" w:eastAsia="Arial" w:hAnsi="Arial"/>
          <w:sz w:val="19"/>
          <w:szCs w:val="19"/>
          <w:i w:val="1"/>
          <w:iCs w:val="1"/>
          <w:color w:val="auto"/>
        </w:rPr>
        <w:t>Winnebago Industries, Inc. Intercreditor Agreement</w:t>
      </w:r>
    </w:p>
    <w:p>
      <w:pPr>
        <w:spacing w:after="0" w:line="200" w:lineRule="exact"/>
        <w:rPr>
          <w:sz w:val="20"/>
          <w:szCs w:val="20"/>
          <w:color w:val="auto"/>
        </w:rPr>
      </w:pPr>
    </w:p>
    <w:p>
      <w:pPr>
        <w:spacing w:after="0" w:line="31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00"/>
          </w:cols>
          <w:pgMar w:left="1440" w:top="1064" w:right="259" w:bottom="1440" w:gutter="0" w:footer="0" w:header="0"/>
        </w:sectPr>
      </w:pPr>
    </w:p>
    <w:bookmarkStart w:id="382" w:name="page383"/>
    <w:bookmarkEnd w:id="382"/>
    <w:p>
      <w:pPr>
        <w:ind w:left="2700"/>
        <w:spacing w:after="0"/>
        <w:rPr>
          <w:sz w:val="20"/>
          <w:szCs w:val="20"/>
          <w:color w:val="auto"/>
        </w:rPr>
      </w:pPr>
      <w:r>
        <w:rPr>
          <w:rFonts w:ascii="Arial" w:cs="Arial" w:eastAsia="Arial" w:hAnsi="Arial"/>
          <w:sz w:val="21"/>
          <w:szCs w:val="21"/>
          <w:color w:val="auto"/>
        </w:rPr>
        <w:t>WINNEBAGO INDUSTRIES, INC..</w:t>
      </w:r>
    </w:p>
    <w:p>
      <w:pPr>
        <w:spacing w:after="0" w:line="200" w:lineRule="exact"/>
        <w:rPr>
          <w:sz w:val="20"/>
          <w:szCs w:val="20"/>
          <w:color w:val="auto"/>
        </w:rPr>
      </w:pPr>
    </w:p>
    <w:p>
      <w:pPr>
        <w:spacing w:after="0" w:line="24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WINNEBAGO OF INDIANA, LLC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GRAND DESIGN RV, LLC</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OCTAVIUS CORPORATION</w:t>
      </w:r>
    </w:p>
    <w:p>
      <w:pPr>
        <w:spacing w:after="0" w:line="200" w:lineRule="exact"/>
        <w:rPr>
          <w:sz w:val="20"/>
          <w:szCs w:val="20"/>
          <w:color w:val="auto"/>
        </w:rPr>
      </w:pPr>
    </w:p>
    <w:p>
      <w:pPr>
        <w:spacing w:after="0" w:line="23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Address for Notices:</w:t>
      </w:r>
    </w:p>
    <w:p>
      <w:pPr>
        <w:spacing w:after="0" w:line="220"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Winnebago Industries, Inc.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605 W. Crystal Lake Road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Forest City, Iowa 50436</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19"/>
          <w:szCs w:val="19"/>
          <w:color w:val="auto"/>
        </w:rPr>
        <w:t>Attention: Don Heidemann, Treasurer</w:t>
      </w:r>
    </w:p>
    <w:p>
      <w:pPr>
        <w:spacing w:after="0" w:line="3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Facsimile No: (646) 585-6966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9019"/>
          </w:cols>
          <w:pgMar w:left="1440" w:top="1239" w:right="1440" w:bottom="1440" w:gutter="0" w:footer="0" w:header="0"/>
        </w:sectPr>
      </w:pPr>
    </w:p>
    <w:bookmarkStart w:id="383" w:name="page384"/>
    <w:bookmarkEnd w:id="383"/>
    <w:p>
      <w:pPr>
        <w:jc w:val="right"/>
        <w:spacing w:after="0"/>
        <w:rPr>
          <w:sz w:val="20"/>
          <w:szCs w:val="20"/>
          <w:color w:val="auto"/>
        </w:rPr>
      </w:pPr>
      <w:r>
        <w:rPr>
          <w:rFonts w:ascii="Arial" w:cs="Arial" w:eastAsia="Arial" w:hAnsi="Arial"/>
          <w:sz w:val="22"/>
          <w:szCs w:val="22"/>
          <w:color w:val="auto"/>
        </w:rPr>
        <w:t>ANNEX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187" w:lineRule="exact"/>
        <w:rPr>
          <w:sz w:val="20"/>
          <w:szCs w:val="20"/>
          <w:color w:val="auto"/>
        </w:rPr>
      </w:pPr>
    </w:p>
    <w:p>
      <w:pPr>
        <w:ind w:left="660"/>
        <w:spacing w:after="0"/>
        <w:tabs>
          <w:tab w:leader="none" w:pos="1400" w:val="left"/>
          <w:tab w:leader="none" w:pos="2560" w:val="left"/>
          <w:tab w:leader="none" w:pos="4160" w:val="left"/>
          <w:tab w:leader="none" w:pos="4820" w:val="left"/>
          <w:tab w:leader="none" w:pos="6380" w:val="left"/>
          <w:tab w:leader="none" w:pos="7120" w:val="left"/>
          <w:tab w:leader="none" w:pos="7580" w:val="left"/>
          <w:tab w:leader="none" w:pos="8020" w:val="left"/>
          <w:tab w:leader="none" w:pos="9720" w:val="left"/>
          <w:tab w:leader="none" w:pos="10140" w:val="left"/>
          <w:tab w:leader="none" w:pos="11180" w:val="left"/>
        </w:tabs>
        <w:rPr>
          <w:sz w:val="20"/>
          <w:szCs w:val="20"/>
          <w:color w:val="auto"/>
        </w:rPr>
      </w:pPr>
      <w:r>
        <w:rPr>
          <w:rFonts w:ascii="Arial" w:cs="Arial" w:eastAsia="Arial" w:hAnsi="Arial"/>
          <w:sz w:val="22"/>
          <w:szCs w:val="22"/>
          <w:color w:val="auto"/>
        </w:rPr>
        <w:t>THIS</w:t>
        <w:tab/>
        <w:t>JOINDER</w:t>
        <w:tab/>
        <w:t>AGREEMENT</w:t>
        <w:tab/>
        <w:t>(this</w:t>
        <w:tab/>
        <w:t>“</w:t>
      </w:r>
      <w:r>
        <w:rPr>
          <w:rFonts w:ascii="Arial" w:cs="Arial" w:eastAsia="Arial" w:hAnsi="Arial"/>
          <w:sz w:val="22"/>
          <w:szCs w:val="22"/>
          <w:u w:val="single" w:color="auto"/>
          <w:color w:val="auto"/>
        </w:rPr>
        <w:t>Agreement</w:t>
      </w:r>
      <w:r>
        <w:rPr>
          <w:rFonts w:ascii="Arial" w:cs="Arial" w:eastAsia="Arial" w:hAnsi="Arial"/>
          <w:sz w:val="22"/>
          <w:szCs w:val="22"/>
          <w:color w:val="auto"/>
        </w:rPr>
        <w:t>”),</w:t>
        <w:tab/>
        <w:t>dated</w:t>
        <w:tab/>
        <w:t>as</w:t>
        <w:tab/>
        <w:t>of</w:t>
      </w:r>
      <w:r>
        <w:rPr>
          <w:sz w:val="20"/>
          <w:szCs w:val="20"/>
          <w:color w:val="auto"/>
        </w:rPr>
        <w:tab/>
      </w:r>
      <w:r>
        <w:rPr>
          <w:rFonts w:ascii="Arial" w:cs="Arial" w:eastAsia="Arial" w:hAnsi="Arial"/>
          <w:sz w:val="25"/>
          <w:szCs w:val="25"/>
          <w:b w:val="1"/>
          <w:bCs w:val="1"/>
          <w:color w:val="auto"/>
        </w:rPr>
        <w:t>[</w:t>
      </w:r>
      <w:r>
        <w:rPr>
          <w:rFonts w:ascii="Arial" w:cs="Arial" w:eastAsia="Arial" w:hAnsi="Arial"/>
          <w:sz w:val="21"/>
          <w:szCs w:val="21"/>
          <w:color w:val="auto"/>
        </w:rPr>
        <w:t>___________</w:t>
      </w:r>
      <w:r>
        <w:rPr>
          <w:rFonts w:ascii="Arial" w:cs="Arial" w:eastAsia="Arial" w:hAnsi="Arial"/>
          <w:sz w:val="25"/>
          <w:szCs w:val="25"/>
          <w:b w:val="1"/>
          <w:bCs w:val="1"/>
          <w:color w:val="auto"/>
        </w:rPr>
        <w:t>]</w:t>
      </w:r>
      <w:r>
        <w:rPr>
          <w:rFonts w:ascii="Arial" w:cs="Arial" w:eastAsia="Arial" w:hAnsi="Arial"/>
          <w:sz w:val="21"/>
          <w:szCs w:val="21"/>
          <w:color w:val="auto"/>
        </w:rPr>
        <w:t>,</w:t>
      </w:r>
      <w:r>
        <w:rPr>
          <w:sz w:val="20"/>
          <w:szCs w:val="20"/>
          <w:color w:val="auto"/>
        </w:rPr>
        <w:tab/>
      </w:r>
      <w:r>
        <w:rPr>
          <w:rFonts w:ascii="Arial" w:cs="Arial" w:eastAsia="Arial" w:hAnsi="Arial"/>
          <w:sz w:val="22"/>
          <w:szCs w:val="22"/>
          <w:color w:val="auto"/>
        </w:rPr>
        <w:t>is</w:t>
        <w:tab/>
        <w:t>executed</w:t>
      </w:r>
      <w:r>
        <w:rPr>
          <w:sz w:val="20"/>
          <w:szCs w:val="20"/>
          <w:color w:val="auto"/>
        </w:rPr>
        <w:tab/>
      </w:r>
      <w:r>
        <w:rPr>
          <w:rFonts w:ascii="Arial" w:cs="Arial" w:eastAsia="Arial" w:hAnsi="Arial"/>
          <w:sz w:val="18"/>
          <w:szCs w:val="18"/>
          <w:color w:val="auto"/>
        </w:rPr>
        <w:t>by</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 a _________________ (the “</w:t>
      </w:r>
      <w:r>
        <w:rPr>
          <w:rFonts w:ascii="Arial" w:cs="Arial" w:eastAsia="Arial" w:hAnsi="Arial"/>
          <w:sz w:val="19"/>
          <w:szCs w:val="19"/>
          <w:u w:val="single" w:color="auto"/>
          <w:color w:val="auto"/>
        </w:rPr>
        <w:t>New Subsidiary</w:t>
      </w:r>
      <w:r>
        <w:rPr>
          <w:rFonts w:ascii="Arial" w:cs="Arial" w:eastAsia="Arial" w:hAnsi="Arial"/>
          <w:sz w:val="19"/>
          <w:szCs w:val="19"/>
          <w:color w:val="auto"/>
        </w:rPr>
        <w:t>”) in favor of JPMORGAN CHASE BANK,</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22"/>
          <w:szCs w:val="22"/>
          <w:color w:val="auto"/>
        </w:rPr>
        <w:t>N.A. (the “</w:t>
      </w:r>
      <w:r>
        <w:rPr>
          <w:rFonts w:ascii="Arial" w:cs="Arial" w:eastAsia="Arial" w:hAnsi="Arial"/>
          <w:sz w:val="22"/>
          <w:szCs w:val="22"/>
          <w:u w:val="single" w:color="auto"/>
          <w:color w:val="auto"/>
        </w:rPr>
        <w:t>ABL Representative</w:t>
      </w:r>
      <w:r>
        <w:rPr>
          <w:rFonts w:ascii="Arial" w:cs="Arial" w:eastAsia="Arial" w:hAnsi="Arial"/>
          <w:sz w:val="22"/>
          <w:szCs w:val="22"/>
          <w:color w:val="auto"/>
        </w:rPr>
        <w:t>”) and JPMORGAN CHASE BANK, N.A. (the “</w:t>
      </w:r>
      <w:r>
        <w:rPr>
          <w:rFonts w:ascii="Arial" w:cs="Arial" w:eastAsia="Arial" w:hAnsi="Arial"/>
          <w:sz w:val="22"/>
          <w:szCs w:val="22"/>
          <w:u w:val="single" w:color="auto"/>
          <w:color w:val="auto"/>
        </w:rPr>
        <w:t>Term Loan Representative</w:t>
      </w:r>
      <w:r>
        <w:rPr>
          <w:rFonts w:ascii="Arial" w:cs="Arial" w:eastAsia="Arial" w:hAnsi="Arial"/>
          <w:sz w:val="22"/>
          <w:szCs w:val="22"/>
          <w:color w:val="auto"/>
        </w:rPr>
        <w:t>”), in their capacities as ABL Representative and Term Loan Representative, respectively, under that certain Intercreditor Agreement (the “</w:t>
      </w:r>
      <w:r>
        <w:rPr>
          <w:rFonts w:ascii="Arial" w:cs="Arial" w:eastAsia="Arial" w:hAnsi="Arial"/>
          <w:sz w:val="22"/>
          <w:szCs w:val="22"/>
          <w:u w:val="single" w:color="auto"/>
          <w:color w:val="auto"/>
        </w:rPr>
        <w:t>Intercreditor</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November 8, 2016 among the ABL Representative, the Term Loan Representative, Winnebago Industries, Inc. and each of the other Loan Parties party thereto. All capitalized terms used herein and not otherwise defined shall have the meanings set forth in the Intercreditor Agreement.</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New Subsidiary, for the benefit of the ABL Representative and the Term Loan Representative, hereby agrees as follows:</w:t>
      </w:r>
    </w:p>
    <w:p>
      <w:pPr>
        <w:spacing w:after="0" w:line="175" w:lineRule="exact"/>
        <w:rPr>
          <w:sz w:val="20"/>
          <w:szCs w:val="20"/>
          <w:color w:val="auto"/>
        </w:rPr>
      </w:pPr>
    </w:p>
    <w:p>
      <w:pPr>
        <w:jc w:val="both"/>
        <w:ind w:firstLine="656"/>
        <w:spacing w:after="0" w:line="251" w:lineRule="auto"/>
        <w:tabs>
          <w:tab w:leader="none" w:pos="1004" w:val="left"/>
        </w:tabs>
        <w:numPr>
          <w:ilvl w:val="0"/>
          <w:numId w:val="435"/>
        </w:numPr>
        <w:rPr>
          <w:rFonts w:ascii="Arial" w:cs="Arial" w:eastAsia="Arial" w:hAnsi="Arial"/>
          <w:sz w:val="22"/>
          <w:szCs w:val="22"/>
          <w:color w:val="auto"/>
        </w:rPr>
      </w:pPr>
      <w:r>
        <w:rPr>
          <w:rFonts w:ascii="Arial" w:cs="Arial" w:eastAsia="Arial" w:hAnsi="Arial"/>
          <w:sz w:val="22"/>
          <w:szCs w:val="22"/>
          <w:color w:val="auto"/>
        </w:rPr>
        <w:t>The New Subsidiary hereby acknowledges the Intercreditor Agreement and acknowledges, agrees and confirms that, by its execution of this Agreement, the New Subsidiary will be deemed to be a Loan Party under the Intercreditor Agreement and shall have all of the obligations of a Loan Party thereunder as if it had executed the Intercreditor Agreement. The New Subsidiary hereby ratifies, as of the date hereof, and agrees to be bound by, all of the terms, provisions and conditions contained in the Intercreditor Agreement.</w:t>
      </w:r>
    </w:p>
    <w:p>
      <w:pPr>
        <w:spacing w:after="0" w:line="189" w:lineRule="exact"/>
        <w:rPr>
          <w:rFonts w:ascii="Arial" w:cs="Arial" w:eastAsia="Arial" w:hAnsi="Arial"/>
          <w:sz w:val="22"/>
          <w:szCs w:val="22"/>
          <w:color w:val="auto"/>
        </w:rPr>
      </w:pPr>
    </w:p>
    <w:p>
      <w:pPr>
        <w:ind w:left="1000" w:hanging="344"/>
        <w:spacing w:after="0"/>
        <w:tabs>
          <w:tab w:leader="none" w:pos="1000" w:val="left"/>
        </w:tabs>
        <w:numPr>
          <w:ilvl w:val="0"/>
          <w:numId w:val="435"/>
        </w:numPr>
        <w:rPr>
          <w:rFonts w:ascii="Arial" w:cs="Arial" w:eastAsia="Arial" w:hAnsi="Arial"/>
          <w:sz w:val="21"/>
          <w:szCs w:val="21"/>
          <w:color w:val="auto"/>
        </w:rPr>
      </w:pPr>
      <w:r>
        <w:rPr>
          <w:rFonts w:ascii="Arial" w:cs="Arial" w:eastAsia="Arial" w:hAnsi="Arial"/>
          <w:sz w:val="21"/>
          <w:szCs w:val="21"/>
          <w:color w:val="auto"/>
        </w:rPr>
        <w:t>The address of the New Subsidiary for purposes of Section 10.09 of the Intercreditor Agreement is as follows:</w:t>
      </w:r>
    </w:p>
    <w:p>
      <w:pPr>
        <w:spacing w:after="0" w:line="244"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__________________________</w:t>
      </w:r>
    </w:p>
    <w:p>
      <w:pPr>
        <w:spacing w:after="0" w:line="2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__________________________</w:t>
      </w:r>
    </w:p>
    <w:p>
      <w:pPr>
        <w:spacing w:after="0" w:line="2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__________________________</w:t>
      </w:r>
    </w:p>
    <w:p>
      <w:pPr>
        <w:spacing w:after="0" w:line="219" w:lineRule="exact"/>
        <w:rPr>
          <w:rFonts w:ascii="Arial" w:cs="Arial" w:eastAsia="Arial" w:hAnsi="Arial"/>
          <w:sz w:val="21"/>
          <w:szCs w:val="21"/>
          <w:color w:val="auto"/>
        </w:rPr>
      </w:pPr>
    </w:p>
    <w:p>
      <w:pPr>
        <w:jc w:val="both"/>
        <w:ind w:firstLine="656"/>
        <w:spacing w:after="0" w:line="260" w:lineRule="auto"/>
        <w:tabs>
          <w:tab w:leader="none" w:pos="1166" w:val="left"/>
        </w:tabs>
        <w:numPr>
          <w:ilvl w:val="0"/>
          <w:numId w:val="435"/>
        </w:numPr>
        <w:rPr>
          <w:rFonts w:ascii="Arial" w:cs="Arial" w:eastAsia="Arial" w:hAnsi="Arial"/>
          <w:sz w:val="22"/>
          <w:szCs w:val="22"/>
          <w:color w:val="auto"/>
        </w:rPr>
      </w:pPr>
      <w:r>
        <w:rPr>
          <w:rFonts w:ascii="Arial" w:cs="Arial" w:eastAsia="Arial" w:hAnsi="Arial"/>
          <w:sz w:val="22"/>
          <w:szCs w:val="22"/>
          <w:color w:val="auto"/>
        </w:rPr>
        <w:t>THIS AGREEMENT AND THE RIGHTS AND OBLIGATIONS OF THE NEW SUBSIDIARY HEREUNDER SHALL BE GOVERNED BY AND CONSTRUED AND INTERPRETED IN ACCORDANCE WITH THE LAWS OF THE STATE OF NEW YORK.</w:t>
      </w:r>
    </w:p>
    <w:p>
      <w:pPr>
        <w:spacing w:after="0" w:line="177"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IN WITNESS WHEREOF, the New Subsidiary has caused this Agreement to be duly executed by its authorized officer, as of the day and year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SUBSIDIARY]</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____________________</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sectPr>
      <w:pgSz w:w="11900" w:h="16838" w:orient="portrait"/>
      <w:cols w:equalWidth="0" w:num="1">
        <w:col w:w="11420"/>
      </w:cols>
      <w:pgMar w:left="240" w:top="8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4A08EC"/>
    <w:multiLevelType w:val="hybridMultilevel"/>
    <w:lvl w:ilvl="0">
      <w:lvlJc w:val="left"/>
      <w:lvlText w:val="o"/>
      <w:numFmt w:val="bullet"/>
      <w:start w:val="1"/>
    </w:lvl>
  </w:abstractNum>
  <w:abstractNum w:abstractNumId="1">
    <w:nsid w:val="1958BD17"/>
    <w:multiLevelType w:val="hybridMultilevel"/>
    <w:lvl w:ilvl="0">
      <w:lvlJc w:val="left"/>
      <w:lvlText w:val="(%1)"/>
      <w:numFmt w:val="lowerLetter"/>
      <w:start w:val="1"/>
    </w:lvl>
  </w:abstractNum>
  <w:abstractNum w:abstractNumId="2">
    <w:nsid w:val="4E647FE4"/>
    <w:multiLevelType w:val="hybridMultilevel"/>
    <w:lvl w:ilvl="0">
      <w:lvlJc w:val="left"/>
      <w:lvlText w:val="(%1)"/>
      <w:numFmt w:val="lowerLetter"/>
      <w:start w:val="2"/>
    </w:lvl>
  </w:abstractNum>
  <w:abstractNum w:abstractNumId="3">
    <w:nsid w:val="E0BB885"/>
    <w:multiLevelType w:val="hybridMultilevel"/>
    <w:lvl w:ilvl="0">
      <w:lvlJc w:val="left"/>
      <w:lvlText w:val="(%1)"/>
      <w:numFmt w:val="lowerLetter"/>
      <w:start w:val="1"/>
    </w:lvl>
  </w:abstractNum>
  <w:abstractNum w:abstractNumId="4">
    <w:nsid w:val="565976F1"/>
    <w:multiLevelType w:val="hybridMultilevel"/>
    <w:lvl w:ilvl="0">
      <w:lvlJc w:val="left"/>
      <w:lvlText w:val="(%1)"/>
      <w:numFmt w:val="upperLetter"/>
      <w:start w:val="1"/>
    </w:lvl>
  </w:abstractNum>
  <w:abstractNum w:abstractNumId="5">
    <w:nsid w:val="64212B8C"/>
    <w:multiLevelType w:val="hybridMultilevel"/>
    <w:lvl w:ilvl="0">
      <w:lvlJc w:val="left"/>
      <w:lvlText w:val="(%1)"/>
      <w:numFmt w:val="decimal"/>
      <w:start w:val="2"/>
    </w:lvl>
  </w:abstractNum>
  <w:abstractNum w:abstractNumId="6">
    <w:nsid w:val="5C17530C"/>
    <w:multiLevelType w:val="hybridMultilevel"/>
    <w:lvl w:ilvl="0">
      <w:lvlJc w:val="left"/>
      <w:lvlText w:val="(%1)"/>
      <w:numFmt w:val="decimal"/>
      <w:start w:val="2"/>
    </w:lvl>
  </w:abstractNum>
  <w:abstractNum w:abstractNumId="7">
    <w:nsid w:val="19A52566"/>
    <w:multiLevelType w:val="hybridMultilevel"/>
    <w:lvl w:ilvl="0">
      <w:lvlJc w:val="left"/>
      <w:lvlText w:val="(%1)"/>
      <w:numFmt w:val="lowerLetter"/>
      <w:start w:val="1"/>
    </w:lvl>
  </w:abstractNum>
  <w:abstractNum w:abstractNumId="8">
    <w:nsid w:val="335A1DF1"/>
    <w:multiLevelType w:val="hybridMultilevel"/>
    <w:lvl w:ilvl="0">
      <w:lvlJc w:val="left"/>
      <w:lvlText w:val="(%1)"/>
      <w:numFmt w:val="lowerLetter"/>
      <w:start w:val="5"/>
    </w:lvl>
  </w:abstractNum>
  <w:abstractNum w:abstractNumId="9">
    <w:nsid w:val="28677B7C"/>
    <w:multiLevelType w:val="hybridMultilevel"/>
    <w:lvl w:ilvl="0">
      <w:lvlJc w:val="left"/>
      <w:lvlText w:val="(%1)"/>
      <w:numFmt w:val="lowerLetter"/>
      <w:start w:val="5"/>
    </w:lvl>
  </w:abstractNum>
  <w:abstractNum w:abstractNumId="10">
    <w:nsid w:val="378D97C0"/>
    <w:multiLevelType w:val="hybridMultilevel"/>
    <w:lvl w:ilvl="0">
      <w:lvlJc w:val="left"/>
      <w:lvlText w:val="(%1)"/>
      <w:numFmt w:val="lowerLetter"/>
      <w:start w:val="1"/>
    </w:lvl>
    <w:lvl w:ilvl="1">
      <w:lvlJc w:val="left"/>
      <w:lvlText w:val="(%2)"/>
      <w:numFmt w:val="lowerRoman"/>
      <w:start w:val="1"/>
    </w:lvl>
  </w:abstractNum>
  <w:abstractNum w:abstractNumId="11">
    <w:nsid w:val="1D91467C"/>
    <w:multiLevelType w:val="hybridMultilevel"/>
    <w:lvl w:ilvl="0">
      <w:lvlJc w:val="left"/>
      <w:lvlText w:val="(%1)"/>
      <w:numFmt w:val="lowerRoman"/>
      <w:start w:val="3"/>
    </w:lvl>
  </w:abstractNum>
  <w:abstractNum w:abstractNumId="12">
    <w:nsid w:val="316032BB"/>
    <w:multiLevelType w:val="hybridMultilevel"/>
    <w:lvl w:ilvl="0">
      <w:lvlJc w:val="left"/>
      <w:lvlText w:val="(%1)"/>
      <w:numFmt w:val="lowerRoman"/>
      <w:start w:val="10"/>
    </w:lvl>
  </w:abstractNum>
  <w:abstractNum w:abstractNumId="13">
    <w:nsid w:val="44344C22"/>
    <w:multiLevelType w:val="hybridMultilevel"/>
    <w:lvl w:ilvl="0">
      <w:lvlJc w:val="left"/>
      <w:lvlText w:val="(%1)"/>
      <w:numFmt w:val="lowerLetter"/>
      <w:start w:val="1"/>
    </w:lvl>
  </w:abstractNum>
  <w:abstractNum w:abstractNumId="14">
    <w:nsid w:val="13CDFCFC"/>
    <w:multiLevelType w:val="hybridMultilevel"/>
    <w:lvl w:ilvl="0">
      <w:lvlJc w:val="left"/>
      <w:lvlText w:val="(%1)"/>
      <w:numFmt w:val="lowerLetter"/>
      <w:start w:val="5"/>
    </w:lvl>
  </w:abstractNum>
  <w:abstractNum w:abstractNumId="15">
    <w:nsid w:val="471745E4"/>
    <w:multiLevelType w:val="hybridMultilevel"/>
    <w:lvl w:ilvl="0">
      <w:lvlJc w:val="left"/>
      <w:lvlText w:val="(%1)"/>
      <w:numFmt w:val="lowerRoman"/>
      <w:start w:val="2"/>
    </w:lvl>
  </w:abstractNum>
  <w:abstractNum w:abstractNumId="16">
    <w:nsid w:val="1DDBC66"/>
    <w:multiLevelType w:val="hybridMultilevel"/>
    <w:lvl w:ilvl="0">
      <w:lvlJc w:val="left"/>
      <w:lvlText w:val="(%1)"/>
      <w:numFmt w:val="lowerLetter"/>
      <w:start w:val="3"/>
    </w:lvl>
  </w:abstractNum>
  <w:abstractNum w:abstractNumId="17">
    <w:nsid w:val="30AADFDA"/>
    <w:multiLevelType w:val="hybridMultilevel"/>
    <w:lvl w:ilvl="0">
      <w:lvlJc w:val="left"/>
      <w:lvlText w:val="(%1)"/>
      <w:numFmt w:val="lowerRoman"/>
      <w:start w:val="1"/>
    </w:lvl>
  </w:abstractNum>
  <w:abstractNum w:abstractNumId="18">
    <w:nsid w:val="30EADA61"/>
    <w:multiLevelType w:val="hybridMultilevel"/>
    <w:lvl w:ilvl="0">
      <w:lvlJc w:val="left"/>
      <w:lvlText w:val="(%1)"/>
      <w:numFmt w:val="lowerRoman"/>
      <w:start w:val="1"/>
    </w:lvl>
  </w:abstractNum>
  <w:abstractNum w:abstractNumId="19">
    <w:nsid w:val="27179C0B"/>
    <w:multiLevelType w:val="hybridMultilevel"/>
    <w:lvl w:ilvl="0">
      <w:lvlJc w:val="left"/>
      <w:lvlText w:val="(%1)"/>
      <w:numFmt w:val="lowerRoman"/>
      <w:start w:val="3"/>
    </w:lvl>
  </w:abstractNum>
  <w:abstractNum w:abstractNumId="20">
    <w:nsid w:val="5E636063"/>
    <w:multiLevelType w:val="hybridMultilevel"/>
    <w:lvl w:ilvl="0">
      <w:lvlJc w:val="left"/>
      <w:lvlText w:val="(%1)"/>
      <w:numFmt w:val="lowerLetter"/>
      <w:start w:val="1"/>
    </w:lvl>
  </w:abstractNum>
  <w:abstractNum w:abstractNumId="21">
    <w:nsid w:val="215641AF"/>
    <w:multiLevelType w:val="hybridMultilevel"/>
    <w:lvl w:ilvl="0">
      <w:lvlJc w:val="left"/>
      <w:lvlText w:val="(%1)"/>
      <w:numFmt w:val="lowerLetter"/>
      <w:start w:val="4"/>
    </w:lvl>
  </w:abstractNum>
  <w:abstractNum w:abstractNumId="22">
    <w:nsid w:val="53280662"/>
    <w:multiLevelType w:val="hybridMultilevel"/>
    <w:lvl w:ilvl="0">
      <w:lvlJc w:val="left"/>
      <w:lvlText w:val="(%1)"/>
      <w:numFmt w:val="lowerLetter"/>
      <w:start w:val="1"/>
    </w:lvl>
  </w:abstractNum>
  <w:abstractNum w:abstractNumId="23">
    <w:nsid w:val="46B24DBC"/>
    <w:multiLevelType w:val="hybridMultilevel"/>
    <w:lvl w:ilvl="0">
      <w:lvlJc w:val="left"/>
      <w:lvlText w:val="(%1)"/>
      <w:numFmt w:val="lowerLetter"/>
      <w:start w:val="8"/>
    </w:lvl>
  </w:abstractNum>
  <w:abstractNum w:abstractNumId="24">
    <w:nsid w:val="75B52783"/>
    <w:multiLevelType w:val="hybridMultilevel"/>
    <w:lvl w:ilvl="0">
      <w:lvlJc w:val="left"/>
      <w:lvlText w:val="(%1)"/>
      <w:numFmt w:val="lowerLetter"/>
      <w:start w:val="1"/>
    </w:lvl>
  </w:abstractNum>
  <w:abstractNum w:abstractNumId="25">
    <w:nsid w:val="57CE66B4"/>
    <w:multiLevelType w:val="hybridMultilevel"/>
    <w:lvl w:ilvl="0">
      <w:lvlJc w:val="left"/>
      <w:lvlText w:val="(%1)"/>
      <w:numFmt w:val="lowerLetter"/>
      <w:start w:val="6"/>
    </w:lvl>
  </w:abstractNum>
  <w:abstractNum w:abstractNumId="26">
    <w:nsid w:val="67A70B69"/>
    <w:multiLevelType w:val="hybridMultilevel"/>
    <w:lvl w:ilvl="0">
      <w:lvlJc w:val="left"/>
      <w:lvlText w:val="(%1)"/>
      <w:numFmt w:val="lowerLetter"/>
      <w:start w:val="1"/>
    </w:lvl>
  </w:abstractNum>
  <w:abstractNum w:abstractNumId="27">
    <w:nsid w:val="5953172F"/>
    <w:multiLevelType w:val="hybridMultilevel"/>
    <w:lvl w:ilvl="0">
      <w:lvlJc w:val="left"/>
      <w:lvlText w:val="(%1)"/>
      <w:numFmt w:val="lowerLetter"/>
      <w:start w:val="10"/>
    </w:lvl>
  </w:abstractNum>
  <w:abstractNum w:abstractNumId="28">
    <w:nsid w:val="27EDFE3A"/>
    <w:multiLevelType w:val="hybridMultilevel"/>
    <w:lvl w:ilvl="0">
      <w:lvlJc w:val="left"/>
      <w:lvlText w:val="(%1)"/>
      <w:numFmt w:val="lowerLetter"/>
      <w:start w:val="2"/>
    </w:lvl>
  </w:abstractNum>
  <w:abstractNum w:abstractNumId="29">
    <w:nsid w:val="52AC7DFF"/>
    <w:multiLevelType w:val="hybridMultilevel"/>
    <w:lvl w:ilvl="0">
      <w:lvlJc w:val="left"/>
      <w:lvlText w:val="(%1)"/>
      <w:numFmt w:val="lowerLetter"/>
      <w:start w:val="5"/>
    </w:lvl>
  </w:abstractNum>
  <w:abstractNum w:abstractNumId="30">
    <w:nsid w:val="C4C3AF"/>
    <w:multiLevelType w:val="hybridMultilevel"/>
    <w:lvl w:ilvl="0">
      <w:lvlJc w:val="left"/>
      <w:lvlText w:val="(%1)"/>
      <w:numFmt w:val="lowerLetter"/>
      <w:start w:val="2"/>
    </w:lvl>
  </w:abstractNum>
  <w:abstractNum w:abstractNumId="31">
    <w:nsid w:val="44380727"/>
    <w:multiLevelType w:val="hybridMultilevel"/>
    <w:lvl w:ilvl="0">
      <w:lvlJc w:val="left"/>
      <w:lvlText w:val="%1"/>
      <w:numFmt w:val="lowerLetter"/>
      <w:start w:val="1"/>
    </w:lvl>
    <w:lvl w:ilvl="1">
      <w:lvlJc w:val="left"/>
      <w:lvlText w:val="(%2)"/>
      <w:numFmt w:val="lowerLetter"/>
      <w:start w:val="3"/>
    </w:lvl>
  </w:abstractNum>
  <w:abstractNum w:abstractNumId="32">
    <w:nsid w:val="6C053B16"/>
    <w:multiLevelType w:val="hybridMultilevel"/>
    <w:lvl w:ilvl="0">
      <w:lvlJc w:val="left"/>
      <w:lvlText w:val="(%1)"/>
      <w:numFmt w:val="lowerLetter"/>
      <w:start w:val="24"/>
    </w:lvl>
    <w:lvl w:ilvl="1">
      <w:lvlJc w:val="left"/>
      <w:lvlText w:val="%2"/>
      <w:numFmt w:val="lowerLetter"/>
      <w:start w:val="1"/>
    </w:lvl>
  </w:abstractNum>
  <w:abstractNum w:abstractNumId="33">
    <w:nsid w:val="4F294393"/>
    <w:multiLevelType w:val="hybridMultilevel"/>
    <w:lvl w:ilvl="0">
      <w:lvlJc w:val="left"/>
      <w:lvlText w:val="(%1)"/>
      <w:numFmt w:val="lowerLetter"/>
      <w:start w:val="1"/>
    </w:lvl>
  </w:abstractNum>
  <w:abstractNum w:abstractNumId="34">
    <w:nsid w:val="5243BFAC"/>
    <w:multiLevelType w:val="hybridMultilevel"/>
    <w:lvl w:ilvl="0">
      <w:lvlJc w:val="left"/>
      <w:lvlText w:val="(%1)"/>
      <w:numFmt w:val="lowerLetter"/>
      <w:start w:val="1"/>
    </w:lvl>
  </w:abstractNum>
  <w:abstractNum w:abstractNumId="35">
    <w:nsid w:val="425EB207"/>
    <w:multiLevelType w:val="hybridMultilevel"/>
    <w:lvl w:ilvl="0">
      <w:lvlJc w:val="left"/>
      <w:lvlText w:val="(%1)"/>
      <w:numFmt w:val="lowerRoman"/>
      <w:start w:val="1"/>
    </w:lvl>
  </w:abstractNum>
  <w:abstractNum w:abstractNumId="36">
    <w:nsid w:val="334A6F1F"/>
    <w:multiLevelType w:val="hybridMultilevel"/>
    <w:lvl w:ilvl="0">
      <w:lvlJc w:val="left"/>
      <w:lvlText w:val="(%1)"/>
      <w:numFmt w:val="lowerRoman"/>
      <w:start w:val="4"/>
    </w:lvl>
  </w:abstractNum>
  <w:abstractNum w:abstractNumId="37">
    <w:nsid w:val="2E5B12B8"/>
    <w:multiLevelType w:val="hybridMultilevel"/>
    <w:lvl w:ilvl="0">
      <w:lvlJc w:val="left"/>
      <w:lvlText w:val="(%1)"/>
      <w:numFmt w:val="lowerLetter"/>
      <w:start w:val="2"/>
    </w:lvl>
  </w:abstractNum>
  <w:abstractNum w:abstractNumId="38">
    <w:nsid w:val="5C03D76D"/>
    <w:multiLevelType w:val="hybridMultilevel"/>
    <w:lvl w:ilvl="0">
      <w:lvlJc w:val="left"/>
      <w:lvlText w:val="(%1)"/>
      <w:numFmt w:val="lowerRoman"/>
      <w:start w:val="1"/>
    </w:lvl>
  </w:abstractNum>
  <w:abstractNum w:abstractNumId="39">
    <w:nsid w:val="66A48D11"/>
    <w:multiLevelType w:val="hybridMultilevel"/>
    <w:lvl w:ilvl="0">
      <w:lvlJc w:val="left"/>
      <w:lvlText w:val="(%1)"/>
      <w:numFmt w:val="lowerRoman"/>
      <w:start w:val="2"/>
    </w:lvl>
  </w:abstractNum>
  <w:abstractNum w:abstractNumId="40">
    <w:nsid w:val="56C28E34"/>
    <w:multiLevelType w:val="hybridMultilevel"/>
    <w:lvl w:ilvl="0">
      <w:lvlJc w:val="left"/>
      <w:lvlText w:val="(%1)"/>
      <w:numFmt w:val="lowerLetter"/>
      <w:start w:val="2"/>
    </w:lvl>
  </w:abstractNum>
  <w:abstractNum w:abstractNumId="41">
    <w:nsid w:val="13916F2D"/>
    <w:multiLevelType w:val="hybridMultilevel"/>
    <w:lvl w:ilvl="0">
      <w:lvlJc w:val="left"/>
      <w:lvlText w:val="(%1)"/>
      <w:numFmt w:val="lowerLetter"/>
      <w:start w:val="1"/>
    </w:lvl>
  </w:abstractNum>
  <w:abstractNum w:abstractNumId="42">
    <w:nsid w:val="435D38D"/>
    <w:multiLevelType w:val="hybridMultilevel"/>
    <w:lvl w:ilvl="0">
      <w:lvlJc w:val="left"/>
      <w:lvlText w:val="(%1)"/>
      <w:numFmt w:val="lowerLetter"/>
      <w:start w:val="2"/>
    </w:lvl>
  </w:abstractNum>
  <w:abstractNum w:abstractNumId="43">
    <w:nsid w:val="822C0EF"/>
    <w:multiLevelType w:val="hybridMultilevel"/>
    <w:lvl w:ilvl="0">
      <w:lvlJc w:val="left"/>
      <w:lvlText w:val="(%1)"/>
      <w:numFmt w:val="lowerLetter"/>
      <w:start w:val="5"/>
    </w:lvl>
  </w:abstractNum>
  <w:abstractNum w:abstractNumId="44">
    <w:nsid w:val="57C5BB4F"/>
    <w:multiLevelType w:val="hybridMultilevel"/>
    <w:lvl w:ilvl="0">
      <w:lvlJc w:val="left"/>
      <w:lvlText w:val="(%1)"/>
      <w:numFmt w:val="lowerLetter"/>
      <w:start w:val="1"/>
    </w:lvl>
  </w:abstractNum>
  <w:abstractNum w:abstractNumId="45">
    <w:nsid w:val="1803D089"/>
    <w:multiLevelType w:val="hybridMultilevel"/>
    <w:lvl w:ilvl="0">
      <w:lvlJc w:val="left"/>
      <w:lvlText w:val="(%1)"/>
      <w:numFmt w:val="lowerLetter"/>
      <w:start w:val="2"/>
    </w:lvl>
  </w:abstractNum>
  <w:abstractNum w:abstractNumId="46">
    <w:nsid w:val="4F3A06D4"/>
    <w:multiLevelType w:val="hybridMultilevel"/>
    <w:lvl w:ilvl="0">
      <w:lvlJc w:val="left"/>
      <w:lvlText w:val="(%1)"/>
      <w:numFmt w:val="lowerLetter"/>
      <w:start w:val="1"/>
    </w:lvl>
  </w:abstractNum>
  <w:abstractNum w:abstractNumId="47">
    <w:nsid w:val="59A377B6"/>
    <w:multiLevelType w:val="hybridMultilevel"/>
    <w:lvl w:ilvl="0">
      <w:lvlJc w:val="left"/>
      <w:lvlText w:val="%1"/>
      <w:numFmt w:val="lowerLetter"/>
      <w:start w:val="1"/>
    </w:lvl>
    <w:lvl w:ilvl="1">
      <w:lvlJc w:val="left"/>
      <w:lvlText w:val="(%2)"/>
      <w:numFmt w:val="lowerRoman"/>
      <w:start w:val="1"/>
    </w:lvl>
  </w:abstractNum>
  <w:abstractNum w:abstractNumId="48">
    <w:nsid w:val="48AEB063"/>
    <w:multiLevelType w:val="hybridMultilevel"/>
    <w:lvl w:ilvl="0">
      <w:lvlJc w:val="left"/>
      <w:lvlText w:val="(%1)"/>
      <w:numFmt w:val="lowerLetter"/>
      <w:start w:val="4"/>
    </w:lvl>
    <w:lvl w:ilvl="1">
      <w:lvlJc w:val="left"/>
      <w:lvlText w:val="%2"/>
      <w:numFmt w:val="lowerRoman"/>
      <w:start w:val="1"/>
    </w:lvl>
  </w:abstractNum>
  <w:abstractNum w:abstractNumId="49">
    <w:nsid w:val="24E135"/>
    <w:multiLevelType w:val="hybridMultilevel"/>
    <w:lvl w:ilvl="0">
      <w:lvlJc w:val="left"/>
      <w:lvlText w:val="(%1)"/>
      <w:numFmt w:val="lowerLetter"/>
      <w:start w:val="2"/>
    </w:lvl>
  </w:abstractNum>
  <w:abstractNum w:abstractNumId="50">
    <w:nsid w:val="BB13C1"/>
    <w:multiLevelType w:val="hybridMultilevel"/>
    <w:lvl w:ilvl="0">
      <w:lvlJc w:val="left"/>
      <w:lvlText w:val="(%1)"/>
      <w:numFmt w:val="lowerLetter"/>
      <w:start w:val="2"/>
    </w:lvl>
  </w:abstractNum>
  <w:abstractNum w:abstractNumId="51">
    <w:nsid w:val="271210C7"/>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abstractNum>
  <w:abstractNum w:abstractNumId="52">
    <w:nsid w:val="217B22E4"/>
    <w:multiLevelType w:val="hybridMultilevel"/>
    <w:lvl w:ilvl="0">
      <w:lvlJc w:val="left"/>
      <w:lvlText w:val="%1)"/>
      <w:numFmt w:val="decimal"/>
      <w:start w:val="2"/>
    </w:lvl>
    <w:lvl w:ilvl="1">
      <w:lvlJc w:val="left"/>
      <w:lvlText w:val="%2."/>
      <w:numFmt w:val="upperLetter"/>
      <w:start w:val="1"/>
    </w:lvl>
  </w:abstractNum>
  <w:abstractNum w:abstractNumId="53">
    <w:nsid w:val="53E31A24"/>
    <w:multiLevelType w:val="hybridMultilevel"/>
    <w:lvl w:ilvl="0">
      <w:lvlJc w:val="left"/>
      <w:lvlText w:val="%1"/>
      <w:numFmt w:val="lowerRoman"/>
      <w:start w:val="1"/>
    </w:lvl>
    <w:lvl w:ilvl="1">
      <w:lvlJc w:val="left"/>
      <w:lvlText w:val="%2)"/>
      <w:numFmt w:val="decimal"/>
      <w:start w:val="4"/>
    </w:lvl>
  </w:abstractNum>
  <w:abstractNum w:abstractNumId="54">
    <w:nsid w:val="6DC45E83"/>
    <w:multiLevelType w:val="hybridMultilevel"/>
    <w:lvl w:ilvl="0">
      <w:lvlJc w:val="left"/>
      <w:lvlText w:val="(%1)"/>
      <w:numFmt w:val="lowerRoman"/>
      <w:start w:val="1"/>
    </w:lvl>
    <w:lvl w:ilvl="1">
      <w:lvlJc w:val="left"/>
      <w:lvlText w:val="%2"/>
      <w:numFmt w:val="decimal"/>
      <w:start w:val="1"/>
    </w:lvl>
  </w:abstractNum>
  <w:abstractNum w:abstractNumId="55">
    <w:nsid w:val="17304A67"/>
    <w:multiLevelType w:val="hybridMultilevel"/>
    <w:lvl w:ilvl="0">
      <w:lvlJc w:val="left"/>
      <w:lvlText w:val="(%1)"/>
      <w:numFmt w:val="lowerLetter"/>
      <w:start w:val="7"/>
    </w:lvl>
  </w:abstractNum>
  <w:abstractNum w:abstractNumId="56">
    <w:nsid w:val="2BB180D8"/>
    <w:multiLevelType w:val="hybridMultilevel"/>
    <w:lvl w:ilvl="0">
      <w:lvlJc w:val="left"/>
      <w:lvlText w:val="(%1)"/>
      <w:numFmt w:val="lowerLetter"/>
      <w:start w:val="2"/>
    </w:lvl>
  </w:abstractNum>
  <w:abstractNum w:abstractNumId="57">
    <w:nsid w:val="556B69ED"/>
    <w:multiLevelType w:val="hybridMultilevel"/>
    <w:lvl w:ilvl="0">
      <w:lvlJc w:val="left"/>
      <w:lvlText w:val="(%1)"/>
      <w:numFmt w:val="lowerLetter"/>
      <w:start w:val="4"/>
    </w:lvl>
  </w:abstractNum>
  <w:abstractNum w:abstractNumId="58">
    <w:nsid w:val="70836196"/>
    <w:multiLevelType w:val="hybridMultilevel"/>
    <w:lvl w:ilvl="0">
      <w:lvlJc w:val="left"/>
      <w:lvlText w:val="(%1)"/>
      <w:numFmt w:val="lowerLetter"/>
      <w:start w:val="2"/>
    </w:lvl>
  </w:abstractNum>
  <w:abstractNum w:abstractNumId="59">
    <w:nsid w:val="539F7F12"/>
    <w:multiLevelType w:val="hybridMultilevel"/>
    <w:lvl w:ilvl="0">
      <w:lvlJc w:val="left"/>
      <w:lvlText w:val="(%1)"/>
      <w:numFmt w:val="lowerRoman"/>
      <w:start w:val="1"/>
    </w:lvl>
  </w:abstractNum>
  <w:abstractNum w:abstractNumId="60">
    <w:nsid w:val="2817E7EC"/>
    <w:multiLevelType w:val="hybridMultilevel"/>
    <w:lvl w:ilvl="0">
      <w:lvlJc w:val="left"/>
      <w:lvlText w:val="(%1)"/>
      <w:numFmt w:val="lowerLetter"/>
      <w:start w:val="1"/>
    </w:lvl>
    <w:lvl w:ilvl="1">
      <w:lvlJc w:val="left"/>
      <w:lvlText w:val="(%2)"/>
      <w:numFmt w:val="lowerLetter"/>
      <w:start w:val="9"/>
    </w:lvl>
  </w:abstractNum>
  <w:abstractNum w:abstractNumId="61">
    <w:nsid w:val="71482545"/>
    <w:multiLevelType w:val="hybridMultilevel"/>
    <w:lvl w:ilvl="0">
      <w:lvlJc w:val="left"/>
      <w:lvlText w:val="(%1)"/>
      <w:numFmt w:val="lowerRoman"/>
      <w:start w:val="2"/>
    </w:lvl>
  </w:abstractNum>
  <w:abstractNum w:abstractNumId="62">
    <w:nsid w:val="17D78639"/>
    <w:multiLevelType w:val="hybridMultilevel"/>
    <w:lvl w:ilvl="0">
      <w:lvlJc w:val="left"/>
      <w:lvlText w:val="(%1)"/>
      <w:numFmt w:val="lowerLetter"/>
      <w:start w:val="2"/>
    </w:lvl>
  </w:abstractNum>
  <w:abstractNum w:abstractNumId="63">
    <w:nsid w:val="141D2302"/>
    <w:multiLevelType w:val="hybridMultilevel"/>
    <w:lvl w:ilvl="0">
      <w:lvlJc w:val="left"/>
      <w:lvlText w:val="(%1)"/>
      <w:numFmt w:val="lowerLetter"/>
      <w:start w:val="2"/>
    </w:lvl>
    <w:lvl w:ilvl="1">
      <w:lvlJc w:val="left"/>
      <w:lvlText w:val="(%2)"/>
      <w:numFmt w:val="lowerLetter"/>
      <w:start w:val="3"/>
    </w:lvl>
  </w:abstractNum>
  <w:abstractNum w:abstractNumId="64">
    <w:nsid w:val="407168D8"/>
    <w:multiLevelType w:val="hybridMultilevel"/>
    <w:lvl w:ilvl="0">
      <w:lvlJc w:val="left"/>
      <w:lvlText w:val="(%1)"/>
      <w:numFmt w:val="lowerLetter"/>
      <w:start w:val="1"/>
    </w:lvl>
  </w:abstractNum>
  <w:abstractNum w:abstractNumId="65">
    <w:nsid w:val="6A1B45E5"/>
    <w:multiLevelType w:val="hybridMultilevel"/>
    <w:lvl w:ilvl="0">
      <w:lvlJc w:val="left"/>
      <w:lvlText w:val="%1"/>
      <w:numFmt w:val="decimal"/>
      <w:start w:val="1"/>
    </w:lvl>
    <w:lvl w:ilvl="1">
      <w:lvlJc w:val="left"/>
      <w:lvlText w:val="(%2)"/>
      <w:numFmt w:val="lowerLetter"/>
      <w:start w:val="1"/>
    </w:lvl>
  </w:abstractNum>
  <w:abstractNum w:abstractNumId="66">
    <w:nsid w:val="567BD50A"/>
    <w:multiLevelType w:val="hybridMultilevel"/>
    <w:lvl w:ilvl="0">
      <w:lvlJc w:val="left"/>
      <w:lvlText w:val="(%1)"/>
      <w:numFmt w:val="decimal"/>
      <w:start w:val="30"/>
    </w:lvl>
    <w:lvl w:ilvl="1">
      <w:lvlJc w:val="left"/>
      <w:lvlText w:val="(%2)"/>
      <w:numFmt w:val="lowerLetter"/>
      <w:start w:val="2"/>
    </w:lvl>
  </w:abstractNum>
  <w:abstractNum w:abstractNumId="67">
    <w:nsid w:val="73BBD7F8"/>
    <w:multiLevelType w:val="hybridMultilevel"/>
    <w:lvl w:ilvl="0">
      <w:lvlJc w:val="left"/>
      <w:lvlText w:val="(%1)"/>
      <w:numFmt w:val="lowerLetter"/>
      <w:start w:val="3"/>
    </w:lvl>
  </w:abstractNum>
  <w:abstractNum w:abstractNumId="68">
    <w:nsid w:val="1876589D"/>
    <w:multiLevelType w:val="hybridMultilevel"/>
    <w:lvl w:ilvl="0">
      <w:lvlJc w:val="left"/>
      <w:lvlText w:val="(%1)"/>
      <w:numFmt w:val="lowerLetter"/>
      <w:start w:val="1"/>
    </w:lvl>
  </w:abstractNum>
  <w:abstractNum w:abstractNumId="69">
    <w:nsid w:val="327FAC77"/>
    <w:multiLevelType w:val="hybridMultilevel"/>
    <w:lvl w:ilvl="0">
      <w:lvlJc w:val="left"/>
      <w:lvlText w:val="(%1)"/>
      <w:numFmt w:val="lowerLetter"/>
      <w:start w:val="3"/>
    </w:lvl>
  </w:abstractNum>
  <w:abstractNum w:abstractNumId="70">
    <w:nsid w:val="5A606509"/>
    <w:multiLevelType w:val="hybridMultilevel"/>
    <w:lvl w:ilvl="0">
      <w:lvlJc w:val="left"/>
      <w:lvlText w:val="(%1)"/>
      <w:numFmt w:val="lowerLetter"/>
      <w:start w:val="2"/>
    </w:lvl>
  </w:abstractNum>
  <w:abstractNum w:abstractNumId="71">
    <w:nsid w:val="6F38E6D1"/>
    <w:multiLevelType w:val="hybridMultilevel"/>
    <w:lvl w:ilvl="0">
      <w:lvlJc w:val="left"/>
      <w:lvlText w:val="(%1)"/>
      <w:numFmt w:val="lowerLetter"/>
      <w:start w:val="2"/>
    </w:lvl>
  </w:abstractNum>
  <w:abstractNum w:abstractNumId="72">
    <w:nsid w:val="46111BA5"/>
    <w:multiLevelType w:val="hybridMultilevel"/>
    <w:lvl w:ilvl="0">
      <w:lvlJc w:val="left"/>
      <w:lvlText w:val="(%1)"/>
      <w:numFmt w:val="lowerLetter"/>
      <w:start w:val="2"/>
    </w:lvl>
  </w:abstractNum>
  <w:abstractNum w:abstractNumId="73">
    <w:nsid w:val="5E963896"/>
    <w:multiLevelType w:val="hybridMultilevel"/>
    <w:lvl w:ilvl="0">
      <w:lvlJc w:val="left"/>
      <w:lvlText w:val="(%1)"/>
      <w:numFmt w:val="lowerLetter"/>
      <w:start w:val="1"/>
    </w:lvl>
  </w:abstractNum>
  <w:abstractNum w:abstractNumId="74">
    <w:nsid w:val="775BA7C1"/>
    <w:multiLevelType w:val="hybridMultilevel"/>
    <w:lvl w:ilvl="0">
      <w:lvlJc w:val="left"/>
      <w:lvlText w:val="(%1)"/>
      <w:numFmt w:val="lowerLetter"/>
      <w:start w:val="1"/>
    </w:lvl>
  </w:abstractNum>
  <w:abstractNum w:abstractNumId="75">
    <w:nsid w:val="1DD6D6F4"/>
    <w:multiLevelType w:val="hybridMultilevel"/>
    <w:lvl w:ilvl="0">
      <w:lvlJc w:val="left"/>
      <w:lvlText w:val="(%1)"/>
      <w:numFmt w:val="lowerLetter"/>
      <w:start w:val="3"/>
    </w:lvl>
  </w:abstractNum>
  <w:abstractNum w:abstractNumId="76">
    <w:nsid w:val="769A091F"/>
    <w:multiLevelType w:val="hybridMultilevel"/>
    <w:lvl w:ilvl="0">
      <w:lvlJc w:val="left"/>
      <w:lvlText w:val="%1"/>
      <w:numFmt w:val="lowerRoman"/>
      <w:start w:val="1"/>
    </w:lvl>
    <w:lvl w:ilvl="1">
      <w:lvlJc w:val="left"/>
      <w:lvlText w:val="(%2)"/>
      <w:numFmt w:val="lowerLetter"/>
      <w:start w:val="1"/>
    </w:lvl>
  </w:abstractNum>
  <w:abstractNum w:abstractNumId="77">
    <w:nsid w:val="4695AE95"/>
    <w:multiLevelType w:val="hybridMultilevel"/>
    <w:lvl w:ilvl="0">
      <w:lvlJc w:val="left"/>
      <w:lvlText w:val="(%1)"/>
      <w:numFmt w:val="lowerRoman"/>
      <w:start w:val="2"/>
    </w:lvl>
    <w:lvl w:ilvl="1">
      <w:lvlJc w:val="left"/>
      <w:lvlText w:val="%2"/>
      <w:numFmt w:val="lowerLetter"/>
      <w:start w:val="1"/>
    </w:lvl>
  </w:abstractNum>
  <w:abstractNum w:abstractNumId="78">
    <w:nsid w:val="777A4EAA"/>
    <w:multiLevelType w:val="hybridMultilevel"/>
    <w:lvl w:ilvl="0">
      <w:lvlJc w:val="left"/>
      <w:lvlText w:val="(%1)"/>
      <w:numFmt w:val="lowerRoman"/>
      <w:start w:val="4"/>
    </w:lvl>
    <w:lvl w:ilvl="1">
      <w:lvlJc w:val="left"/>
      <w:lvlText w:val="(%2)"/>
      <w:numFmt w:val="lowerLetter"/>
      <w:start w:val="4"/>
    </w:lvl>
  </w:abstractNum>
  <w:abstractNum w:abstractNumId="79">
    <w:nsid w:val="3F48B982"/>
    <w:multiLevelType w:val="hybridMultilevel"/>
    <w:lvl w:ilvl="0">
      <w:lvlJc w:val="left"/>
      <w:lvlText w:val="(%1)"/>
      <w:numFmt w:val="lowerLetter"/>
      <w:start w:val="5"/>
    </w:lvl>
  </w:abstractNum>
  <w:abstractNum w:abstractNumId="80">
    <w:nsid w:val="46BA8FCA"/>
    <w:multiLevelType w:val="hybridMultilevel"/>
    <w:lvl w:ilvl="0">
      <w:lvlJc w:val="left"/>
      <w:lvlText w:val="(%1)"/>
      <w:numFmt w:val="lowerLetter"/>
      <w:start w:val="1"/>
    </w:lvl>
  </w:abstractNum>
  <w:abstractNum w:abstractNumId="81">
    <w:nsid w:val="7835626C"/>
    <w:multiLevelType w:val="hybridMultilevel"/>
    <w:lvl w:ilvl="0">
      <w:lvlJc w:val="left"/>
      <w:lvlText w:val="(%1)"/>
      <w:numFmt w:val="lowerLetter"/>
      <w:start w:val="1"/>
    </w:lvl>
  </w:abstractNum>
  <w:abstractNum w:abstractNumId="82">
    <w:nsid w:val="665ACA49"/>
    <w:multiLevelType w:val="hybridMultilevel"/>
    <w:lvl w:ilvl="0">
      <w:lvlJc w:val="left"/>
      <w:lvlText w:val="(%1)"/>
      <w:numFmt w:val="lowerLetter"/>
      <w:start w:val="3"/>
    </w:lvl>
  </w:abstractNum>
  <w:abstractNum w:abstractNumId="83">
    <w:nsid w:val="6835B2AE"/>
    <w:multiLevelType w:val="hybridMultilevel"/>
    <w:lvl w:ilvl="0">
      <w:lvlJc w:val="left"/>
      <w:lvlText w:val="(%1)"/>
      <w:numFmt w:val="lowerLetter"/>
      <w:start w:val="1"/>
    </w:lvl>
  </w:abstractNum>
  <w:abstractNum w:abstractNumId="84">
    <w:nsid w:val="4C187C90"/>
    <w:multiLevelType w:val="hybridMultilevel"/>
    <w:lvl w:ilvl="0">
      <w:lvlJc w:val="left"/>
      <w:lvlText w:val="(%1)"/>
      <w:numFmt w:val="lowerLetter"/>
      <w:start w:val="7"/>
    </w:lvl>
  </w:abstractNum>
  <w:abstractNum w:abstractNumId="85">
    <w:nsid w:val="541F28CD"/>
    <w:multiLevelType w:val="hybridMultilevel"/>
    <w:lvl w:ilvl="0">
      <w:lvlJc w:val="left"/>
      <w:lvlText w:val="(%1)"/>
      <w:numFmt w:val="lowerLetter"/>
      <w:start w:val="13"/>
    </w:lvl>
  </w:abstractNum>
  <w:abstractNum w:abstractNumId="86">
    <w:nsid w:val="7F65FD16"/>
    <w:multiLevelType w:val="hybridMultilevel"/>
    <w:lvl w:ilvl="0">
      <w:lvlJc w:val="left"/>
      <w:lvlText w:val="%1"/>
      <w:numFmt w:val="upperLetter"/>
      <w:start w:val="1"/>
    </w:lvl>
    <w:lvl w:ilvl="1">
      <w:lvlJc w:val="left"/>
      <w:lvlText w:val="(%2)"/>
      <w:numFmt w:val="lowerLetter"/>
      <w:start w:val="1"/>
    </w:lvl>
  </w:abstractNum>
  <w:abstractNum w:abstractNumId="87">
    <w:nsid w:val="77C9FD68"/>
    <w:multiLevelType w:val="hybridMultilevel"/>
    <w:lvl w:ilvl="0">
      <w:lvlJc w:val="left"/>
      <w:lvlText w:val="(%1)"/>
      <w:numFmt w:val="upperLetter"/>
      <w:start w:val="1"/>
    </w:lvl>
    <w:lvl w:ilvl="1">
      <w:lvlJc w:val="left"/>
      <w:lvlText w:val="(%2)"/>
      <w:numFmt w:val="lowerLetter"/>
      <w:start w:val="5"/>
    </w:lvl>
  </w:abstractNum>
  <w:abstractNum w:abstractNumId="88">
    <w:nsid w:val="298A92BA"/>
    <w:multiLevelType w:val="hybridMultilevel"/>
    <w:lvl w:ilvl="0">
      <w:lvlJc w:val="left"/>
      <w:lvlText w:val="(%1)"/>
      <w:numFmt w:val="lowerLetter"/>
      <w:start w:val="6"/>
    </w:lvl>
  </w:abstractNum>
  <w:abstractNum w:abstractNumId="89">
    <w:nsid w:val="6FE95EAC"/>
    <w:multiLevelType w:val="hybridMultilevel"/>
    <w:lvl w:ilvl="0">
      <w:lvlJc w:val="left"/>
      <w:lvlText w:val="(%1)"/>
      <w:numFmt w:val="lowerLetter"/>
      <w:start w:val="17"/>
    </w:lvl>
  </w:abstractNum>
  <w:abstractNum w:abstractNumId="90">
    <w:nsid w:val="4B697C7A"/>
    <w:multiLevelType w:val="hybridMultilevel"/>
    <w:lvl w:ilvl="0">
      <w:lvlJc w:val="left"/>
      <w:lvlText w:val="(%1)"/>
      <w:numFmt w:val="lowerLetter"/>
      <w:start w:val="1"/>
    </w:lvl>
    <w:lvl w:ilvl="1">
      <w:lvlJc w:val="left"/>
      <w:lvlText w:val="(%2)"/>
      <w:numFmt w:val="lowerLetter"/>
      <w:start w:val="9"/>
    </w:lvl>
  </w:abstractNum>
  <w:abstractNum w:abstractNumId="91">
    <w:nsid w:val="51A27AA6"/>
    <w:multiLevelType w:val="hybridMultilevel"/>
    <w:lvl w:ilvl="0">
      <w:lvlJc w:val="left"/>
      <w:lvlText w:val="%1"/>
      <w:numFmt w:val="lowerLetter"/>
      <w:start w:val="1"/>
    </w:lvl>
    <w:lvl w:ilvl="1">
      <w:lvlJc w:val="left"/>
      <w:lvlText w:val="(%2)"/>
      <w:numFmt w:val="lowerRoman"/>
      <w:start w:val="2"/>
    </w:lvl>
  </w:abstractNum>
  <w:abstractNum w:abstractNumId="92">
    <w:nsid w:val="613183F2"/>
    <w:multiLevelType w:val="hybridMultilevel"/>
    <w:lvl w:ilvl="0">
      <w:lvlJc w:val="left"/>
      <w:lvlText w:val="(%1)"/>
      <w:numFmt w:val="lowerLetter"/>
      <w:start w:val="2"/>
    </w:lvl>
    <w:lvl w:ilvl="1">
      <w:lvlJc w:val="left"/>
      <w:lvlText w:val="%2"/>
      <w:numFmt w:val="lowerRoman"/>
      <w:start w:val="1"/>
    </w:lvl>
  </w:abstractNum>
  <w:abstractNum w:abstractNumId="93">
    <w:nsid w:val="634102B4"/>
    <w:multiLevelType w:val="hybridMultilevel"/>
    <w:lvl w:ilvl="0">
      <w:lvlJc w:val="left"/>
      <w:lvlText w:val="(%1)"/>
      <w:numFmt w:val="lowerLetter"/>
      <w:start w:val="1"/>
    </w:lvl>
  </w:abstractNum>
  <w:abstractNum w:abstractNumId="94">
    <w:nsid w:val="65BF9DA8"/>
    <w:multiLevelType w:val="hybridMultilevel"/>
    <w:lvl w:ilvl="0">
      <w:lvlJc w:val="left"/>
      <w:lvlText w:val="%1"/>
      <w:numFmt w:val="lowerLetter"/>
      <w:start w:val="1"/>
    </w:lvl>
    <w:lvl w:ilvl="1">
      <w:lvlJc w:val="left"/>
      <w:lvlText w:val="(%2)"/>
      <w:numFmt w:val="lowerLetter"/>
      <w:start w:val="3"/>
    </w:lvl>
  </w:abstractNum>
  <w:abstractNum w:abstractNumId="95">
    <w:nsid w:val="21A2ECCA"/>
    <w:multiLevelType w:val="hybridMultilevel"/>
    <w:lvl w:ilvl="0">
      <w:lvlJc w:val="left"/>
      <w:lvlText w:val="(%1)"/>
      <w:numFmt w:val="lowerLetter"/>
      <w:start w:val="24"/>
    </w:lvl>
    <w:lvl w:ilvl="1">
      <w:lvlJc w:val="left"/>
      <w:lvlText w:val="(%2)"/>
      <w:numFmt w:val="lowerLetter"/>
      <w:start w:val="5"/>
    </w:lvl>
  </w:abstractNum>
  <w:abstractNum w:abstractNumId="96">
    <w:nsid w:val="4D5C4899"/>
    <w:multiLevelType w:val="hybridMultilevel"/>
    <w:lvl w:ilvl="0">
      <w:lvlJc w:val="left"/>
      <w:lvlText w:val="(%1)"/>
      <w:numFmt w:val="lowerLetter"/>
      <w:start w:val="9"/>
    </w:lvl>
    <w:lvl w:ilvl="1">
      <w:lvlJc w:val="left"/>
      <w:lvlText w:val="(%2)"/>
      <w:numFmt w:val="lowerLetter"/>
      <w:start w:val="7"/>
    </w:lvl>
  </w:abstractNum>
  <w:abstractNum w:abstractNumId="97">
    <w:nsid w:val="3C3B72B2"/>
    <w:multiLevelType w:val="hybridMultilevel"/>
    <w:lvl w:ilvl="0">
      <w:lvlJc w:val="left"/>
      <w:lvlText w:val="(%1)"/>
      <w:numFmt w:val="lowerLetter"/>
      <w:start w:val="9"/>
    </w:lvl>
  </w:abstractNum>
  <w:abstractNum w:abstractNumId="98">
    <w:nsid w:val="155EC4C2"/>
    <w:multiLevelType w:val="hybridMultilevel"/>
    <w:lvl w:ilvl="0">
      <w:lvlJc w:val="left"/>
      <w:lvlText w:val="(%1)"/>
      <w:numFmt w:val="lowerLetter"/>
      <w:start w:val="18"/>
    </w:lvl>
  </w:abstractNum>
  <w:abstractNum w:abstractNumId="99">
    <w:nsid w:val="65D2A137"/>
    <w:multiLevelType w:val="hybridMultilevel"/>
    <w:lvl w:ilvl="0">
      <w:lvlJc w:val="left"/>
      <w:lvlText w:val="(%1)"/>
      <w:numFmt w:val="lowerLetter"/>
      <w:start w:val="27"/>
    </w:lvl>
  </w:abstractNum>
  <w:abstractNum w:abstractNumId="100">
    <w:nsid w:val="6EBB1F2A"/>
    <w:multiLevelType w:val="hybridMultilevel"/>
    <w:lvl w:ilvl="0">
      <w:lvlJc w:val="left"/>
      <w:lvlText w:val="(%1)"/>
      <w:numFmt w:val="lowerLetter"/>
      <w:start w:val="1"/>
    </w:lvl>
  </w:abstractNum>
  <w:abstractNum w:abstractNumId="101">
    <w:nsid w:val="6FBF29CB"/>
    <w:multiLevelType w:val="hybridMultilevel"/>
    <w:lvl w:ilvl="0">
      <w:lvlJc w:val="left"/>
      <w:lvlText w:val="(%1)"/>
      <w:numFmt w:val="lowerLetter"/>
      <w:start w:val="3"/>
    </w:lvl>
  </w:abstractNum>
  <w:abstractNum w:abstractNumId="102">
    <w:nsid w:val="550B8808"/>
    <w:multiLevelType w:val="hybridMultilevel"/>
    <w:lvl w:ilvl="0">
      <w:lvlJc w:val="left"/>
      <w:lvlText w:val="(%1)"/>
      <w:numFmt w:val="lowerLetter"/>
      <w:start w:val="14"/>
    </w:lvl>
  </w:abstractNum>
  <w:abstractNum w:abstractNumId="103">
    <w:nsid w:val="34CC3ACF"/>
    <w:multiLevelType w:val="hybridMultilevel"/>
    <w:lvl w:ilvl="0">
      <w:lvlJc w:val="left"/>
      <w:lvlText w:val="%1"/>
      <w:numFmt w:val="lowerLetter"/>
      <w:start w:val="1"/>
    </w:lvl>
    <w:lvl w:ilvl="1">
      <w:lvlJc w:val="left"/>
      <w:lvlText w:val="(%2)"/>
      <w:numFmt w:val="lowerLetter"/>
      <w:start w:val="1"/>
    </w:lvl>
  </w:abstractNum>
  <w:abstractNum w:abstractNumId="104">
    <w:nsid w:val="4E556261"/>
    <w:multiLevelType w:val="hybridMultilevel"/>
    <w:lvl w:ilvl="0">
      <w:lvlJc w:val="left"/>
      <w:lvlText w:val="(%1)"/>
      <w:numFmt w:val="lowerLetter"/>
      <w:start w:val="35"/>
    </w:lvl>
    <w:lvl w:ilvl="1">
      <w:lvlJc w:val="left"/>
      <w:lvlText w:val="(%2)"/>
      <w:numFmt w:val="lowerLetter"/>
      <w:start w:val="4"/>
    </w:lvl>
  </w:abstractNum>
  <w:abstractNum w:abstractNumId="105">
    <w:nsid w:val="4C672FC9"/>
    <w:multiLevelType w:val="hybridMultilevel"/>
    <w:lvl w:ilvl="0">
      <w:lvlJc w:val="left"/>
      <w:lvlText w:val="(%1)"/>
      <w:numFmt w:val="lowerLetter"/>
      <w:start w:val="12"/>
    </w:lvl>
  </w:abstractNum>
  <w:abstractNum w:abstractNumId="106">
    <w:nsid w:val="52A311C3"/>
    <w:multiLevelType w:val="hybridMultilevel"/>
    <w:lvl w:ilvl="0">
      <w:lvlJc w:val="left"/>
      <w:lvlText w:val="%1"/>
      <w:numFmt w:val="lowerLetter"/>
      <w:start w:val="1"/>
    </w:lvl>
    <w:lvl w:ilvl="1">
      <w:lvlJc w:val="left"/>
      <w:lvlText w:val="(%2)"/>
      <w:numFmt w:val="lowerLetter"/>
      <w:start w:val="1"/>
    </w:lvl>
  </w:abstractNum>
  <w:abstractNum w:abstractNumId="107">
    <w:nsid w:val="44EF6B80"/>
    <w:multiLevelType w:val="hybridMultilevel"/>
    <w:lvl w:ilvl="0">
      <w:lvlJc w:val="left"/>
      <w:lvlText w:val="(%1)"/>
      <w:numFmt w:val="lowerLetter"/>
      <w:start w:val="2"/>
    </w:lvl>
    <w:lvl w:ilvl="1">
      <w:lvlJc w:val="left"/>
      <w:lvlText w:val="(%2)"/>
      <w:numFmt w:val="lowerLetter"/>
      <w:start w:val="35"/>
    </w:lvl>
  </w:abstractNum>
  <w:abstractNum w:abstractNumId="108">
    <w:nsid w:val="12FCDE5E"/>
    <w:multiLevelType w:val="hybridMultilevel"/>
    <w:lvl w:ilvl="0">
      <w:lvlJc w:val="left"/>
      <w:lvlText w:val="%1"/>
      <w:numFmt w:val="lowerLetter"/>
      <w:start w:val="1"/>
    </w:lvl>
    <w:lvl w:ilvl="1">
      <w:lvlJc w:val="left"/>
      <w:lvlText w:val="(%2)"/>
      <w:numFmt w:val="lowerRoman"/>
      <w:start w:val="3"/>
    </w:lvl>
  </w:abstractNum>
  <w:abstractNum w:abstractNumId="109">
    <w:nsid w:val="4A1D606E"/>
    <w:multiLevelType w:val="hybridMultilevel"/>
    <w:lvl w:ilvl="0">
      <w:lvlJc w:val="left"/>
      <w:lvlText w:val="(%1)"/>
      <w:numFmt w:val="lowerLetter"/>
      <w:start w:val="4"/>
    </w:lvl>
    <w:lvl w:ilvl="1">
      <w:lvlJc w:val="left"/>
      <w:lvlText w:val="%2"/>
      <w:numFmt w:val="lowerRoman"/>
      <w:start w:val="1"/>
    </w:lvl>
  </w:abstractNum>
  <w:abstractNum w:abstractNumId="110">
    <w:nsid w:val="4382503"/>
    <w:multiLevelType w:val="hybridMultilevel"/>
    <w:lvl w:ilvl="0">
      <w:lvlJc w:val="left"/>
      <w:lvlText w:val="(%1)"/>
      <w:numFmt w:val="upperLetter"/>
      <w:start w:val="1"/>
    </w:lvl>
  </w:abstractNum>
  <w:abstractNum w:abstractNumId="111">
    <w:nsid w:val="59B76E28"/>
    <w:multiLevelType w:val="hybridMultilevel"/>
    <w:lvl w:ilvl="0">
      <w:lvlJc w:val="left"/>
      <w:lvlText w:val="(%1)"/>
      <w:numFmt w:val="lowerLetter"/>
      <w:start w:val="8"/>
    </w:lvl>
  </w:abstractNum>
  <w:abstractNum w:abstractNumId="112">
    <w:nsid w:val="4252C2DA"/>
    <w:multiLevelType w:val="hybridMultilevel"/>
    <w:lvl w:ilvl="0">
      <w:lvlJc w:val="left"/>
      <w:lvlText w:val="(%1)"/>
      <w:numFmt w:val="lowerLetter"/>
      <w:start w:val="1"/>
    </w:lvl>
    <w:lvl w:ilvl="1">
      <w:lvlJc w:val="left"/>
      <w:lvlText w:val="(%2)"/>
      <w:numFmt w:val="lowerRoman"/>
      <w:start w:val="1"/>
    </w:lvl>
  </w:abstractNum>
  <w:abstractNum w:abstractNumId="113">
    <w:nsid w:val="6A92EF4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14">
    <w:nsid w:val="41ED20D7"/>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15">
    <w:nsid w:val="E6B3F6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16">
    <w:nsid w:val="3EB21819"/>
    <w:multiLevelType w:val="hybridMultilevel"/>
    <w:lvl w:ilvl="0">
      <w:lvlJc w:val="left"/>
      <w:lvlText w:val="(%1)"/>
      <w:numFmt w:val="upperLetter"/>
      <w:start w:val="1"/>
    </w:lvl>
  </w:abstractNum>
  <w:abstractNum w:abstractNumId="117">
    <w:nsid w:val="41531DED"/>
    <w:multiLevelType w:val="hybridMultilevel"/>
    <w:lvl w:ilvl="0">
      <w:lvlJc w:val="left"/>
      <w:lvlText w:val="(%1)"/>
      <w:numFmt w:val="upperLetter"/>
      <w:start w:val="7"/>
    </w:lvl>
  </w:abstractNum>
  <w:abstractNum w:abstractNumId="118">
    <w:nsid w:val="6353CD2"/>
    <w:multiLevelType w:val="hybridMultilevel"/>
    <w:lvl w:ilvl="0">
      <w:lvlJc w:val="left"/>
      <w:lvlText w:val="(%1)"/>
      <w:numFmt w:val="upperLetter"/>
      <w:start w:val="11"/>
    </w:lvl>
  </w:abstractNum>
  <w:abstractNum w:abstractNumId="119">
    <w:nsid w:val="683CAAD3"/>
    <w:multiLevelType w:val="hybridMultilevel"/>
    <w:lvl w:ilvl="0">
      <w:lvlJc w:val="left"/>
      <w:lvlText w:val="(%1)"/>
      <w:numFmt w:val="lowerLetter"/>
      <w:start w:val="1"/>
    </w:lvl>
  </w:abstractNum>
  <w:abstractNum w:abstractNumId="120">
    <w:nsid w:val="313C7C99"/>
    <w:multiLevelType w:val="hybridMultilevel"/>
    <w:lvl w:ilvl="0">
      <w:lvlJc w:val="left"/>
      <w:lvlText w:val="%1"/>
      <w:numFmt w:val="decimal"/>
      <w:start w:val="1"/>
    </w:lvl>
    <w:lvl w:ilvl="1">
      <w:lvlJc w:val="left"/>
      <w:lvlText w:val="(%2)"/>
      <w:numFmt w:val="lowerLetter"/>
      <w:start w:val="2"/>
    </w:lvl>
  </w:abstractNum>
  <w:abstractNum w:abstractNumId="121">
    <w:nsid w:val="519EB94C"/>
    <w:multiLevelType w:val="hybridMultilevel"/>
    <w:lvl w:ilvl="0">
      <w:lvlJc w:val="left"/>
      <w:lvlText w:val="(%1)"/>
      <w:numFmt w:val="decimal"/>
      <w:start w:val="30"/>
    </w:lvl>
    <w:lvl w:ilvl="1">
      <w:lvlJc w:val="left"/>
      <w:lvlText w:val="(%2)"/>
      <w:numFmt w:val="lowerLetter"/>
      <w:start w:val="6"/>
    </w:lvl>
  </w:abstractNum>
  <w:abstractNum w:abstractNumId="122">
    <w:nsid w:val="39DF2579"/>
    <w:multiLevelType w:val="hybridMultilevel"/>
    <w:lvl w:ilvl="0">
      <w:lvlJc w:val="left"/>
      <w:lvlText w:val="(%1)"/>
      <w:numFmt w:val="lowerLetter"/>
      <w:start w:val="8"/>
    </w:lvl>
  </w:abstractNum>
  <w:abstractNum w:abstractNumId="123">
    <w:nsid w:val="126E008B"/>
    <w:multiLevelType w:val="hybridMultilevel"/>
    <w:lvl w:ilvl="0">
      <w:lvlJc w:val="left"/>
      <w:lvlText w:val="%1"/>
      <w:numFmt w:val="lowerLetter"/>
      <w:start w:val="1"/>
    </w:lvl>
    <w:lvl w:ilvl="1">
      <w:lvlJc w:val="left"/>
      <w:lvlText w:val="(%2)"/>
      <w:numFmt w:val="lowerLetter"/>
      <w:start w:val="14"/>
    </w:lvl>
  </w:abstractNum>
  <w:abstractNum w:abstractNumId="124">
    <w:nsid w:val="34DFBC00"/>
    <w:multiLevelType w:val="hybridMultilevel"/>
    <w:lvl w:ilvl="0">
      <w:lvlJc w:val="left"/>
      <w:lvlText w:val="(%1)"/>
      <w:numFmt w:val="lowerLetter"/>
      <w:start w:val="35"/>
    </w:lvl>
    <w:lvl w:ilvl="1">
      <w:lvlJc w:val="left"/>
      <w:lvlText w:val="%2"/>
      <w:numFmt w:val="lowerLetter"/>
      <w:start w:val="1"/>
    </w:lvl>
  </w:abstractNum>
  <w:abstractNum w:abstractNumId="125">
    <w:nsid w:val="1F9EC322"/>
    <w:multiLevelType w:val="hybridMultilevel"/>
    <w:lvl w:ilvl="0">
      <w:lvlJc w:val="left"/>
      <w:lvlText w:val="(%1)"/>
      <w:numFmt w:val="lowerLetter"/>
      <w:start w:val="1"/>
    </w:lvl>
  </w:abstractNum>
  <w:abstractNum w:abstractNumId="126">
    <w:nsid w:val="3410ED56"/>
    <w:multiLevelType w:val="hybridMultilevel"/>
    <w:lvl w:ilvl="0">
      <w:lvlJc w:val="left"/>
      <w:lvlText w:val="(%1)"/>
      <w:numFmt w:val="lowerLetter"/>
      <w:start w:val="1"/>
    </w:lvl>
  </w:abstractNum>
  <w:abstractNum w:abstractNumId="127">
    <w:nsid w:val="23C049A"/>
    <w:multiLevelType w:val="hybridMultilevel"/>
    <w:lvl w:ilvl="0">
      <w:lvlJc w:val="left"/>
      <w:lvlText w:val="(%1)"/>
      <w:numFmt w:val="lowerRoman"/>
      <w:start w:val="3"/>
    </w:lvl>
  </w:abstractNum>
  <w:abstractNum w:abstractNumId="128">
    <w:nsid w:val="5BDA35D4"/>
    <w:multiLevelType w:val="hybridMultilevel"/>
    <w:lvl w:ilvl="0">
      <w:lvlJc w:val="left"/>
      <w:lvlText w:val="(%1)"/>
      <w:numFmt w:val="lowerLetter"/>
      <w:start w:val="2"/>
    </w:lvl>
  </w:abstractNum>
  <w:abstractNum w:abstractNumId="129">
    <w:nsid w:val="496FB218"/>
    <w:multiLevelType w:val="hybridMultilevel"/>
    <w:lvl w:ilvl="0">
      <w:lvlJc w:val="left"/>
      <w:lvlText w:val="(%1)"/>
      <w:numFmt w:val="lowerLetter"/>
      <w:start w:val="3"/>
    </w:lvl>
    <w:lvl w:ilvl="1">
      <w:lvlJc w:val="left"/>
      <w:lvlText w:val="(%2)"/>
      <w:numFmt w:val="lowerRoman"/>
      <w:start w:val="1"/>
    </w:lvl>
  </w:abstractNum>
  <w:abstractNum w:abstractNumId="130">
    <w:nsid w:val="680EA5D1"/>
    <w:multiLevelType w:val="hybridMultilevel"/>
    <w:lvl w:ilvl="0">
      <w:lvlJc w:val="left"/>
      <w:lvlText w:val="(%1)"/>
      <w:numFmt w:val="lowerLetter"/>
      <w:start w:val="2"/>
    </w:lvl>
    <w:lvl w:ilvl="1">
      <w:lvlJc w:val="left"/>
      <w:lvlText w:val="(%2)"/>
      <w:numFmt w:val="lowerRoman"/>
      <w:start w:val="1"/>
    </w:lvl>
  </w:abstractNum>
  <w:abstractNum w:abstractNumId="131">
    <w:nsid w:val="4A9554FE"/>
    <w:multiLevelType w:val="hybridMultilevel"/>
    <w:lvl w:ilvl="0">
      <w:lvlJc w:val="left"/>
      <w:lvlText w:val="(%1)"/>
      <w:numFmt w:val="lowerRoman"/>
      <w:start w:val="3"/>
    </w:lvl>
  </w:abstractNum>
  <w:abstractNum w:abstractNumId="132">
    <w:nsid w:val="392EDBE4"/>
    <w:multiLevelType w:val="hybridMultilevel"/>
    <w:lvl w:ilvl="0">
      <w:lvlJc w:val="left"/>
      <w:lvlText w:val="(%1)"/>
      <w:numFmt w:val="lowerRoman"/>
      <w:start w:val="5"/>
    </w:lvl>
  </w:abstractNum>
  <w:abstractNum w:abstractNumId="133">
    <w:nsid w:val="3D1A2DD9"/>
    <w:multiLevelType w:val="hybridMultilevel"/>
    <w:lvl w:ilvl="0">
      <w:lvlJc w:val="left"/>
      <w:lvlText w:val="%1"/>
      <w:numFmt w:val="lowerLetter"/>
      <w:start w:val="1"/>
    </w:lvl>
    <w:lvl w:ilvl="1">
      <w:lvlJc w:val="left"/>
      <w:lvlText w:val="(%2)"/>
      <w:numFmt w:val="lowerLetter"/>
      <w:start w:val="3"/>
    </w:lvl>
  </w:abstractNum>
  <w:abstractNum w:abstractNumId="134">
    <w:nsid w:val="7F618FCD"/>
    <w:multiLevelType w:val="hybridMultilevel"/>
    <w:lvl w:ilvl="0">
      <w:lvlJc w:val="left"/>
      <w:lvlText w:val="(%1)"/>
      <w:numFmt w:val="lowerLetter"/>
      <w:start w:val="35"/>
    </w:lvl>
    <w:lvl w:ilvl="1">
      <w:lvlJc w:val="left"/>
      <w:lvlText w:val="%2"/>
      <w:numFmt w:val="lowerLetter"/>
      <w:start w:val="1"/>
    </w:lvl>
  </w:abstractNum>
  <w:abstractNum w:abstractNumId="135">
    <w:nsid w:val="7843E45"/>
    <w:multiLevelType w:val="hybridMultilevel"/>
    <w:lvl w:ilvl="0">
      <w:lvlJc w:val="left"/>
      <w:lvlText w:val="(%1)"/>
      <w:numFmt w:val="lowerLetter"/>
      <w:start w:val="5"/>
    </w:lvl>
  </w:abstractNum>
  <w:abstractNum w:abstractNumId="136">
    <w:nsid w:val="9815DA3"/>
    <w:multiLevelType w:val="hybridMultilevel"/>
    <w:lvl w:ilvl="0">
      <w:lvlJc w:val="left"/>
      <w:lvlText w:val="(%1)"/>
      <w:numFmt w:val="lowerLetter"/>
      <w:start w:val="1"/>
    </w:lvl>
  </w:abstractNum>
  <w:abstractNum w:abstractNumId="137">
    <w:nsid w:val="5204A191"/>
    <w:multiLevelType w:val="hybridMultilevel"/>
    <w:lvl w:ilvl="0">
      <w:lvlJc w:val="left"/>
      <w:lvlText w:val="(%1)"/>
      <w:numFmt w:val="lowerLetter"/>
      <w:start w:val="2"/>
    </w:lvl>
  </w:abstractNum>
  <w:abstractNum w:abstractNumId="138">
    <w:nsid w:val="4C73A9C6"/>
    <w:multiLevelType w:val="hybridMultilevel"/>
    <w:lvl w:ilvl="0">
      <w:lvlJc w:val="left"/>
      <w:lvlText w:val="(%1)"/>
      <w:numFmt w:val="lowerLetter"/>
      <w:start w:val="5"/>
    </w:lvl>
  </w:abstractNum>
  <w:abstractNum w:abstractNumId="139">
    <w:nsid w:val="1C7E3C01"/>
    <w:multiLevelType w:val="hybridMultilevel"/>
    <w:lvl w:ilvl="0">
      <w:lvlJc w:val="left"/>
      <w:lvlText w:val="(%1)"/>
      <w:numFmt w:val="lowerLetter"/>
      <w:start w:val="1"/>
    </w:lvl>
  </w:abstractNum>
  <w:abstractNum w:abstractNumId="140">
    <w:nsid w:val="1C2201FF"/>
    <w:multiLevelType w:val="hybridMultilevel"/>
    <w:lvl w:ilvl="0">
      <w:lvlJc w:val="left"/>
      <w:lvlText w:val="(%1)"/>
      <w:numFmt w:val="upperLetter"/>
      <w:start w:val="1"/>
    </w:lvl>
  </w:abstractNum>
  <w:abstractNum w:abstractNumId="141">
    <w:nsid w:val="50ABCEC9"/>
    <w:multiLevelType w:val="hybridMultilevel"/>
    <w:lvl w:ilvl="0">
      <w:lvlJc w:val="left"/>
      <w:lvlText w:val="(%1)"/>
      <w:numFmt w:val="lowerRoman"/>
      <w:start w:val="2"/>
    </w:lvl>
  </w:abstractNum>
  <w:abstractNum w:abstractNumId="142">
    <w:nsid w:val="7635AA2A"/>
    <w:multiLevelType w:val="hybridMultilevel"/>
    <w:lvl w:ilvl="0">
      <w:lvlJc w:val="left"/>
      <w:lvlText w:val="(%1)"/>
      <w:numFmt w:val="upperLetter"/>
      <w:start w:val="1"/>
    </w:lvl>
  </w:abstractNum>
  <w:abstractNum w:abstractNumId="143">
    <w:nsid w:val="5E74C4D9"/>
    <w:multiLevelType w:val="hybridMultilevel"/>
    <w:lvl w:ilvl="0">
      <w:lvlJc w:val="left"/>
      <w:lvlText w:val="(%1)"/>
      <w:numFmt w:val="upperLetter"/>
      <w:start w:val="3"/>
    </w:lvl>
  </w:abstractNum>
  <w:abstractNum w:abstractNumId="144">
    <w:nsid w:val="3B3EBE15"/>
    <w:multiLevelType w:val="hybridMultilevel"/>
    <w:lvl w:ilvl="0">
      <w:lvlJc w:val="left"/>
      <w:lvlText w:val="(%1)"/>
      <w:numFmt w:val="lowerRoman"/>
      <w:start w:val="3"/>
    </w:lvl>
  </w:abstractNum>
  <w:abstractNum w:abstractNumId="145">
    <w:nsid w:val="3822CB01"/>
    <w:multiLevelType w:val="hybridMultilevel"/>
    <w:lvl w:ilvl="0">
      <w:lvlJc w:val="left"/>
      <w:lvlText w:val="(%1)"/>
      <w:numFmt w:val="lowerRoman"/>
      <w:start w:val="1"/>
    </w:lvl>
  </w:abstractNum>
  <w:abstractNum w:abstractNumId="146">
    <w:nsid w:val="6CE00443"/>
    <w:multiLevelType w:val="hybridMultilevel"/>
    <w:lvl w:ilvl="0">
      <w:lvlJc w:val="left"/>
      <w:lvlText w:val="(%1)"/>
      <w:numFmt w:val="lowerRoman"/>
      <w:start w:val="2"/>
    </w:lvl>
  </w:abstractNum>
  <w:abstractNum w:abstractNumId="147">
    <w:nsid w:val="79F0D62F"/>
    <w:multiLevelType w:val="hybridMultilevel"/>
    <w:lvl w:ilvl="0">
      <w:lvlJc w:val="left"/>
      <w:lvlText w:val="(%1)"/>
      <w:numFmt w:val="lowerLetter"/>
      <w:start w:val="3"/>
    </w:lvl>
  </w:abstractNum>
  <w:abstractNum w:abstractNumId="148">
    <w:nsid w:val="7975E8EE"/>
    <w:multiLevelType w:val="hybridMultilevel"/>
    <w:lvl w:ilvl="0">
      <w:lvlJc w:val="left"/>
      <w:lvlText w:val="(%1)"/>
      <w:numFmt w:val="lowerLetter"/>
      <w:start w:val="2"/>
    </w:lvl>
    <w:lvl w:ilvl="1">
      <w:lvlJc w:val="left"/>
      <w:lvlText w:val="(%2)"/>
      <w:numFmt w:val="lowerRoman"/>
      <w:start w:val="1"/>
    </w:lvl>
  </w:abstractNum>
  <w:abstractNum w:abstractNumId="149">
    <w:nsid w:val="73154115"/>
    <w:multiLevelType w:val="hybridMultilevel"/>
    <w:lvl w:ilvl="0">
      <w:lvlJc w:val="left"/>
      <w:lvlText w:val="(%1)"/>
      <w:numFmt w:val="upperLetter"/>
      <w:start w:val="1"/>
    </w:lvl>
    <w:lvl w:ilvl="1">
      <w:lvlJc w:val="left"/>
      <w:lvlText w:val="(%2)"/>
      <w:numFmt w:val="lowerRoman"/>
      <w:start w:val="4"/>
    </w:lvl>
  </w:abstractNum>
  <w:abstractNum w:abstractNumId="150">
    <w:nsid w:val="622D8102"/>
    <w:multiLevelType w:val="hybridMultilevel"/>
    <w:lvl w:ilvl="0">
      <w:lvlJc w:val="left"/>
      <w:lvlText w:val="%1"/>
      <w:numFmt w:val="upperLetter"/>
      <w:start w:val="1"/>
    </w:lvl>
    <w:lvl w:ilvl="1">
      <w:lvlJc w:val="left"/>
      <w:lvlText w:val="(%2)"/>
      <w:numFmt w:val="lowerRoman"/>
      <w:start w:val="5"/>
    </w:lvl>
  </w:abstractNum>
  <w:abstractNum w:abstractNumId="151">
    <w:nsid w:val="2AB26587"/>
    <w:multiLevelType w:val="hybridMultilevel"/>
    <w:lvl w:ilvl="0">
      <w:lvlJc w:val="left"/>
      <w:lvlText w:val="(%1)"/>
      <w:numFmt w:val="lowerLetter"/>
      <w:start w:val="4"/>
    </w:lvl>
    <w:lvl w:ilvl="1">
      <w:lvlJc w:val="left"/>
      <w:lvlText w:val="(%2)"/>
      <w:numFmt w:val="lowerLetter"/>
      <w:start w:val="9"/>
    </w:lvl>
  </w:abstractNum>
  <w:abstractNum w:abstractNumId="152">
    <w:nsid w:val="44B3FA61"/>
    <w:multiLevelType w:val="hybridMultilevel"/>
    <w:lvl w:ilvl="0">
      <w:lvlJc w:val="left"/>
      <w:lvlText w:val="(%1)"/>
      <w:numFmt w:val="upperLetter"/>
      <w:start w:val="1"/>
    </w:lvl>
  </w:abstractNum>
  <w:abstractNum w:abstractNumId="153">
    <w:nsid w:val="1C0CA67C"/>
    <w:multiLevelType w:val="hybridMultilevel"/>
    <w:lvl w:ilvl="0">
      <w:lvlJc w:val="left"/>
      <w:lvlText w:val="(%1)"/>
      <w:numFmt w:val="upperLetter"/>
      <w:start w:val="5"/>
    </w:lvl>
  </w:abstractNum>
  <w:abstractNum w:abstractNumId="154">
    <w:nsid w:val="3D206613"/>
    <w:multiLevelType w:val="hybridMultilevel"/>
    <w:lvl w:ilvl="0">
      <w:lvlJc w:val="left"/>
      <w:lvlText w:val="%1"/>
      <w:numFmt w:val="upperLetter"/>
      <w:start w:val="1"/>
    </w:lvl>
    <w:lvl w:ilvl="1">
      <w:lvlJc w:val="left"/>
      <w:lvlText w:val="(%2)"/>
      <w:numFmt w:val="lowerRoman"/>
      <w:start w:val="2"/>
    </w:lvl>
  </w:abstractNum>
  <w:abstractNum w:abstractNumId="155">
    <w:nsid w:val="7993B662"/>
    <w:multiLevelType w:val="hybridMultilevel"/>
    <w:lvl w:ilvl="0">
      <w:lvlJc w:val="left"/>
      <w:lvlText w:val="(%1)"/>
      <w:numFmt w:val="upperLetter"/>
      <w:start w:val="1"/>
    </w:lvl>
    <w:lvl w:ilvl="1">
      <w:lvlJc w:val="left"/>
      <w:lvlText w:val="%2"/>
      <w:numFmt w:val="lowerRoman"/>
      <w:start w:val="1"/>
    </w:lvl>
  </w:abstractNum>
  <w:abstractNum w:abstractNumId="156">
    <w:nsid w:val="3BAB699E"/>
    <w:multiLevelType w:val="hybridMultilevel"/>
    <w:lvl w:ilvl="0">
      <w:lvlJc w:val="left"/>
      <w:lvlText w:val="(%1)"/>
      <w:numFmt w:val="lowerLetter"/>
      <w:start w:val="2"/>
    </w:lvl>
  </w:abstractNum>
  <w:abstractNum w:abstractNumId="157">
    <w:nsid w:val="71315369"/>
    <w:multiLevelType w:val="hybridMultilevel"/>
    <w:lvl w:ilvl="0">
      <w:lvlJc w:val="left"/>
      <w:lvlText w:val="(%1)"/>
      <w:numFmt w:val="lowerLetter"/>
      <w:start w:val="3"/>
    </w:lvl>
  </w:abstractNum>
  <w:abstractNum w:abstractNumId="158">
    <w:nsid w:val="7BCFBAFC"/>
    <w:multiLevelType w:val="hybridMultilevel"/>
    <w:lvl w:ilvl="0">
      <w:lvlJc w:val="left"/>
      <w:lvlText w:val="(%1)"/>
      <w:numFmt w:val="lowerLetter"/>
      <w:start w:val="1"/>
    </w:lvl>
    <w:lvl w:ilvl="1">
      <w:lvlJc w:val="left"/>
      <w:lvlText w:val="(%2)"/>
      <w:numFmt w:val="lowerRoman"/>
      <w:start w:val="1"/>
    </w:lvl>
  </w:abstractNum>
  <w:abstractNum w:abstractNumId="159">
    <w:nsid w:val="17859F72"/>
    <w:multiLevelType w:val="hybridMultilevel"/>
    <w:lvl w:ilvl="0">
      <w:lvlJc w:val="left"/>
      <w:lvlText w:val="(%1)"/>
      <w:numFmt w:val="lowerLetter"/>
      <w:start w:val="1"/>
    </w:lvl>
  </w:abstractNum>
  <w:abstractNum w:abstractNumId="160">
    <w:nsid w:val="3AA10581"/>
    <w:multiLevelType w:val="hybridMultilevel"/>
    <w:lvl w:ilvl="0">
      <w:lvlJc w:val="left"/>
      <w:lvlText w:val="(%1)"/>
      <w:numFmt w:val="lowerLetter"/>
      <w:start w:val="3"/>
    </w:lvl>
  </w:abstractNum>
  <w:abstractNum w:abstractNumId="161">
    <w:nsid w:val="63DE60CD"/>
    <w:multiLevelType w:val="hybridMultilevel"/>
    <w:lvl w:ilvl="0">
      <w:lvlJc w:val="left"/>
      <w:lvlText w:val="(%1)"/>
      <w:numFmt w:val="lowerLetter"/>
      <w:start w:val="2"/>
    </w:lvl>
  </w:abstractNum>
  <w:abstractNum w:abstractNumId="162">
    <w:nsid w:val="621AF471"/>
    <w:multiLevelType w:val="hybridMultilevel"/>
    <w:lvl w:ilvl="0">
      <w:lvlJc w:val="left"/>
      <w:lvlText w:val="(%1)"/>
      <w:numFmt w:val="lowerLetter"/>
      <w:start w:val="3"/>
    </w:lvl>
  </w:abstractNum>
  <w:abstractNum w:abstractNumId="163">
    <w:nsid w:val="73CFE165"/>
    <w:multiLevelType w:val="hybridMultilevel"/>
    <w:lvl w:ilvl="0">
      <w:lvlJc w:val="left"/>
      <w:lvlText w:val="(%1)"/>
      <w:numFmt w:val="lowerLetter"/>
      <w:start w:val="1"/>
    </w:lvl>
  </w:abstractNum>
  <w:abstractNum w:abstractNumId="164">
    <w:nsid w:val="20F88EA6"/>
    <w:multiLevelType w:val="hybridMultilevel"/>
    <w:lvl w:ilvl="0">
      <w:lvlJc w:val="left"/>
      <w:lvlText w:val="(%1)"/>
      <w:numFmt w:val="lowerLetter"/>
      <w:start w:val="2"/>
    </w:lvl>
  </w:abstractNum>
  <w:abstractNum w:abstractNumId="165">
    <w:nsid w:val="617C843E"/>
    <w:multiLevelType w:val="hybridMultilevel"/>
    <w:lvl w:ilvl="0">
      <w:lvlJc w:val="left"/>
      <w:lvlText w:val="%1."/>
      <w:numFmt w:val="decimal"/>
      <w:start w:val="1"/>
    </w:lvl>
  </w:abstractNum>
  <w:abstractNum w:abstractNumId="166">
    <w:nsid w:val="7B541FAB"/>
    <w:multiLevelType w:val="hybridMultilevel"/>
    <w:lvl w:ilvl="0">
      <w:lvlJc w:val="left"/>
      <w:lvlText w:val="%1."/>
      <w:numFmt w:val="decimal"/>
      <w:start w:val="6"/>
    </w:lvl>
  </w:abstractNum>
  <w:abstractNum w:abstractNumId="167">
    <w:nsid w:val="2A79EC49"/>
    <w:multiLevelType w:val="hybridMultilevel"/>
    <w:lvl w:ilvl="0">
      <w:lvlJc w:val="left"/>
      <w:lvlText w:val="1"/>
      <w:numFmt w:val="bullet"/>
      <w:start w:val="1"/>
    </w:lvl>
  </w:abstractNum>
  <w:abstractNum w:abstractNumId="168">
    <w:nsid w:val="338125CF"/>
    <w:multiLevelType w:val="hybridMultilevel"/>
    <w:lvl w:ilvl="0">
      <w:lvlJc w:val="left"/>
      <w:lvlText w:val="2"/>
      <w:numFmt w:val="bullet"/>
      <w:start w:val="1"/>
    </w:lvl>
  </w:abstractNum>
  <w:abstractNum w:abstractNumId="169">
    <w:nsid w:val="47C7C971"/>
    <w:multiLevelType w:val="hybridMultilevel"/>
    <w:lvl w:ilvl="0">
      <w:lvlJc w:val="left"/>
      <w:lvlText w:val="%1."/>
      <w:numFmt w:val="decimal"/>
      <w:start w:val="1"/>
    </w:lvl>
  </w:abstractNum>
  <w:abstractNum w:abstractNumId="170">
    <w:nsid w:val="46F8284B"/>
    <w:multiLevelType w:val="hybridMultilevel"/>
    <w:lvl w:ilvl="0">
      <w:lvlJc w:val="left"/>
      <w:lvlText w:val="(%1)"/>
      <w:numFmt w:val="lowerRoman"/>
      <w:start w:val="2"/>
    </w:lvl>
  </w:abstractNum>
  <w:abstractNum w:abstractNumId="171">
    <w:nsid w:val="4FA327CE"/>
    <w:multiLevelType w:val="hybridMultilevel"/>
    <w:lvl w:ilvl="0">
      <w:lvlJc w:val="left"/>
      <w:lvlText w:val="%1."/>
      <w:numFmt w:val="decimal"/>
      <w:start w:val="2"/>
    </w:lvl>
  </w:abstractNum>
  <w:abstractNum w:abstractNumId="172">
    <w:nsid w:val="1873983A"/>
    <w:multiLevelType w:val="hybridMultilevel"/>
    <w:lvl w:ilvl="0">
      <w:lvlJc w:val="left"/>
      <w:lvlText w:val="%1"/>
      <w:numFmt w:val="lowerRoman"/>
      <w:start w:val="1"/>
    </w:lvl>
    <w:lvl w:ilvl="1">
      <w:lvlJc w:val="left"/>
      <w:lvlText w:val="%2."/>
      <w:numFmt w:val="decimal"/>
      <w:start w:val="1"/>
    </w:lvl>
  </w:abstractNum>
  <w:abstractNum w:abstractNumId="173">
    <w:nsid w:val="3D2DD275"/>
    <w:multiLevelType w:val="hybridMultilevel"/>
    <w:lvl w:ilvl="0">
      <w:lvlJc w:val="left"/>
      <w:lvlText w:val="(%1)"/>
      <w:numFmt w:val="lowerRoman"/>
      <w:start w:val="4"/>
    </w:lvl>
    <w:lvl w:ilvl="1">
      <w:lvlJc w:val="left"/>
      <w:lvlText w:val="%2."/>
      <w:numFmt w:val="decimal"/>
      <w:start w:val="5"/>
    </w:lvl>
  </w:abstractNum>
  <w:abstractNum w:abstractNumId="174">
    <w:nsid w:val="2E17ECA7"/>
    <w:multiLevelType w:val="hybridMultilevel"/>
    <w:lvl w:ilvl="0">
      <w:lvlJc w:val="left"/>
      <w:lvlText w:val="1"/>
      <w:numFmt w:val="bullet"/>
      <w:start w:val="1"/>
    </w:lvl>
  </w:abstractNum>
  <w:abstractNum w:abstractNumId="175">
    <w:nsid w:val="53B2564F"/>
    <w:multiLevelType w:val="hybridMultilevel"/>
    <w:lvl w:ilvl="0">
      <w:lvlJc w:val="left"/>
      <w:lvlText w:val="%1."/>
      <w:numFmt w:val="decimal"/>
      <w:start w:val="1"/>
    </w:lvl>
  </w:abstractNum>
  <w:abstractNum w:abstractNumId="176">
    <w:nsid w:val="75509D76"/>
    <w:multiLevelType w:val="hybridMultilevel"/>
    <w:lvl w:ilvl="0">
      <w:lvlJc w:val="left"/>
      <w:lvlText w:val="1"/>
      <w:numFmt w:val="bullet"/>
      <w:start w:val="1"/>
    </w:lvl>
  </w:abstractNum>
  <w:abstractNum w:abstractNumId="177">
    <w:nsid w:val="1AF7F0EA"/>
    <w:multiLevelType w:val="hybridMultilevel"/>
    <w:lvl w:ilvl="0">
      <w:lvlJc w:val="left"/>
      <w:lvlText w:val="%1."/>
      <w:numFmt w:val="decimal"/>
      <w:start w:val="2"/>
    </w:lvl>
  </w:abstractNum>
  <w:abstractNum w:abstractNumId="178">
    <w:nsid w:val="4DA32C7E"/>
    <w:multiLevelType w:val="hybridMultilevel"/>
    <w:lvl w:ilvl="0">
      <w:lvlJc w:val="left"/>
      <w:lvlText w:val="%1."/>
      <w:numFmt w:val="decimal"/>
      <w:start w:val="5"/>
    </w:lvl>
  </w:abstractNum>
  <w:abstractNum w:abstractNumId="179">
    <w:nsid w:val="6EC68664"/>
    <w:multiLevelType w:val="hybridMultilevel"/>
    <w:lvl w:ilvl="0">
      <w:lvlJc w:val="left"/>
      <w:lvlText w:val="%1."/>
      <w:numFmt w:val="decimal"/>
      <w:start w:val="6"/>
    </w:lvl>
  </w:abstractNum>
  <w:abstractNum w:abstractNumId="180">
    <w:nsid w:val="E0D31FF"/>
    <w:multiLevelType w:val="hybridMultilevel"/>
    <w:lvl w:ilvl="0">
      <w:lvlJc w:val="left"/>
      <w:lvlText w:val="%1."/>
      <w:numFmt w:val="decimal"/>
      <w:start w:val="7"/>
    </w:lvl>
    <w:lvl w:ilvl="1">
      <w:lvlJc w:val="left"/>
      <w:lvlText w:val="%2."/>
      <w:numFmt w:val="upperLetter"/>
      <w:start w:val="3"/>
    </w:lvl>
  </w:abstractNum>
  <w:abstractNum w:abstractNumId="181">
    <w:nsid w:val="2FD0AD81"/>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182">
    <w:nsid w:val="1978EBEB"/>
    <w:multiLevelType w:val="hybridMultilevel"/>
    <w:lvl w:ilvl="0">
      <w:lvlJc w:val="left"/>
      <w:lvlText w:val="%1."/>
      <w:numFmt w:val="decimal"/>
      <w:start w:val="10"/>
    </w:lvl>
    <w:lvl w:ilvl="1">
      <w:lvlJc w:val="left"/>
      <w:lvlText w:val="%2"/>
      <w:numFmt w:val="lowerRoman"/>
      <w:start w:val="1"/>
    </w:lvl>
    <w:lvl w:ilvl="2">
      <w:lvlJc w:val="left"/>
      <w:lvlText w:val="(%3)"/>
      <w:numFmt w:val="lowerRoman"/>
      <w:start w:val="1"/>
    </w:lvl>
    <w:lvl w:ilvl="3">
      <w:lvlJc w:val="left"/>
      <w:lvlText w:val="%4"/>
      <w:numFmt w:val="upperLetter"/>
      <w:start w:val="1"/>
    </w:lvl>
    <w:lvl w:ilvl="4">
      <w:lvlJc w:val="left"/>
      <w:lvlText w:val="%5"/>
      <w:numFmt w:val="upperLetter"/>
      <w:start w:val="1"/>
    </w:lvl>
  </w:abstractNum>
  <w:abstractNum w:abstractNumId="183">
    <w:nsid w:val="52C12C61"/>
    <w:multiLevelType w:val="hybridMultilevel"/>
    <w:lvl w:ilvl="0">
      <w:lvlJc w:val="left"/>
      <w:lvlText w:val="%1"/>
      <w:numFmt w:val="decimal"/>
      <w:start w:val="1"/>
    </w:lvl>
    <w:lvl w:ilvl="1">
      <w:lvlJc w:val="left"/>
      <w:lvlText w:val="(%2)"/>
      <w:numFmt w:val="lowerRoman"/>
      <w:start w:val="3"/>
    </w:lvl>
  </w:abstractNum>
  <w:abstractNum w:abstractNumId="184">
    <w:nsid w:val="4BDD53FD"/>
    <w:multiLevelType w:val="hybridMultilevel"/>
    <w:lvl w:ilvl="0">
      <w:lvlJc w:val="left"/>
      <w:lvlText w:val="%1."/>
      <w:numFmt w:val="decimal"/>
      <w:start w:val="15"/>
    </w:lvl>
    <w:lvl w:ilvl="1">
      <w:lvlJc w:val="left"/>
      <w:lvlText w:val="%2"/>
      <w:numFmt w:val="lowerRoman"/>
      <w:start w:val="1"/>
    </w:lvl>
  </w:abstractNum>
  <w:abstractNum w:abstractNumId="185">
    <w:nsid w:val="569951FE"/>
    <w:multiLevelType w:val="hybridMultilevel"/>
    <w:lvl w:ilvl="0">
      <w:lvlJc w:val="left"/>
      <w:lvlText w:val="%1."/>
      <w:numFmt w:val="decimal"/>
      <w:start w:val="1"/>
    </w:lvl>
  </w:abstractNum>
  <w:abstractNum w:abstractNumId="186">
    <w:nsid w:val="4C54E2C3"/>
    <w:multiLevelType w:val="hybridMultilevel"/>
    <w:lvl w:ilvl="0">
      <w:lvlJc w:val="left"/>
      <w:lvlText w:val="%1."/>
      <w:numFmt w:val="decimal"/>
      <w:start w:val="4"/>
    </w:lvl>
  </w:abstractNum>
  <w:abstractNum w:abstractNumId="187">
    <w:nsid w:val="788BD9B"/>
    <w:multiLevelType w:val="hybridMultilevel"/>
    <w:lvl w:ilvl="0">
      <w:lvlJc w:val="left"/>
      <w:lvlText w:val="(%1)"/>
      <w:numFmt w:val="lowerRoman"/>
      <w:start w:val="3"/>
    </w:lvl>
  </w:abstractNum>
  <w:abstractNum w:abstractNumId="188">
    <w:nsid w:val="47CAA567"/>
    <w:multiLevelType w:val="hybridMultilevel"/>
    <w:lvl w:ilvl="0">
      <w:lvlJc w:val="left"/>
      <w:lvlText w:val="(%1)"/>
      <w:numFmt w:val="lowerRoman"/>
      <w:start w:val="2"/>
    </w:lvl>
  </w:abstractNum>
  <w:abstractNum w:abstractNumId="189">
    <w:nsid w:val="48249DBF"/>
    <w:multiLevelType w:val="hybridMultilevel"/>
    <w:lvl w:ilvl="0">
      <w:lvlJc w:val="left"/>
      <w:lvlText w:val="%1."/>
      <w:numFmt w:val="decimal"/>
      <w:start w:val="1"/>
    </w:lvl>
  </w:abstractNum>
  <w:abstractNum w:abstractNumId="190">
    <w:nsid w:val="1F0E5D0D"/>
    <w:multiLevelType w:val="hybridMultilevel"/>
    <w:lvl w:ilvl="0">
      <w:lvlJc w:val="left"/>
      <w:lvlText w:val="6"/>
      <w:numFmt w:val="bullet"/>
      <w:start w:val="1"/>
    </w:lvl>
  </w:abstractNum>
  <w:abstractNum w:abstractNumId="191">
    <w:nsid w:val="26BAAE9"/>
    <w:multiLevelType w:val="hybridMultilevel"/>
    <w:lvl w:ilvl="0">
      <w:lvlJc w:val="left"/>
      <w:lvlText w:val="%1."/>
      <w:numFmt w:val="decimal"/>
      <w:start w:val="1"/>
    </w:lvl>
  </w:abstractNum>
  <w:abstractNum w:abstractNumId="192">
    <w:nsid w:val="2C02FE8C"/>
    <w:multiLevelType w:val="hybridMultilevel"/>
    <w:lvl w:ilvl="0">
      <w:lvlJc w:val="left"/>
      <w:lvlText w:val="(%1)"/>
      <w:numFmt w:val="lowerRoman"/>
      <w:start w:val="2"/>
    </w:lvl>
  </w:abstractNum>
  <w:abstractNum w:abstractNumId="193">
    <w:nsid w:val="129517E"/>
    <w:multiLevelType w:val="hybridMultilevel"/>
    <w:lvl w:ilvl="0">
      <w:lvlJc w:val="left"/>
      <w:lvlText w:val="(%1)"/>
      <w:numFmt w:val="lowerRoman"/>
      <w:start w:val="4"/>
    </w:lvl>
    <w:lvl w:ilvl="1">
      <w:lvlJc w:val="left"/>
      <w:lvlText w:val="%2"/>
      <w:numFmt w:val="decimal"/>
      <w:start w:val="1"/>
    </w:lvl>
  </w:abstractNum>
  <w:abstractNum w:abstractNumId="194">
    <w:nsid w:val="763B8C4E"/>
    <w:multiLevelType w:val="hybridMultilevel"/>
    <w:lvl w:ilvl="0">
      <w:lvlJc w:val="left"/>
      <w:lvlText w:val="(%1)"/>
      <w:numFmt w:val="lowerRoman"/>
      <w:start w:val="7"/>
    </w:lvl>
    <w:lvl w:ilvl="1">
      <w:lvlJc w:val="left"/>
      <w:lvlText w:val="%2."/>
      <w:numFmt w:val="decimal"/>
      <w:start w:val="2"/>
    </w:lvl>
  </w:abstractNum>
  <w:abstractNum w:abstractNumId="195">
    <w:nsid w:val="4CFB8D32"/>
    <w:multiLevelType w:val="hybridMultilevel"/>
    <w:lvl w:ilvl="0">
      <w:lvlJc w:val="left"/>
      <w:lvlText w:val="(%1)"/>
      <w:numFmt w:val="lowerRoman"/>
      <w:start w:val="2"/>
    </w:lvl>
  </w:abstractNum>
  <w:abstractNum w:abstractNumId="196">
    <w:nsid w:val="62A5D5BD"/>
    <w:multiLevelType w:val="hybridMultilevel"/>
    <w:lvl w:ilvl="0">
      <w:lvlJc w:val="left"/>
      <w:lvlText w:val="(%1)"/>
      <w:numFmt w:val="decimal"/>
      <w:start w:val="1"/>
    </w:lvl>
  </w:abstractNum>
  <w:abstractNum w:abstractNumId="197">
    <w:nsid w:val="718FABF9"/>
    <w:multiLevelType w:val="hybridMultilevel"/>
    <w:lvl w:ilvl="0">
      <w:lvlJc w:val="left"/>
      <w:lvlText w:val="%1."/>
      <w:numFmt w:val="decimal"/>
      <w:start w:val="1"/>
    </w:lvl>
  </w:abstractNum>
  <w:abstractNum w:abstractNumId="198">
    <w:nsid w:val="7775797C"/>
    <w:multiLevelType w:val="hybridMultilevel"/>
    <w:lvl w:ilvl="0">
      <w:lvlJc w:val="left"/>
      <w:lvlText w:val="%1."/>
      <w:numFmt w:val="decimal"/>
      <w:start w:val="3"/>
    </w:lvl>
  </w:abstractNum>
  <w:abstractNum w:abstractNumId="199">
    <w:nsid w:val="1626FB8C"/>
    <w:multiLevelType w:val="hybridMultilevel"/>
    <w:lvl w:ilvl="0">
      <w:lvlJc w:val="left"/>
      <w:lvlText w:val="1"/>
      <w:numFmt w:val="bullet"/>
      <w:start w:val="1"/>
    </w:lvl>
  </w:abstractNum>
  <w:abstractNum w:abstractNumId="200">
    <w:nsid w:val="3957756A"/>
    <w:multiLevelType w:val="hybridMultilevel"/>
    <w:lvl w:ilvl="0">
      <w:lvlJc w:val="left"/>
      <w:lvlText w:val="%1."/>
      <w:numFmt w:val="decimal"/>
      <w:start w:val="1"/>
    </w:lvl>
  </w:abstractNum>
  <w:abstractNum w:abstractNumId="201">
    <w:nsid w:val="3E6DA1C7"/>
    <w:multiLevelType w:val="hybridMultilevel"/>
    <w:lvl w:ilvl="0">
      <w:lvlJc w:val="left"/>
      <w:lvlText w:val="1"/>
      <w:numFmt w:val="bullet"/>
      <w:start w:val="1"/>
    </w:lvl>
  </w:abstractNum>
  <w:abstractNum w:abstractNumId="202">
    <w:nsid w:val="65CA235B"/>
    <w:multiLevelType w:val="hybridMultilevel"/>
    <w:lvl w:ilvl="0">
      <w:lvlJc w:val="left"/>
      <w:lvlText w:val="%1"/>
      <w:numFmt w:val="lowerLetter"/>
      <w:start w:val="1"/>
    </w:lvl>
    <w:lvl w:ilvl="1">
      <w:lvlJc w:val="left"/>
      <w:lvlText w:val="(%2)"/>
      <w:numFmt w:val="lowerLetter"/>
      <w:start w:val="1"/>
    </w:lvl>
  </w:abstractNum>
  <w:abstractNum w:abstractNumId="203">
    <w:nsid w:val="51CB0DA4"/>
    <w:multiLevelType w:val="hybridMultilevel"/>
    <w:lvl w:ilvl="0">
      <w:lvlJc w:val="left"/>
      <w:lvlText w:val="(%1)"/>
      <w:numFmt w:val="lowerLetter"/>
      <w:start w:val="25"/>
    </w:lvl>
    <w:lvl w:ilvl="1">
      <w:lvlJc w:val="left"/>
      <w:lvlText w:val="(%2)"/>
      <w:numFmt w:val="lowerLetter"/>
      <w:start w:val="2"/>
    </w:lvl>
  </w:abstractNum>
  <w:abstractNum w:abstractNumId="204">
    <w:nsid w:val="7B9B743C"/>
    <w:multiLevelType w:val="hybridMultilevel"/>
    <w:lvl w:ilvl="0">
      <w:lvlJc w:val="left"/>
      <w:lvlText w:val="(%1)"/>
      <w:numFmt w:val="lowerLetter"/>
      <w:start w:val="25"/>
    </w:lvl>
    <w:lvl w:ilvl="1">
      <w:lvlJc w:val="left"/>
      <w:lvlText w:val="%2"/>
      <w:numFmt w:val="lowerLetter"/>
      <w:start w:val="1"/>
    </w:lvl>
  </w:abstractNum>
  <w:abstractNum w:abstractNumId="205">
    <w:nsid w:val="13E21002"/>
    <w:multiLevelType w:val="hybridMultilevel"/>
    <w:lvl w:ilvl="0">
      <w:lvlJc w:val="left"/>
      <w:lvlText w:val="(%1)"/>
      <w:numFmt w:val="lowerLetter"/>
      <w:start w:val="1"/>
    </w:lvl>
  </w:abstractNum>
  <w:abstractNum w:abstractNumId="206">
    <w:nsid w:val="257D63F4"/>
    <w:multiLevelType w:val="hybridMultilevel"/>
    <w:lvl w:ilvl="0">
      <w:lvlJc w:val="left"/>
      <w:lvlText w:val="(%1)"/>
      <w:numFmt w:val="lowerLetter"/>
      <w:start w:val="3"/>
    </w:lvl>
  </w:abstractNum>
  <w:abstractNum w:abstractNumId="207">
    <w:nsid w:val="70EC11B2"/>
    <w:multiLevelType w:val="hybridMultilevel"/>
    <w:lvl w:ilvl="0">
      <w:lvlJc w:val="left"/>
      <w:lvlText w:val="(%1)"/>
      <w:numFmt w:val="lowerLetter"/>
      <w:start w:val="2"/>
    </w:lvl>
  </w:abstractNum>
  <w:abstractNum w:abstractNumId="208">
    <w:nsid w:val="2EDA00ED"/>
    <w:multiLevelType w:val="hybridMultilevel"/>
    <w:lvl w:ilvl="0">
      <w:lvlJc w:val="left"/>
      <w:lvlText w:val="(%1)"/>
      <w:numFmt w:val="lowerLetter"/>
      <w:start w:val="9"/>
    </w:lvl>
  </w:abstractNum>
  <w:abstractNum w:abstractNumId="209">
    <w:nsid w:val="73209072"/>
    <w:multiLevelType w:val="hybridMultilevel"/>
    <w:lvl w:ilvl="0">
      <w:lvlJc w:val="left"/>
      <w:lvlText w:val="(%1)"/>
      <w:numFmt w:val="lowerLetter"/>
      <w:start w:val="1"/>
    </w:lvl>
  </w:abstractNum>
  <w:abstractNum w:abstractNumId="210">
    <w:nsid w:val="5FB29816"/>
    <w:multiLevelType w:val="hybridMultilevel"/>
    <w:lvl w:ilvl="0">
      <w:lvlJc w:val="left"/>
      <w:lvlText w:val="%1"/>
      <w:numFmt w:val="lowerLetter"/>
      <w:start w:val="1"/>
    </w:lvl>
    <w:lvl w:ilvl="1">
      <w:lvlJc w:val="left"/>
      <w:lvlText w:val="(%2)"/>
      <w:numFmt w:val="lowerLetter"/>
      <w:start w:val="3"/>
    </w:lvl>
  </w:abstractNum>
  <w:abstractNum w:abstractNumId="211">
    <w:nsid w:val="3CE732EC"/>
    <w:multiLevelType w:val="hybridMultilevel"/>
    <w:lvl w:ilvl="0">
      <w:lvlJc w:val="left"/>
      <w:lvlText w:val="(%1)"/>
      <w:numFmt w:val="lowerLetter"/>
      <w:start w:val="22"/>
    </w:lvl>
    <w:lvl w:ilvl="1">
      <w:lvlJc w:val="left"/>
      <w:lvlText w:val="(%2)"/>
      <w:numFmt w:val="lowerLetter"/>
      <w:start w:val="8"/>
    </w:lvl>
  </w:abstractNum>
  <w:abstractNum w:abstractNumId="212">
    <w:nsid w:val="22F13DF3"/>
    <w:multiLevelType w:val="hybridMultilevel"/>
    <w:lvl w:ilvl="0">
      <w:lvlJc w:val="left"/>
      <w:lvlText w:val="%1"/>
      <w:numFmt w:val="lowerLetter"/>
      <w:start w:val="1"/>
    </w:lvl>
    <w:lvl w:ilvl="1">
      <w:lvlJc w:val="left"/>
      <w:lvlText w:val="(%2)"/>
      <w:numFmt w:val="lowerLetter"/>
      <w:start w:val="11"/>
    </w:lvl>
  </w:abstractNum>
  <w:abstractNum w:abstractNumId="213">
    <w:nsid w:val="792B8401"/>
    <w:multiLevelType w:val="hybridMultilevel"/>
    <w:lvl w:ilvl="0">
      <w:lvlJc w:val="left"/>
      <w:lvlText w:val="(%1)"/>
      <w:numFmt w:val="lowerLetter"/>
      <w:start w:val="35"/>
    </w:lvl>
    <w:lvl w:ilvl="1">
      <w:lvlJc w:val="left"/>
      <w:lvlText w:val="(%2)"/>
      <w:numFmt w:val="lowerLetter"/>
      <w:start w:val="15"/>
    </w:lvl>
  </w:abstractNum>
  <w:abstractNum w:abstractNumId="214">
    <w:nsid w:val="FA85F4D"/>
    <w:multiLevelType w:val="hybridMultilevel"/>
    <w:lvl w:ilvl="0">
      <w:lvlJc w:val="left"/>
      <w:lvlText w:val="(%1)"/>
      <w:numFmt w:val="lowerLetter"/>
      <w:start w:val="22"/>
    </w:lvl>
  </w:abstractNum>
  <w:abstractNum w:abstractNumId="215">
    <w:nsid w:val="6ECE91F0"/>
    <w:multiLevelType w:val="hybridMultilevel"/>
    <w:lvl w:ilvl="0">
      <w:lvlJc w:val="left"/>
      <w:lvlText w:val="(%1)"/>
      <w:numFmt w:val="lowerRoman"/>
      <w:start w:val="2"/>
    </w:lvl>
  </w:abstractNum>
  <w:abstractNum w:abstractNumId="216">
    <w:nsid w:val="4FC4D600"/>
    <w:multiLevelType w:val="hybridMultilevel"/>
    <w:lvl w:ilvl="0">
      <w:lvlJc w:val="left"/>
      <w:lvlText w:val="(%1)"/>
      <w:numFmt w:val="lowerLetter"/>
      <w:start w:val="1"/>
    </w:lvl>
  </w:abstractNum>
  <w:abstractNum w:abstractNumId="217">
    <w:nsid w:val="5BFD4210"/>
    <w:multiLevelType w:val="hybridMultilevel"/>
    <w:lvl w:ilvl="0">
      <w:lvlJc w:val="left"/>
      <w:lvlText w:val="(%1)"/>
      <w:numFmt w:val="lowerLetter"/>
      <w:start w:val="3"/>
    </w:lvl>
  </w:abstractNum>
  <w:abstractNum w:abstractNumId="218">
    <w:nsid w:val="76574F8B"/>
    <w:multiLevelType w:val="hybridMultilevel"/>
    <w:lvl w:ilvl="0">
      <w:lvlJc w:val="left"/>
      <w:lvlText w:val="(%1)"/>
      <w:numFmt w:val="lowerLetter"/>
      <w:start w:val="13"/>
    </w:lvl>
  </w:abstractNum>
  <w:abstractNum w:abstractNumId="219">
    <w:nsid w:val="178F7B67"/>
    <w:multiLevelType w:val="hybridMultilevel"/>
    <w:lvl w:ilvl="0">
      <w:lvlJc w:val="left"/>
      <w:lvlText w:val="(%1)"/>
      <w:numFmt w:val="lowerLetter"/>
      <w:start w:val="5"/>
    </w:lvl>
  </w:abstractNum>
  <w:abstractNum w:abstractNumId="220">
    <w:nsid w:val="2421DFCF"/>
    <w:multiLevelType w:val="hybridMultilevel"/>
    <w:lvl w:ilvl="0">
      <w:lvlJc w:val="left"/>
      <w:lvlText w:val="(%1)"/>
      <w:numFmt w:val="lowerLetter"/>
      <w:start w:val="5"/>
    </w:lvl>
  </w:abstractNum>
  <w:abstractNum w:abstractNumId="221">
    <w:nsid w:val="1565AC99"/>
    <w:multiLevelType w:val="hybridMultilevel"/>
    <w:lvl w:ilvl="0">
      <w:lvlJc w:val="left"/>
      <w:lvlText w:val="(%1)"/>
      <w:numFmt w:val="lowerLetter"/>
      <w:start w:val="1"/>
    </w:lvl>
  </w:abstractNum>
  <w:abstractNum w:abstractNumId="222">
    <w:nsid w:val="19FB2650"/>
    <w:multiLevelType w:val="hybridMultilevel"/>
    <w:lvl w:ilvl="0">
      <w:lvlJc w:val="left"/>
      <w:lvlText w:val="(%1)"/>
      <w:numFmt w:val="lowerLetter"/>
      <w:start w:val="8"/>
    </w:lvl>
  </w:abstractNum>
  <w:abstractNum w:abstractNumId="223">
    <w:nsid w:val="5024DE5B"/>
    <w:multiLevelType w:val="hybridMultilevel"/>
    <w:lvl w:ilvl="0">
      <w:lvlJc w:val="left"/>
      <w:lvlText w:val="(%1)"/>
      <w:numFmt w:val="lowerRoman"/>
      <w:start w:val="1"/>
    </w:lvl>
  </w:abstractNum>
  <w:abstractNum w:abstractNumId="224">
    <w:nsid w:val="168EFE17"/>
    <w:multiLevelType w:val="hybridMultilevel"/>
    <w:lvl w:ilvl="0">
      <w:lvlJc w:val="left"/>
      <w:lvlText w:val="(%1)"/>
      <w:numFmt w:val="lowerLetter"/>
      <w:start w:val="3"/>
    </w:lvl>
  </w:abstractNum>
  <w:abstractNum w:abstractNumId="225">
    <w:nsid w:val="1036B29F"/>
    <w:multiLevelType w:val="hybridMultilevel"/>
    <w:lvl w:ilvl="0">
      <w:lvlJc w:val="left"/>
      <w:lvlText w:val="(%1)"/>
      <w:numFmt w:val="lowerLetter"/>
      <w:start w:val="3"/>
    </w:lvl>
  </w:abstractNum>
  <w:abstractNum w:abstractNumId="226">
    <w:nsid w:val="1D206B8E"/>
    <w:multiLevelType w:val="hybridMultilevel"/>
    <w:lvl w:ilvl="0">
      <w:lvlJc w:val="left"/>
      <w:lvlText w:val="(%1)"/>
      <w:numFmt w:val="lowerLetter"/>
      <w:start w:val="1"/>
    </w:lvl>
  </w:abstractNum>
  <w:abstractNum w:abstractNumId="227">
    <w:nsid w:val="7934D3D4"/>
    <w:multiLevelType w:val="hybridMultilevel"/>
    <w:lvl w:ilvl="0">
      <w:lvlJc w:val="left"/>
      <w:lvlText w:val="(%1)"/>
      <w:numFmt w:val="lowerLetter"/>
      <w:start w:val="1"/>
    </w:lvl>
  </w:abstractNum>
  <w:abstractNum w:abstractNumId="228">
    <w:nsid w:val="1C65E98"/>
    <w:multiLevelType w:val="hybridMultilevel"/>
    <w:lvl w:ilvl="0">
      <w:lvlJc w:val="left"/>
      <w:lvlText w:val="(%1)"/>
      <w:numFmt w:val="lowerLetter"/>
      <w:start w:val="5"/>
    </w:lvl>
  </w:abstractNum>
  <w:abstractNum w:abstractNumId="229">
    <w:nsid w:val="1495E50A"/>
    <w:multiLevelType w:val="hybridMultilevel"/>
    <w:lvl w:ilvl="0">
      <w:lvlJc w:val="left"/>
      <w:lvlText w:val="(%1)"/>
      <w:numFmt w:val="lowerLetter"/>
      <w:start w:val="1"/>
    </w:lvl>
  </w:abstractNum>
  <w:abstractNum w:abstractNumId="230">
    <w:nsid w:val="F5BCF61"/>
    <w:multiLevelType w:val="hybridMultilevel"/>
    <w:lvl w:ilvl="0">
      <w:lvlJc w:val="left"/>
      <w:lvlText w:val="(%1)"/>
      <w:numFmt w:val="lowerLetter"/>
      <w:start w:val="11"/>
    </w:lvl>
  </w:abstractNum>
  <w:abstractNum w:abstractNumId="231">
    <w:nsid w:val="3B1DD403"/>
    <w:multiLevelType w:val="hybridMultilevel"/>
    <w:lvl w:ilvl="0">
      <w:lvlJc w:val="left"/>
      <w:lvlText w:val="(%1)"/>
      <w:numFmt w:val="lowerLetter"/>
      <w:start w:val="4"/>
    </w:lvl>
  </w:abstractNum>
  <w:abstractNum w:abstractNumId="232">
    <w:nsid w:val="530386D1"/>
    <w:multiLevelType w:val="hybridMultilevel"/>
    <w:lvl w:ilvl="0">
      <w:lvlJc w:val="left"/>
      <w:lvlText w:val="(%1)"/>
      <w:numFmt w:val="lowerLetter"/>
      <w:start w:val="2"/>
    </w:lvl>
  </w:abstractNum>
  <w:abstractNum w:abstractNumId="233">
    <w:nsid w:val="7525F2BC"/>
    <w:multiLevelType w:val="hybridMultilevel"/>
    <w:lvl w:ilvl="0">
      <w:lvlJc w:val="left"/>
      <w:lvlText w:val="(%1)"/>
      <w:numFmt w:val="lowerLetter"/>
      <w:start w:val="1"/>
    </w:lvl>
  </w:abstractNum>
  <w:abstractNum w:abstractNumId="234">
    <w:nsid w:val="CE8E1A7"/>
    <w:multiLevelType w:val="hybridMultilevel"/>
    <w:lvl w:ilvl="0">
      <w:lvlJc w:val="left"/>
      <w:lvlText w:val="(%1)"/>
      <w:numFmt w:val="lowerRoman"/>
      <w:start w:val="10"/>
    </w:lvl>
  </w:abstractNum>
  <w:abstractNum w:abstractNumId="235">
    <w:nsid w:val="4E9EFB0D"/>
    <w:multiLevelType w:val="hybridMultilevel"/>
    <w:lvl w:ilvl="0">
      <w:lvlJc w:val="left"/>
      <w:lvlText w:val="(%1)"/>
      <w:numFmt w:val="lowerLetter"/>
      <w:start w:val="2"/>
    </w:lvl>
  </w:abstractNum>
  <w:abstractNum w:abstractNumId="236">
    <w:nsid w:val="90802BE"/>
    <w:multiLevelType w:val="hybridMultilevel"/>
    <w:lvl w:ilvl="0">
      <w:lvlJc w:val="left"/>
      <w:lvlText w:val="(%1)"/>
      <w:numFmt w:val="lowerRoman"/>
      <w:start w:val="1"/>
    </w:lvl>
  </w:abstractNum>
  <w:abstractNum w:abstractNumId="237">
    <w:nsid w:val="3266459B"/>
    <w:multiLevelType w:val="hybridMultilevel"/>
    <w:lvl w:ilvl="0">
      <w:lvlJc w:val="left"/>
      <w:lvlText w:val="%1"/>
      <w:numFmt w:val="decimal"/>
      <w:start w:val="1"/>
    </w:lvl>
    <w:lvl w:ilvl="1">
      <w:lvlJc w:val="left"/>
      <w:lvlText w:val="(%2)"/>
      <w:numFmt w:val="lowerLetter"/>
      <w:start w:val="1"/>
    </w:lvl>
  </w:abstractNum>
  <w:abstractNum w:abstractNumId="238">
    <w:nsid w:val="3F8B0CBF"/>
    <w:multiLevelType w:val="hybridMultilevel"/>
    <w:lvl w:ilvl="0">
      <w:lvlJc w:val="left"/>
      <w:lvlText w:val="(%1)"/>
      <w:numFmt w:val="decimal"/>
      <w:start w:val="6"/>
    </w:lvl>
    <w:lvl w:ilvl="1">
      <w:lvlJc w:val="left"/>
      <w:lvlText w:val="(%2)"/>
      <w:numFmt w:val="lowerLetter"/>
      <w:start w:val="4"/>
    </w:lvl>
  </w:abstractNum>
  <w:abstractNum w:abstractNumId="239">
    <w:nsid w:val="37E203AB"/>
    <w:multiLevelType w:val="hybridMultilevel"/>
    <w:lvl w:ilvl="0">
      <w:lvlJc w:val="left"/>
      <w:lvlText w:val="(%1)"/>
      <w:numFmt w:val="lowerLetter"/>
      <w:start w:val="1"/>
    </w:lvl>
  </w:abstractNum>
  <w:abstractNum w:abstractNumId="240">
    <w:nsid w:val="2586D60E"/>
    <w:multiLevelType w:val="hybridMultilevel"/>
    <w:lvl w:ilvl="0">
      <w:lvlJc w:val="left"/>
      <w:lvlText w:val="(%1)"/>
      <w:numFmt w:val="lowerLetter"/>
      <w:start w:val="1"/>
    </w:lvl>
  </w:abstractNum>
  <w:abstractNum w:abstractNumId="241">
    <w:nsid w:val="1F3DA4D5"/>
    <w:multiLevelType w:val="hybridMultilevel"/>
    <w:lvl w:ilvl="0">
      <w:lvlJc w:val="left"/>
      <w:lvlText w:val="(%1)"/>
      <w:numFmt w:val="lowerLetter"/>
      <w:start w:val="2"/>
    </w:lvl>
  </w:abstractNum>
  <w:abstractNum w:abstractNumId="242">
    <w:nsid w:val="74C93698"/>
    <w:multiLevelType w:val="hybridMultilevel"/>
    <w:lvl w:ilvl="0">
      <w:lvlJc w:val="left"/>
      <w:lvlText w:val="%1"/>
      <w:numFmt w:val="lowerLetter"/>
      <w:start w:val="1"/>
    </w:lvl>
    <w:lvl w:ilvl="1">
      <w:lvlJc w:val="left"/>
      <w:lvlText w:val="(%2)"/>
      <w:numFmt w:val="lowerLetter"/>
      <w:start w:val="2"/>
    </w:lvl>
  </w:abstractNum>
  <w:abstractNum w:abstractNumId="243">
    <w:nsid w:val="48781401"/>
    <w:multiLevelType w:val="hybridMultilevel"/>
    <w:lvl w:ilvl="0">
      <w:lvlJc w:val="left"/>
      <w:lvlText w:val="(%1)"/>
      <w:numFmt w:val="lowerLetter"/>
      <w:start w:val="3"/>
    </w:lvl>
    <w:lvl w:ilvl="1">
      <w:lvlJc w:val="left"/>
      <w:lvlText w:val="%2"/>
      <w:numFmt w:val="lowerLetter"/>
      <w:start w:val="1"/>
    </w:lvl>
  </w:abstractNum>
  <w:abstractNum w:abstractNumId="244">
    <w:nsid w:val="186928D6"/>
    <w:multiLevelType w:val="hybridMultilevel"/>
    <w:lvl w:ilvl="0">
      <w:lvlJc w:val="left"/>
      <w:lvlText w:val="(%1)"/>
      <w:numFmt w:val="lowerLetter"/>
      <w:start w:val="4"/>
    </w:lvl>
  </w:abstractNum>
  <w:abstractNum w:abstractNumId="245">
    <w:nsid w:val="47195E5"/>
    <w:multiLevelType w:val="hybridMultilevel"/>
    <w:lvl w:ilvl="0">
      <w:lvlJc w:val="left"/>
      <w:lvlText w:val="(%1)"/>
      <w:numFmt w:val="lowerLetter"/>
      <w:start w:val="2"/>
    </w:lvl>
  </w:abstractNum>
  <w:abstractNum w:abstractNumId="246">
    <w:nsid w:val="3746A5F2"/>
    <w:multiLevelType w:val="hybridMultilevel"/>
    <w:lvl w:ilvl="0">
      <w:lvlJc w:val="left"/>
      <w:lvlText w:val="(%1)"/>
      <w:numFmt w:val="lowerLetter"/>
      <w:start w:val="4"/>
    </w:lvl>
  </w:abstractNum>
  <w:abstractNum w:abstractNumId="247">
    <w:nsid w:val="682DFED6"/>
    <w:multiLevelType w:val="hybridMultilevel"/>
    <w:lvl w:ilvl="0">
      <w:lvlJc w:val="left"/>
      <w:lvlText w:val="(%1)"/>
      <w:numFmt w:val="lowerLetter"/>
      <w:start w:val="61"/>
    </w:lvl>
    <w:lvl w:ilvl="1">
      <w:lvlJc w:val="left"/>
      <w:lvlText w:val="(%2)"/>
      <w:numFmt w:val="lowerLetter"/>
      <w:start w:val="7"/>
    </w:lvl>
  </w:abstractNum>
  <w:abstractNum w:abstractNumId="248">
    <w:nsid w:val="606ED7F6"/>
    <w:multiLevelType w:val="hybridMultilevel"/>
    <w:lvl w:ilvl="0">
      <w:lvlJc w:val="left"/>
      <w:lvlText w:val="(%1)"/>
      <w:numFmt w:val="lowerLetter"/>
      <w:start w:val="35"/>
    </w:lvl>
    <w:lvl w:ilvl="1">
      <w:lvlJc w:val="left"/>
      <w:lvlText w:val="(%2)"/>
      <w:numFmt w:val="lowerLetter"/>
      <w:start w:val="9"/>
    </w:lvl>
    <w:lvl w:ilvl="2">
      <w:lvlJc w:val="left"/>
      <w:lvlText w:val="(%3)"/>
      <w:numFmt w:val="upperLetter"/>
      <w:start w:val="2"/>
    </w:lvl>
  </w:abstractNum>
  <w:abstractNum w:abstractNumId="249">
    <w:nsid w:val="2D9DF57D"/>
    <w:multiLevelType w:val="hybridMultilevel"/>
    <w:lvl w:ilvl="0">
      <w:lvlJc w:val="left"/>
      <w:lvlText w:val="(%1)"/>
      <w:numFmt w:val="lowerLetter"/>
      <w:start w:val="12"/>
    </w:lvl>
  </w:abstractNum>
  <w:abstractNum w:abstractNumId="250">
    <w:nsid w:val="7FBD7A3E"/>
    <w:multiLevelType w:val="hybridMultilevel"/>
    <w:lvl w:ilvl="0">
      <w:lvlJc w:val="left"/>
      <w:lvlText w:val="(%1)"/>
      <w:numFmt w:val="lowerLetter"/>
      <w:start w:val="2"/>
    </w:lvl>
  </w:abstractNum>
  <w:abstractNum w:abstractNumId="251">
    <w:nsid w:val="490B7C5"/>
    <w:multiLevelType w:val="hybridMultilevel"/>
    <w:lvl w:ilvl="0">
      <w:lvlJc w:val="left"/>
      <w:lvlText w:val="(%1)"/>
      <w:numFmt w:val="lowerLetter"/>
      <w:start w:val="2"/>
    </w:lvl>
    <w:lvl w:ilvl="1">
      <w:lvlJc w:val="left"/>
      <w:lvlText w:val="(%2)"/>
      <w:numFmt w:val="lowerRoman"/>
      <w:start w:val="1"/>
    </w:lvl>
  </w:abstractNum>
  <w:abstractNum w:abstractNumId="252">
    <w:nsid w:val="4303A216"/>
    <w:multiLevelType w:val="hybridMultilevel"/>
    <w:lvl w:ilvl="0">
      <w:lvlJc w:val="left"/>
      <w:lvlText w:val="(%1)"/>
      <w:numFmt w:val="lowerLetter"/>
      <w:start w:val="4"/>
    </w:lvl>
  </w:abstractNum>
  <w:abstractNum w:abstractNumId="253">
    <w:nsid w:val="19B8A08E"/>
    <w:multiLevelType w:val="hybridMultilevel"/>
    <w:lvl w:ilvl="0">
      <w:lvlJc w:val="left"/>
      <w:lvlText w:val="(%1)"/>
      <w:numFmt w:val="lowerLetter"/>
      <w:start w:val="1"/>
    </w:lvl>
  </w:abstractNum>
  <w:abstractNum w:abstractNumId="254">
    <w:nsid w:val="54B59621"/>
    <w:multiLevelType w:val="hybridMultilevel"/>
    <w:lvl w:ilvl="0">
      <w:lvlJc w:val="left"/>
      <w:lvlText w:val="%1"/>
      <w:numFmt w:val="lowerLetter"/>
      <w:start w:val="1"/>
    </w:lvl>
    <w:lvl w:ilvl="1">
      <w:lvlJc w:val="left"/>
      <w:lvlText w:val="(%2)"/>
      <w:numFmt w:val="lowerLetter"/>
      <w:start w:val="2"/>
    </w:lvl>
  </w:abstractNum>
  <w:abstractNum w:abstractNumId="255">
    <w:nsid w:val="5992A02E"/>
    <w:multiLevelType w:val="hybridMultilevel"/>
    <w:lvl w:ilvl="0">
      <w:lvlJc w:val="left"/>
      <w:lvlText w:val="(%1)"/>
      <w:numFmt w:val="lowerLetter"/>
      <w:start w:val="9"/>
    </w:lvl>
    <w:lvl w:ilvl="1">
      <w:lvlJc w:val="left"/>
      <w:lvlText w:val="%2"/>
      <w:numFmt w:val="lowerLetter"/>
      <w:start w:val="1"/>
    </w:lvl>
  </w:abstractNum>
  <w:abstractNum w:abstractNumId="256">
    <w:nsid w:val="29EF532D"/>
    <w:multiLevelType w:val="hybridMultilevel"/>
    <w:lvl w:ilvl="0">
      <w:lvlJc w:val="left"/>
      <w:lvlText w:val="(%1)"/>
      <w:numFmt w:val="lowerLetter"/>
      <w:start w:val="7"/>
    </w:lvl>
  </w:abstractNum>
  <w:abstractNum w:abstractNumId="257">
    <w:nsid w:val="71D601AF"/>
    <w:multiLevelType w:val="hybridMultilevel"/>
    <w:lvl w:ilvl="0">
      <w:lvlJc w:val="left"/>
      <w:lvlText w:val="%1."/>
      <w:numFmt w:val="lowerLetter"/>
      <w:start w:val="1"/>
    </w:lvl>
  </w:abstractNum>
  <w:abstractNum w:abstractNumId="258">
    <w:nsid w:val="52C77402"/>
    <w:multiLevelType w:val="hybridMultilevel"/>
    <w:lvl w:ilvl="0">
      <w:lvlJc w:val="left"/>
      <w:lvlText w:val="%1."/>
      <w:numFmt w:val="lowerLetter"/>
      <w:start w:val="4"/>
    </w:lvl>
  </w:abstractNum>
  <w:abstractNum w:abstractNumId="259">
    <w:nsid w:val="2BB5B1C6"/>
    <w:multiLevelType w:val="hybridMultilevel"/>
    <w:lvl w:ilvl="0">
      <w:lvlJc w:val="left"/>
      <w:lvlText w:val="(%1)"/>
      <w:numFmt w:val="lowerLetter"/>
      <w:start w:val="1"/>
    </w:lvl>
  </w:abstractNum>
  <w:abstractNum w:abstractNumId="260">
    <w:nsid w:val="66BE6B9"/>
    <w:multiLevelType w:val="hybridMultilevel"/>
    <w:lvl w:ilvl="0">
      <w:lvlJc w:val="left"/>
      <w:lvlText w:val="%1."/>
      <w:numFmt w:val="lowerLetter"/>
      <w:start w:val="1"/>
    </w:lvl>
  </w:abstractNum>
  <w:abstractNum w:abstractNumId="261">
    <w:nsid w:val="62234363"/>
    <w:multiLevelType w:val="hybridMultilevel"/>
    <w:lvl w:ilvl="0">
      <w:lvlJc w:val="left"/>
      <w:lvlText w:val="(%1)"/>
      <w:numFmt w:val="lowerLetter"/>
      <w:start w:val="1"/>
    </w:lvl>
  </w:abstractNum>
  <w:abstractNum w:abstractNumId="262">
    <w:nsid w:val="66D385C9"/>
    <w:multiLevelType w:val="hybridMultilevel"/>
    <w:lvl w:ilvl="0">
      <w:lvlJc w:val="left"/>
      <w:lvlText w:val="(%1)"/>
      <w:numFmt w:val="lowerLetter"/>
      <w:start w:val="4"/>
    </w:lvl>
  </w:abstractNum>
  <w:abstractNum w:abstractNumId="263">
    <w:nsid w:val="596F6D8A"/>
    <w:multiLevelType w:val="hybridMultilevel"/>
    <w:lvl w:ilvl="0">
      <w:lvlJc w:val="left"/>
      <w:lvlText w:val="(%1)"/>
      <w:numFmt w:val="lowerLetter"/>
      <w:start w:val="1"/>
    </w:lvl>
  </w:abstractNum>
  <w:abstractNum w:abstractNumId="264">
    <w:nsid w:val="5749361F"/>
    <w:multiLevelType w:val="hybridMultilevel"/>
    <w:lvl w:ilvl="0">
      <w:lvlJc w:val="left"/>
      <w:lvlText w:val="%1."/>
      <w:numFmt w:val="lowerRoman"/>
      <w:start w:val="1"/>
    </w:lvl>
  </w:abstractNum>
  <w:abstractNum w:abstractNumId="265">
    <w:nsid w:val="73BC6770"/>
    <w:multiLevelType w:val="hybridMultilevel"/>
    <w:lvl w:ilvl="0">
      <w:lvlJc w:val="left"/>
      <w:lvlText w:val="%1."/>
      <w:numFmt w:val="lowerRoman"/>
      <w:start w:val="2"/>
    </w:lvl>
  </w:abstractNum>
  <w:abstractNum w:abstractNumId="266">
    <w:nsid w:val="280E6897"/>
    <w:multiLevelType w:val="hybridMultilevel"/>
    <w:lvl w:ilvl="0">
      <w:lvlJc w:val="left"/>
      <w:lvlText w:val="%1."/>
      <w:numFmt w:val="lowerLetter"/>
      <w:start w:val="1"/>
    </w:lvl>
  </w:abstractNum>
  <w:abstractNum w:abstractNumId="267">
    <w:nsid w:val="605138DE"/>
    <w:multiLevelType w:val="hybridMultilevel"/>
    <w:lvl w:ilvl="0">
      <w:lvlJc w:val="left"/>
      <w:lvlText w:val="%1."/>
      <w:numFmt w:val="lowerLetter"/>
      <w:start w:val="1"/>
    </w:lvl>
  </w:abstractNum>
  <w:abstractNum w:abstractNumId="268">
    <w:nsid w:val="2622AD0C"/>
    <w:multiLevelType w:val="hybridMultilevel"/>
    <w:lvl w:ilvl="0">
      <w:lvlJc w:val="left"/>
      <w:lvlText w:val="%1."/>
      <w:numFmt w:val="lowerLetter"/>
      <w:start w:val="3"/>
    </w:lvl>
    <w:lvl w:ilvl="1">
      <w:lvlJc w:val="left"/>
      <w:lvlText w:val="%2"/>
      <w:numFmt w:val="lowerLetter"/>
      <w:start w:val="1"/>
    </w:lvl>
  </w:abstractNum>
  <w:abstractNum w:abstractNumId="269">
    <w:nsid w:val="67997556"/>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70">
    <w:nsid w:val="18333C89"/>
    <w:multiLevelType w:val="hybridMultilevel"/>
    <w:lvl w:ilvl="0">
      <w:lvlJc w:val="left"/>
      <w:lvlText w:val="%1."/>
      <w:numFmt w:val="lowerLetter"/>
      <w:start w:val="3"/>
    </w:lvl>
  </w:abstractNum>
  <w:abstractNum w:abstractNumId="271">
    <w:nsid w:val="4BA9831A"/>
    <w:multiLevelType w:val="hybridMultilevel"/>
    <w:lvl w:ilvl="0">
      <w:lvlJc w:val="left"/>
      <w:lvlText w:val="%1."/>
      <w:numFmt w:val="lowerLetter"/>
      <w:start w:val="6"/>
    </w:lvl>
  </w:abstractNum>
  <w:abstractNum w:abstractNumId="272">
    <w:nsid w:val="6D71A2B"/>
    <w:multiLevelType w:val="hybridMultilevel"/>
    <w:lvl w:ilvl="0">
      <w:lvlJc w:val="left"/>
      <w:lvlText w:val="%1."/>
      <w:numFmt w:val="lowerLetter"/>
      <w:start w:val="7"/>
    </w:lvl>
  </w:abstractNum>
  <w:abstractNum w:abstractNumId="273">
    <w:nsid w:val="CFC7321"/>
    <w:multiLevelType w:val="hybridMultilevel"/>
    <w:lvl w:ilvl="0">
      <w:lvlJc w:val="left"/>
      <w:lvlText w:val="%1."/>
      <w:numFmt w:val="lowerLetter"/>
      <w:start w:val="1"/>
    </w:lvl>
  </w:abstractNum>
  <w:abstractNum w:abstractNumId="274">
    <w:nsid w:val="1421971B"/>
    <w:multiLevelType w:val="hybridMultilevel"/>
    <w:lvl w:ilvl="0">
      <w:lvlJc w:val="left"/>
      <w:lvlText w:val="%1."/>
      <w:numFmt w:val="lowerLetter"/>
      <w:start w:val="2"/>
    </w:lvl>
  </w:abstractNum>
  <w:abstractNum w:abstractNumId="275">
    <w:nsid w:val="1F404301"/>
    <w:multiLevelType w:val="hybridMultilevel"/>
    <w:lvl w:ilvl="0">
      <w:lvlJc w:val="left"/>
      <w:lvlText w:val="%1."/>
      <w:numFmt w:val="lowerLetter"/>
      <w:start w:val="4"/>
    </w:lvl>
  </w:abstractNum>
  <w:abstractNum w:abstractNumId="276">
    <w:nsid w:val="116E0907"/>
    <w:multiLevelType w:val="hybridMultilevel"/>
    <w:lvl w:ilvl="0">
      <w:lvlJc w:val="left"/>
      <w:lvlText w:val="%1."/>
      <w:numFmt w:val="lowerLetter"/>
      <w:start w:val="1"/>
    </w:lvl>
  </w:abstractNum>
  <w:abstractNum w:abstractNumId="277">
    <w:nsid w:val="4B683D0D"/>
    <w:multiLevelType w:val="hybridMultilevel"/>
    <w:lvl w:ilvl="0">
      <w:lvlJc w:val="left"/>
      <w:lvlText w:val="%1."/>
      <w:numFmt w:val="decimal"/>
      <w:start w:val="1"/>
    </w:lvl>
    <w:lvl w:ilvl="1">
      <w:lvlJc w:val="left"/>
      <w:lvlText w:val="%2."/>
      <w:numFmt w:val="lowerLetter"/>
      <w:start w:val="1"/>
    </w:lvl>
  </w:abstractNum>
  <w:abstractNum w:abstractNumId="278">
    <w:nsid w:val="76E41D8"/>
    <w:multiLevelType w:val="hybridMultilevel"/>
    <w:lvl w:ilvl="0">
      <w:lvlJc w:val="left"/>
      <w:lvlText w:val="%1"/>
      <w:numFmt w:val="decimal"/>
      <w:start w:val="1"/>
    </w:lvl>
    <w:lvl w:ilvl="1">
      <w:lvlJc w:val="left"/>
      <w:lvlText w:val="%2."/>
      <w:numFmt w:val="lowerLetter"/>
      <w:start w:val="3"/>
    </w:lvl>
  </w:abstractNum>
  <w:abstractNum w:abstractNumId="279">
    <w:nsid w:val="71DCE0FD"/>
    <w:multiLevelType w:val="hybridMultilevel"/>
    <w:lvl w:ilvl="0">
      <w:lvlJc w:val="left"/>
      <w:lvlText w:val="%1."/>
      <w:numFmt w:val="decimal"/>
      <w:start w:val="4"/>
    </w:lvl>
    <w:lvl w:ilvl="1">
      <w:lvlJc w:val="left"/>
      <w:lvlText w:val="%2"/>
      <w:numFmt w:val="lowerLetter"/>
      <w:start w:val="1"/>
    </w:lvl>
  </w:abstractNum>
  <w:abstractNum w:abstractNumId="280">
    <w:nsid w:val="7906328B"/>
    <w:multiLevelType w:val="hybridMultilevel"/>
    <w:lvl w:ilvl="0">
      <w:lvlJc w:val="left"/>
      <w:lvlText w:val="(%1)"/>
      <w:numFmt w:val="lowerLetter"/>
      <w:start w:val="2"/>
    </w:lvl>
  </w:abstractNum>
  <w:abstractNum w:abstractNumId="281">
    <w:nsid w:val="72BBC16"/>
    <w:multiLevelType w:val="hybridMultilevel"/>
    <w:lvl w:ilvl="0">
      <w:lvlJc w:val="left"/>
      <w:lvlText w:val="(%1)"/>
      <w:numFmt w:val="lowerLetter"/>
      <w:start w:val="2"/>
    </w:lvl>
  </w:abstractNum>
  <w:abstractNum w:abstractNumId="282">
    <w:nsid w:val="766D98C2"/>
    <w:multiLevelType w:val="hybridMultilevel"/>
    <w:lvl w:ilvl="0">
      <w:lvlJc w:val="left"/>
      <w:lvlText w:val="(%1)"/>
      <w:numFmt w:val="lowerLetter"/>
      <w:start w:val="2"/>
    </w:lvl>
  </w:abstractNum>
  <w:abstractNum w:abstractNumId="283">
    <w:nsid w:val="3C09D4A1"/>
    <w:multiLevelType w:val="hybridMultilevel"/>
    <w:lvl w:ilvl="0">
      <w:lvlJc w:val="left"/>
      <w:lvlText w:val="%1."/>
      <w:numFmt w:val="lowerLetter"/>
      <w:start w:val="1"/>
    </w:lvl>
  </w:abstractNum>
  <w:abstractNum w:abstractNumId="284">
    <w:nsid w:val="20E45CA4"/>
    <w:multiLevelType w:val="hybridMultilevel"/>
    <w:lvl w:ilvl="0">
      <w:lvlJc w:val="left"/>
      <w:lvlText w:val="%1."/>
      <w:numFmt w:val="lowerLetter"/>
      <w:start w:val="2"/>
    </w:lvl>
  </w:abstractNum>
  <w:abstractNum w:abstractNumId="285">
    <w:nsid w:val="4B232EE3"/>
    <w:multiLevelType w:val="hybridMultilevel"/>
    <w:lvl w:ilvl="0">
      <w:lvlJc w:val="left"/>
      <w:lvlText w:val="%1"/>
      <w:numFmt w:val="lowerLetter"/>
      <w:start w:val="1"/>
    </w:lvl>
    <w:lvl w:ilvl="1">
      <w:lvlJc w:val="left"/>
      <w:lvlText w:val="(%2)"/>
      <w:numFmt w:val="lowerLetter"/>
      <w:start w:val="1"/>
    </w:lvl>
  </w:abstractNum>
  <w:abstractNum w:abstractNumId="286">
    <w:nsid w:val="159C74CF"/>
    <w:multiLevelType w:val="hybridMultilevel"/>
    <w:lvl w:ilvl="0">
      <w:lvlJc w:val="left"/>
      <w:lvlText w:val="(%1)"/>
      <w:numFmt w:val="lowerLetter"/>
      <w:start w:val="35"/>
    </w:lvl>
    <w:lvl w:ilvl="1">
      <w:lvlJc w:val="left"/>
      <w:lvlText w:val="(%2)"/>
      <w:numFmt w:val="lowerLetter"/>
      <w:start w:val="4"/>
    </w:lvl>
  </w:abstractNum>
  <w:abstractNum w:abstractNumId="287">
    <w:nsid w:val="4AD3AFD2"/>
    <w:multiLevelType w:val="hybridMultilevel"/>
    <w:lvl w:ilvl="0">
      <w:lvlJc w:val="left"/>
      <w:lvlText w:val="(%1)"/>
      <w:numFmt w:val="lowerLetter"/>
      <w:start w:val="5"/>
    </w:lvl>
  </w:abstractNum>
  <w:abstractNum w:abstractNumId="288">
    <w:nsid w:val="3CF93092"/>
    <w:multiLevelType w:val="hybridMultilevel"/>
    <w:lvl w:ilvl="0">
      <w:lvlJc w:val="left"/>
      <w:lvlText w:val="(%1)"/>
      <w:numFmt w:val="lowerLetter"/>
      <w:start w:val="1"/>
    </w:lvl>
  </w:abstractNum>
  <w:abstractNum w:abstractNumId="289">
    <w:nsid w:val="6863E8D2"/>
    <w:multiLevelType w:val="hybridMultilevel"/>
    <w:lvl w:ilvl="0">
      <w:lvlJc w:val="left"/>
      <w:lvlText w:val="(%1)"/>
      <w:numFmt w:val="lowerLetter"/>
      <w:start w:val="3"/>
    </w:lvl>
  </w:abstractNum>
  <w:abstractNum w:abstractNumId="290">
    <w:nsid w:val="76896198"/>
    <w:multiLevelType w:val="hybridMultilevel"/>
    <w:lvl w:ilvl="0">
      <w:lvlJc w:val="left"/>
      <w:lvlText w:val="(%1)"/>
      <w:numFmt w:val="lowerLetter"/>
      <w:start w:val="1"/>
    </w:lvl>
  </w:abstractNum>
  <w:abstractNum w:abstractNumId="291">
    <w:nsid w:val="4365174B"/>
    <w:multiLevelType w:val="hybridMultilevel"/>
    <w:lvl w:ilvl="0">
      <w:lvlJc w:val="left"/>
      <w:lvlText w:val="(%1)"/>
      <w:numFmt w:val="lowerLetter"/>
      <w:start w:val="3"/>
    </w:lvl>
  </w:abstractNum>
  <w:abstractNum w:abstractNumId="292">
    <w:nsid w:val="4A872C35"/>
    <w:multiLevelType w:val="hybridMultilevel"/>
    <w:lvl w:ilvl="0">
      <w:lvlJc w:val="left"/>
      <w:lvlText w:val="%1"/>
      <w:numFmt w:val="lowerLetter"/>
      <w:start w:val="1"/>
    </w:lvl>
    <w:lvl w:ilvl="1">
      <w:lvlJc w:val="left"/>
      <w:lvlText w:val="(%2)"/>
      <w:numFmt w:val="lowerRoman"/>
      <w:start w:val="1"/>
    </w:lvl>
  </w:abstractNum>
  <w:abstractNum w:abstractNumId="293">
    <w:nsid w:val="5D5CE761"/>
    <w:multiLevelType w:val="hybridMultilevel"/>
    <w:lvl w:ilvl="0">
      <w:lvlJc w:val="left"/>
      <w:lvlText w:val="(%1)"/>
      <w:numFmt w:val="lowerLetter"/>
      <w:start w:val="8"/>
    </w:lvl>
    <w:lvl w:ilvl="1">
      <w:lvlJc w:val="left"/>
      <w:lvlText w:val="(%2)"/>
      <w:numFmt w:val="lowerRoman"/>
      <w:start w:val="1"/>
    </w:lvl>
  </w:abstractNum>
  <w:abstractNum w:abstractNumId="294">
    <w:nsid w:val="1CD484D5"/>
    <w:multiLevelType w:val="hybridMultilevel"/>
    <w:lvl w:ilvl="0">
      <w:lvlJc w:val="left"/>
      <w:lvlText w:val="(%1)"/>
      <w:numFmt w:val="lowerLetter"/>
      <w:start w:val="12"/>
    </w:lvl>
  </w:abstractNum>
  <w:abstractNum w:abstractNumId="295">
    <w:nsid w:val="21D06255"/>
    <w:multiLevelType w:val="hybridMultilevel"/>
    <w:lvl w:ilvl="0">
      <w:lvlJc w:val="left"/>
      <w:lvlText w:val="(%1)"/>
      <w:numFmt w:val="lowerLetter"/>
      <w:start w:val="1"/>
    </w:lvl>
  </w:abstractNum>
  <w:abstractNum w:abstractNumId="296">
    <w:nsid w:val="51194ED1"/>
    <w:multiLevelType w:val="hybridMultilevel"/>
    <w:lvl w:ilvl="0">
      <w:lvlJc w:val="left"/>
      <w:lvlText w:val="%1."/>
      <w:numFmt w:val="lowerLetter"/>
      <w:start w:val="1"/>
    </w:lvl>
  </w:abstractNum>
  <w:abstractNum w:abstractNumId="297">
    <w:nsid w:val="44E2ED6C"/>
    <w:multiLevelType w:val="hybridMultilevel"/>
    <w:lvl w:ilvl="0">
      <w:lvlJc w:val="left"/>
      <w:lvlText w:val="%1."/>
      <w:numFmt w:val="lowerLetter"/>
      <w:start w:val="3"/>
    </w:lvl>
  </w:abstractNum>
  <w:abstractNum w:abstractNumId="298">
    <w:nsid w:val="2219B33"/>
    <w:multiLevelType w:val="hybridMultilevel"/>
    <w:lvl w:ilvl="0">
      <w:lvlJc w:val="left"/>
      <w:lvlText w:val="%1."/>
      <w:numFmt w:val="lowerLetter"/>
      <w:start w:val="6"/>
    </w:lvl>
  </w:abstractNum>
  <w:abstractNum w:abstractNumId="299">
    <w:nsid w:val="773BFBDD"/>
    <w:multiLevelType w:val="hybridMultilevel"/>
    <w:lvl w:ilvl="0">
      <w:lvlJc w:val="left"/>
      <w:lvlText w:val="(%1)"/>
      <w:numFmt w:val="lowerLetter"/>
      <w:start w:val="1"/>
    </w:lvl>
  </w:abstractNum>
  <w:abstractNum w:abstractNumId="300">
    <w:nsid w:val="2C7C62C2"/>
    <w:multiLevelType w:val="hybridMultilevel"/>
    <w:lvl w:ilvl="0">
      <w:lvlJc w:val="left"/>
      <w:lvlText w:val="%1"/>
      <w:numFmt w:val="lowerLetter"/>
      <w:start w:val="1"/>
    </w:lvl>
    <w:lvl w:ilvl="1">
      <w:lvlJc w:val="left"/>
      <w:lvlText w:val="(%2)"/>
      <w:numFmt w:val="lowerLetter"/>
      <w:start w:val="2"/>
    </w:lvl>
  </w:abstractNum>
  <w:abstractNum w:abstractNumId="301">
    <w:nsid w:val="1A54D7BC"/>
    <w:multiLevelType w:val="hybridMultilevel"/>
    <w:lvl w:ilvl="0">
      <w:lvlJc w:val="left"/>
      <w:lvlText w:val="(%1)"/>
      <w:numFmt w:val="lowerLetter"/>
      <w:start w:val="35"/>
    </w:lvl>
    <w:lvl w:ilvl="1">
      <w:lvlJc w:val="left"/>
      <w:lvlText w:val="(%2)"/>
      <w:numFmt w:val="lowerLetter"/>
      <w:start w:val="7"/>
    </w:lvl>
  </w:abstractNum>
  <w:abstractNum w:abstractNumId="302">
    <w:nsid w:val="42E57EF7"/>
    <w:multiLevelType w:val="hybridMultilevel"/>
    <w:lvl w:ilvl="0">
      <w:lvlJc w:val="left"/>
      <w:lvlText w:val="(%1)"/>
      <w:numFmt w:val="lowerLetter"/>
      <w:start w:val="9"/>
    </w:lvl>
  </w:abstractNum>
  <w:abstractNum w:abstractNumId="303">
    <w:nsid w:val="33537CED"/>
    <w:multiLevelType w:val="hybridMultilevel"/>
    <w:lvl w:ilvl="0">
      <w:lvlJc w:val="left"/>
      <w:lvlText w:val="(%1)"/>
      <w:numFmt w:val="lowerLetter"/>
      <w:start w:val="20"/>
    </w:lvl>
  </w:abstractNum>
  <w:abstractNum w:abstractNumId="304">
    <w:nsid w:val="27514ADE"/>
    <w:multiLevelType w:val="hybridMultilevel"/>
    <w:lvl w:ilvl="0">
      <w:lvlJc w:val="left"/>
      <w:lvlText w:val="%1"/>
      <w:numFmt w:val="upperLetter"/>
      <w:start w:val="1"/>
    </w:lvl>
    <w:lvl w:ilvl="1">
      <w:lvlJc w:val="left"/>
      <w:lvlText w:val="(%2)"/>
      <w:numFmt w:val="lowerLetter"/>
      <w:start w:val="1"/>
    </w:lvl>
  </w:abstractNum>
  <w:abstractNum w:abstractNumId="305">
    <w:nsid w:val="57071613"/>
    <w:multiLevelType w:val="hybridMultilevel"/>
    <w:lvl w:ilvl="0">
      <w:lvlJc w:val="left"/>
      <w:lvlText w:val="(%1)"/>
      <w:numFmt w:val="upperLetter"/>
      <w:start w:val="1"/>
    </w:lvl>
    <w:lvl w:ilvl="1">
      <w:lvlJc w:val="left"/>
      <w:lvlText w:val="%2"/>
      <w:numFmt w:val="lowerLetter"/>
      <w:start w:val="1"/>
    </w:lvl>
  </w:abstractNum>
  <w:abstractNum w:abstractNumId="306">
    <w:nsid w:val="5293BFEF"/>
    <w:multiLevelType w:val="hybridMultilevel"/>
    <w:lvl w:ilvl="0">
      <w:lvlJc w:val="left"/>
      <w:lvlText w:val="(%1)"/>
      <w:numFmt w:val="lowerLetter"/>
      <w:start w:val="5"/>
    </w:lvl>
  </w:abstractNum>
  <w:abstractNum w:abstractNumId="307">
    <w:nsid w:val="38BF53E5"/>
    <w:multiLevelType w:val="hybridMultilevel"/>
    <w:lvl w:ilvl="0">
      <w:lvlJc w:val="left"/>
      <w:lvlText w:val="(%1)"/>
      <w:numFmt w:val="lowerLetter"/>
      <w:start w:val="14"/>
    </w:lvl>
  </w:abstractNum>
  <w:abstractNum w:abstractNumId="308">
    <w:nsid w:val="226F5320"/>
    <w:multiLevelType w:val="hybridMultilevel"/>
    <w:lvl w:ilvl="0">
      <w:lvlJc w:val="left"/>
      <w:lvlText w:val="(%1)"/>
      <w:numFmt w:val="lowerLetter"/>
      <w:start w:val="1"/>
    </w:lvl>
    <w:lvl w:ilvl="1">
      <w:lvlJc w:val="left"/>
      <w:lvlText w:val="(%2)"/>
      <w:numFmt w:val="lowerRoman"/>
      <w:start w:val="1"/>
    </w:lvl>
  </w:abstractNum>
  <w:abstractNum w:abstractNumId="309">
    <w:nsid w:val="5A0201C7"/>
    <w:multiLevelType w:val="hybridMultilevel"/>
    <w:lvl w:ilvl="0">
      <w:lvlJc w:val="left"/>
      <w:lvlText w:val="(%1)"/>
      <w:numFmt w:val="lowerLetter"/>
      <w:start w:val="4"/>
    </w:lvl>
  </w:abstractNum>
  <w:abstractNum w:abstractNumId="310">
    <w:nsid w:val="2A9C34E2"/>
    <w:multiLevelType w:val="hybridMultilevel"/>
    <w:lvl w:ilvl="0">
      <w:lvlJc w:val="left"/>
      <w:lvlText w:val="%1"/>
      <w:numFmt w:val="lowerLetter"/>
      <w:start w:val="1"/>
    </w:lvl>
    <w:lvl w:ilvl="1">
      <w:lvlJc w:val="left"/>
      <w:lvlText w:val="(%2)"/>
      <w:numFmt w:val="lowerLetter"/>
      <w:start w:val="1"/>
    </w:lvl>
  </w:abstractNum>
  <w:abstractNum w:abstractNumId="311">
    <w:nsid w:val="1B7585AB"/>
    <w:multiLevelType w:val="hybridMultilevel"/>
    <w:lvl w:ilvl="0">
      <w:lvlJc w:val="left"/>
      <w:lvlText w:val="(%1)"/>
      <w:numFmt w:val="lowerLetter"/>
      <w:start w:val="24"/>
    </w:lvl>
    <w:lvl w:ilvl="1">
      <w:lvlJc w:val="left"/>
      <w:lvlText w:val="(%2)"/>
      <w:numFmt w:val="lowerLetter"/>
      <w:start w:val="5"/>
    </w:lvl>
  </w:abstractNum>
  <w:abstractNum w:abstractNumId="312">
    <w:nsid w:val="612DBDDD"/>
    <w:multiLevelType w:val="hybridMultilevel"/>
    <w:lvl w:ilvl="0">
      <w:lvlJc w:val="left"/>
      <w:lvlText w:val="%1"/>
      <w:numFmt w:val="lowerLetter"/>
      <w:start w:val="1"/>
    </w:lvl>
    <w:lvl w:ilvl="1">
      <w:lvlJc w:val="left"/>
      <w:lvlText w:val="(%2)"/>
      <w:numFmt w:val="lowerLetter"/>
      <w:start w:val="6"/>
    </w:lvl>
  </w:abstractNum>
  <w:abstractNum w:abstractNumId="313">
    <w:nsid w:val="2109CDA4"/>
    <w:multiLevelType w:val="hybridMultilevel"/>
    <w:lvl w:ilvl="0">
      <w:lvlJc w:val="left"/>
      <w:lvlText w:val="(%1)"/>
      <w:numFmt w:val="lowerLetter"/>
      <w:start w:val="9"/>
    </w:lvl>
    <w:lvl w:ilvl="1">
      <w:lvlJc w:val="left"/>
      <w:lvlText w:val="(%2)"/>
      <w:numFmt w:val="lowerLetter"/>
      <w:start w:val="7"/>
    </w:lvl>
  </w:abstractNum>
  <w:abstractNum w:abstractNumId="314">
    <w:nsid w:val="577F5A4D"/>
    <w:multiLevelType w:val="hybridMultilevel"/>
    <w:lvl w:ilvl="0">
      <w:lvlJc w:val="left"/>
      <w:lvlText w:val="(%1)"/>
      <w:numFmt w:val="lowerLetter"/>
      <w:start w:val="16"/>
    </w:lvl>
  </w:abstractNum>
  <w:abstractNum w:abstractNumId="315">
    <w:nsid w:val="2121A81"/>
    <w:multiLevelType w:val="hybridMultilevel"/>
    <w:lvl w:ilvl="0">
      <w:lvlJc w:val="left"/>
      <w:lvlText w:val="(%1)"/>
      <w:numFmt w:val="lowerLetter"/>
      <w:start w:val="27"/>
    </w:lvl>
  </w:abstractNum>
  <w:abstractNum w:abstractNumId="316">
    <w:nsid w:val="6C2CFC88"/>
    <w:multiLevelType w:val="hybridMultilevel"/>
    <w:lvl w:ilvl="0">
      <w:lvlJc w:val="left"/>
      <w:lvlText w:val="(%1)"/>
      <w:numFmt w:val="lowerLetter"/>
      <w:start w:val="28"/>
    </w:lvl>
  </w:abstractNum>
  <w:abstractNum w:abstractNumId="317">
    <w:nsid w:val="6D1BCF1C"/>
    <w:multiLevelType w:val="hybridMultilevel"/>
    <w:lvl w:ilvl="0">
      <w:lvlJc w:val="left"/>
      <w:lvlText w:val="(%1)"/>
      <w:numFmt w:val="lowerLetter"/>
      <w:start w:val="1"/>
    </w:lvl>
  </w:abstractNum>
  <w:abstractNum w:abstractNumId="318">
    <w:nsid w:val="4CE5CA53"/>
    <w:multiLevelType w:val="hybridMultilevel"/>
    <w:lvl w:ilvl="0">
      <w:lvlJc w:val="left"/>
      <w:lvlText w:val="(%1)"/>
      <w:numFmt w:val="lowerLetter"/>
      <w:start w:val="2"/>
    </w:lvl>
  </w:abstractNum>
  <w:abstractNum w:abstractNumId="319">
    <w:nsid w:val="29262D1A"/>
    <w:multiLevelType w:val="hybridMultilevel"/>
    <w:lvl w:ilvl="0">
      <w:lvlJc w:val="left"/>
      <w:lvlText w:val="%1"/>
      <w:numFmt w:val="upperLetter"/>
      <w:start w:val="1"/>
    </w:lvl>
    <w:lvl w:ilvl="1">
      <w:lvlJc w:val="left"/>
      <w:lvlText w:val="(%2)"/>
      <w:numFmt w:val="lowerLetter"/>
      <w:start w:val="12"/>
    </w:lvl>
  </w:abstractNum>
  <w:abstractNum w:abstractNumId="320">
    <w:nsid w:val="557FB7EE"/>
    <w:multiLevelType w:val="hybridMultilevel"/>
    <w:lvl w:ilvl="0">
      <w:lvlJc w:val="left"/>
      <w:lvlText w:val="(%1)"/>
      <w:numFmt w:val="upperLetter"/>
      <w:start w:val="2"/>
    </w:lvl>
    <w:lvl w:ilvl="1">
      <w:lvlJc w:val="left"/>
      <w:lvlText w:val="%2"/>
      <w:numFmt w:val="lowerLetter"/>
      <w:start w:val="1"/>
    </w:lvl>
  </w:abstractNum>
  <w:abstractNum w:abstractNumId="321">
    <w:nsid w:val="436F2BEB"/>
    <w:multiLevelType w:val="hybridMultilevel"/>
    <w:lvl w:ilvl="0">
      <w:lvlJc w:val="left"/>
      <w:lvlText w:val="%1"/>
      <w:numFmt w:val="lowerLetter"/>
      <w:start w:val="1"/>
    </w:lvl>
    <w:lvl w:ilvl="1">
      <w:lvlJc w:val="left"/>
      <w:lvlText w:val="(%2)"/>
      <w:numFmt w:val="lowerLetter"/>
      <w:start w:val="1"/>
    </w:lvl>
  </w:abstractNum>
  <w:abstractNum w:abstractNumId="322">
    <w:nsid w:val="6C8B4466"/>
    <w:multiLevelType w:val="hybridMultilevel"/>
    <w:lvl w:ilvl="0">
      <w:lvlJc w:val="left"/>
      <w:lvlText w:val="(%1)"/>
      <w:numFmt w:val="lowerLetter"/>
      <w:start w:val="35"/>
    </w:lvl>
    <w:lvl w:ilvl="1">
      <w:lvlJc w:val="left"/>
      <w:lvlText w:val="(%2)"/>
      <w:numFmt w:val="lowerLetter"/>
      <w:start w:val="4"/>
    </w:lvl>
  </w:abstractNum>
  <w:abstractNum w:abstractNumId="323">
    <w:nsid w:val="2006E424"/>
    <w:multiLevelType w:val="hybridMultilevel"/>
    <w:lvl w:ilvl="0">
      <w:lvlJc w:val="left"/>
      <w:lvlText w:val="(%1)"/>
      <w:numFmt w:val="lowerLetter"/>
      <w:start w:val="7"/>
    </w:lvl>
  </w:abstractNum>
  <w:abstractNum w:abstractNumId="324">
    <w:nsid w:val="20CC134C"/>
    <w:multiLevelType w:val="hybridMultilevel"/>
    <w:lvl w:ilvl="0">
      <w:lvlJc w:val="left"/>
      <w:lvlText w:val="(%1)"/>
      <w:numFmt w:val="lowerLetter"/>
      <w:start w:val="1"/>
    </w:lvl>
    <w:lvl w:ilvl="1">
      <w:lvlJc w:val="left"/>
      <w:lvlText w:val="(%2)"/>
      <w:numFmt w:val="lowerRoman"/>
      <w:start w:val="2"/>
    </w:lvl>
  </w:abstractNum>
  <w:abstractNum w:abstractNumId="325">
    <w:nsid w:val="95FC93B"/>
    <w:multiLevelType w:val="hybridMultilevel"/>
    <w:lvl w:ilvl="0">
      <w:lvlJc w:val="left"/>
      <w:lvlText w:val="(%1)"/>
      <w:numFmt w:val="lowerLetter"/>
      <w:start w:val="8"/>
    </w:lvl>
  </w:abstractNum>
  <w:abstractNum w:abstractNumId="326">
    <w:nsid w:val="41D74679"/>
    <w:multiLevelType w:val="hybridMultilevel"/>
    <w:lvl w:ilvl="0">
      <w:lvlJc w:val="left"/>
      <w:lvlText w:val="%1."/>
      <w:numFmt w:val="lowerLetter"/>
      <w:start w:val="1"/>
    </w:lvl>
    <w:lvl w:ilvl="1">
      <w:lvlJc w:val="left"/>
      <w:lvlText w:val="(%2)"/>
      <w:numFmt w:val="lowerRoman"/>
      <w:start w:val="1"/>
    </w:lvl>
  </w:abstractNum>
  <w:abstractNum w:abstractNumId="327">
    <w:nsid w:val="71E5621E"/>
    <w:multiLevelType w:val="hybridMultilevel"/>
    <w:lvl w:ilvl="0">
      <w:lvlJc w:val="left"/>
      <w:lvlText w:val="(%1)"/>
      <w:numFmt w:val="lowerRoman"/>
      <w:start w:val="3"/>
    </w:lvl>
  </w:abstractNum>
  <w:abstractNum w:abstractNumId="328">
    <w:nsid w:val="4E42B6A8"/>
    <w:multiLevelType w:val="hybridMultilevel"/>
    <w:lvl w:ilvl="0">
      <w:lvlJc w:val="left"/>
      <w:lvlText w:val="%1"/>
      <w:numFmt w:val="lowerRoman"/>
      <w:start w:val="1"/>
    </w:lvl>
    <w:lvl w:ilvl="1">
      <w:lvlJc w:val="left"/>
      <w:lvlText w:val="%2."/>
      <w:numFmt w:val="lowerLetter"/>
      <w:start w:val="2"/>
    </w:lvl>
  </w:abstractNum>
  <w:abstractNum w:abstractNumId="329">
    <w:nsid w:val="43F8E1AC"/>
    <w:multiLevelType w:val="hybridMultilevel"/>
    <w:lvl w:ilvl="0">
      <w:lvlJc w:val="left"/>
      <w:lvlText w:val="(%1)"/>
      <w:numFmt w:val="lowerRoman"/>
      <w:start w:val="1"/>
    </w:lvl>
    <w:lvl w:ilvl="1">
      <w:lvlJc w:val="left"/>
      <w:lvlText w:val="%2"/>
      <w:numFmt w:val="lowerLetter"/>
      <w:start w:val="1"/>
    </w:lvl>
  </w:abstractNum>
  <w:abstractNum w:abstractNumId="330">
    <w:nsid w:val="69215DFB"/>
    <w:multiLevelType w:val="hybridMultilevel"/>
    <w:lvl w:ilvl="0">
      <w:lvlJc w:val="left"/>
      <w:lvlText w:val="%1."/>
      <w:numFmt w:val="decimal"/>
      <w:start w:val="1"/>
    </w:lvl>
  </w:abstractNum>
  <w:abstractNum w:abstractNumId="331">
    <w:nsid w:val="7ABF196A"/>
    <w:multiLevelType w:val="hybridMultilevel"/>
    <w:lvl w:ilvl="0">
      <w:lvlJc w:val="left"/>
      <w:lvlText w:val="%1."/>
      <w:numFmt w:val="decimal"/>
      <w:start w:val="4"/>
    </w:lvl>
  </w:abstractNum>
  <w:abstractNum w:abstractNumId="332">
    <w:nsid w:val="5E4DB968"/>
    <w:multiLevelType w:val="hybridMultilevel"/>
    <w:lvl w:ilvl="0">
      <w:lvlJc w:val="left"/>
      <w:lvlText w:val="%1."/>
      <w:numFmt w:val="decimal"/>
      <w:start w:val="11"/>
    </w:lvl>
  </w:abstractNum>
  <w:abstractNum w:abstractNumId="333">
    <w:nsid w:val="2C06DCF3"/>
    <w:multiLevelType w:val="hybridMultilevel"/>
    <w:lvl w:ilvl="0">
      <w:lvlJc w:val="left"/>
      <w:lvlText w:val="(%1)"/>
      <w:numFmt w:val="lowerLetter"/>
      <w:start w:val="1"/>
    </w:lvl>
  </w:abstractNum>
  <w:abstractNum w:abstractNumId="334">
    <w:nsid w:val="2E129658"/>
    <w:multiLevelType w:val="hybridMultilevel"/>
    <w:lvl w:ilvl="0">
      <w:lvlJc w:val="left"/>
      <w:lvlText w:val="%1"/>
      <w:numFmt w:val="decimal"/>
      <w:start w:val="1"/>
    </w:lvl>
    <w:lvl w:ilvl="1">
      <w:lvlJc w:val="left"/>
      <w:lvlText w:val="(%2)"/>
      <w:numFmt w:val="lowerLetter"/>
      <w:start w:val="5"/>
    </w:lvl>
  </w:abstractNum>
  <w:abstractNum w:abstractNumId="335">
    <w:nsid w:val="59F0446"/>
    <w:multiLevelType w:val="hybridMultilevel"/>
    <w:lvl w:ilvl="0">
      <w:lvlJc w:val="left"/>
      <w:lvlText w:val="(%1)"/>
      <w:numFmt w:val="decimal"/>
      <w:start w:val="5"/>
    </w:lvl>
    <w:lvl w:ilvl="1">
      <w:lvlJc w:val="left"/>
      <w:lvlText w:val="(%2)"/>
      <w:numFmt w:val="lowerLetter"/>
      <w:start w:val="6"/>
    </w:lvl>
  </w:abstractNum>
  <w:abstractNum w:abstractNumId="336">
    <w:nsid w:val="30DF306"/>
    <w:multiLevelType w:val="hybridMultilevel"/>
    <w:lvl w:ilvl="0">
      <w:lvlJc w:val="left"/>
      <w:lvlText w:val="%1"/>
      <w:numFmt w:val="lowerLetter"/>
      <w:start w:val="1"/>
    </w:lvl>
    <w:lvl w:ilvl="1">
      <w:lvlJc w:val="left"/>
      <w:lvlText w:val="(%2)"/>
      <w:numFmt w:val="lowerLetter"/>
      <w:start w:val="9"/>
    </w:lvl>
  </w:abstractNum>
  <w:abstractNum w:abstractNumId="337">
    <w:nsid w:val="A65647"/>
    <w:multiLevelType w:val="hybridMultilevel"/>
    <w:lvl w:ilvl="0">
      <w:lvlJc w:val="left"/>
      <w:lvlText w:val="(%1)"/>
      <w:numFmt w:val="lowerLetter"/>
      <w:start w:val="35"/>
    </w:lvl>
    <w:lvl w:ilvl="1">
      <w:lvlJc w:val="left"/>
      <w:lvlText w:val="%2"/>
      <w:numFmt w:val="lowerLetter"/>
      <w:start w:val="1"/>
    </w:lvl>
  </w:abstractNum>
  <w:abstractNum w:abstractNumId="338">
    <w:nsid w:val="3E5E582B"/>
    <w:multiLevelType w:val="hybridMultilevel"/>
    <w:lvl w:ilvl="0">
      <w:lvlJc w:val="left"/>
      <w:lvlText w:val="(%1)"/>
      <w:numFmt w:val="lowerRoman"/>
      <w:start w:val="1"/>
    </w:lvl>
  </w:abstractNum>
  <w:abstractNum w:abstractNumId="339">
    <w:nsid w:val="257D4626"/>
    <w:multiLevelType w:val="hybridMultilevel"/>
    <w:lvl w:ilvl="0">
      <w:lvlJc w:val="left"/>
      <w:lvlText w:val="(%1)"/>
      <w:numFmt w:val="lowerRoman"/>
      <w:start w:val="2"/>
    </w:lvl>
  </w:abstractNum>
  <w:abstractNum w:abstractNumId="340">
    <w:nsid w:val="5AA8580E"/>
    <w:multiLevelType w:val="hybridMultilevel"/>
    <w:lvl w:ilvl="0">
      <w:lvlJc w:val="left"/>
      <w:lvlText w:val="(%1)"/>
      <w:numFmt w:val="lowerLetter"/>
      <w:start w:val="1"/>
    </w:lvl>
  </w:abstractNum>
  <w:abstractNum w:abstractNumId="341">
    <w:nsid w:val="68FA8D0D"/>
    <w:multiLevelType w:val="hybridMultilevel"/>
    <w:lvl w:ilvl="0">
      <w:lvlJc w:val="left"/>
      <w:lvlText w:val="(%1)"/>
      <w:numFmt w:val="lowerLetter"/>
      <w:start w:val="1"/>
    </w:lvl>
    <w:lvl w:ilvl="1">
      <w:lvlJc w:val="left"/>
      <w:lvlText w:val="(%2)"/>
      <w:numFmt w:val="lowerLetter"/>
      <w:start w:val="9"/>
    </w:lvl>
  </w:abstractNum>
  <w:abstractNum w:abstractNumId="342">
    <w:nsid w:val="40F2CBD2"/>
    <w:multiLevelType w:val="hybridMultilevel"/>
    <w:lvl w:ilvl="0">
      <w:lvlJc w:val="left"/>
      <w:lvlText w:val="(%1)"/>
      <w:numFmt w:val="lowerRoman"/>
      <w:start w:val="2"/>
    </w:lvl>
  </w:abstractNum>
  <w:abstractNum w:abstractNumId="343">
    <w:nsid w:val="3BD615EB"/>
    <w:multiLevelType w:val="hybridMultilevel"/>
    <w:lvl w:ilvl="0">
      <w:lvlJc w:val="left"/>
      <w:lvlText w:val="(%1)"/>
      <w:numFmt w:val="lowerRoman"/>
      <w:start w:val="3"/>
    </w:lvl>
  </w:abstractNum>
  <w:abstractNum w:abstractNumId="344">
    <w:nsid w:val="A045AB2"/>
    <w:multiLevelType w:val="hybridMultilevel"/>
    <w:lvl w:ilvl="0">
      <w:lvlJc w:val="left"/>
      <w:lvlText w:val="(%1)"/>
      <w:numFmt w:val="lowerLetter"/>
      <w:start w:val="2"/>
    </w:lvl>
  </w:abstractNum>
  <w:abstractNum w:abstractNumId="345">
    <w:nsid w:val="1872261F"/>
    <w:multiLevelType w:val="hybridMultilevel"/>
    <w:lvl w:ilvl="0">
      <w:lvlJc w:val="left"/>
      <w:lvlText w:val="(%1)"/>
      <w:numFmt w:val="lowerLetter"/>
      <w:start w:val="3"/>
    </w:lvl>
  </w:abstractNum>
  <w:abstractNum w:abstractNumId="346">
    <w:nsid w:val="3DE8306C"/>
    <w:multiLevelType w:val="hybridMultilevel"/>
    <w:lvl w:ilvl="0">
      <w:lvlJc w:val="left"/>
      <w:lvlText w:val="(%1)"/>
      <w:numFmt w:val="lowerRoman"/>
      <w:start w:val="1"/>
    </w:lvl>
  </w:abstractNum>
  <w:abstractNum w:abstractNumId="347">
    <w:nsid w:val="7631573A"/>
    <w:multiLevelType w:val="hybridMultilevel"/>
    <w:lvl w:ilvl="0">
      <w:lvlJc w:val="left"/>
      <w:lvlText w:val="(%1)"/>
      <w:numFmt w:val="lowerLetter"/>
      <w:start w:val="1"/>
    </w:lvl>
  </w:abstractNum>
  <w:abstractNum w:abstractNumId="348">
    <w:nsid w:val="58DF53B"/>
    <w:multiLevelType w:val="hybridMultilevel"/>
    <w:lvl w:ilvl="0">
      <w:lvlJc w:val="left"/>
      <w:lvlText w:val="(%1)"/>
      <w:numFmt w:val="lowerRoman"/>
      <w:start w:val="1"/>
    </w:lvl>
  </w:abstractNum>
  <w:abstractNum w:abstractNumId="349">
    <w:nsid w:val="ACDFAC0"/>
    <w:multiLevelType w:val="hybridMultilevel"/>
    <w:lvl w:ilvl="0">
      <w:lvlJc w:val="left"/>
      <w:lvlText w:val="(%1)"/>
      <w:numFmt w:val="lowerLetter"/>
      <w:start w:val="3"/>
    </w:lvl>
  </w:abstractNum>
  <w:abstractNum w:abstractNumId="350">
    <w:nsid w:val="1F578454"/>
    <w:multiLevelType w:val="hybridMultilevel"/>
    <w:lvl w:ilvl="0">
      <w:lvlJc w:val="left"/>
      <w:lvlText w:val="(%1)"/>
      <w:numFmt w:val="lowerLetter"/>
      <w:start w:val="5"/>
    </w:lvl>
  </w:abstractNum>
  <w:abstractNum w:abstractNumId="351">
    <w:nsid w:val="5B0DAD2A"/>
    <w:multiLevelType w:val="hybridMultilevel"/>
    <w:lvl w:ilvl="0">
      <w:lvlJc w:val="left"/>
      <w:lvlText w:val="%1"/>
      <w:numFmt w:val="lowerLetter"/>
      <w:start w:val="1"/>
    </w:lvl>
    <w:lvl w:ilvl="1">
      <w:lvlJc w:val="left"/>
      <w:lvlText w:val="(%2)"/>
      <w:numFmt w:val="lowerLetter"/>
      <w:start w:val="1"/>
    </w:lvl>
  </w:abstractNum>
  <w:abstractNum w:abstractNumId="352">
    <w:nsid w:val="4E3D26AB"/>
    <w:multiLevelType w:val="hybridMultilevel"/>
    <w:lvl w:ilvl="0">
      <w:lvlJc w:val="left"/>
      <w:lvlText w:val="(%1)"/>
      <w:numFmt w:val="lowerLetter"/>
      <w:start w:val="61"/>
    </w:lvl>
    <w:lvl w:ilvl="1">
      <w:lvlJc w:val="left"/>
      <w:lvlText w:val="%2"/>
      <w:numFmt w:val="lowerLetter"/>
      <w:start w:val="1"/>
    </w:lvl>
  </w:abstractNum>
  <w:abstractNum w:abstractNumId="353">
    <w:nsid w:val="BE2C8BA"/>
    <w:multiLevelType w:val="hybridMultilevel"/>
    <w:lvl w:ilvl="0">
      <w:lvlJc w:val="left"/>
      <w:lvlText w:val="(%1)"/>
      <w:numFmt w:val="lowerRoman"/>
      <w:start w:val="1"/>
    </w:lvl>
  </w:abstractNum>
  <w:abstractNum w:abstractNumId="354">
    <w:nsid w:val="7B14914E"/>
    <w:multiLevelType w:val="hybridMultilevel"/>
    <w:lvl w:ilvl="0">
      <w:lvlJc w:val="left"/>
      <w:lvlText w:val="%1"/>
      <w:numFmt w:val="lowerLetter"/>
      <w:start w:val="1"/>
    </w:lvl>
    <w:lvl w:ilvl="1">
      <w:lvlJc w:val="left"/>
      <w:lvlText w:val="(%2)"/>
      <w:numFmt w:val="lowerLetter"/>
      <w:start w:val="2"/>
    </w:lvl>
  </w:abstractNum>
  <w:abstractNum w:abstractNumId="355">
    <w:nsid w:val="6F0939F8"/>
    <w:multiLevelType w:val="hybridMultilevel"/>
    <w:lvl w:ilvl="0">
      <w:lvlJc w:val="left"/>
      <w:lvlText w:val="(%1)"/>
      <w:numFmt w:val="lowerLetter"/>
      <w:start w:val="35"/>
    </w:lvl>
    <w:lvl w:ilvl="1">
      <w:lvlJc w:val="left"/>
      <w:lvlText w:val="%2"/>
      <w:numFmt w:val="lowerLetter"/>
      <w:start w:val="1"/>
    </w:lvl>
  </w:abstractNum>
  <w:abstractNum w:abstractNumId="356">
    <w:nsid w:val="154291F6"/>
    <w:multiLevelType w:val="hybridMultilevel"/>
    <w:lvl w:ilvl="0">
      <w:lvlJc w:val="left"/>
      <w:lvlText w:val="(%1)"/>
      <w:numFmt w:val="lowerLetter"/>
      <w:start w:val="3"/>
    </w:lvl>
  </w:abstractNum>
  <w:abstractNum w:abstractNumId="357">
    <w:nsid w:val="3CEBD7C7"/>
    <w:multiLevelType w:val="hybridMultilevel"/>
    <w:lvl w:ilvl="0">
      <w:lvlJc w:val="left"/>
      <w:lvlText w:val="(%1)"/>
      <w:numFmt w:val="lowerLetter"/>
      <w:start w:val="1"/>
    </w:lvl>
  </w:abstractNum>
  <w:abstractNum w:abstractNumId="358">
    <w:nsid w:val="60EE9C16"/>
    <w:multiLevelType w:val="hybridMultilevel"/>
    <w:lvl w:ilvl="0">
      <w:lvlJc w:val="left"/>
      <w:lvlText w:val="(%1)"/>
      <w:numFmt w:val="upperLetter"/>
      <w:start w:val="1"/>
    </w:lvl>
  </w:abstractNum>
  <w:abstractNum w:abstractNumId="359">
    <w:nsid w:val="6385489E"/>
    <w:multiLevelType w:val="hybridMultilevel"/>
    <w:lvl w:ilvl="0">
      <w:lvlJc w:val="left"/>
      <w:lvlText w:val="(%1)"/>
      <w:numFmt w:val="lowerRoman"/>
      <w:start w:val="2"/>
    </w:lvl>
  </w:abstractNum>
  <w:abstractNum w:abstractNumId="360">
    <w:nsid w:val="E4B973"/>
    <w:multiLevelType w:val="hybridMultilevel"/>
    <w:lvl w:ilvl="0">
      <w:lvlJc w:val="left"/>
      <w:lvlText w:val="(%1)"/>
      <w:numFmt w:val="upperLetter"/>
      <w:start w:val="1"/>
    </w:lvl>
  </w:abstractNum>
  <w:abstractNum w:abstractNumId="361">
    <w:nsid w:val="4A0FFA11"/>
    <w:multiLevelType w:val="hybridMultilevel"/>
    <w:lvl w:ilvl="0">
      <w:lvlJc w:val="left"/>
      <w:lvlText w:val="(%1)"/>
      <w:numFmt w:val="lowerRoman"/>
      <w:start w:val="3"/>
    </w:lvl>
  </w:abstractNum>
  <w:abstractNum w:abstractNumId="362">
    <w:nsid w:val="5E446208"/>
    <w:multiLevelType w:val="hybridMultilevel"/>
    <w:lvl w:ilvl="0">
      <w:lvlJc w:val="left"/>
      <w:lvlText w:val="(%1)"/>
      <w:numFmt w:val="lowerRoman"/>
      <w:start w:val="1"/>
    </w:lvl>
  </w:abstractNum>
  <w:abstractNum w:abstractNumId="363">
    <w:nsid w:val="5F3272DB"/>
    <w:multiLevelType w:val="hybridMultilevel"/>
    <w:lvl w:ilvl="0">
      <w:lvlJc w:val="left"/>
      <w:lvlText w:val="%1"/>
      <w:numFmt w:val="lowerLetter"/>
      <w:start w:val="1"/>
    </w:lvl>
    <w:lvl w:ilvl="1">
      <w:lvlJc w:val="left"/>
      <w:lvlText w:val="(%2)"/>
      <w:numFmt w:val="lowerLetter"/>
      <w:start w:val="3"/>
    </w:lvl>
  </w:abstractNum>
  <w:abstractNum w:abstractNumId="364">
    <w:nsid w:val="7616D704"/>
    <w:multiLevelType w:val="hybridMultilevel"/>
    <w:lvl w:ilvl="0">
      <w:lvlJc w:val="left"/>
      <w:lvlText w:val="(%1)"/>
      <w:numFmt w:val="lowerLetter"/>
      <w:start w:val="3"/>
    </w:lvl>
    <w:lvl w:ilvl="1">
      <w:lvlJc w:val="left"/>
      <w:lvlText w:val="%2"/>
      <w:numFmt w:val="lowerLetter"/>
      <w:start w:val="1"/>
    </w:lvl>
  </w:abstractNum>
  <w:abstractNum w:abstractNumId="365">
    <w:nsid w:val="C56F860"/>
    <w:multiLevelType w:val="hybridMultilevel"/>
    <w:lvl w:ilvl="0">
      <w:lvlJc w:val="left"/>
      <w:lvlText w:val="(%1)"/>
      <w:numFmt w:val="lowerLetter"/>
      <w:start w:val="4"/>
    </w:lvl>
    <w:lvl w:ilvl="1">
      <w:lvlJc w:val="left"/>
      <w:lvlText w:val="(%2)"/>
      <w:numFmt w:val="lowerRoman"/>
      <w:start w:val="1"/>
    </w:lvl>
  </w:abstractNum>
  <w:abstractNum w:abstractNumId="366">
    <w:nsid w:val="64D17722"/>
    <w:multiLevelType w:val="hybridMultilevel"/>
    <w:lvl w:ilvl="0">
      <w:lvlJc w:val="left"/>
      <w:lvlText w:val="(%1)"/>
      <w:numFmt w:val="lowerLetter"/>
      <w:start w:val="1"/>
    </w:lvl>
    <w:lvl w:ilvl="1">
      <w:lvlJc w:val="left"/>
      <w:lvlText w:val="(%2)"/>
      <w:numFmt w:val="lowerLetter"/>
      <w:start w:val="3"/>
    </w:lvl>
  </w:abstractNum>
  <w:abstractNum w:abstractNumId="367">
    <w:nsid w:val="7924CA0A"/>
    <w:multiLevelType w:val="hybridMultilevel"/>
    <w:lvl w:ilvl="0">
      <w:lvlJc w:val="left"/>
      <w:lvlText w:val="(%1)"/>
      <w:numFmt w:val="lowerLetter"/>
      <w:start w:val="2"/>
    </w:lvl>
  </w:abstractNum>
  <w:abstractNum w:abstractNumId="368">
    <w:nsid w:val="CFD4EA7"/>
    <w:multiLevelType w:val="hybridMultilevel"/>
    <w:lvl w:ilvl="0">
      <w:lvlJc w:val="left"/>
      <w:lvlText w:val="(%1)"/>
      <w:numFmt w:val="lowerLetter"/>
      <w:start w:val="6"/>
    </w:lvl>
  </w:abstractNum>
  <w:abstractNum w:abstractNumId="369">
    <w:nsid w:val="232FCF4D"/>
    <w:multiLevelType w:val="hybridMultilevel"/>
    <w:lvl w:ilvl="0">
      <w:lvlJc w:val="left"/>
      <w:lvlText w:val="(%1)"/>
      <w:numFmt w:val="lowerLetter"/>
      <w:start w:val="26"/>
    </w:lvl>
  </w:abstractNum>
  <w:abstractNum w:abstractNumId="370">
    <w:nsid w:val="1EA21031"/>
    <w:multiLevelType w:val="hybridMultilevel"/>
    <w:lvl w:ilvl="0">
      <w:lvlJc w:val="left"/>
      <w:lvlText w:val="(%1)"/>
      <w:numFmt w:val="upperLetter"/>
      <w:start w:val="3"/>
    </w:lvl>
  </w:abstractNum>
  <w:abstractNum w:abstractNumId="371">
    <w:nsid w:val="67A5A6B5"/>
    <w:multiLevelType w:val="hybridMultilevel"/>
    <w:lvl w:ilvl="0">
      <w:lvlJc w:val="left"/>
      <w:lvlText w:val="%1"/>
      <w:numFmt w:val="lowerLetter"/>
      <w:start w:val="1"/>
    </w:lvl>
    <w:lvl w:ilvl="1">
      <w:lvlJc w:val="left"/>
      <w:lvlText w:val="(%2)"/>
      <w:numFmt w:val="lowerLetter"/>
      <w:start w:val="1"/>
    </w:lvl>
  </w:abstractNum>
  <w:abstractNum w:abstractNumId="372">
    <w:nsid w:val="C2A5C5B"/>
    <w:multiLevelType w:val="hybridMultilevel"/>
    <w:lvl w:ilvl="0">
      <w:lvlJc w:val="left"/>
      <w:lvlText w:val="(%1)"/>
      <w:numFmt w:val="lowerLetter"/>
      <w:start w:val="61"/>
    </w:lvl>
    <w:lvl w:ilvl="1">
      <w:lvlJc w:val="left"/>
      <w:lvlText w:val="%2"/>
      <w:numFmt w:val="lowerLetter"/>
      <w:start w:val="1"/>
    </w:lvl>
  </w:abstractNum>
  <w:abstractNum w:abstractNumId="373">
    <w:nsid w:val="5F94DC03"/>
    <w:multiLevelType w:val="hybridMultilevel"/>
    <w:lvl w:ilvl="0">
      <w:lvlJc w:val="left"/>
      <w:lvlText w:val="(%1)"/>
      <w:numFmt w:val="lowerLetter"/>
      <w:start w:val="2"/>
    </w:lvl>
    <w:lvl w:ilvl="1">
      <w:lvlJc w:val="left"/>
      <w:lvlText w:val="(%2)"/>
      <w:numFmt w:val="lowerRoman"/>
      <w:start w:val="1"/>
    </w:lvl>
  </w:abstractNum>
  <w:abstractNum w:abstractNumId="374">
    <w:nsid w:val="237BBCA0"/>
    <w:multiLevelType w:val="hybridMultilevel"/>
    <w:lvl w:ilvl="0">
      <w:lvlJc w:val="left"/>
      <w:lvlText w:val="(%1)"/>
      <w:numFmt w:val="lowerLetter"/>
      <w:start w:val="2"/>
    </w:lvl>
  </w:abstractNum>
  <w:abstractNum w:abstractNumId="375">
    <w:nsid w:val="162EB70D"/>
    <w:multiLevelType w:val="hybridMultilevel"/>
    <w:lvl w:ilvl="0">
      <w:lvlJc w:val="left"/>
      <w:lvlText w:val="(%1)"/>
      <w:numFmt w:val="lowerLetter"/>
      <w:start w:val="1"/>
    </w:lvl>
  </w:abstractNum>
  <w:abstractNum w:abstractNumId="376">
    <w:nsid w:val="78070222"/>
    <w:multiLevelType w:val="hybridMultilevel"/>
    <w:lvl w:ilvl="0">
      <w:lvlJc w:val="left"/>
      <w:lvlText w:val="(%1)"/>
      <w:numFmt w:val="lowerLetter"/>
      <w:start w:val="1"/>
    </w:lvl>
  </w:abstractNum>
  <w:abstractNum w:abstractNumId="377">
    <w:nsid w:val="6163ED0D"/>
    <w:multiLevelType w:val="hybridMultilevel"/>
    <w:lvl w:ilvl="0">
      <w:lvlJc w:val="left"/>
      <w:lvlText w:val="%1."/>
      <w:numFmt w:val="decimal"/>
      <w:start w:val="1"/>
    </w:lvl>
  </w:abstractNum>
  <w:abstractNum w:abstractNumId="378">
    <w:nsid w:val="C600E47"/>
    <w:multiLevelType w:val="hybridMultilevel"/>
    <w:lvl w:ilvl="0">
      <w:lvlJc w:val="left"/>
      <w:lvlText w:val="1"/>
      <w:numFmt w:val="bullet"/>
      <w:start w:val="1"/>
    </w:lvl>
  </w:abstractNum>
  <w:abstractNum w:abstractNumId="379">
    <w:nsid w:val="7D94F75D"/>
    <w:multiLevelType w:val="hybridMultilevel"/>
    <w:lvl w:ilvl="0">
      <w:lvlJc w:val="left"/>
      <w:lvlText w:val="2"/>
      <w:numFmt w:val="bullet"/>
      <w:start w:val="1"/>
    </w:lvl>
  </w:abstractNum>
  <w:abstractNum w:abstractNumId="380">
    <w:nsid w:val="6C31E7CD"/>
    <w:multiLevelType w:val="hybridMultilevel"/>
    <w:lvl w:ilvl="0">
      <w:lvlJc w:val="left"/>
      <w:lvlText w:val="3"/>
      <w:numFmt w:val="bullet"/>
      <w:start w:val="1"/>
    </w:lvl>
  </w:abstractNum>
  <w:abstractNum w:abstractNumId="381">
    <w:nsid w:val="2BB7929B"/>
    <w:multiLevelType w:val="hybridMultilevel"/>
    <w:lvl w:ilvl="0">
      <w:lvlJc w:val="left"/>
      <w:lvlText w:val="%1."/>
      <w:numFmt w:val="decimal"/>
      <w:start w:val="1"/>
    </w:lvl>
  </w:abstractNum>
  <w:abstractNum w:abstractNumId="382">
    <w:nsid w:val="58A2A487"/>
    <w:multiLevelType w:val="hybridMultilevel"/>
    <w:lvl w:ilvl="0">
      <w:lvlJc w:val="left"/>
      <w:lvlText w:val="(%1)"/>
      <w:numFmt w:val="lowerRoman"/>
      <w:start w:val="2"/>
    </w:lvl>
  </w:abstractNum>
  <w:abstractNum w:abstractNumId="383">
    <w:nsid w:val="3A6F0E78"/>
    <w:multiLevelType w:val="hybridMultilevel"/>
    <w:lvl w:ilvl="0">
      <w:lvlJc w:val="left"/>
      <w:lvlText w:val="(%1)"/>
      <w:numFmt w:val="lowerRoman"/>
      <w:start w:val="4"/>
    </w:lvl>
    <w:lvl w:ilvl="1">
      <w:lvlJc w:val="left"/>
      <w:lvlText w:val="%2."/>
      <w:numFmt w:val="decimal"/>
      <w:start w:val="2"/>
    </w:lvl>
  </w:abstractNum>
  <w:abstractNum w:abstractNumId="384">
    <w:nsid w:val="379A5B56"/>
    <w:multiLevelType w:val="hybridMultilevel"/>
    <w:lvl w:ilvl="0">
      <w:lvlJc w:val="left"/>
      <w:lvlText w:val="%1"/>
      <w:numFmt w:val="decimal"/>
      <w:start w:val="1"/>
    </w:lvl>
    <w:lvl w:ilvl="1">
      <w:lvlJc w:val="left"/>
      <w:lvlText w:val="%2."/>
      <w:numFmt w:val="decimal"/>
      <w:start w:val="1"/>
    </w:lvl>
  </w:abstractNum>
  <w:abstractNum w:abstractNumId="385">
    <w:nsid w:val="53B735D5"/>
    <w:multiLevelType w:val="hybridMultilevel"/>
    <w:lvl w:ilvl="0">
      <w:lvlJc w:val="left"/>
      <w:lvlText w:val="(%1)"/>
      <w:numFmt w:val="decimal"/>
      <w:start w:val="5"/>
    </w:lvl>
    <w:lvl w:ilvl="1">
      <w:lvlJc w:val="left"/>
      <w:lvlText w:val="%2"/>
      <w:numFmt w:val="decimal"/>
      <w:start w:val="1"/>
    </w:lvl>
  </w:abstractNum>
  <w:abstractNum w:abstractNumId="386">
    <w:nsid w:val="29784870"/>
    <w:multiLevelType w:val="hybridMultilevel"/>
    <w:lvl w:ilvl="0">
      <w:lvlJc w:val="left"/>
      <w:lvlText w:val="%1."/>
      <w:numFmt w:val="decimal"/>
      <w:start w:val="1"/>
    </w:lvl>
  </w:abstractNum>
  <w:abstractNum w:abstractNumId="387">
    <w:nsid w:val="4CDCED4C"/>
    <w:multiLevelType w:val="hybridMultilevel"/>
    <w:lvl w:ilvl="0">
      <w:lvlJc w:val="left"/>
      <w:lvlText w:val="%1."/>
      <w:numFmt w:val="decimal"/>
      <w:start w:val="2"/>
    </w:lvl>
  </w:abstractNum>
  <w:abstractNum w:abstractNumId="388">
    <w:nsid w:val="10A30D9C"/>
    <w:multiLevelType w:val="hybridMultilevel"/>
    <w:lvl w:ilvl="0">
      <w:lvlJc w:val="left"/>
      <w:lvlText w:val="%1."/>
      <w:numFmt w:val="decimal"/>
      <w:start w:val="5"/>
    </w:lvl>
  </w:abstractNum>
  <w:abstractNum w:abstractNumId="389">
    <w:nsid w:val="A66E486"/>
    <w:multiLevelType w:val="hybridMultilevel"/>
    <w:lvl w:ilvl="0">
      <w:lvlJc w:val="left"/>
      <w:lvlText w:val="%1."/>
      <w:numFmt w:val="decimal"/>
      <w:start w:val="6"/>
    </w:lvl>
  </w:abstractNum>
  <w:abstractNum w:abstractNumId="390">
    <w:nsid w:val="306235EA"/>
    <w:multiLevelType w:val="hybridMultilevel"/>
    <w:lvl w:ilvl="0">
      <w:lvlJc w:val="left"/>
      <w:lvlText w:val="%1."/>
      <w:numFmt w:val="decimal"/>
      <w:start w:val="7"/>
    </w:lvl>
    <w:lvl w:ilvl="1">
      <w:lvlJc w:val="left"/>
      <w:lvlText w:val="%2."/>
      <w:numFmt w:val="upperLetter"/>
      <w:start w:val="3"/>
    </w:lvl>
  </w:abstractNum>
  <w:abstractNum w:abstractNumId="391">
    <w:nsid w:val="1187C70F"/>
    <w:multiLevelType w:val="hybridMultilevel"/>
    <w:lvl w:ilvl="0">
      <w:lvlJc w:val="left"/>
      <w:lvlText w:val="%1."/>
      <w:numFmt w:val="decimal"/>
      <w:start w:val="10"/>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392">
    <w:nsid w:val="5476DE98"/>
    <w:multiLevelType w:val="hybridMultilevel"/>
    <w:lvl w:ilvl="0">
      <w:lvlJc w:val="left"/>
      <w:lvlText w:val="%1"/>
      <w:numFmt w:val="decimal"/>
      <w:start w:val="1"/>
    </w:lvl>
    <w:lvl w:ilvl="1">
      <w:lvlJc w:val="left"/>
      <w:lvlText w:val="(%2)"/>
      <w:numFmt w:val="lowerRoman"/>
      <w:start w:val="3"/>
    </w:lvl>
  </w:abstractNum>
  <w:abstractNum w:abstractNumId="393">
    <w:nsid w:val="EA697F2"/>
    <w:multiLevelType w:val="hybridMultilevel"/>
    <w:lvl w:ilvl="0">
      <w:lvlJc w:val="left"/>
      <w:lvlText w:val="%1."/>
      <w:numFmt w:val="decimal"/>
      <w:start w:val="15"/>
    </w:lvl>
    <w:lvl w:ilvl="1">
      <w:lvlJc w:val="left"/>
      <w:lvlText w:val="%2"/>
      <w:numFmt w:val="lowerRoman"/>
      <w:start w:val="1"/>
    </w:lvl>
  </w:abstractNum>
  <w:abstractNum w:abstractNumId="394">
    <w:nsid w:val="70BA39EB"/>
    <w:multiLevelType w:val="hybridMultilevel"/>
    <w:lvl w:ilvl="0">
      <w:lvlJc w:val="left"/>
      <w:lvlText w:val="%1."/>
      <w:numFmt w:val="decimal"/>
      <w:start w:val="1"/>
    </w:lvl>
  </w:abstractNum>
  <w:abstractNum w:abstractNumId="395">
    <w:nsid w:val="4A8DB59C"/>
    <w:multiLevelType w:val="hybridMultilevel"/>
    <w:lvl w:ilvl="0">
      <w:lvlJc w:val="left"/>
      <w:lvlText w:val="%1."/>
      <w:numFmt w:val="decimal"/>
      <w:start w:val="4"/>
    </w:lvl>
  </w:abstractNum>
  <w:abstractNum w:abstractNumId="396">
    <w:nsid w:val="1AFD9053"/>
    <w:multiLevelType w:val="hybridMultilevel"/>
    <w:lvl w:ilvl="0">
      <w:lvlJc w:val="left"/>
      <w:lvlText w:val="(%1)"/>
      <w:numFmt w:val="lowerRoman"/>
      <w:start w:val="2"/>
    </w:lvl>
  </w:abstractNum>
  <w:abstractNum w:abstractNumId="397">
    <w:nsid w:val="558BB10D"/>
    <w:multiLevelType w:val="hybridMultilevel"/>
    <w:lvl w:ilvl="0">
      <w:lvlJc w:val="left"/>
      <w:lvlText w:val="(%1)"/>
      <w:numFmt w:val="decimal"/>
      <w:start w:val="1"/>
    </w:lvl>
  </w:abstractNum>
  <w:abstractNum w:abstractNumId="398">
    <w:nsid w:val="43B27FA7"/>
    <w:multiLevelType w:val="hybridMultilevel"/>
    <w:lvl w:ilvl="0">
      <w:lvlJc w:val="left"/>
      <w:lvlText w:val="%1."/>
      <w:numFmt w:val="decimal"/>
      <w:start w:val="1"/>
    </w:lvl>
  </w:abstractNum>
  <w:abstractNum w:abstractNumId="399">
    <w:nsid w:val="27FADEFA"/>
    <w:multiLevelType w:val="hybridMultilevel"/>
    <w:lvl w:ilvl="0">
      <w:lvlJc w:val="left"/>
      <w:lvlText w:val="1"/>
      <w:numFmt w:val="bullet"/>
      <w:start w:val="1"/>
    </w:lvl>
  </w:abstractNum>
  <w:abstractNum w:abstractNumId="400">
    <w:nsid w:val="78BB805A"/>
    <w:multiLevelType w:val="hybridMultilevel"/>
    <w:lvl w:ilvl="0">
      <w:lvlJc w:val="left"/>
      <w:lvlText w:val="1"/>
      <w:numFmt w:val="bullet"/>
      <w:start w:val="1"/>
    </w:lvl>
  </w:abstractNum>
  <w:abstractNum w:abstractNumId="401">
    <w:nsid w:val="62548FD8"/>
    <w:multiLevelType w:val="hybridMultilevel"/>
    <w:lvl w:ilvl="0">
      <w:lvlJc w:val="left"/>
      <w:lvlText w:val="%1."/>
      <w:numFmt w:val="decimal"/>
      <w:start w:val="1"/>
    </w:lvl>
  </w:abstractNum>
  <w:abstractNum w:abstractNumId="402">
    <w:nsid w:val="FA085B0"/>
    <w:multiLevelType w:val="hybridMultilevel"/>
    <w:lvl w:ilvl="0">
      <w:lvlJc w:val="left"/>
      <w:lvlText w:val="(%1)"/>
      <w:numFmt w:val="decimal"/>
      <w:start w:val="1"/>
    </w:lvl>
  </w:abstractNum>
  <w:abstractNum w:abstractNumId="403">
    <w:nsid w:val="4E5DCB5"/>
    <w:multiLevelType w:val="hybridMultilevel"/>
    <w:lvl w:ilvl="0">
      <w:lvlJc w:val="left"/>
      <w:lvlText w:val="(%1)"/>
      <w:numFmt w:val="decimal"/>
      <w:start w:val="7"/>
    </w:lvl>
  </w:abstractNum>
  <w:abstractNum w:abstractNumId="404">
    <w:nsid w:val="41E96BDB"/>
    <w:multiLevelType w:val="hybridMultilevel"/>
    <w:lvl w:ilvl="0">
      <w:lvlJc w:val="left"/>
      <w:lvlText w:val="(%1)"/>
      <w:numFmt w:val="lowerLetter"/>
      <w:start w:val="2"/>
    </w:lvl>
  </w:abstractNum>
  <w:abstractNum w:abstractNumId="405">
    <w:nsid w:val="331C4250"/>
    <w:multiLevelType w:val="hybridMultilevel"/>
    <w:lvl w:ilvl="0">
      <w:lvlJc w:val="left"/>
      <w:lvlText w:val="(%1)"/>
      <w:numFmt w:val="lowerRoman"/>
      <w:start w:val="2"/>
    </w:lvl>
  </w:abstractNum>
  <w:abstractNum w:abstractNumId="406">
    <w:nsid w:val="1B1493C2"/>
    <w:multiLevelType w:val="hybridMultilevel"/>
    <w:lvl w:ilvl="0">
      <w:lvlJc w:val="left"/>
      <w:lvlText w:val="(%1)"/>
      <w:numFmt w:val="lowerLetter"/>
      <w:start w:val="3"/>
    </w:lvl>
  </w:abstractNum>
  <w:abstractNum w:abstractNumId="407">
    <w:nsid w:val="39F06DFD"/>
    <w:multiLevelType w:val="hybridMultilevel"/>
    <w:lvl w:ilvl="0">
      <w:lvlJc w:val="left"/>
      <w:lvlText w:val="(%1)"/>
      <w:numFmt w:val="lowerLetter"/>
      <w:start w:val="1"/>
    </w:lvl>
  </w:abstractNum>
  <w:abstractNum w:abstractNumId="408">
    <w:nsid w:val="14802F5D"/>
    <w:multiLevelType w:val="hybridMultilevel"/>
    <w:lvl w:ilvl="0">
      <w:lvlJc w:val="left"/>
      <w:lvlText w:val="(%1)"/>
      <w:numFmt w:val="lowerLetter"/>
      <w:start w:val="1"/>
    </w:lvl>
  </w:abstractNum>
  <w:abstractNum w:abstractNumId="409">
    <w:nsid w:val="2774A209"/>
    <w:multiLevelType w:val="hybridMultilevel"/>
    <w:lvl w:ilvl="0">
      <w:lvlJc w:val="left"/>
      <w:lvlText w:val="(%1)"/>
      <w:numFmt w:val="lowerLetter"/>
      <w:start w:val="2"/>
    </w:lvl>
  </w:abstractNum>
  <w:abstractNum w:abstractNumId="410">
    <w:nsid w:val="3785655A"/>
    <w:multiLevelType w:val="hybridMultilevel"/>
    <w:lvl w:ilvl="0">
      <w:lvlJc w:val="left"/>
      <w:lvlText w:val="(%1)"/>
      <w:numFmt w:val="lowerLetter"/>
      <w:start w:val="2"/>
    </w:lvl>
  </w:abstractNum>
  <w:abstractNum w:abstractNumId="411">
    <w:nsid w:val="B2172A"/>
    <w:multiLevelType w:val="hybridMultilevel"/>
    <w:lvl w:ilvl="0">
      <w:lvlJc w:val="left"/>
      <w:lvlText w:val="(%1)"/>
      <w:numFmt w:val="lowerRoman"/>
      <w:start w:val="1"/>
    </w:lvl>
  </w:abstractNum>
  <w:abstractNum w:abstractNumId="412">
    <w:nsid w:val="532C34A5"/>
    <w:multiLevelType w:val="hybridMultilevel"/>
    <w:lvl w:ilvl="0">
      <w:lvlJc w:val="left"/>
      <w:lvlText w:val="(%1)"/>
      <w:numFmt w:val="lowerRoman"/>
      <w:start w:val="4"/>
    </w:lvl>
  </w:abstractNum>
  <w:abstractNum w:abstractNumId="413">
    <w:nsid w:val="102809E2"/>
    <w:multiLevelType w:val="hybridMultilevel"/>
    <w:lvl w:ilvl="0">
      <w:lvlJc w:val="left"/>
      <w:lvlText w:val="(%1)"/>
      <w:numFmt w:val="lowerLetter"/>
      <w:start w:val="2"/>
    </w:lvl>
  </w:abstractNum>
  <w:abstractNum w:abstractNumId="414">
    <w:nsid w:val="3B2125A3"/>
    <w:multiLevelType w:val="hybridMultilevel"/>
    <w:lvl w:ilvl="0">
      <w:lvlJc w:val="left"/>
      <w:lvlText w:val="(%1)"/>
      <w:numFmt w:val="lowerLetter"/>
      <w:start w:val="2"/>
    </w:lvl>
  </w:abstractNum>
  <w:abstractNum w:abstractNumId="415">
    <w:nsid w:val="AC68FFB"/>
    <w:multiLevelType w:val="hybridMultilevel"/>
    <w:lvl w:ilvl="0">
      <w:lvlJc w:val="left"/>
      <w:lvlText w:val="(%1)"/>
      <w:numFmt w:val="lowerLetter"/>
      <w:start w:val="1"/>
    </w:lvl>
  </w:abstractNum>
  <w:abstractNum w:abstractNumId="416">
    <w:nsid w:val="63DF3FB7"/>
    <w:multiLevelType w:val="hybridMultilevel"/>
    <w:lvl w:ilvl="0">
      <w:lvlJc w:val="left"/>
      <w:lvlText w:val="(%1)"/>
      <w:numFmt w:val="lowerLetter"/>
      <w:start w:val="2"/>
    </w:lvl>
  </w:abstractNum>
  <w:abstractNum w:abstractNumId="417">
    <w:nsid w:val="64996E13"/>
    <w:multiLevelType w:val="hybridMultilevel"/>
    <w:lvl w:ilvl="0">
      <w:lvlJc w:val="left"/>
      <w:lvlText w:val="(%1)"/>
      <w:numFmt w:val="lowerRoman"/>
      <w:start w:val="2"/>
    </w:lvl>
  </w:abstractNum>
  <w:abstractNum w:abstractNumId="418">
    <w:nsid w:val="57A37D47"/>
    <w:multiLevelType w:val="hybridMultilevel"/>
    <w:lvl w:ilvl="0">
      <w:lvlJc w:val="left"/>
      <w:lvlText w:val="%1"/>
      <w:numFmt w:val="lowerLetter"/>
      <w:start w:val="1"/>
    </w:lvl>
    <w:lvl w:ilvl="1">
      <w:lvlJc w:val="left"/>
      <w:lvlText w:val="(%2)"/>
      <w:numFmt w:val="lowerLetter"/>
      <w:start w:val="61"/>
    </w:lvl>
  </w:abstractNum>
  <w:abstractNum w:abstractNumId="419">
    <w:nsid w:val="74824D54"/>
    <w:multiLevelType w:val="hybridMultilevel"/>
    <w:lvl w:ilvl="0">
      <w:lvlJc w:val="left"/>
      <w:lvlText w:val="(%1)"/>
      <w:numFmt w:val="lowerLetter"/>
      <w:start w:val="2"/>
    </w:lvl>
    <w:lvl w:ilvl="1">
      <w:lvlJc w:val="left"/>
      <w:lvlText w:val="(%2)"/>
      <w:numFmt w:val="lowerLetter"/>
      <w:start w:val="35"/>
    </w:lvl>
  </w:abstractNum>
  <w:abstractNum w:abstractNumId="420">
    <w:nsid w:val="6F00529A"/>
    <w:multiLevelType w:val="hybridMultilevel"/>
    <w:lvl w:ilvl="0">
      <w:lvlJc w:val="left"/>
      <w:lvlText w:val="(%1)"/>
      <w:numFmt w:val="lowerRoman"/>
      <w:start w:val="3"/>
    </w:lvl>
  </w:abstractNum>
  <w:abstractNum w:abstractNumId="421">
    <w:nsid w:val="805B331"/>
    <w:multiLevelType w:val="hybridMultilevel"/>
    <w:lvl w:ilvl="0">
      <w:lvlJc w:val="left"/>
      <w:lvlText w:val="(%1)"/>
      <w:numFmt w:val="lowerLetter"/>
      <w:start w:val="2"/>
    </w:lvl>
  </w:abstractNum>
  <w:abstractNum w:abstractNumId="422">
    <w:nsid w:val="60A1463"/>
    <w:multiLevelType w:val="hybridMultilevel"/>
    <w:lvl w:ilvl="0">
      <w:lvlJc w:val="left"/>
      <w:lvlText w:val="(%1)"/>
      <w:numFmt w:val="lowerLetter"/>
      <w:start w:val="2"/>
    </w:lvl>
  </w:abstractNum>
  <w:abstractNum w:abstractNumId="423">
    <w:nsid w:val="43773132"/>
    <w:multiLevelType w:val="hybridMultilevel"/>
    <w:lvl w:ilvl="0">
      <w:lvlJc w:val="left"/>
      <w:lvlText w:val="(%1)"/>
      <w:numFmt w:val="lowerLetter"/>
      <w:start w:val="3"/>
    </w:lvl>
  </w:abstractNum>
  <w:abstractNum w:abstractNumId="424">
    <w:nsid w:val="16AC4B23"/>
    <w:multiLevelType w:val="hybridMultilevel"/>
    <w:lvl w:ilvl="0">
      <w:lvlJc w:val="left"/>
      <w:lvlText w:val="(%1)"/>
      <w:numFmt w:val="lowerLetter"/>
      <w:start w:val="2"/>
    </w:lvl>
  </w:abstractNum>
  <w:abstractNum w:abstractNumId="425">
    <w:nsid w:val="76C44E4E"/>
    <w:multiLevelType w:val="hybridMultilevel"/>
    <w:lvl w:ilvl="0">
      <w:lvlJc w:val="left"/>
      <w:lvlText w:val="(%1)"/>
      <w:numFmt w:val="lowerLetter"/>
      <w:start w:val="1"/>
    </w:lvl>
  </w:abstractNum>
  <w:abstractNum w:abstractNumId="426">
    <w:nsid w:val="E04E6CE"/>
    <w:multiLevelType w:val="hybridMultilevel"/>
    <w:lvl w:ilvl="0">
      <w:lvlJc w:val="left"/>
      <w:lvlText w:val="(%1)"/>
      <w:numFmt w:val="lowerLetter"/>
      <w:start w:val="2"/>
    </w:lvl>
  </w:abstractNum>
  <w:abstractNum w:abstractNumId="427">
    <w:nsid w:val="31A9DB76"/>
    <w:multiLevelType w:val="hybridMultilevel"/>
    <w:lvl w:ilvl="0">
      <w:lvlJc w:val="left"/>
      <w:lvlText w:val="(%1)"/>
      <w:numFmt w:val="lowerLetter"/>
      <w:start w:val="2"/>
    </w:lvl>
  </w:abstractNum>
  <w:abstractNum w:abstractNumId="428">
    <w:nsid w:val="4C4FFF5B"/>
    <w:multiLevelType w:val="hybridMultilevel"/>
    <w:lvl w:ilvl="0">
      <w:lvlJc w:val="left"/>
      <w:lvlText w:val="(%1)"/>
      <w:numFmt w:val="lowerLetter"/>
      <w:start w:val="1"/>
    </w:lvl>
  </w:abstractNum>
  <w:abstractNum w:abstractNumId="429">
    <w:nsid w:val="51B76675"/>
    <w:multiLevelType w:val="hybridMultilevel"/>
    <w:lvl w:ilvl="0">
      <w:lvlJc w:val="left"/>
      <w:lvlText w:val="(%1)"/>
      <w:numFmt w:val="lowerLetter"/>
      <w:start w:val="3"/>
    </w:lvl>
  </w:abstractNum>
  <w:abstractNum w:abstractNumId="430">
    <w:nsid w:val="59A4BA71"/>
    <w:multiLevelType w:val="hybridMultilevel"/>
    <w:lvl w:ilvl="0">
      <w:lvlJc w:val="left"/>
      <w:lvlText w:val="(%1)"/>
      <w:numFmt w:val="lowerLetter"/>
      <w:start w:val="1"/>
    </w:lvl>
  </w:abstractNum>
  <w:abstractNum w:abstractNumId="431">
    <w:nsid w:val="450B7FB6"/>
    <w:multiLevelType w:val="hybridMultilevel"/>
    <w:lvl w:ilvl="0">
      <w:lvlJc w:val="left"/>
      <w:lvlText w:val="(%1)"/>
      <w:numFmt w:val="lowerLetter"/>
      <w:start w:val="2"/>
    </w:lvl>
  </w:abstractNum>
  <w:abstractNum w:abstractNumId="432">
    <w:nsid w:val="340BF64D"/>
    <w:multiLevelType w:val="hybridMultilevel"/>
    <w:lvl w:ilvl="0">
      <w:lvlJc w:val="left"/>
      <w:lvlText w:val="(%1)"/>
      <w:numFmt w:val="lowerLetter"/>
      <w:start w:val="2"/>
    </w:lvl>
  </w:abstractNum>
  <w:abstractNum w:abstractNumId="433">
    <w:nsid w:val="69454021"/>
    <w:multiLevelType w:val="hybridMultilevel"/>
    <w:lvl w:ilvl="0">
      <w:lvlJc w:val="left"/>
      <w:lvlText w:val="(%1)"/>
      <w:numFmt w:val="lowerLetter"/>
      <w:start w:val="4"/>
    </w:lvl>
  </w:abstractNum>
  <w:abstractNum w:abstractNumId="434">
    <w:nsid w:val="49F15C6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2019-12-05T12:36:52Z</dcterms:created>
  <dcterms:modified xsi:type="dcterms:W3CDTF">2019-12-05T12:36:52Z</dcterms:modified>
</cp:coreProperties>
</file>