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March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156210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85"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1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1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001-06403</w:t>
            </w:r>
          </w:p>
        </w:tc>
        <w:tc>
          <w:tcPr>
            <w:tcW w:w="1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42-0802678</w:t>
            </w:r>
          </w:p>
        </w:tc>
      </w:tr>
      <w:tr>
        <w:trPr>
          <w:trHeight w:val="174"/>
        </w:trPr>
        <w:tc>
          <w:tcPr>
            <w:tcW w:w="4080" w:type="dxa"/>
            <w:vAlign w:val="bottom"/>
            <w:gridSpan w:val="3"/>
          </w:tcPr>
          <w:p>
            <w:pPr>
              <w:jc w:val="center"/>
              <w:spacing w:after="0" w:line="174" w:lineRule="exact"/>
              <w:rPr>
                <w:sz w:val="20"/>
                <w:szCs w:val="20"/>
                <w:color w:val="auto"/>
              </w:rPr>
            </w:pPr>
            <w:r>
              <w:rPr>
                <w:rFonts w:ascii="Arial" w:cs="Arial" w:eastAsia="Arial" w:hAnsi="Arial"/>
                <w:sz w:val="16"/>
                <w:szCs w:val="16"/>
                <w:color w:val="auto"/>
              </w:rPr>
              <w:t>(State or Other Jurisdiction of Incorporation)</w:t>
            </w:r>
          </w:p>
        </w:tc>
        <w:tc>
          <w:tcPr>
            <w:tcW w:w="1860" w:type="dxa"/>
            <w:vAlign w:val="bottom"/>
            <w:gridSpan w:val="2"/>
          </w:tcPr>
          <w:p>
            <w:pPr>
              <w:jc w:val="center"/>
              <w:ind w:right="200"/>
              <w:spacing w:after="0" w:line="174" w:lineRule="exact"/>
              <w:rPr>
                <w:sz w:val="20"/>
                <w:szCs w:val="20"/>
                <w:color w:val="auto"/>
              </w:rPr>
            </w:pPr>
            <w:r>
              <w:rPr>
                <w:rFonts w:ascii="Arial" w:cs="Arial" w:eastAsia="Arial" w:hAnsi="Arial"/>
                <w:sz w:val="16"/>
                <w:szCs w:val="16"/>
                <w:color w:val="auto"/>
              </w:rPr>
              <w:t>(Commission File</w:t>
            </w:r>
          </w:p>
        </w:tc>
        <w:tc>
          <w:tcPr>
            <w:tcW w:w="3260" w:type="dxa"/>
            <w:vAlign w:val="bottom"/>
          </w:tcPr>
          <w:p>
            <w:pPr>
              <w:jc w:val="center"/>
              <w:ind w:right="99"/>
              <w:spacing w:after="0" w:line="174" w:lineRule="exact"/>
              <w:rPr>
                <w:sz w:val="20"/>
                <w:szCs w:val="20"/>
                <w:color w:val="auto"/>
              </w:rPr>
            </w:pPr>
            <w:r>
              <w:rPr>
                <w:rFonts w:ascii="Arial" w:cs="Arial" w:eastAsia="Arial" w:hAnsi="Arial"/>
                <w:sz w:val="16"/>
                <w:szCs w:val="16"/>
                <w:color w:val="auto"/>
              </w:rPr>
              <w:t>(IRS Employer Identification No.)</w:t>
            </w:r>
          </w:p>
        </w:tc>
      </w:tr>
      <w:tr>
        <w:trPr>
          <w:trHeight w:val="195"/>
        </w:trPr>
        <w:tc>
          <w:tcPr>
            <w:tcW w:w="1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Number)</w:t>
            </w:r>
          </w:p>
        </w:tc>
        <w:tc>
          <w:tcPr>
            <w:tcW w:w="3260" w:type="dxa"/>
            <w:vAlign w:val="bottom"/>
          </w:tcPr>
          <w:p>
            <w:pPr>
              <w:spacing w:after="0"/>
              <w:rPr>
                <w:sz w:val="16"/>
                <w:szCs w:val="16"/>
                <w:color w:val="auto"/>
              </w:rPr>
            </w:pPr>
          </w:p>
        </w:tc>
      </w:tr>
      <w:tr>
        <w:trPr>
          <w:trHeight w:val="556"/>
        </w:trPr>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P.O. Box 152</w:t>
            </w:r>
          </w:p>
        </w:tc>
        <w:tc>
          <w:tcPr>
            <w:tcW w:w="15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Forest City</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Iowa</w:t>
            </w:r>
          </w:p>
        </w:tc>
        <w:tc>
          <w:tcPr>
            <w:tcW w:w="1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419"/>
              <w:spacing w:after="0"/>
              <w:rPr>
                <w:sz w:val="20"/>
                <w:szCs w:val="20"/>
                <w:color w:val="auto"/>
              </w:rPr>
            </w:pPr>
            <w:r>
              <w:rPr>
                <w:rFonts w:ascii="Arial" w:cs="Arial" w:eastAsia="Arial" w:hAnsi="Arial"/>
                <w:sz w:val="16"/>
                <w:szCs w:val="16"/>
                <w:b w:val="1"/>
                <w:bCs w:val="1"/>
                <w:color w:val="auto"/>
              </w:rPr>
              <w:t>50436</w:t>
            </w:r>
          </w:p>
        </w:tc>
      </w:tr>
      <w:tr>
        <w:trPr>
          <w:trHeight w:val="233"/>
        </w:trPr>
        <w:tc>
          <w:tcPr>
            <w:tcW w:w="408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tcPr>
          <w:p>
            <w:pPr>
              <w:jc w:val="center"/>
              <w:ind w:right="99"/>
              <w:spacing w:after="0"/>
              <w:rPr>
                <w:sz w:val="20"/>
                <w:szCs w:val="20"/>
                <w:color w:val="auto"/>
              </w:rPr>
            </w:pPr>
            <w:r>
              <w:rPr>
                <w:rFonts w:ascii="Arial" w:cs="Arial" w:eastAsia="Arial" w:hAnsi="Arial"/>
                <w:sz w:val="16"/>
                <w:szCs w:val="16"/>
                <w:color w:val="auto"/>
              </w:rPr>
              <w:t>(Zip Code)</w:t>
            </w:r>
          </w:p>
        </w:tc>
      </w:tr>
      <w:tr>
        <w:trPr>
          <w:trHeight w:val="534"/>
        </w:trPr>
        <w:tc>
          <w:tcPr>
            <w:tcW w:w="1320" w:type="dxa"/>
            <w:vAlign w:val="bottom"/>
          </w:tcPr>
          <w:p>
            <w:pPr>
              <w:spacing w:after="0"/>
              <w:rPr>
                <w:sz w:val="24"/>
                <w:szCs w:val="24"/>
                <w:color w:val="auto"/>
              </w:rPr>
            </w:pPr>
          </w:p>
        </w:tc>
        <w:tc>
          <w:tcPr>
            <w:tcW w:w="4620" w:type="dxa"/>
            <w:vAlign w:val="bottom"/>
            <w:gridSpan w:val="4"/>
          </w:tcPr>
          <w:p>
            <w:pPr>
              <w:ind w:left="86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320" w:type="dxa"/>
            <w:vAlign w:val="bottom"/>
          </w:tcPr>
          <w:p>
            <w:pPr>
              <w:spacing w:after="0"/>
              <w:rPr>
                <w:sz w:val="16"/>
                <w:szCs w:val="16"/>
                <w:color w:val="auto"/>
              </w:rPr>
            </w:pPr>
          </w:p>
        </w:tc>
        <w:tc>
          <w:tcPr>
            <w:tcW w:w="7880" w:type="dxa"/>
            <w:vAlign w:val="bottom"/>
            <w:gridSpan w:val="5"/>
          </w:tcPr>
          <w:p>
            <w:pPr>
              <w:jc w:val="right"/>
              <w:ind w:right="133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195"/>
        </w:trPr>
        <w:tc>
          <w:tcPr>
            <w:tcW w:w="1320" w:type="dxa"/>
            <w:vAlign w:val="bottom"/>
          </w:tcPr>
          <w:p>
            <w:pPr>
              <w:spacing w:after="0"/>
              <w:rPr>
                <w:sz w:val="16"/>
                <w:szCs w:val="16"/>
                <w:color w:val="auto"/>
              </w:rPr>
            </w:pPr>
          </w:p>
        </w:tc>
        <w:tc>
          <w:tcPr>
            <w:tcW w:w="7880" w:type="dxa"/>
            <w:vAlign w:val="bottom"/>
            <w:gridSpan w:val="5"/>
          </w:tcPr>
          <w:p>
            <w:pPr>
              <w:ind w:left="880"/>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237"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83"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7"/>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39"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ind w:right="500"/>
        <w:spacing w:after="0" w:line="259"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 March 17, 2021, the Company announced the appointment of Kevin E. Bryant and Jacqueline D. Woods to its Board effective March 17, 2021.</w:t>
      </w:r>
    </w:p>
    <w:p>
      <w:pPr>
        <w:spacing w:after="0" w:line="235"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Mr. Bryant is Executive Vice President and Chief Operating Officer for Evergy (NYSE: EVRG), an American investor-owned utility. He held several leadership positions within Evergy including Executive Vice President and Chief Financial Officer at Great Plains Energy when it merged with Westar Energy, creating Evergy. Mr. Bryant also held roles at THQ, Inc., UBS, and Hallmark Cards,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Mr. Bryant will be a Class II director and will serve on the Audit and Finance Committees.</w:t>
      </w:r>
    </w:p>
    <w:p>
      <w:pPr>
        <w:spacing w:after="0" w:line="248"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Ms. Woods is Chief Marketing and Communications Officer of NielsenIQ, an Advent International portfolio company. Prior to joining NielsenIQ, Ms. Woods was the Chief Marketing Officer of IBM Global Business Partners at IBM and held senior executive roles at Oracle Corporation, General Electric Company, Ameritech Corporation and GTE Corporation.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Ms. Woods will be a Class I director and will serve on the Nominating and Governance and Human Resources Committees.</w:t>
      </w:r>
    </w:p>
    <w:p>
      <w:pPr>
        <w:spacing w:after="0" w:line="24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Mr. Bryant and Ms. Woods will be compensated in accordance with the registrant’s standard compensation policies and practices for the Board, the components of which were disclosed in the registrant’s Proxy Statement for its 2020 Annual Meeting of Shareholders filed with the Securities and Exchange Commission on November 2, 2020, in the section titled “Director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There are no transactions or relationships between the registrant either Mr. Bryant or Ms. Woods that are reportable under Item 404(a)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Both Mr. Bryant and Ms. Woods are expected to stand for election to the Board at the 2021 annual shareholders meeting.</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March 17, 2021, the Company issued a news releases announcing the appointment of Mr. Bryant and Ms. Woods to the Board as described above under Item 5.02. A copy of the news release is furnished as Exhibit 99.1 and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6"/>
                <w:szCs w:val="16"/>
                <w:color w:val="auto"/>
              </w:rPr>
              <w:t>(d) Exhibits</w:t>
            </w:r>
          </w:p>
        </w:tc>
        <w:tc>
          <w:tcPr>
            <w:tcW w:w="10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Exhibit</w:t>
            </w:r>
          </w:p>
        </w:tc>
        <w:tc>
          <w:tcPr>
            <w:tcW w:w="103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10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40" w:type="dxa"/>
            <w:vAlign w:val="bottom"/>
          </w:tcPr>
          <w:p>
            <w:pPr>
              <w:ind w:left="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p>
        </w:tc>
        <w:tc>
          <w:tcPr>
            <w:tcW w:w="10300" w:type="dxa"/>
            <w:vAlign w:val="bottom"/>
          </w:tcPr>
          <w:p>
            <w:pPr>
              <w:ind w:left="1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Press Release of Winnebago Industries, Inc. dated March 18, 2021</w:t>
              </w:r>
            </w:hyperlink>
          </w:p>
        </w:tc>
        <w:tc>
          <w:tcPr>
            <w:tcW w:w="0" w:type="dxa"/>
            <w:vAlign w:val="bottom"/>
          </w:tcPr>
          <w:p>
            <w:pPr>
              <w:spacing w:after="0"/>
              <w:rPr>
                <w:sz w:val="1"/>
                <w:szCs w:val="1"/>
                <w:color w:val="auto"/>
              </w:rPr>
            </w:pPr>
          </w:p>
        </w:tc>
      </w:tr>
      <w:tr>
        <w:trPr>
          <w:trHeight w:val="216"/>
        </w:trPr>
        <w:tc>
          <w:tcPr>
            <w:tcW w:w="940" w:type="dxa"/>
            <w:vAlign w:val="bottom"/>
          </w:tcPr>
          <w:p>
            <w:pPr>
              <w:ind w:left="20"/>
              <w:spacing w:after="0"/>
              <w:rPr>
                <w:sz w:val="20"/>
                <w:szCs w:val="20"/>
                <w:color w:val="auto"/>
              </w:rPr>
            </w:pPr>
            <w:r>
              <w:rPr>
                <w:rFonts w:ascii="Arial" w:cs="Arial" w:eastAsia="Arial" w:hAnsi="Arial"/>
                <w:sz w:val="16"/>
                <w:szCs w:val="16"/>
                <w:color w:val="auto"/>
              </w:rPr>
              <w:t>104</w:t>
            </w:r>
          </w:p>
        </w:tc>
        <w:tc>
          <w:tcPr>
            <w:tcW w:w="10300" w:type="dxa"/>
            <w:vAlign w:val="bottom"/>
          </w:tcPr>
          <w:p>
            <w:pPr>
              <w:ind w:left="120"/>
              <w:spacing w:after="0"/>
              <w:rPr>
                <w:sz w:val="20"/>
                <w:szCs w:val="20"/>
                <w:color w:val="auto"/>
              </w:rPr>
            </w:pPr>
            <w:r>
              <w:rPr>
                <w:rFonts w:ascii="Arial" w:cs="Arial" w:eastAsia="Arial" w:hAnsi="Arial"/>
                <w:sz w:val="16"/>
                <w:szCs w:val="16"/>
                <w:color w:val="auto"/>
              </w:rPr>
              <w:t>Cover Page Interactive Data File (formatted as Inline XBRL)</w:t>
            </w:r>
          </w:p>
        </w:tc>
        <w:tc>
          <w:tcPr>
            <w:tcW w:w="0" w:type="dxa"/>
            <w:vAlign w:val="bottom"/>
          </w:tcPr>
          <w:p>
            <w:pPr>
              <w:spacing w:after="0"/>
              <w:rPr>
                <w:sz w:val="1"/>
                <w:szCs w:val="1"/>
                <w:color w:val="auto"/>
              </w:rPr>
            </w:pPr>
          </w:p>
        </w:tc>
      </w:tr>
      <w:tr>
        <w:trPr>
          <w:trHeight w:val="985"/>
        </w:trPr>
        <w:tc>
          <w:tcPr>
            <w:tcW w:w="940" w:type="dxa"/>
            <w:vAlign w:val="bottom"/>
            <w:tcBorders>
              <w:bottom w:val="single" w:sz="8" w:color="9A9A9A"/>
            </w:tcBorders>
          </w:tcPr>
          <w:p>
            <w:pPr>
              <w:spacing w:after="0"/>
              <w:rPr>
                <w:sz w:val="24"/>
                <w:szCs w:val="24"/>
                <w:color w:val="auto"/>
              </w:rPr>
            </w:pPr>
          </w:p>
        </w:tc>
        <w:tc>
          <w:tcPr>
            <w:tcW w:w="10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7440" w:type="dxa"/>
            <w:vAlign w:val="bottom"/>
            <w:gridSpan w:val="2"/>
          </w:tcPr>
          <w:p>
            <w:pPr>
              <w:ind w:left="9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33"/>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200" w:type="dxa"/>
            <w:vAlign w:val="bottom"/>
          </w:tcPr>
          <w:p>
            <w:pPr>
              <w:ind w:left="160"/>
              <w:spacing w:after="0"/>
              <w:rPr>
                <w:sz w:val="20"/>
                <w:szCs w:val="20"/>
                <w:color w:val="auto"/>
              </w:rPr>
            </w:pPr>
            <w:r>
              <w:rPr>
                <w:rFonts w:ascii="Arial" w:cs="Arial" w:eastAsia="Arial" w:hAnsi="Arial"/>
                <w:sz w:val="16"/>
                <w:szCs w:val="16"/>
                <w:color w:val="auto"/>
              </w:rPr>
              <w:t>March 18, 2021</w:t>
            </w:r>
          </w:p>
        </w:tc>
        <w:tc>
          <w:tcPr>
            <w:tcW w:w="1720" w:type="dxa"/>
            <w:vAlign w:val="bottom"/>
          </w:tcPr>
          <w:p>
            <w:pPr>
              <w:ind w:left="90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r>
      <w:tr>
        <w:trPr>
          <w:trHeight w:val="207"/>
        </w:trPr>
        <w:tc>
          <w:tcPr>
            <w:tcW w:w="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20" w:type="dxa"/>
            <w:vAlign w:val="bottom"/>
          </w:tcPr>
          <w:p>
            <w:pPr>
              <w:ind w:left="90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Stacy L. Bogart</w:t>
            </w:r>
          </w:p>
        </w:tc>
      </w:tr>
      <w:tr>
        <w:trPr>
          <w:trHeight w:val="183"/>
        </w:trPr>
        <w:tc>
          <w:tcPr>
            <w:tcW w:w="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Senior Vice President, General Counsel, Secretary and Corporate</w:t>
            </w:r>
          </w:p>
        </w:tc>
      </w:tr>
      <w:tr>
        <w:trPr>
          <w:trHeight w:val="195"/>
        </w:trPr>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720" w:type="dxa"/>
            <w:vAlign w:val="bottom"/>
          </w:tcPr>
          <w:p>
            <w:pPr>
              <w:ind w:left="90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rPr>
                <w:sz w:val="20"/>
                <w:szCs w:val="20"/>
                <w:color w:val="auto"/>
              </w:rPr>
            </w:pPr>
            <w:r>
              <w:rPr>
                <w:rFonts w:ascii="Arial" w:cs="Arial" w:eastAsia="Arial" w:hAnsi="Arial"/>
                <w:sz w:val="16"/>
                <w:szCs w:val="16"/>
                <w:color w:val="auto"/>
              </w:rPr>
              <w:t>Responsibility</w:t>
            </w:r>
          </w:p>
        </w:tc>
      </w:tr>
    </w:tbl>
    <w:p>
      <w:pPr>
        <w:sectPr>
          <w:pgSz w:w="11900" w:h="16838" w:orient="portrait"/>
          <w:cols w:equalWidth="0" w:num="1">
            <w:col w:w="11220"/>
          </w:cols>
          <w:pgMar w:left="320" w:top="881" w:right="359" w:bottom="1440" w:gutter="0" w:footer="0" w:header="0"/>
        </w:sectPr>
      </w:pPr>
    </w:p>
    <w:bookmarkStart w:id="3" w:name="page4"/>
    <w:bookmarkEnd w:id="3"/>
    <w:p>
      <w:pPr>
        <w:spacing w:after="0"/>
        <w:rPr>
          <w:sz w:val="20"/>
          <w:szCs w:val="20"/>
          <w:color w:val="auto"/>
        </w:rPr>
      </w:pPr>
      <w:r>
        <w:rPr>
          <w:sz w:val="1"/>
          <w:szCs w:val="1"/>
          <w:color w:val="auto"/>
        </w:rPr>
        <w:drawing>
          <wp:inline distT="0" distB="0" distL="0" distR="0">
            <wp:extent cx="2057400" cy="746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746125"/>
                    </a:xfrm>
                    <a:prstGeom prst="rect">
                      <a:avLst/>
                    </a:prstGeom>
                    <a:noFill/>
                    <a:ln>
                      <a:noFill/>
                    </a:ln>
                  </pic:spPr>
                </pic:pic>
              </a:graphicData>
            </a:graphic>
          </wp:inline>
        </w:drawing>
      </w:r>
      <w:r>
        <w:rPr>
          <w:rFonts w:ascii="Arial" w:cs="Arial" w:eastAsia="Arial" w:hAnsi="Arial"/>
          <w:sz w:val="63"/>
          <w:szCs w:val="63"/>
          <w:b w:val="1"/>
          <w:bCs w:val="1"/>
          <w:color w:val="auto"/>
        </w:rPr>
        <w:t xml:space="preserve"> News Release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Steve Stuber - Investor Relations - 952-828-8461 - </w:t>
      </w:r>
      <w:r>
        <w:rPr>
          <w:rFonts w:ascii="Arial" w:cs="Arial" w:eastAsia="Arial" w:hAnsi="Arial"/>
          <w:sz w:val="16"/>
          <w:szCs w:val="16"/>
          <w:u w:val="single" w:color="auto"/>
          <w:color w:val="0563C1"/>
        </w:rPr>
        <w:t>srstuber@wgo.net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 641-585-6803 - </w:t>
      </w:r>
      <w:r>
        <w:rPr>
          <w:rFonts w:ascii="Arial" w:cs="Arial" w:eastAsia="Arial" w:hAnsi="Arial"/>
          <w:sz w:val="16"/>
          <w:szCs w:val="16"/>
          <w:u w:val="single" w:color="auto"/>
          <w:color w:val="0563C1"/>
        </w:rPr>
        <w:t>sjefson@wgo.net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WINNEBAGO INDUSTRIES APPOINTS JACQUELINE WOODS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AND KEVIN BRYANT TO BOARD OF DIRECTORS</w:t>
      </w:r>
    </w:p>
    <w:p>
      <w:pPr>
        <w:spacing w:after="0" w:line="186"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EDEN PRAIRIE, MINNESOTA, March 18, 2021 - Winnebago Industries, Inc. (NYSE: WGO), a leading outdoor lifestyle product manufacturer, today announced the appointment of Jacqueline Woods and Kevin Bryant to its Board of Directors, effective March 17, 2021.</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“Winnebago Industries has been on a strong transformational path of growth and innovation and these new directors bring deep professional expertise and diverse experiences and perspectives to the Board as we continue to move forward,” said David Miles, Chairman of the Board. “We welcome Jacqueline and Kevin and look forward to the collective depth and breadth of knowledge they bring.”</w:t>
      </w:r>
    </w:p>
    <w:p>
      <w:pPr>
        <w:spacing w:after="0" w:line="126"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auto"/>
        </w:rPr>
        <w:t>Woods is the Chief Marketing &amp; Communications Officer of NielsenIQ, an Advent International portfolio company. She is a transformational leader with deep expertise in all aspects of marketing, branding, pricing, customer insights and strategy who delivers customer-centric programs that optimize revenue and deliver topline growth. Woods will serve on the Nominating and Governance as well as Human Resources Committees of the Winnebago Industries board.</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Prior to joining NielsenIQ, she was the Chief Marketing Officer, IBM Global Business Partners at IBM and held senior executive roles at Oracle Corporation, General Electric Company, Ameritech Corporation and GTE Corporation. Woods earned a bachelor’s degree in Managerial Economics from the University of California, Davis and an MBA in Marketing and Venture Management from the University of Southern California in Los Angeles, California.</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Bryant brings financial, operational, business development and energy platform expertise to the Winnebago Industries board. He currently serves as the Executive Vice President and Chief Operating Officer of Evergy Inc. He was Executive Vice President and Chief Financial Officer at Great Plains Energy when the company merged with Westar Energy, creating Evergy, a more than $20 billion enterprise value entity in the S&amp;P 500. In his current role, he has responsibility for Generation,</w:t>
      </w:r>
    </w:p>
    <w:p>
      <w:pPr>
        <w:sectPr>
          <w:pgSz w:w="11900" w:h="16838" w:orient="portrait"/>
          <w:cols w:equalWidth="0" w:num="1">
            <w:col w:w="11240"/>
          </w:cols>
          <w:pgMar w:left="320" w:top="1436" w:right="339" w:bottom="1440" w:gutter="0" w:footer="0" w:header="0"/>
        </w:sectPr>
      </w:pPr>
    </w:p>
    <w:bookmarkStart w:id="4" w:name="page5"/>
    <w:bookmarkEnd w:id="4"/>
    <w:p>
      <w:pPr>
        <w:spacing w:after="0" w:line="6" w:lineRule="exact"/>
        <w:rPr>
          <w:sz w:val="20"/>
          <w:szCs w:val="20"/>
          <w:color w:val="auto"/>
        </w:rPr>
      </w:pPr>
    </w:p>
    <w:p>
      <w:pPr>
        <w:ind w:right="420"/>
        <w:spacing w:after="0" w:line="261" w:lineRule="auto"/>
        <w:rPr>
          <w:sz w:val="20"/>
          <w:szCs w:val="20"/>
          <w:color w:val="auto"/>
        </w:rPr>
      </w:pPr>
      <w:r>
        <w:rPr>
          <w:rFonts w:ascii="Arial" w:cs="Arial" w:eastAsia="Arial" w:hAnsi="Arial"/>
          <w:sz w:val="20"/>
          <w:szCs w:val="20"/>
          <w:color w:val="auto"/>
        </w:rPr>
        <w:t>Transmission &amp; Distribution, Operations Planning and Safety. Bryant will serve on the Audit and Finance Committees of the Winnebago Industries board.</w:t>
      </w:r>
    </w:p>
    <w:p>
      <w:pPr>
        <w:spacing w:after="0" w:line="134" w:lineRule="exact"/>
        <w:rPr>
          <w:sz w:val="20"/>
          <w:szCs w:val="20"/>
          <w:color w:val="auto"/>
        </w:rPr>
      </w:pPr>
    </w:p>
    <w:p>
      <w:pPr>
        <w:ind w:right="440"/>
        <w:spacing w:after="0" w:line="257" w:lineRule="auto"/>
        <w:rPr>
          <w:sz w:val="20"/>
          <w:szCs w:val="20"/>
          <w:color w:val="auto"/>
        </w:rPr>
      </w:pPr>
      <w:r>
        <w:rPr>
          <w:rFonts w:ascii="Arial" w:cs="Arial" w:eastAsia="Arial" w:hAnsi="Arial"/>
          <w:sz w:val="20"/>
          <w:szCs w:val="20"/>
          <w:color w:val="auto"/>
        </w:rPr>
        <w:t>Bryant also has previous experience in roles at THQ, Inc., UBS and Hallmark Cards, Inc. He earned a bachelor’s degree in Finance and Banking from the University of Missouri in Columbia, Missouri, and an MBA in Finance and Marketing from Stanford University in Palo Alto, California.</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“Both Jacqueline and Kevin bring valued skills and extensive active experiences from key roles in several public companies and industries, including building inclusive, high performing teams that are market-focused,” said Michael Happe, Winnebago Industries President and Chief Executive Officer. “We look forward to their input and guidance as Winnebago Industries continues to strategically progress into a more competitive, diverse, and profitable outdoor lifestyle company.”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About Winnebago Industries</w:t>
      </w:r>
    </w:p>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 xml:space="preserve">Winnebago Industries, Inc. is a leading North American manufacturer of outdoor lifestyle products under the Winnebago, Grand Design, Chris-Craft, and Newmar brands, which are used primarily in leisure travel and outdoor recreation activities. The Company builds quality motorhomes, travel trailers, fifth wheel products and boats.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20"/>
          <w:szCs w:val="20"/>
          <w:u w:val="single" w:color="auto"/>
          <w:color w:val="0563C1"/>
        </w:rPr>
        <w:t>http://investor.wgo.net</w:t>
      </w:r>
      <w:r>
        <w:rPr>
          <w:rFonts w:ascii="Arial" w:cs="Arial" w:eastAsia="Arial" w:hAnsi="Arial"/>
          <w:sz w:val="20"/>
          <w:szCs w:val="20"/>
          <w:color w:val="auto"/>
        </w:rPr>
        <w:t>.</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2021-03-18T07:36:22Z</dcterms:created>
  <dcterms:modified xsi:type="dcterms:W3CDTF">2021-03-18T07:36:22Z</dcterms:modified>
</cp:coreProperties>
</file>