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54,150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3,312,293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3,312,293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3,312,293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3,312,293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11.393%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3,312,293</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11.393%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54,150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3,312,293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interest of one person, Fidelity Value Fund, an investment company registered under the Investment Company Act of</w:t>
      </w:r>
    </w:p>
    <w:p>
      <w:pPr>
        <w:ind w:right="4319"/>
        <w:spacing w:after="0" w:line="236" w:lineRule="auto"/>
        <w:rPr>
          <w:sz w:val="20"/>
          <w:szCs w:val="20"/>
          <w:color w:val="auto"/>
        </w:rPr>
      </w:pPr>
      <w:r>
        <w:rPr>
          <w:rFonts w:ascii="Courier New" w:cs="Courier New" w:eastAsia="Courier New" w:hAnsi="Courier New"/>
          <w:sz w:val="18"/>
          <w:szCs w:val="18"/>
          <w:color w:val="auto"/>
        </w:rPr>
        <w:t>1940, in the Common Stock of Winnebago Industries, Inc., amounted to 2,571,751 shares or 8.846% of the total outstanding Common Stock at December 31, 2008.</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3,258,143 shares or 11.207%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Value Fund, amounted to 2,571,751 shares or 8.846% of the Common Stock outstanding. Fidelity Value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3,258,143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Pyramis Global Advisors, LLC ("PGALLC"), 53 State Street, Boston, Massachusetts, 02109, an indirect wholly-owned subsidiary of FMR LLC and an investment adviser registered under Section 203 of the Investment Advisers Act of 1940, is the beneficial owner of 54,150 shares or 0.186% of the outstanding Common Stock of Winnebago Industries, Inc.</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as a result of its serving as investment adviser to institutional accounts, non-U.S. mutual funds, or investment companies registered under Section 8 of the Investment Company Act of 1940 owning such shares.</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54,150 shares and sole power to vote or to direct the voting of 54,150 shares of Common Stock owned by the institutional accounts or funds advised by PGALLC as reported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Winnebago Industries, Inc.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FMR LLC and its direct</w:t>
      </w:r>
    </w:p>
    <w:p>
      <w:pPr>
        <w:sectPr>
          <w:pgSz w:w="11900" w:h="16838" w:orient="portrait"/>
          <w:cols w:equalWidth="0" w:num="1">
            <w:col w:w="10219"/>
          </w:cols>
          <w:pgMar w:left="240" w:top="75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and indirect 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Value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2019-12-10T03:36:10Z</dcterms:created>
  <dcterms:modified xsi:type="dcterms:W3CDTF">2019-12-10T03:36:10Z</dcterms:modified>
</cp:coreProperties>
</file>