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03312023_120339.xml.htm"/>
      <w:bookmarkStart w:id="1" w:name="ksform403312023_120339"/>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pPr>
                  <w:hyperlink r:id="rId3">
                    <w:r>
                      <w:rPr>
                        <w:rStyle w:val="InternetLink"/>
                      </w:rPr>
                      <w:t>West Christopher David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WINNEBAGO INDUSTRIES, INC.</w:t>
                  </w:r>
                </w:p>
              </w:tc>
            </w:tr>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13200 PIONEER TRAIL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EDEN PRAIRIE</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MN</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55347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WINNEBAGO INDUSTRIES INC</w:t>
              </w:r>
            </w:hyperlink>
            <w:r>
              <w:rPr/>
              <w:t xml:space="preserve"> [ </w:t>
            </w:r>
            <w:r>
              <w:rPr>
                <w:rFonts w:ascii="Times;serif" w:hAnsi="Times;serif"/>
                <w:color w:val="0000FF"/>
                <w:sz w:val="24"/>
                <w:highlight w:val="white"/>
              </w:rPr>
              <w:t>WGO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29"/>
              <w:gridCol w:w="441"/>
              <w:gridCol w:w="1030"/>
            </w:tblGrid>
            <w:tr>
              <w:trPr/>
              <w:tc>
                <w:tcPr>
                  <w:tcW w:w="44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2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SVP-OPERATIONS</w:t>
                  </w:r>
                  <w:r>
                    <w:rPr/>
                    <w:t xml:space="preserve"> </w:t>
                  </w:r>
                </w:p>
              </w:tc>
            </w:tr>
          </w:tbl>
          <w:p>
            <w:pPr>
              <w:pStyle w:val="TableContents"/>
              <w:spacing w:before="0" w:after="283"/>
              <w:rPr>
                <w:sz w:val="4"/>
                <w:szCs w:val="4"/>
              </w:rPr>
            </w:pPr>
            <w:r>
              <w:rPr>
                <w:sz w:val="4"/>
                <w:szCs w:val="4"/>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03/29/2023</w:t>
            </w:r>
            <w:r>
              <w:rPr/>
              <w:t xml:space="preserve"> </w:t>
            </w:r>
          </w:p>
        </w:tc>
        <w:tc>
          <w:tcPr>
            <w:tcW w:w="306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$.50 par value</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7,210</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56.61</w:t>
            </w:r>
            <w:r>
              <w:rPr>
                <w:rFonts w:ascii="Times;serif" w:hAnsi="Times;serif"/>
                <w:color w:val="008000"/>
                <w:position w:val="7"/>
                <w:sz w:val="16"/>
                <w:sz w:val="20"/>
                <w:highlight w:val="white"/>
              </w:rPr>
              <w:t>(1)</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25,383</w:t>
            </w:r>
            <w:r>
              <w:rPr>
                <w:rFonts w:ascii="Times;serif" w:hAnsi="Times;serif"/>
                <w:color w:val="008000"/>
                <w:position w:val="7"/>
                <w:sz w:val="16"/>
                <w:sz w:val="20"/>
                <w:highlight w:val="white"/>
              </w:rPr>
              <w:t>(2)</w:t>
            </w:r>
            <w:r>
              <w:rPr/>
              <w:t xml:space="preserve"> </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the weighted average price of 7,210 shares of common stock of Winnebago Industries, Inc. sold by the reporting person in multiple transactions on March 29, 2023 with sale prices ranging from $56.37 to $56.93 per share. The reporting person undertakes to provide upon request by the U.S. Securities and Exchange Commission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Reflects 174 shares acquired through Winnebago Industries, Inc. Employee Stock Purchase Program.</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Stacy L. Bogart, SVP, General Counsel and Secretary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5700" TargetMode="External"/><Relationship Id="rId4" Type="http://schemas.openxmlformats.org/officeDocument/2006/relationships/hyperlink" Target="http://www.sec.gov/cgi-bin/browse-edgar?action=getcompany&amp;CIK=000010768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615</Words>
  <CharactersWithSpaces>3921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