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08"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1" w:lineRule="exact"/>
        <w:rPr>
          <w:sz w:val="24"/>
          <w:szCs w:val="24"/>
          <w:color w:val="auto"/>
        </w:rPr>
      </w:pPr>
    </w:p>
    <w:p>
      <w:pPr>
        <w:ind w:left="2580"/>
        <w:spacing w:after="0"/>
        <w:tabs>
          <w:tab w:leader="none" w:pos="68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August 30,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3775075</wp:posOffset>
            </wp:positionH>
            <wp:positionV relativeFrom="paragraph">
              <wp:posOffset>-13970</wp:posOffset>
            </wp:positionV>
            <wp:extent cx="18484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4848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60"/>
        <w:spacing w:after="0"/>
        <w:rPr>
          <w:sz w:val="20"/>
          <w:szCs w:val="20"/>
          <w:color w:val="auto"/>
        </w:rPr>
      </w:pPr>
      <w:r>
        <w:rPr>
          <w:rFonts w:ascii="Arial" w:cs="Arial" w:eastAsia="Arial" w:hAnsi="Arial"/>
          <w:sz w:val="43"/>
          <w:szCs w:val="43"/>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1059815</wp:posOffset>
            </wp:positionH>
            <wp:positionV relativeFrom="paragraph">
              <wp:posOffset>92075</wp:posOffset>
            </wp:positionV>
            <wp:extent cx="50425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42535" cy="8890"/>
                    </a:xfrm>
                    <a:prstGeom prst="rect">
                      <a:avLst/>
                    </a:prstGeom>
                    <a:noFill/>
                  </pic:spPr>
                </pic:pic>
              </a:graphicData>
            </a:graphic>
          </wp:anchor>
        </w:drawing>
      </w:r>
    </w:p>
    <w:p>
      <w:pPr>
        <w:spacing w:after="0" w:line="238" w:lineRule="exact"/>
        <w:rPr>
          <w:sz w:val="24"/>
          <w:szCs w:val="24"/>
          <w:color w:val="auto"/>
        </w:rPr>
      </w:pPr>
    </w:p>
    <w:p>
      <w:pPr>
        <w:jc w:val="center"/>
        <w:ind w:right="160"/>
        <w:spacing w:after="0"/>
        <w:rPr>
          <w:sz w:val="20"/>
          <w:szCs w:val="20"/>
          <w:color w:val="auto"/>
        </w:rPr>
      </w:pPr>
      <w:r>
        <w:rPr>
          <w:rFonts w:ascii="Arial" w:cs="Arial" w:eastAsia="Arial" w:hAnsi="Arial"/>
          <w:sz w:val="18"/>
          <w:szCs w:val="18"/>
          <w:color w:val="auto"/>
        </w:rPr>
        <w:t>(Exact name of registrant as specified in its charter)</w:t>
      </w:r>
    </w:p>
    <w:p>
      <w:pPr>
        <w:spacing w:after="0" w:line="252" w:lineRule="exact"/>
        <w:rPr>
          <w:sz w:val="24"/>
          <w:szCs w:val="24"/>
          <w:color w:val="auto"/>
        </w:rPr>
      </w:pPr>
    </w:p>
    <w:tbl>
      <w:tblPr>
        <w:tblLayout w:type="fixed"/>
        <w:tblInd w:w="1660" w:type="dxa"/>
        <w:tblCellMar>
          <w:top w:w="0" w:type="dxa"/>
          <w:left w:w="0" w:type="dxa"/>
          <w:bottom w:w="0" w:type="dxa"/>
          <w:right w:w="0" w:type="dxa"/>
        </w:tblCellMar>
      </w:tblPr>
      <w:tr>
        <w:trPr>
          <w:trHeight w:val="222"/>
        </w:trPr>
        <w:tc>
          <w:tcPr>
            <w:tcW w:w="3440" w:type="dxa"/>
            <w:vAlign w:val="bottom"/>
          </w:tcPr>
          <w:p>
            <w:pPr>
              <w:jc w:val="center"/>
              <w:ind w:right="592"/>
              <w:spacing w:after="0"/>
              <w:rPr>
                <w:sz w:val="20"/>
                <w:szCs w:val="20"/>
                <w:color w:val="auto"/>
              </w:rPr>
            </w:pPr>
            <w:r>
              <w:rPr>
                <w:rFonts w:ascii="Arial" w:cs="Arial" w:eastAsia="Arial" w:hAnsi="Arial"/>
                <w:sz w:val="18"/>
                <w:szCs w:val="18"/>
                <w:color w:val="auto"/>
                <w:w w:val="94"/>
              </w:rPr>
              <w:t>Iowa</w:t>
            </w: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001-06403</w:t>
            </w:r>
          </w:p>
        </w:tc>
        <w:tc>
          <w:tcPr>
            <w:tcW w:w="2160" w:type="dxa"/>
            <w:vAlign w:val="bottom"/>
          </w:tcPr>
          <w:p>
            <w:pPr>
              <w:jc w:val="center"/>
              <w:ind w:left="1092"/>
              <w:spacing w:after="0"/>
              <w:rPr>
                <w:sz w:val="20"/>
                <w:szCs w:val="20"/>
                <w:color w:val="auto"/>
              </w:rPr>
            </w:pPr>
            <w:r>
              <w:rPr>
                <w:rFonts w:ascii="Arial" w:cs="Arial" w:eastAsia="Arial" w:hAnsi="Arial"/>
                <w:sz w:val="18"/>
                <w:szCs w:val="18"/>
                <w:color w:val="auto"/>
                <w:w w:val="89"/>
              </w:rPr>
              <w:t>42-0802678</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10"/>
        </w:trPr>
        <w:tc>
          <w:tcPr>
            <w:tcW w:w="34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309"/>
        </w:trPr>
        <w:tc>
          <w:tcPr>
            <w:tcW w:w="3440" w:type="dxa"/>
            <w:vAlign w:val="bottom"/>
          </w:tcPr>
          <w:p>
            <w:pPr>
              <w:jc w:val="center"/>
              <w:ind w:right="592"/>
              <w:spacing w:after="0"/>
              <w:rPr>
                <w:sz w:val="20"/>
                <w:szCs w:val="20"/>
                <w:color w:val="auto"/>
              </w:rPr>
            </w:pPr>
            <w:r>
              <w:rPr>
                <w:rFonts w:ascii="Arial" w:cs="Arial" w:eastAsia="Arial" w:hAnsi="Arial"/>
                <w:sz w:val="18"/>
                <w:szCs w:val="18"/>
                <w:color w:val="auto"/>
                <w:w w:val="89"/>
              </w:rPr>
              <w:t>(State or other jurisdiction</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(Commission File</w:t>
            </w:r>
          </w:p>
        </w:tc>
        <w:tc>
          <w:tcPr>
            <w:tcW w:w="2860" w:type="dxa"/>
            <w:vAlign w:val="bottom"/>
            <w:gridSpan w:val="2"/>
          </w:tcPr>
          <w:p>
            <w:pPr>
              <w:jc w:val="center"/>
              <w:ind w:left="392"/>
              <w:spacing w:after="0"/>
              <w:rPr>
                <w:sz w:val="20"/>
                <w:szCs w:val="20"/>
                <w:color w:val="auto"/>
              </w:rPr>
            </w:pPr>
            <w:r>
              <w:rPr>
                <w:rFonts w:ascii="Arial" w:cs="Arial" w:eastAsia="Arial" w:hAnsi="Arial"/>
                <w:sz w:val="18"/>
                <w:szCs w:val="18"/>
                <w:color w:val="auto"/>
                <w:w w:val="90"/>
              </w:rPr>
              <w:t>(IRS Employer</w:t>
            </w:r>
          </w:p>
        </w:tc>
        <w:tc>
          <w:tcPr>
            <w:tcW w:w="160" w:type="dxa"/>
            <w:vAlign w:val="bottom"/>
          </w:tcPr>
          <w:p>
            <w:pPr>
              <w:spacing w:after="0"/>
              <w:rPr>
                <w:sz w:val="24"/>
                <w:szCs w:val="24"/>
                <w:color w:val="auto"/>
              </w:rPr>
            </w:pPr>
          </w:p>
        </w:tc>
      </w:tr>
      <w:tr>
        <w:trPr>
          <w:trHeight w:val="222"/>
        </w:trPr>
        <w:tc>
          <w:tcPr>
            <w:tcW w:w="3440" w:type="dxa"/>
            <w:vAlign w:val="bottom"/>
          </w:tcPr>
          <w:p>
            <w:pPr>
              <w:jc w:val="center"/>
              <w:ind w:right="592"/>
              <w:spacing w:after="0"/>
              <w:rPr>
                <w:sz w:val="20"/>
                <w:szCs w:val="20"/>
                <w:color w:val="auto"/>
              </w:rPr>
            </w:pPr>
            <w:r>
              <w:rPr>
                <w:rFonts w:ascii="Arial" w:cs="Arial" w:eastAsia="Arial" w:hAnsi="Arial"/>
                <w:sz w:val="18"/>
                <w:szCs w:val="18"/>
                <w:color w:val="auto"/>
                <w:w w:val="92"/>
              </w:rPr>
              <w:t>of incorporation)</w:t>
            </w: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Number)</w:t>
            </w:r>
          </w:p>
        </w:tc>
        <w:tc>
          <w:tcPr>
            <w:tcW w:w="2860" w:type="dxa"/>
            <w:vAlign w:val="bottom"/>
            <w:gridSpan w:val="2"/>
          </w:tcPr>
          <w:p>
            <w:pPr>
              <w:jc w:val="center"/>
              <w:ind w:left="392"/>
              <w:spacing w:after="0"/>
              <w:rPr>
                <w:sz w:val="20"/>
                <w:szCs w:val="20"/>
                <w:color w:val="auto"/>
              </w:rPr>
            </w:pPr>
            <w:r>
              <w:rPr>
                <w:rFonts w:ascii="Arial" w:cs="Arial" w:eastAsia="Arial" w:hAnsi="Arial"/>
                <w:sz w:val="18"/>
                <w:szCs w:val="18"/>
                <w:color w:val="auto"/>
                <w:w w:val="92"/>
              </w:rPr>
              <w:t>Identification No.)</w:t>
            </w:r>
          </w:p>
        </w:tc>
        <w:tc>
          <w:tcPr>
            <w:tcW w:w="160" w:type="dxa"/>
            <w:vAlign w:val="bottom"/>
          </w:tcPr>
          <w:p>
            <w:pPr>
              <w:spacing w:after="0"/>
              <w:rPr>
                <w:sz w:val="19"/>
                <w:szCs w:val="19"/>
                <w:color w:val="auto"/>
              </w:rPr>
            </w:pPr>
          </w:p>
        </w:tc>
      </w:tr>
      <w:tr>
        <w:trPr>
          <w:trHeight w:val="459"/>
        </w:trPr>
        <w:tc>
          <w:tcPr>
            <w:tcW w:w="3440" w:type="dxa"/>
            <w:vAlign w:val="bottom"/>
          </w:tcPr>
          <w:p>
            <w:pPr>
              <w:jc w:val="center"/>
              <w:ind w:left="352"/>
              <w:spacing w:after="0"/>
              <w:rPr>
                <w:sz w:val="20"/>
                <w:szCs w:val="20"/>
                <w:color w:val="auto"/>
              </w:rPr>
            </w:pPr>
            <w:r>
              <w:rPr>
                <w:rFonts w:ascii="Arial" w:cs="Arial" w:eastAsia="Arial" w:hAnsi="Arial"/>
                <w:sz w:val="18"/>
                <w:szCs w:val="18"/>
                <w:color w:val="auto"/>
                <w:w w:val="88"/>
              </w:rPr>
              <w:t>P.O. Box 152, Forest City, Iowa</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60" w:type="dxa"/>
            <w:vAlign w:val="bottom"/>
          </w:tcPr>
          <w:p>
            <w:pPr>
              <w:jc w:val="right"/>
              <w:ind w:right="872"/>
              <w:spacing w:after="0"/>
              <w:rPr>
                <w:sz w:val="20"/>
                <w:szCs w:val="20"/>
                <w:color w:val="auto"/>
              </w:rPr>
            </w:pPr>
            <w:r>
              <w:rPr>
                <w:rFonts w:ascii="Arial" w:cs="Arial" w:eastAsia="Arial" w:hAnsi="Arial"/>
                <w:sz w:val="18"/>
                <w:szCs w:val="18"/>
                <w:color w:val="auto"/>
              </w:rPr>
              <w:t>50436</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0"/>
        </w:trPr>
        <w:tc>
          <w:tcPr>
            <w:tcW w:w="34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r>
      <w:tr>
        <w:trPr>
          <w:trHeight w:val="343"/>
        </w:trPr>
        <w:tc>
          <w:tcPr>
            <w:tcW w:w="3440" w:type="dxa"/>
            <w:vAlign w:val="bottom"/>
          </w:tcPr>
          <w:p>
            <w:pPr>
              <w:jc w:val="center"/>
              <w:ind w:left="372"/>
              <w:spacing w:after="0"/>
              <w:rPr>
                <w:sz w:val="20"/>
                <w:szCs w:val="20"/>
                <w:color w:val="auto"/>
              </w:rPr>
            </w:pPr>
            <w:r>
              <w:rPr>
                <w:rFonts w:ascii="Arial" w:cs="Arial" w:eastAsia="Arial" w:hAnsi="Arial"/>
                <w:sz w:val="18"/>
                <w:szCs w:val="18"/>
                <w:color w:val="auto"/>
                <w:w w:val="90"/>
              </w:rPr>
              <w:t>(Address of principal executive offices)</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60" w:type="dxa"/>
            <w:vAlign w:val="bottom"/>
            <w:gridSpan w:val="2"/>
          </w:tcPr>
          <w:p>
            <w:pPr>
              <w:jc w:val="center"/>
              <w:ind w:right="900"/>
              <w:spacing w:after="0"/>
              <w:rPr>
                <w:sz w:val="20"/>
                <w:szCs w:val="20"/>
                <w:color w:val="auto"/>
              </w:rPr>
            </w:pPr>
            <w:r>
              <w:rPr>
                <w:rFonts w:ascii="Arial" w:cs="Arial" w:eastAsia="Arial" w:hAnsi="Arial"/>
                <w:sz w:val="18"/>
                <w:szCs w:val="18"/>
                <w:color w:val="auto"/>
                <w:w w:val="89"/>
              </w:rPr>
              <w:t>(Zip Code)</w:t>
            </w:r>
          </w:p>
        </w:tc>
        <w:tc>
          <w:tcPr>
            <w:tcW w:w="160" w:type="dxa"/>
            <w:vAlign w:val="bottom"/>
          </w:tcPr>
          <w:p>
            <w:pPr>
              <w:spacing w:after="0"/>
              <w:rPr>
                <w:sz w:val="24"/>
                <w:szCs w:val="24"/>
                <w:color w:val="auto"/>
              </w:rPr>
            </w:pPr>
          </w:p>
        </w:tc>
      </w:tr>
      <w:tr>
        <w:trPr>
          <w:trHeight w:val="637"/>
        </w:trPr>
        <w:tc>
          <w:tcPr>
            <w:tcW w:w="4500" w:type="dxa"/>
            <w:vAlign w:val="bottom"/>
            <w:gridSpan w:val="2"/>
          </w:tcPr>
          <w:p>
            <w:pPr>
              <w:ind w:left="860"/>
              <w:spacing w:after="0"/>
              <w:rPr>
                <w:sz w:val="20"/>
                <w:szCs w:val="20"/>
                <w:color w:val="auto"/>
              </w:rPr>
            </w:pPr>
            <w:r>
              <w:rPr>
                <w:rFonts w:ascii="Arial" w:cs="Arial" w:eastAsia="Arial" w:hAnsi="Arial"/>
                <w:sz w:val="18"/>
                <w:szCs w:val="18"/>
                <w:color w:val="auto"/>
                <w:w w:val="88"/>
              </w:rPr>
              <w:t>Registrant’s telephone number, including area code</w:t>
            </w: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rPr>
              <w:t>641-585-3535</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428625</wp:posOffset>
            </wp:positionV>
            <wp:extent cx="3644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695325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00" w:lineRule="exact"/>
        <w:rPr>
          <w:sz w:val="24"/>
          <w:szCs w:val="24"/>
          <w:color w:val="auto"/>
        </w:rPr>
      </w:pPr>
    </w:p>
    <w:p>
      <w:pPr>
        <w:spacing w:after="0" w:line="274" w:lineRule="exact"/>
        <w:rPr>
          <w:sz w:val="24"/>
          <w:szCs w:val="24"/>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The Human Resources Committee (the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of the Board of Directors of Winnebago Industries, Inc.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recommended, and the full Board of Directors approved, effective August 28, 2005, the beginning of the Company’s 2006 fiscal year, (i) the Officers Incentive Compensation Plan—Fiscal Period 2006 (the </w:t>
      </w:r>
      <w:r>
        <w:rPr>
          <w:rFonts w:ascii="Arial" w:cs="Arial" w:eastAsia="Arial" w:hAnsi="Arial"/>
          <w:sz w:val="16"/>
          <w:szCs w:val="16"/>
          <w:i w:val="1"/>
          <w:iCs w:val="1"/>
          <w:color w:val="auto"/>
        </w:rPr>
        <w:t>“2006 Incentive Compensation Plan”</w:t>
      </w:r>
      <w:r>
        <w:rPr>
          <w:rFonts w:ascii="Arial" w:cs="Arial" w:eastAsia="Arial" w:hAnsi="Arial"/>
          <w:sz w:val="16"/>
          <w:szCs w:val="16"/>
          <w:color w:val="auto"/>
        </w:rPr>
        <w:t xml:space="preserve">) and (ii) the Officers Long-Term Incentive Plan—Fiscal Three-Year Period 2006, 2007 and 2008 (the </w:t>
      </w:r>
      <w:r>
        <w:rPr>
          <w:rFonts w:ascii="Arial" w:cs="Arial" w:eastAsia="Arial" w:hAnsi="Arial"/>
          <w:sz w:val="16"/>
          <w:szCs w:val="16"/>
          <w:i w:val="1"/>
          <w:iCs w:val="1"/>
          <w:color w:val="auto"/>
        </w:rPr>
        <w:t>“LTIP 2006-2008”</w:t>
      </w:r>
      <w:r>
        <w:rPr>
          <w:rFonts w:ascii="Arial" w:cs="Arial" w:eastAsia="Arial" w:hAnsi="Arial"/>
          <w:sz w:val="16"/>
          <w:szCs w:val="16"/>
          <w:color w:val="auto"/>
        </w:rPr>
        <w:t>). Bruce D. Hertzke (Chairman and Chief Executive Officer), Edwin F. Barker (President and Chief Financial Officer), Raymond M. Beebe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(Vice President, General Counsel and Secretary), William J. O’Leary (Vice President, Product Development) and Robert J. Olson (Vice President, Manufacturing) (collectively, the </w:t>
      </w:r>
      <w:r>
        <w:rPr>
          <w:rFonts w:ascii="Arial" w:cs="Arial" w:eastAsia="Arial" w:hAnsi="Arial"/>
          <w:sz w:val="16"/>
          <w:szCs w:val="16"/>
          <w:i w:val="1"/>
          <w:iCs w:val="1"/>
          <w:color w:val="auto"/>
        </w:rPr>
        <w:t>“Named Executive Officers”</w:t>
      </w:r>
      <w:r>
        <w:rPr>
          <w:rFonts w:ascii="Arial" w:cs="Arial" w:eastAsia="Arial" w:hAnsi="Arial"/>
          <w:sz w:val="16"/>
          <w:szCs w:val="16"/>
          <w:color w:val="auto"/>
        </w:rPr>
        <w:t>) participate in both the 2006 Incentive Compensation Plan and the LTIP 2006-2008.</w:t>
      </w:r>
    </w:p>
    <w:p>
      <w:pPr>
        <w:spacing w:after="0" w:line="174" w:lineRule="exact"/>
        <w:rPr>
          <w:sz w:val="24"/>
          <w:szCs w:val="24"/>
          <w:color w:val="auto"/>
        </w:rPr>
      </w:pPr>
    </w:p>
    <w:p>
      <w:pPr>
        <w:ind w:right="120" w:firstLine="348"/>
        <w:spacing w:after="0" w:line="290" w:lineRule="auto"/>
        <w:rPr>
          <w:sz w:val="20"/>
          <w:szCs w:val="20"/>
          <w:color w:val="auto"/>
        </w:rPr>
      </w:pPr>
      <w:r>
        <w:rPr>
          <w:rFonts w:ascii="Arial" w:cs="Arial" w:eastAsia="Arial" w:hAnsi="Arial"/>
          <w:sz w:val="16"/>
          <w:szCs w:val="16"/>
          <w:color w:val="auto"/>
        </w:rPr>
        <w:t>The 2006 Incentive Compensation Plan provides for quarterly incentive awards based upon financial performance of the Company, as established by the Committee and approved by the Board of Directors. The 2006 Incentive Compensation Plan is an annual program that provides for quarterly cumulative measurements of financial performance and an opportunity for quarterly incentive payments based on financial results measured against a financial performance target established by the Committee and approved by the Board of Directors. The financial performance measurement for the 2006 Incentive Compensation Plan is earnings per share (</w:t>
      </w:r>
      <w:r>
        <w:rPr>
          <w:rFonts w:ascii="Arial" w:cs="Arial" w:eastAsia="Arial" w:hAnsi="Arial"/>
          <w:sz w:val="16"/>
          <w:szCs w:val="16"/>
          <w:i w:val="1"/>
          <w:iCs w:val="1"/>
          <w:color w:val="auto"/>
        </w:rPr>
        <w:t>“EPS”</w:t>
      </w:r>
      <w:r>
        <w:rPr>
          <w:rFonts w:ascii="Arial" w:cs="Arial" w:eastAsia="Arial" w:hAnsi="Arial"/>
          <w:sz w:val="16"/>
          <w:szCs w:val="16"/>
          <w:color w:val="auto"/>
        </w:rPr>
        <w:t>). Under the 2006 Incentive Compensation Plan, the amount of the Named Executive Officers’ incentive compensation for the quarter shall be in direct proportion to the Company’s financial performance expressed as a percentage (Financial Factor) against the base salary bonus (Target) for each participant as established by the Committee and approved by the Board of Directors.</w:t>
      </w:r>
    </w:p>
    <w:p>
      <w:pPr>
        <w:sectPr>
          <w:pgSz w:w="11900" w:h="16838" w:orient="portrait"/>
          <w:cols w:equalWidth="0" w:num="1">
            <w:col w:w="11420"/>
          </w:cols>
          <w:pgMar w:left="240" w:top="705" w:right="239" w:bottom="162" w:gutter="0" w:footer="0" w:header="0"/>
        </w:sectPr>
      </w:pPr>
    </w:p>
    <w:bookmarkStart w:id="1" w:name="page2"/>
    <w:bookmarkEnd w:id="1"/>
    <w:p>
      <w:pPr>
        <w:spacing w:after="0" w:line="3"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2006 Incentive Compensation Plan provides for a bonus (Target) of 105% (for the Chief Executive Officer) and 60% (in the case of the other Named Executive Officers) of base salary comprised of 2/3 cash and 1/3 stock (or in cash at the participant’s election), at 100% achievement of the financial objective of EPS. Fifty percent (50%) of the quarterly calculated incentive is paid within 45 days after the close of each quarter. The remaining fifty percent (50%) of the quarterly calculated incentive is held back and carried forward into the next quarter on a cumulative basis. At the end of the fourth fiscal quarter (fiscal year end), a final year-end accounting is made prior to the payment of any remaining incentive holdback for the year. Fifty percent (50%) of a participant’s cash incentive compensation earned for the year, as described above, is matched annually (in the form of restricted stock or cash, as elected by the participant). The Target bonus is inclusive of this matched incentive compensation. The annual supplementary cash payment is paid as soon as practical after the final fiscal year-end compensation accounting and payment of any remaining incentive compensation holdback for the fiscal year.</w:t>
      </w:r>
    </w:p>
    <w:p>
      <w:pPr>
        <w:spacing w:after="0" w:line="17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Pursuant to the 2006 Incentive Compensation Plan, the Committee reserves the right to modify the Financial Factor used in determining the incentive compensation by plus or minus 20% based upon strategic organizational priorities. Strategic performance is measured only at the end of the fiscal year. Strategic measurements may focus on one or more of the following strategic factors, but are not limited to those stated: revenue growth; market share; product quality; product introductions; customer satisfaction; inventory management; technical innovation; and ethical business practices.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Financial performance of less than 75% of the financial performance target for EPS results in no bonus and the maximum bonus of 200% of target will be paid at attainment of approximately 120% of the financial performance target.</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the event of a “Change in Control” (as defined in the 2006 Incentive Compensation Plan) participants are entitled to receive awards (including the annual supplementary cash match payment described above) within 15 days of the effective date based on the Committee’s estimate of the Company’s financial performance through the end of the year in which such Change in Control occurs.</w:t>
      </w:r>
    </w:p>
    <w:p>
      <w:pPr>
        <w:spacing w:after="0" w:line="194"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Named Executive Officers are also eligible for annual incentive awards under the LTIP 2006-2008. The purpose of the LTIP 2006-2008 is to promote the long-term growth and profitability of the Company and to attract and retain officers by providing the officers of the Company an opportunity for an incentive award based on the achievement of long-term performance results as measured at the end of the three year fiscal period. The LTIP 2006-2008 provides for incentive awards consisting of stock grants made in restricted shares of the Company’s Common Stock, or at the election of a participating officer, in cash. The awards under the LTIP 2006-2008 are based upon the Company’s financial performance as measured against the three-year management plan established by the Committee and approved by the Board of Directors. The financial performance measurements for the LTIP 2006-2008 are EPS and a minimum average return on equity (</w:t>
      </w:r>
      <w:r>
        <w:rPr>
          <w:rFonts w:ascii="Arial" w:cs="Arial" w:eastAsia="Arial" w:hAnsi="Arial"/>
          <w:sz w:val="16"/>
          <w:szCs w:val="16"/>
          <w:i w:val="1"/>
          <w:iCs w:val="1"/>
          <w:color w:val="auto"/>
        </w:rPr>
        <w:t>“ROE”</w:t>
      </w:r>
      <w:r>
        <w:rPr>
          <w:rFonts w:ascii="Arial" w:cs="Arial" w:eastAsia="Arial" w:hAnsi="Arial"/>
          <w:sz w:val="16"/>
          <w:szCs w:val="16"/>
          <w:color w:val="auto"/>
        </w:rPr>
        <w:t xml:space="preserve">) of the Company (collectively, the </w:t>
      </w:r>
      <w:r>
        <w:rPr>
          <w:rFonts w:ascii="Arial" w:cs="Arial" w:eastAsia="Arial" w:hAnsi="Arial"/>
          <w:sz w:val="16"/>
          <w:szCs w:val="16"/>
          <w:i w:val="1"/>
          <w:iCs w:val="1"/>
          <w:color w:val="auto"/>
        </w:rPr>
        <w:t>“Long-Term Financial Target”</w:t>
      </w:r>
      <w:r>
        <w:rPr>
          <w:rFonts w:ascii="Arial" w:cs="Arial" w:eastAsia="Arial" w:hAnsi="Arial"/>
          <w:sz w:val="16"/>
          <w:szCs w:val="16"/>
          <w:color w:val="auto"/>
        </w:rPr>
        <w:t>). Stockholders’ equity at the start of the Company’s first fiscal year of the applicable plan period is used as the basis figure for the calculation of ROE. The Named Executive Officers must be employed by the Company at the end of fiscal 2008 to be eligible for an incentive award under the LTIP 2006-2008, except upon a Change in Control, as described below, or as waived by the Committee for normal retirement and disability.</w:t>
      </w:r>
    </w:p>
    <w:p>
      <w:pPr>
        <w:spacing w:after="0" w:line="17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Under the LTIP 2006-2008, the amount of the participants’ long-term incentive award for the three-year fiscal period is in direct proportion to the Company’s financial performance expressed as a percentage (Financial Factor) against award targets for each participant established by the Committee and approved by the Board of Directors prior to the commencement of the three year fiscal period. The Company’s financial results for the three fiscal year period are used in determining the Financial Factor to be used for that plan period when calculating the participants’ long-term incentive awards.</w:t>
      </w:r>
    </w:p>
    <w:p>
      <w:pPr>
        <w:spacing w:after="0" w:line="167"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long-term incentive for the Named Executive Officers provides for an opportunity of 25% of the annualized base salary (Target) to be awarded in restricted stock or cash at 100% achievement of the Long-Term Financial Target. The annualized base salary figure used is the salary in place for each participant as of January 2006. The resultant incentive award (at 100% of the three fiscal year management plan) will be adjusted up or down as determined by actual financial performance expressed as a percentage (Financial Factor) at the end of the three fiscal year period.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Financial performance of less than 80% of the Long-Term Financial Target results in no incentive award under the LTIP 2006-2008 and the maximum incentive award of 150% of the target will be paid at attainment of 120% of the Long-Term Financial Target.</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the event of a “Change in Control” (as defined in the LTIP 2006-2008) participants are entitled to receive awards within 15 days of the effective date based on the Committee’s estimate of the Company’s financial performance through the end of the LTIP 2006-2008 three fiscal year period in which such Change in Control occurs.</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Reference is made to each of the 2006 Incentive Compensation Plan and the LTIP 2006-2008 filed as Exhibits 10.1 and 10.2, respectively, to this Report and are incorporated herein by this reference.</w:t>
      </w:r>
    </w:p>
    <w:p>
      <w:pPr>
        <w:spacing w:after="0" w:line="18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58" w:lineRule="exact"/>
        <w:rPr>
          <w:sz w:val="20"/>
          <w:szCs w:val="20"/>
          <w:color w:val="auto"/>
        </w:rPr>
      </w:pPr>
    </w:p>
    <w:p>
      <w:pPr>
        <w:ind w:left="1040" w:hanging="538"/>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6"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1060" w:type="dxa"/>
            <w:vAlign w:val="bottom"/>
          </w:tcPr>
          <w:p>
            <w:pPr>
              <w:jc w:val="center"/>
              <w:ind w:right="352"/>
              <w:spacing w:after="0"/>
              <w:rPr>
                <w:sz w:val="20"/>
                <w:szCs w:val="20"/>
                <w:color w:val="auto"/>
              </w:rPr>
            </w:pPr>
            <w:r>
              <w:rPr>
                <w:rFonts w:ascii="Arial" w:cs="Arial" w:eastAsia="Arial" w:hAnsi="Arial"/>
                <w:sz w:val="18"/>
                <w:szCs w:val="18"/>
                <w:b w:val="1"/>
                <w:bCs w:val="1"/>
                <w:color w:val="auto"/>
                <w:w w:val="89"/>
              </w:rPr>
              <w:t>Exhibit</w:t>
            </w:r>
          </w:p>
        </w:tc>
        <w:tc>
          <w:tcPr>
            <w:tcW w:w="5980" w:type="dxa"/>
            <w:vAlign w:val="bottom"/>
          </w:tcPr>
          <w:p>
            <w:pPr>
              <w:spacing w:after="0"/>
              <w:rPr>
                <w:sz w:val="18"/>
                <w:szCs w:val="18"/>
                <w:color w:val="auto"/>
              </w:rPr>
            </w:pPr>
          </w:p>
        </w:tc>
      </w:tr>
      <w:tr>
        <w:trPr>
          <w:trHeight w:val="228"/>
        </w:trPr>
        <w:tc>
          <w:tcPr>
            <w:tcW w:w="1060" w:type="dxa"/>
            <w:vAlign w:val="bottom"/>
          </w:tcPr>
          <w:p>
            <w:pPr>
              <w:jc w:val="center"/>
              <w:ind w:right="352"/>
              <w:spacing w:after="0"/>
              <w:rPr>
                <w:sz w:val="20"/>
                <w:szCs w:val="20"/>
                <w:color w:val="auto"/>
              </w:rPr>
            </w:pPr>
            <w:r>
              <w:rPr>
                <w:rFonts w:ascii="Arial" w:cs="Arial" w:eastAsia="Arial" w:hAnsi="Arial"/>
                <w:sz w:val="18"/>
                <w:szCs w:val="18"/>
                <w:b w:val="1"/>
                <w:bCs w:val="1"/>
                <w:color w:val="auto"/>
                <w:w w:val="91"/>
              </w:rPr>
              <w:t>Number</w:t>
            </w:r>
          </w:p>
        </w:tc>
        <w:tc>
          <w:tcPr>
            <w:tcW w:w="5980" w:type="dxa"/>
            <w:vAlign w:val="bottom"/>
          </w:tcPr>
          <w:p>
            <w:pPr>
              <w:ind w:left="460"/>
              <w:spacing w:after="0"/>
              <w:rPr>
                <w:sz w:val="20"/>
                <w:szCs w:val="20"/>
                <w:color w:val="auto"/>
              </w:rPr>
            </w:pPr>
            <w:r>
              <w:rPr>
                <w:rFonts w:ascii="Arial" w:cs="Arial" w:eastAsia="Arial" w:hAnsi="Arial"/>
                <w:sz w:val="18"/>
                <w:szCs w:val="18"/>
                <w:b w:val="1"/>
                <w:bCs w:val="1"/>
                <w:color w:val="auto"/>
              </w:rPr>
              <w:t>Description</w:t>
            </w:r>
          </w:p>
        </w:tc>
      </w:tr>
      <w:tr>
        <w:trPr>
          <w:trHeight w:val="459"/>
        </w:trPr>
        <w:tc>
          <w:tcPr>
            <w:tcW w:w="1060" w:type="dxa"/>
            <w:vAlign w:val="bottom"/>
          </w:tcPr>
          <w:p>
            <w:pPr>
              <w:jc w:val="center"/>
              <w:ind w:right="352"/>
              <w:spacing w:after="0"/>
              <w:rPr>
                <w:sz w:val="20"/>
                <w:szCs w:val="20"/>
                <w:color w:val="auto"/>
              </w:rPr>
            </w:pPr>
            <w:r>
              <w:rPr>
                <w:rFonts w:ascii="Arial" w:cs="Arial" w:eastAsia="Arial" w:hAnsi="Arial"/>
                <w:sz w:val="18"/>
                <w:szCs w:val="18"/>
                <w:color w:val="auto"/>
                <w:w w:val="85"/>
              </w:rPr>
              <w:t>10.1</w:t>
            </w:r>
          </w:p>
        </w:tc>
        <w:tc>
          <w:tcPr>
            <w:tcW w:w="5980" w:type="dxa"/>
            <w:vAlign w:val="bottom"/>
          </w:tcPr>
          <w:p>
            <w:pPr>
              <w:ind w:left="460"/>
              <w:spacing w:after="0"/>
              <w:rPr>
                <w:sz w:val="20"/>
                <w:szCs w:val="20"/>
                <w:color w:val="auto"/>
              </w:rPr>
            </w:pPr>
            <w:r>
              <w:rPr>
                <w:rFonts w:ascii="Arial" w:cs="Arial" w:eastAsia="Arial" w:hAnsi="Arial"/>
                <w:sz w:val="18"/>
                <w:szCs w:val="18"/>
                <w:color w:val="auto"/>
              </w:rPr>
              <w:t>Officers Incentive Compensation Plan—Fiscal Period 2006</w:t>
            </w:r>
          </w:p>
        </w:tc>
      </w:tr>
      <w:tr>
        <w:trPr>
          <w:trHeight w:val="459"/>
        </w:trPr>
        <w:tc>
          <w:tcPr>
            <w:tcW w:w="1060" w:type="dxa"/>
            <w:vAlign w:val="bottom"/>
          </w:tcPr>
          <w:p>
            <w:pPr>
              <w:jc w:val="center"/>
              <w:ind w:right="352"/>
              <w:spacing w:after="0"/>
              <w:rPr>
                <w:sz w:val="20"/>
                <w:szCs w:val="20"/>
                <w:color w:val="auto"/>
              </w:rPr>
            </w:pPr>
            <w:r>
              <w:rPr>
                <w:rFonts w:ascii="Arial" w:cs="Arial" w:eastAsia="Arial" w:hAnsi="Arial"/>
                <w:sz w:val="18"/>
                <w:szCs w:val="18"/>
                <w:color w:val="auto"/>
                <w:w w:val="85"/>
              </w:rPr>
              <w:t>10.2</w:t>
            </w:r>
          </w:p>
        </w:tc>
        <w:tc>
          <w:tcPr>
            <w:tcW w:w="5980" w:type="dxa"/>
            <w:vAlign w:val="bottom"/>
          </w:tcPr>
          <w:p>
            <w:pPr>
              <w:ind w:left="460"/>
              <w:spacing w:after="0"/>
              <w:rPr>
                <w:sz w:val="20"/>
                <w:szCs w:val="20"/>
                <w:color w:val="auto"/>
              </w:rPr>
            </w:pPr>
            <w:r>
              <w:rPr>
                <w:rFonts w:ascii="Arial" w:cs="Arial" w:eastAsia="Arial" w:hAnsi="Arial"/>
                <w:sz w:val="18"/>
                <w:szCs w:val="18"/>
                <w:color w:val="auto"/>
                <w:w w:val="88"/>
              </w:rPr>
              <w:t>Officers Long-Term Incentive Plan—Fiscal Three-Year Period 2006, 2007 and</w:t>
            </w:r>
          </w:p>
        </w:tc>
      </w:tr>
    </w:tbl>
    <w:p>
      <w:pPr>
        <w:sectPr>
          <w:pgSz w:w="11900" w:h="16841" w:orient="portrait"/>
          <w:cols w:equalWidth="0" w:num="1">
            <w:col w:w="11400"/>
          </w:cols>
          <w:pgMar w:left="240" w:top="131" w:right="259" w:bottom="0" w:gutter="0" w:footer="0" w:header="0"/>
        </w:sectPr>
      </w:pPr>
    </w:p>
    <w:bookmarkStart w:id="2" w:name="page3"/>
    <w:bookmarkEnd w:id="2"/>
    <w:p>
      <w:pPr>
        <w:ind w:left="2420"/>
        <w:spacing w:after="0"/>
        <w:rPr>
          <w:sz w:val="20"/>
          <w:szCs w:val="20"/>
          <w:color w:val="auto"/>
        </w:rPr>
      </w:pPr>
      <w:r>
        <w:rPr>
          <w:rFonts w:ascii="Arial" w:cs="Arial" w:eastAsia="Arial" w:hAnsi="Arial"/>
          <w:sz w:val="18"/>
          <w:szCs w:val="18"/>
          <w:color w:val="auto"/>
        </w:rPr>
        <w:t>2008</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August 30, 2005</w:t>
      </w:r>
      <w:r>
        <w:rPr>
          <w:sz w:val="20"/>
          <w:szCs w:val="20"/>
          <w:color w:val="auto"/>
        </w:rPr>
        <w:tab/>
      </w:r>
      <w:r>
        <w:rPr>
          <w:rFonts w:ascii="Arial" w:cs="Arial" w:eastAsia="Arial" w:hAnsi="Arial"/>
          <w:sz w:val="16"/>
          <w:szCs w:val="16"/>
          <w:color w:val="auto"/>
        </w:rPr>
        <w:t>WINNEBAGO INDUSTRIES, INC.</w:t>
      </w:r>
    </w:p>
    <w:p>
      <w:pPr>
        <w:spacing w:after="0" w:line="252" w:lineRule="exact"/>
        <w:rPr>
          <w:sz w:val="20"/>
          <w:szCs w:val="20"/>
          <w:color w:val="auto"/>
        </w:rPr>
      </w:pPr>
    </w:p>
    <w:p>
      <w:pPr>
        <w:ind w:left="6780"/>
        <w:spacing w:after="0"/>
        <w:tabs>
          <w:tab w:leader="none" w:pos="7220" w:val="left"/>
        </w:tabs>
        <w:rPr>
          <w:sz w:val="20"/>
          <w:szCs w:val="20"/>
          <w:color w:val="auto"/>
        </w:rPr>
      </w:pPr>
      <w:r>
        <w:rPr>
          <w:rFonts w:ascii="Arial" w:cs="Arial" w:eastAsia="Arial" w:hAnsi="Arial"/>
          <w:sz w:val="18"/>
          <w:szCs w:val="18"/>
          <w:color w:val="auto"/>
        </w:rPr>
        <w:t>By:</w:t>
        <w:tab/>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4098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5300" w:type="dxa"/>
            <w:vAlign w:val="bottom"/>
          </w:tcPr>
          <w:p>
            <w:pPr>
              <w:ind w:left="4820"/>
              <w:spacing w:after="0"/>
              <w:rPr>
                <w:sz w:val="20"/>
                <w:szCs w:val="20"/>
                <w:color w:val="auto"/>
              </w:rPr>
            </w:pPr>
            <w:r>
              <w:rPr>
                <w:rFonts w:ascii="Arial" w:cs="Arial" w:eastAsia="Arial" w:hAnsi="Arial"/>
                <w:sz w:val="18"/>
                <w:szCs w:val="18"/>
                <w:color w:val="auto"/>
                <w:w w:val="86"/>
              </w:rPr>
              <w:t>Name:</w:t>
            </w:r>
          </w:p>
        </w:tc>
        <w:tc>
          <w:tcPr>
            <w:tcW w:w="4160" w:type="dxa"/>
            <w:vAlign w:val="bottom"/>
          </w:tcPr>
          <w:p>
            <w:pPr>
              <w:ind w:left="120"/>
              <w:spacing w:after="0"/>
              <w:rPr>
                <w:sz w:val="20"/>
                <w:szCs w:val="20"/>
                <w:color w:val="auto"/>
              </w:rPr>
            </w:pPr>
            <w:r>
              <w:rPr>
                <w:rFonts w:ascii="Arial" w:cs="Arial" w:eastAsia="Arial" w:hAnsi="Arial"/>
                <w:sz w:val="18"/>
                <w:szCs w:val="18"/>
                <w:color w:val="auto"/>
              </w:rPr>
              <w:t>Bruce D. Hertzke</w:t>
            </w:r>
          </w:p>
        </w:tc>
      </w:tr>
      <w:tr>
        <w:trPr>
          <w:trHeight w:val="222"/>
        </w:trPr>
        <w:tc>
          <w:tcPr>
            <w:tcW w:w="1960" w:type="dxa"/>
            <w:vAlign w:val="bottom"/>
          </w:tcPr>
          <w:p>
            <w:pPr>
              <w:spacing w:after="0"/>
              <w:rPr>
                <w:sz w:val="19"/>
                <w:szCs w:val="19"/>
                <w:color w:val="auto"/>
              </w:rPr>
            </w:pPr>
          </w:p>
        </w:tc>
        <w:tc>
          <w:tcPr>
            <w:tcW w:w="5300" w:type="dxa"/>
            <w:vAlign w:val="bottom"/>
          </w:tcPr>
          <w:p>
            <w:pPr>
              <w:ind w:left="4820"/>
              <w:spacing w:after="0"/>
              <w:rPr>
                <w:sz w:val="20"/>
                <w:szCs w:val="20"/>
                <w:color w:val="auto"/>
              </w:rPr>
            </w:pPr>
            <w:r>
              <w:rPr>
                <w:rFonts w:ascii="Arial" w:cs="Arial" w:eastAsia="Arial" w:hAnsi="Arial"/>
                <w:sz w:val="18"/>
                <w:szCs w:val="18"/>
                <w:color w:val="auto"/>
              </w:rPr>
              <w:t>Title:</w:t>
            </w:r>
          </w:p>
        </w:tc>
        <w:tc>
          <w:tcPr>
            <w:tcW w:w="416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675"/>
        </w:trPr>
        <w:tc>
          <w:tcPr>
            <w:tcW w:w="1960" w:type="dxa"/>
            <w:vAlign w:val="bottom"/>
          </w:tcPr>
          <w:p>
            <w:pPr>
              <w:spacing w:after="0"/>
              <w:rPr>
                <w:sz w:val="24"/>
                <w:szCs w:val="24"/>
                <w:color w:val="auto"/>
              </w:rPr>
            </w:pPr>
          </w:p>
        </w:tc>
        <w:tc>
          <w:tcPr>
            <w:tcW w:w="5300" w:type="dxa"/>
            <w:vAlign w:val="bottom"/>
          </w:tcPr>
          <w:p>
            <w:pPr>
              <w:ind w:left="3660"/>
              <w:spacing w:after="0"/>
              <w:rPr>
                <w:sz w:val="20"/>
                <w:szCs w:val="20"/>
                <w:color w:val="auto"/>
              </w:rPr>
            </w:pPr>
            <w:r>
              <w:rPr>
                <w:rFonts w:ascii="Arial" w:cs="Arial" w:eastAsia="Arial" w:hAnsi="Arial"/>
                <w:sz w:val="18"/>
                <w:szCs w:val="18"/>
                <w:color w:val="auto"/>
              </w:rPr>
              <w:t>-4-</w:t>
            </w:r>
          </w:p>
        </w:tc>
        <w:tc>
          <w:tcPr>
            <w:tcW w:w="4160" w:type="dxa"/>
            <w:vAlign w:val="bottom"/>
          </w:tcPr>
          <w:p>
            <w:pPr>
              <w:spacing w:after="0"/>
              <w:rPr>
                <w:sz w:val="24"/>
                <w:szCs w:val="24"/>
                <w:color w:val="auto"/>
              </w:rPr>
            </w:pPr>
          </w:p>
        </w:tc>
      </w:tr>
      <w:tr>
        <w:trPr>
          <w:trHeight w:val="242"/>
        </w:trPr>
        <w:tc>
          <w:tcPr>
            <w:tcW w:w="1960" w:type="dxa"/>
            <w:vAlign w:val="bottom"/>
            <w:tcBorders>
              <w:bottom w:val="single" w:sz="8" w:color="808080"/>
            </w:tcBorders>
          </w:tcPr>
          <w:p>
            <w:pPr>
              <w:spacing w:after="0"/>
              <w:rPr>
                <w:sz w:val="21"/>
                <w:szCs w:val="21"/>
                <w:color w:val="auto"/>
              </w:rPr>
            </w:pPr>
          </w:p>
        </w:tc>
        <w:tc>
          <w:tcPr>
            <w:tcW w:w="5300" w:type="dxa"/>
            <w:vAlign w:val="bottom"/>
            <w:tcBorders>
              <w:bottom w:val="single" w:sz="8" w:color="808080"/>
            </w:tcBorders>
          </w:tcPr>
          <w:p>
            <w:pPr>
              <w:spacing w:after="0"/>
              <w:rPr>
                <w:sz w:val="21"/>
                <w:szCs w:val="21"/>
                <w:color w:val="auto"/>
              </w:rPr>
            </w:pPr>
          </w:p>
        </w:tc>
        <w:tc>
          <w:tcPr>
            <w:tcW w:w="4160" w:type="dxa"/>
            <w:vAlign w:val="bottom"/>
            <w:tcBorders>
              <w:bottom w:val="single" w:sz="8" w:color="808080"/>
            </w:tcBorders>
          </w:tcPr>
          <w:p>
            <w:pPr>
              <w:spacing w:after="0"/>
              <w:rPr>
                <w:sz w:val="21"/>
                <w:szCs w:val="21"/>
                <w:color w:val="auto"/>
              </w:rPr>
            </w:pPr>
          </w:p>
        </w:tc>
      </w:tr>
      <w:tr>
        <w:trPr>
          <w:trHeight w:val="846"/>
        </w:trPr>
        <w:tc>
          <w:tcPr>
            <w:tcW w:w="1960" w:type="dxa"/>
            <w:vAlign w:val="bottom"/>
          </w:tcPr>
          <w:p>
            <w:pPr>
              <w:spacing w:after="0"/>
              <w:rPr>
                <w:sz w:val="24"/>
                <w:szCs w:val="24"/>
                <w:color w:val="auto"/>
              </w:rPr>
            </w:pPr>
          </w:p>
        </w:tc>
        <w:tc>
          <w:tcPr>
            <w:tcW w:w="5300" w:type="dxa"/>
            <w:vAlign w:val="bottom"/>
          </w:tcPr>
          <w:p>
            <w:pPr>
              <w:ind w:left="3080"/>
              <w:spacing w:after="0"/>
              <w:rPr>
                <w:sz w:val="20"/>
                <w:szCs w:val="20"/>
                <w:color w:val="auto"/>
              </w:rPr>
            </w:pPr>
            <w:r>
              <w:rPr>
                <w:rFonts w:ascii="Arial" w:cs="Arial" w:eastAsia="Arial" w:hAnsi="Arial"/>
                <w:sz w:val="18"/>
                <w:szCs w:val="18"/>
                <w:b w:val="1"/>
                <w:bCs w:val="1"/>
                <w:color w:val="auto"/>
              </w:rPr>
              <w:t>EXHIBIT INDEX</w:t>
            </w:r>
          </w:p>
        </w:tc>
        <w:tc>
          <w:tcPr>
            <w:tcW w:w="4160" w:type="dxa"/>
            <w:vAlign w:val="bottom"/>
          </w:tcPr>
          <w:p>
            <w:pPr>
              <w:spacing w:after="0"/>
              <w:rPr>
                <w:sz w:val="24"/>
                <w:szCs w:val="24"/>
                <w:color w:val="auto"/>
              </w:rPr>
            </w:pPr>
          </w:p>
        </w:tc>
      </w:tr>
      <w:tr>
        <w:trPr>
          <w:trHeight w:val="501"/>
        </w:trPr>
        <w:tc>
          <w:tcPr>
            <w:tcW w:w="1960" w:type="dxa"/>
            <w:vAlign w:val="bottom"/>
          </w:tcPr>
          <w:p>
            <w:pPr>
              <w:jc w:val="center"/>
              <w:ind w:left="372"/>
              <w:spacing w:after="0"/>
              <w:rPr>
                <w:sz w:val="20"/>
                <w:szCs w:val="20"/>
                <w:color w:val="auto"/>
              </w:rPr>
            </w:pPr>
            <w:r>
              <w:rPr>
                <w:rFonts w:ascii="Arial" w:cs="Arial" w:eastAsia="Arial" w:hAnsi="Arial"/>
                <w:sz w:val="18"/>
                <w:szCs w:val="18"/>
                <w:b w:val="1"/>
                <w:bCs w:val="1"/>
                <w:color w:val="auto"/>
                <w:w w:val="89"/>
              </w:rPr>
              <w:t>Exhibit</w:t>
            </w:r>
          </w:p>
        </w:tc>
        <w:tc>
          <w:tcPr>
            <w:tcW w:w="530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28"/>
        </w:trPr>
        <w:tc>
          <w:tcPr>
            <w:tcW w:w="1960" w:type="dxa"/>
            <w:vAlign w:val="bottom"/>
          </w:tcPr>
          <w:p>
            <w:pPr>
              <w:jc w:val="center"/>
              <w:ind w:left="372"/>
              <w:spacing w:after="0"/>
              <w:rPr>
                <w:sz w:val="20"/>
                <w:szCs w:val="20"/>
                <w:color w:val="auto"/>
              </w:rPr>
            </w:pPr>
            <w:r>
              <w:rPr>
                <w:rFonts w:ascii="Arial" w:cs="Arial" w:eastAsia="Arial" w:hAnsi="Arial"/>
                <w:sz w:val="18"/>
                <w:szCs w:val="18"/>
                <w:b w:val="1"/>
                <w:bCs w:val="1"/>
                <w:color w:val="auto"/>
                <w:w w:val="91"/>
              </w:rPr>
              <w:t>Number</w:t>
            </w:r>
          </w:p>
        </w:tc>
        <w:tc>
          <w:tcPr>
            <w:tcW w:w="5300" w:type="dxa"/>
            <w:vAlign w:val="bottom"/>
          </w:tcPr>
          <w:p>
            <w:pPr>
              <w:ind w:left="460"/>
              <w:spacing w:after="0"/>
              <w:rPr>
                <w:sz w:val="20"/>
                <w:szCs w:val="20"/>
                <w:color w:val="auto"/>
              </w:rPr>
            </w:pPr>
            <w:r>
              <w:rPr>
                <w:rFonts w:ascii="Arial" w:cs="Arial" w:eastAsia="Arial" w:hAnsi="Arial"/>
                <w:sz w:val="18"/>
                <w:szCs w:val="18"/>
                <w:b w:val="1"/>
                <w:bCs w:val="1"/>
                <w:color w:val="auto"/>
              </w:rPr>
              <w:t>Description</w:t>
            </w:r>
          </w:p>
        </w:tc>
        <w:tc>
          <w:tcPr>
            <w:tcW w:w="4160" w:type="dxa"/>
            <w:vAlign w:val="bottom"/>
          </w:tcPr>
          <w:p>
            <w:pPr>
              <w:spacing w:after="0"/>
              <w:rPr>
                <w:sz w:val="19"/>
                <w:szCs w:val="19"/>
                <w:color w:val="auto"/>
              </w:rPr>
            </w:pPr>
          </w:p>
        </w:tc>
      </w:tr>
      <w:tr>
        <w:trPr>
          <w:trHeight w:val="459"/>
        </w:trPr>
        <w:tc>
          <w:tcPr>
            <w:tcW w:w="1960" w:type="dxa"/>
            <w:vAlign w:val="bottom"/>
          </w:tcPr>
          <w:p>
            <w:pPr>
              <w:jc w:val="center"/>
              <w:ind w:left="372"/>
              <w:spacing w:after="0"/>
              <w:rPr>
                <w:sz w:val="20"/>
                <w:szCs w:val="20"/>
                <w:color w:val="auto"/>
              </w:rPr>
            </w:pPr>
            <w:r>
              <w:rPr>
                <w:rFonts w:ascii="Arial" w:cs="Arial" w:eastAsia="Arial" w:hAnsi="Arial"/>
                <w:sz w:val="18"/>
                <w:szCs w:val="18"/>
                <w:color w:val="auto"/>
                <w:w w:val="85"/>
              </w:rPr>
              <w:t>10.1</w:t>
            </w:r>
          </w:p>
        </w:tc>
        <w:tc>
          <w:tcPr>
            <w:tcW w:w="5300" w:type="dxa"/>
            <w:vAlign w:val="bottom"/>
          </w:tcPr>
          <w:p>
            <w:pPr>
              <w:ind w:left="460"/>
              <w:spacing w:after="0"/>
              <w:rPr>
                <w:sz w:val="20"/>
                <w:szCs w:val="20"/>
                <w:color w:val="auto"/>
              </w:rPr>
            </w:pPr>
            <w:r>
              <w:rPr>
                <w:rFonts w:ascii="Arial" w:cs="Arial" w:eastAsia="Arial" w:hAnsi="Arial"/>
                <w:sz w:val="18"/>
                <w:szCs w:val="18"/>
                <w:color w:val="auto"/>
              </w:rPr>
              <w:t>Officers Incentive Compensation Plan—Fiscal Period 2006</w:t>
            </w:r>
          </w:p>
        </w:tc>
        <w:tc>
          <w:tcPr>
            <w:tcW w:w="4160" w:type="dxa"/>
            <w:vAlign w:val="bottom"/>
          </w:tcPr>
          <w:p>
            <w:pPr>
              <w:spacing w:after="0"/>
              <w:rPr>
                <w:sz w:val="24"/>
                <w:szCs w:val="24"/>
                <w:color w:val="auto"/>
              </w:rPr>
            </w:pPr>
          </w:p>
        </w:tc>
      </w:tr>
      <w:tr>
        <w:trPr>
          <w:trHeight w:val="453"/>
        </w:trPr>
        <w:tc>
          <w:tcPr>
            <w:tcW w:w="1960" w:type="dxa"/>
            <w:vAlign w:val="bottom"/>
          </w:tcPr>
          <w:p>
            <w:pPr>
              <w:spacing w:after="0"/>
              <w:rPr>
                <w:sz w:val="24"/>
                <w:szCs w:val="24"/>
                <w:color w:val="auto"/>
              </w:rPr>
            </w:pPr>
          </w:p>
        </w:tc>
        <w:tc>
          <w:tcPr>
            <w:tcW w:w="9460" w:type="dxa"/>
            <w:vAlign w:val="bottom"/>
            <w:gridSpan w:val="2"/>
          </w:tcPr>
          <w:p>
            <w:pPr>
              <w:ind w:left="460"/>
              <w:spacing w:after="0"/>
              <w:rPr>
                <w:sz w:val="20"/>
                <w:szCs w:val="20"/>
                <w:color w:val="auto"/>
              </w:rPr>
            </w:pPr>
            <w:r>
              <w:rPr>
                <w:rFonts w:ascii="Arial" w:cs="Arial" w:eastAsia="Arial" w:hAnsi="Arial"/>
                <w:sz w:val="18"/>
                <w:szCs w:val="18"/>
                <w:color w:val="auto"/>
              </w:rPr>
              <w:t>Officers Long-Term Incentive Plan—Fiscal Three-Year Period 2006, 2007 and</w:t>
            </w:r>
          </w:p>
        </w:tc>
      </w:tr>
      <w:tr>
        <w:trPr>
          <w:trHeight w:val="222"/>
        </w:trPr>
        <w:tc>
          <w:tcPr>
            <w:tcW w:w="1960" w:type="dxa"/>
            <w:vAlign w:val="bottom"/>
          </w:tcPr>
          <w:p>
            <w:pPr>
              <w:jc w:val="center"/>
              <w:ind w:left="372"/>
              <w:spacing w:after="0"/>
              <w:rPr>
                <w:sz w:val="20"/>
                <w:szCs w:val="20"/>
                <w:color w:val="auto"/>
              </w:rPr>
            </w:pPr>
            <w:r>
              <w:rPr>
                <w:rFonts w:ascii="Arial" w:cs="Arial" w:eastAsia="Arial" w:hAnsi="Arial"/>
                <w:sz w:val="18"/>
                <w:szCs w:val="18"/>
                <w:color w:val="auto"/>
                <w:w w:val="85"/>
              </w:rPr>
              <w:t>10.2</w:t>
            </w:r>
          </w:p>
        </w:tc>
        <w:tc>
          <w:tcPr>
            <w:tcW w:w="5300" w:type="dxa"/>
            <w:vAlign w:val="bottom"/>
          </w:tcPr>
          <w:p>
            <w:pPr>
              <w:ind w:left="460"/>
              <w:spacing w:after="0"/>
              <w:rPr>
                <w:sz w:val="20"/>
                <w:szCs w:val="20"/>
                <w:color w:val="auto"/>
              </w:rPr>
            </w:pPr>
            <w:r>
              <w:rPr>
                <w:rFonts w:ascii="Arial" w:cs="Arial" w:eastAsia="Arial" w:hAnsi="Arial"/>
                <w:sz w:val="18"/>
                <w:szCs w:val="18"/>
                <w:color w:val="auto"/>
              </w:rPr>
              <w:t>2008</w:t>
            </w:r>
          </w:p>
        </w:tc>
        <w:tc>
          <w:tcPr>
            <w:tcW w:w="4160" w:type="dxa"/>
            <w:vAlign w:val="bottom"/>
          </w:tcPr>
          <w:p>
            <w:pPr>
              <w:spacing w:after="0"/>
              <w:rPr>
                <w:sz w:val="19"/>
                <w:szCs w:val="19"/>
                <w:color w:val="auto"/>
              </w:rPr>
            </w:pPr>
          </w:p>
        </w:tc>
      </w:tr>
      <w:tr>
        <w:trPr>
          <w:trHeight w:val="918"/>
        </w:trPr>
        <w:tc>
          <w:tcPr>
            <w:tcW w:w="1960" w:type="dxa"/>
            <w:vAlign w:val="bottom"/>
          </w:tcPr>
          <w:p>
            <w:pPr>
              <w:spacing w:after="0"/>
              <w:rPr>
                <w:sz w:val="24"/>
                <w:szCs w:val="24"/>
                <w:color w:val="auto"/>
              </w:rPr>
            </w:pPr>
          </w:p>
        </w:tc>
        <w:tc>
          <w:tcPr>
            <w:tcW w:w="5300" w:type="dxa"/>
            <w:vAlign w:val="bottom"/>
          </w:tcPr>
          <w:p>
            <w:pPr>
              <w:ind w:left="3660"/>
              <w:spacing w:after="0"/>
              <w:rPr>
                <w:sz w:val="20"/>
                <w:szCs w:val="20"/>
                <w:color w:val="auto"/>
              </w:rPr>
            </w:pPr>
            <w:r>
              <w:rPr>
                <w:rFonts w:ascii="Arial" w:cs="Arial" w:eastAsia="Arial" w:hAnsi="Arial"/>
                <w:sz w:val="18"/>
                <w:szCs w:val="18"/>
                <w:color w:val="auto"/>
              </w:rPr>
              <w:t>-5-</w:t>
            </w:r>
          </w:p>
        </w:tc>
        <w:tc>
          <w:tcPr>
            <w:tcW w:w="4160" w:type="dxa"/>
            <w:vAlign w:val="bottom"/>
          </w:tcPr>
          <w:p>
            <w:pPr>
              <w:spacing w:after="0"/>
              <w:rPr>
                <w:sz w:val="24"/>
                <w:szCs w:val="24"/>
                <w:color w:val="auto"/>
              </w:rPr>
            </w:pPr>
          </w:p>
        </w:tc>
      </w:tr>
      <w:tr>
        <w:trPr>
          <w:trHeight w:val="242"/>
        </w:trPr>
        <w:tc>
          <w:tcPr>
            <w:tcW w:w="1960" w:type="dxa"/>
            <w:vAlign w:val="bottom"/>
            <w:tcBorders>
              <w:bottom w:val="single" w:sz="8" w:color="808080"/>
            </w:tcBorders>
          </w:tcPr>
          <w:p>
            <w:pPr>
              <w:spacing w:after="0"/>
              <w:rPr>
                <w:sz w:val="21"/>
                <w:szCs w:val="21"/>
                <w:color w:val="auto"/>
              </w:rPr>
            </w:pPr>
          </w:p>
        </w:tc>
        <w:tc>
          <w:tcPr>
            <w:tcW w:w="5300" w:type="dxa"/>
            <w:vAlign w:val="bottom"/>
            <w:tcBorders>
              <w:bottom w:val="single" w:sz="8" w:color="808080"/>
            </w:tcBorders>
          </w:tcPr>
          <w:p>
            <w:pPr>
              <w:spacing w:after="0"/>
              <w:rPr>
                <w:sz w:val="21"/>
                <w:szCs w:val="21"/>
                <w:color w:val="auto"/>
              </w:rPr>
            </w:pPr>
          </w:p>
        </w:tc>
        <w:tc>
          <w:tcPr>
            <w:tcW w:w="41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-2499360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-2499360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2550160</wp:posOffset>
            </wp:positionH>
            <wp:positionV relativeFrom="page">
              <wp:posOffset>1461135</wp:posOffset>
            </wp:positionV>
            <wp:extent cx="2470150" cy="934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47015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51"/>
        <w:spacing w:after="0"/>
        <w:rPr>
          <w:sz w:val="20"/>
          <w:szCs w:val="20"/>
          <w:color w:val="auto"/>
        </w:rPr>
      </w:pPr>
      <w:r>
        <w:rPr>
          <w:rFonts w:ascii="Arial" w:cs="Arial" w:eastAsia="Arial" w:hAnsi="Arial"/>
          <w:sz w:val="24"/>
          <w:szCs w:val="24"/>
          <w:b w:val="1"/>
          <w:bCs w:val="1"/>
          <w:color w:val="auto"/>
        </w:rPr>
        <w:t>OFFICERS INCENTIVE COMPENSATION PLAN</w:t>
      </w:r>
    </w:p>
    <w:p>
      <w:pPr>
        <w:spacing w:after="0" w:line="305" w:lineRule="exact"/>
        <w:rPr>
          <w:sz w:val="20"/>
          <w:szCs w:val="20"/>
          <w:color w:val="auto"/>
        </w:rPr>
      </w:pPr>
    </w:p>
    <w:p>
      <w:pPr>
        <w:jc w:val="center"/>
        <w:ind w:right="-351"/>
        <w:spacing w:after="0"/>
        <w:rPr>
          <w:sz w:val="20"/>
          <w:szCs w:val="20"/>
          <w:color w:val="auto"/>
        </w:rPr>
      </w:pPr>
      <w:r>
        <w:rPr>
          <w:rFonts w:ascii="Arial" w:cs="Arial" w:eastAsia="Arial" w:hAnsi="Arial"/>
          <w:sz w:val="24"/>
          <w:szCs w:val="24"/>
          <w:b w:val="1"/>
          <w:bCs w:val="1"/>
          <w:color w:val="auto"/>
        </w:rPr>
        <w:t>GROUP A – OFFICERS</w:t>
      </w:r>
    </w:p>
    <w:p>
      <w:pPr>
        <w:spacing w:after="0" w:line="291" w:lineRule="exact"/>
        <w:rPr>
          <w:sz w:val="20"/>
          <w:szCs w:val="20"/>
          <w:color w:val="auto"/>
        </w:rPr>
      </w:pPr>
    </w:p>
    <w:p>
      <w:pPr>
        <w:jc w:val="center"/>
        <w:ind w:right="-351"/>
        <w:spacing w:after="0"/>
        <w:rPr>
          <w:sz w:val="20"/>
          <w:szCs w:val="20"/>
          <w:color w:val="auto"/>
        </w:rPr>
      </w:pPr>
      <w:r>
        <w:rPr>
          <w:rFonts w:ascii="Arial" w:cs="Arial" w:eastAsia="Arial" w:hAnsi="Arial"/>
          <w:sz w:val="24"/>
          <w:szCs w:val="24"/>
          <w:b w:val="1"/>
          <w:bCs w:val="1"/>
          <w:color w:val="auto"/>
        </w:rPr>
        <w:t>FISCAL PERIOD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2439035</wp:posOffset>
            </wp:positionV>
            <wp:extent cx="7250430"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91"/>
        <w:spacing w:after="0"/>
        <w:rPr>
          <w:sz w:val="20"/>
          <w:szCs w:val="20"/>
          <w:color w:val="auto"/>
        </w:rPr>
      </w:pPr>
      <w:r>
        <w:rPr>
          <w:rFonts w:ascii="Arial" w:cs="Arial" w:eastAsia="Arial" w:hAnsi="Arial"/>
          <w:sz w:val="24"/>
          <w:szCs w:val="24"/>
          <w:b w:val="1"/>
          <w:bCs w:val="1"/>
          <w:color w:val="auto"/>
        </w:rPr>
        <w:t>WINNEBAGO INDUSTRIES, INC.</w:t>
      </w:r>
    </w:p>
    <w:p>
      <w:pPr>
        <w:spacing w:after="0" w:line="36" w:lineRule="exact"/>
        <w:rPr>
          <w:sz w:val="20"/>
          <w:szCs w:val="20"/>
          <w:color w:val="auto"/>
        </w:rPr>
      </w:pPr>
    </w:p>
    <w:p>
      <w:pPr>
        <w:jc w:val="center"/>
        <w:ind w:right="-291"/>
        <w:spacing w:after="0"/>
        <w:rPr>
          <w:sz w:val="20"/>
          <w:szCs w:val="20"/>
          <w:color w:val="auto"/>
        </w:rPr>
      </w:pPr>
      <w:r>
        <w:rPr>
          <w:rFonts w:ascii="Arial" w:cs="Arial" w:eastAsia="Arial" w:hAnsi="Arial"/>
          <w:sz w:val="24"/>
          <w:szCs w:val="24"/>
          <w:b w:val="1"/>
          <w:bCs w:val="1"/>
          <w:color w:val="auto"/>
        </w:rPr>
        <w:t>OFFICERS INCENTIVE COMPENSATION PLAN</w:t>
      </w:r>
    </w:p>
    <w:p>
      <w:pPr>
        <w:spacing w:after="0" w:line="8" w:lineRule="exact"/>
        <w:rPr>
          <w:sz w:val="20"/>
          <w:szCs w:val="20"/>
          <w:color w:val="auto"/>
        </w:rPr>
      </w:pPr>
    </w:p>
    <w:p>
      <w:pPr>
        <w:jc w:val="center"/>
        <w:ind w:right="-351"/>
        <w:spacing w:after="0"/>
        <w:rPr>
          <w:sz w:val="20"/>
          <w:szCs w:val="20"/>
          <w:color w:val="auto"/>
        </w:rPr>
      </w:pPr>
      <w:r>
        <w:rPr>
          <w:rFonts w:ascii="Arial" w:cs="Arial" w:eastAsia="Arial" w:hAnsi="Arial"/>
          <w:sz w:val="24"/>
          <w:szCs w:val="24"/>
          <w:b w:val="1"/>
          <w:bCs w:val="1"/>
          <w:color w:val="auto"/>
        </w:rPr>
        <w:t>Fiscal Period 2006</w:t>
      </w:r>
    </w:p>
    <w:p>
      <w:pPr>
        <w:spacing w:after="0" w:line="291" w:lineRule="exact"/>
        <w:rPr>
          <w:sz w:val="20"/>
          <w:szCs w:val="20"/>
          <w:color w:val="auto"/>
        </w:rPr>
      </w:pPr>
    </w:p>
    <w:p>
      <w:pPr>
        <w:ind w:left="352" w:hanging="352"/>
        <w:spacing w:after="0" w:line="262" w:lineRule="auto"/>
        <w:tabs>
          <w:tab w:leader="none" w:pos="352"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color w:val="auto"/>
        </w:rPr>
        <w:t>. The purpose of the Winnebago Industries, Inc. Officers Incentive Compensation Plan (the “Plan”) is to promote the growth and profitability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Winnebago Industries, Inc. (the “Company”) by providing its officers with an incentive to achieve corporate profit objectives and to attract and retain officers who will contribute to the achievement of growth and profitability of the company.</w:t>
      </w:r>
    </w:p>
    <w:p>
      <w:pPr>
        <w:spacing w:after="0" w:line="213" w:lineRule="exact"/>
        <w:rPr>
          <w:rFonts w:ascii="Arial" w:cs="Arial" w:eastAsia="Arial" w:hAnsi="Arial"/>
          <w:sz w:val="18"/>
          <w:szCs w:val="18"/>
          <w:color w:val="auto"/>
        </w:rPr>
      </w:pPr>
    </w:p>
    <w:p>
      <w:pPr>
        <w:ind w:left="352" w:hanging="352"/>
        <w:spacing w:after="0"/>
        <w:tabs>
          <w:tab w:leader="none" w:pos="352"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p>
    <w:p>
      <w:pPr>
        <w:spacing w:after="0" w:line="252" w:lineRule="exact"/>
        <w:rPr>
          <w:rFonts w:ascii="Arial" w:cs="Arial" w:eastAsia="Arial" w:hAnsi="Arial"/>
          <w:sz w:val="18"/>
          <w:szCs w:val="18"/>
          <w:color w:val="auto"/>
        </w:rPr>
      </w:pPr>
    </w:p>
    <w:p>
      <w:pPr>
        <w:ind w:left="1032" w:hanging="465"/>
        <w:spacing w:after="0"/>
        <w:tabs>
          <w:tab w:leader="none" w:pos="1032" w:val="left"/>
        </w:tabs>
        <w:numPr>
          <w:ilvl w:val="1"/>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Human Resources Committee</w:t>
      </w:r>
      <w:r>
        <w:rPr>
          <w:rFonts w:ascii="Arial" w:cs="Arial" w:eastAsia="Arial" w:hAnsi="Arial"/>
          <w:sz w:val="16"/>
          <w:szCs w:val="16"/>
          <w:color w:val="auto"/>
        </w:rPr>
        <w:t>. The Plan shall be administered by a Committee (the “Committee”) appointed by the Board of Directors.</w:t>
      </w:r>
    </w:p>
    <w:p>
      <w:pPr>
        <w:spacing w:after="0" w:line="275" w:lineRule="exact"/>
        <w:rPr>
          <w:rFonts w:ascii="Arial" w:cs="Arial" w:eastAsia="Arial" w:hAnsi="Arial"/>
          <w:sz w:val="16"/>
          <w:szCs w:val="16"/>
          <w:color w:val="auto"/>
        </w:rPr>
      </w:pPr>
    </w:p>
    <w:p>
      <w:pPr>
        <w:ind w:left="1032" w:right="280" w:hanging="475"/>
        <w:spacing w:after="0" w:line="310" w:lineRule="auto"/>
        <w:tabs>
          <w:tab w:leader="none" w:pos="1032" w:val="left"/>
        </w:tabs>
        <w:numPr>
          <w:ilvl w:val="1"/>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Powers and Duties</w:t>
      </w:r>
      <w:r>
        <w:rPr>
          <w:rFonts w:ascii="Arial" w:cs="Arial" w:eastAsia="Arial" w:hAnsi="Arial"/>
          <w:sz w:val="16"/>
          <w:szCs w:val="16"/>
          <w:color w:val="auto"/>
        </w:rPr>
        <w:t>. The Committee shall have sole discretion and authority to make any and all determinations necessary or advisable for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78" w:lineRule="exact"/>
        <w:rPr>
          <w:rFonts w:ascii="Arial" w:cs="Arial" w:eastAsia="Arial" w:hAnsi="Arial"/>
          <w:sz w:val="16"/>
          <w:szCs w:val="16"/>
          <w:color w:val="auto"/>
        </w:rPr>
      </w:pPr>
    </w:p>
    <w:p>
      <w:pPr>
        <w:ind w:left="1032" w:hanging="465"/>
        <w:spacing w:after="0"/>
        <w:tabs>
          <w:tab w:leader="none" w:pos="1032" w:val="left"/>
        </w:tabs>
        <w:numPr>
          <w:ilvl w:val="1"/>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must approve the Plan prior to the beginning of each new fiscal year.</w:t>
      </w:r>
    </w:p>
    <w:p>
      <w:pPr>
        <w:spacing w:after="0" w:line="252" w:lineRule="exact"/>
        <w:rPr>
          <w:rFonts w:ascii="Arial" w:cs="Arial" w:eastAsia="Arial" w:hAnsi="Arial"/>
          <w:sz w:val="18"/>
          <w:szCs w:val="18"/>
          <w:color w:val="auto"/>
        </w:rPr>
      </w:pPr>
    </w:p>
    <w:p>
      <w:pPr>
        <w:ind w:left="352" w:hanging="352"/>
        <w:spacing w:after="0"/>
        <w:tabs>
          <w:tab w:leader="none" w:pos="352"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Participation Eligibility</w:t>
      </w:r>
      <w:r>
        <w:rPr>
          <w:rFonts w:ascii="Arial" w:cs="Arial" w:eastAsia="Arial" w:hAnsi="Arial"/>
          <w:sz w:val="18"/>
          <w:szCs w:val="18"/>
          <w:color w:val="auto"/>
        </w:rPr>
        <w:t>.</w:t>
      </w:r>
    </w:p>
    <w:p>
      <w:pPr>
        <w:spacing w:after="0" w:line="258" w:lineRule="exact"/>
        <w:rPr>
          <w:rFonts w:ascii="Arial" w:cs="Arial" w:eastAsia="Arial" w:hAnsi="Arial"/>
          <w:sz w:val="18"/>
          <w:szCs w:val="18"/>
          <w:color w:val="auto"/>
        </w:rPr>
      </w:pPr>
    </w:p>
    <w:p>
      <w:pPr>
        <w:ind w:left="1032" w:hanging="465"/>
        <w:spacing w:after="0"/>
        <w:tabs>
          <w:tab w:leader="none" w:pos="1032" w:val="left"/>
        </w:tabs>
        <w:numPr>
          <w:ilvl w:val="1"/>
          <w:numId w:val="3"/>
        </w:numPr>
        <w:rPr>
          <w:rFonts w:ascii="Arial" w:cs="Arial" w:eastAsia="Arial" w:hAnsi="Arial"/>
          <w:sz w:val="16"/>
          <w:szCs w:val="16"/>
          <w:color w:val="auto"/>
        </w:rPr>
      </w:pPr>
      <w:r>
        <w:rPr>
          <w:rFonts w:ascii="Arial" w:cs="Arial" w:eastAsia="Arial" w:hAnsi="Arial"/>
          <w:sz w:val="16"/>
          <w:szCs w:val="16"/>
          <w:color w:val="auto"/>
        </w:rPr>
        <w:t>Participants must be an officer of the Company with responsibilities that can have a real impact on the Corporation’s end results.</w:t>
      </w:r>
    </w:p>
    <w:p>
      <w:pPr>
        <w:spacing w:after="0" w:line="275" w:lineRule="exact"/>
        <w:rPr>
          <w:rFonts w:ascii="Arial" w:cs="Arial" w:eastAsia="Arial" w:hAnsi="Arial"/>
          <w:sz w:val="16"/>
          <w:szCs w:val="16"/>
          <w:color w:val="auto"/>
        </w:rPr>
      </w:pPr>
    </w:p>
    <w:p>
      <w:pPr>
        <w:ind w:left="1032" w:hanging="475"/>
        <w:spacing w:after="0"/>
        <w:tabs>
          <w:tab w:leader="none" w:pos="1032"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Committee will approve all initial participation prior to the beginning of each new program except as provided for in section c. below.</w:t>
      </w:r>
    </w:p>
    <w:p>
      <w:pPr>
        <w:sectPr>
          <w:pgSz w:w="11900" w:h="16838" w:orient="portrait"/>
          <w:cols w:equalWidth="0" w:num="1">
            <w:col w:w="11072"/>
          </w:cols>
          <w:pgMar w:left="248" w:top="1440" w:right="579" w:bottom="36" w:gutter="0" w:footer="0" w:header="0"/>
        </w:sectPr>
      </w:pPr>
    </w:p>
    <w:bookmarkStart w:id="4" w:name="page5"/>
    <w:bookmarkEnd w:id="4"/>
    <w:p>
      <w:pPr>
        <w:spacing w:after="0" w:line="67" w:lineRule="exact"/>
        <w:rPr>
          <w:sz w:val="20"/>
          <w:szCs w:val="20"/>
          <w:color w:val="auto"/>
        </w:rPr>
      </w:pPr>
    </w:p>
    <w:p>
      <w:pPr>
        <w:ind w:left="1032" w:right="100" w:hanging="465"/>
        <w:spacing w:after="0" w:line="306" w:lineRule="auto"/>
        <w:tabs>
          <w:tab w:leader="none" w:pos="1032"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Chairman of the Board and CEO of Winnebago Industries, Inc. will make the determination on participation for new participants and for payment of earned holdback allocations due to retirement, disability or death. Unless otherwise specified, participants must be employed as of the end of the fiscal period for any quarterly incentive payment and employed as of the end of the fiscal year to be eligible for any holdback.</w:t>
      </w:r>
    </w:p>
    <w:p>
      <w:pPr>
        <w:spacing w:after="0" w:line="181" w:lineRule="exact"/>
        <w:rPr>
          <w:rFonts w:ascii="Arial" w:cs="Arial" w:eastAsia="Arial" w:hAnsi="Arial"/>
          <w:sz w:val="16"/>
          <w:szCs w:val="16"/>
          <w:color w:val="auto"/>
        </w:rPr>
      </w:pPr>
    </w:p>
    <w:p>
      <w:pPr>
        <w:ind w:left="352" w:right="100" w:hanging="352"/>
        <w:spacing w:after="0" w:line="339" w:lineRule="auto"/>
        <w:tabs>
          <w:tab w:leader="none" w:pos="352" w:val="left"/>
        </w:tabs>
        <w:numPr>
          <w:ilvl w:val="0"/>
          <w:numId w:val="5"/>
        </w:numPr>
        <w:rPr>
          <w:rFonts w:ascii="Arial" w:cs="Arial" w:eastAsia="Arial" w:hAnsi="Arial"/>
          <w:sz w:val="16"/>
          <w:szCs w:val="16"/>
          <w:color w:val="auto"/>
        </w:rPr>
      </w:pPr>
      <w:r>
        <w:rPr>
          <w:rFonts w:ascii="Arial" w:cs="Arial" w:eastAsia="Arial" w:hAnsi="Arial"/>
          <w:sz w:val="16"/>
          <w:szCs w:val="16"/>
          <w:b w:val="1"/>
          <w:bCs w:val="1"/>
          <w:u w:val="single" w:color="auto"/>
          <w:color w:val="auto"/>
        </w:rPr>
        <w:t>Nature of the Plan</w:t>
      </w:r>
      <w:r>
        <w:rPr>
          <w:rFonts w:ascii="Arial" w:cs="Arial" w:eastAsia="Arial" w:hAnsi="Arial"/>
          <w:sz w:val="16"/>
          <w:szCs w:val="16"/>
          <w:color w:val="auto"/>
        </w:rPr>
        <w:t>. The incentive award is based upon financial performance of the Corporation. The Plan is an annual program that provides for quarterly</w:t>
      </w:r>
      <w:r>
        <w:rPr>
          <w:rFonts w:ascii="Arial" w:cs="Arial" w:eastAsia="Arial" w:hAnsi="Arial"/>
          <w:sz w:val="16"/>
          <w:szCs w:val="16"/>
          <w:b w:val="1"/>
          <w:bCs w:val="1"/>
          <w:color w:val="auto"/>
        </w:rPr>
        <w:t xml:space="preserve"> </w:t>
      </w:r>
      <w:r>
        <w:rPr>
          <w:rFonts w:ascii="Arial" w:cs="Arial" w:eastAsia="Arial" w:hAnsi="Arial"/>
          <w:sz w:val="16"/>
          <w:szCs w:val="16"/>
          <w:color w:val="auto"/>
        </w:rPr>
        <w:t>cumulative measurements of financial performance and an opportunity for quarterly incentive payment based on performance results.</w:t>
      </w:r>
    </w:p>
    <w:p>
      <w:pPr>
        <w:spacing w:after="0" w:line="161" w:lineRule="exact"/>
        <w:rPr>
          <w:rFonts w:ascii="Arial" w:cs="Arial" w:eastAsia="Arial" w:hAnsi="Arial"/>
          <w:sz w:val="16"/>
          <w:szCs w:val="16"/>
          <w:color w:val="auto"/>
        </w:rPr>
      </w:pPr>
    </w:p>
    <w:p>
      <w:pPr>
        <w:ind w:left="352" w:right="340"/>
        <w:spacing w:after="0" w:line="306" w:lineRule="auto"/>
        <w:rPr>
          <w:rFonts w:ascii="Arial" w:cs="Arial" w:eastAsia="Arial" w:hAnsi="Arial"/>
          <w:sz w:val="16"/>
          <w:szCs w:val="16"/>
          <w:color w:val="auto"/>
        </w:rPr>
      </w:pPr>
      <w:r>
        <w:rPr>
          <w:rFonts w:ascii="Arial" w:cs="Arial" w:eastAsia="Arial" w:hAnsi="Arial"/>
          <w:sz w:val="16"/>
          <w:szCs w:val="16"/>
          <w:color w:val="auto"/>
        </w:rPr>
        <w:t>The financial performance measurements for this Plan will be based upon one or more pre-established financial criteria. These financial performance measurements will provide an appropriate balance between quality and quantity of earnings. The Board annually establishes the financial measurements including a Target, a minimum threshold below which an incentive will not be paid and a maximum incentive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52" w:right="160" w:hanging="352"/>
        <w:spacing w:after="0" w:line="301" w:lineRule="auto"/>
        <w:tabs>
          <w:tab w:leader="none" w:pos="352" w:val="left"/>
        </w:tabs>
        <w:numPr>
          <w:ilvl w:val="0"/>
          <w:numId w:val="6"/>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Payment</w:t>
      </w:r>
      <w:r>
        <w:rPr>
          <w:rFonts w:ascii="Arial" w:cs="Arial" w:eastAsia="Arial" w:hAnsi="Arial"/>
          <w:sz w:val="16"/>
          <w:szCs w:val="16"/>
          <w:color w:val="auto"/>
        </w:rPr>
        <w:t>. The amount of the participants’ incentive compensation for the quarter shall be in direct proportion to the financial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expressed as a percentage (Financial Factor) against predetermined compensation targets for each participant. Upon completion of the first quarter of the fiscal year, quarterly results thereafter shall be combined to form cumulative fiscal year-to-date results. The results for the respective period will be used in identifying the Financial Factor to be used for that period when calculating the participants incentive compensation.</w:t>
      </w:r>
    </w:p>
    <w:p>
      <w:pPr>
        <w:spacing w:after="0" w:line="190" w:lineRule="exact"/>
        <w:rPr>
          <w:rFonts w:ascii="Arial" w:cs="Arial" w:eastAsia="Arial" w:hAnsi="Arial"/>
          <w:sz w:val="16"/>
          <w:szCs w:val="16"/>
          <w:color w:val="auto"/>
        </w:rPr>
      </w:pPr>
    </w:p>
    <w:p>
      <w:pPr>
        <w:jc w:val="both"/>
        <w:ind w:left="352" w:right="360"/>
        <w:spacing w:after="0" w:line="306" w:lineRule="auto"/>
        <w:rPr>
          <w:rFonts w:ascii="Arial" w:cs="Arial" w:eastAsia="Arial" w:hAnsi="Arial"/>
          <w:sz w:val="16"/>
          <w:szCs w:val="16"/>
          <w:color w:val="auto"/>
        </w:rPr>
      </w:pPr>
      <w:r>
        <w:rPr>
          <w:rFonts w:ascii="Arial" w:cs="Arial" w:eastAsia="Arial" w:hAnsi="Arial"/>
          <w:sz w:val="16"/>
          <w:szCs w:val="16"/>
          <w:color w:val="auto"/>
        </w:rPr>
        <w:t>50% of the quarterly calculated incentive will be paid within 45 days after the close of the fiscal quarter. The remaining 50% of the quarterly calculated incentive will be held back and carried forward into the next cumulative quarter. At the end of the fourth fiscal quarter (fiscal year end), a final year-end accounting will be made prior to the payment of any remaining incentive holdback for the year.</w:t>
      </w:r>
    </w:p>
    <w:p>
      <w:pPr>
        <w:spacing w:after="0" w:line="187" w:lineRule="exact"/>
        <w:rPr>
          <w:rFonts w:ascii="Arial" w:cs="Arial" w:eastAsia="Arial" w:hAnsi="Arial"/>
          <w:sz w:val="16"/>
          <w:szCs w:val="16"/>
          <w:color w:val="auto"/>
        </w:rPr>
      </w:pPr>
    </w:p>
    <w:p>
      <w:pPr>
        <w:ind w:left="352" w:right="20"/>
        <w:spacing w:after="0" w:line="256" w:lineRule="auto"/>
        <w:rPr>
          <w:rFonts w:ascii="Arial" w:cs="Arial" w:eastAsia="Arial" w:hAnsi="Arial"/>
          <w:sz w:val="16"/>
          <w:szCs w:val="16"/>
          <w:color w:val="auto"/>
        </w:rPr>
      </w:pPr>
      <w:r>
        <w:rPr>
          <w:rFonts w:ascii="Arial" w:cs="Arial" w:eastAsia="Arial" w:hAnsi="Arial"/>
          <w:sz w:val="18"/>
          <w:szCs w:val="18"/>
          <w:color w:val="auto"/>
        </w:rPr>
        <w:t>The incentive for the officers except for the Chief Executive Officer, provides for a 60% bonus (Target) comprised of (2/3) cash and (1/3) stock (or in cash at the participants election pursuant to Section 7) at 100% achievement of the financial objectives. The incentive for the Chief Executive Officer provides for a 105% bonus (Target) comprised of (2/3) cash and (1/3) stock (or in cash at the participants election pursuant to Section 7) at 100% achievement of the financial objectives.</w:t>
      </w:r>
    </w:p>
    <w:p>
      <w:pPr>
        <w:spacing w:after="0" w:line="224" w:lineRule="exact"/>
        <w:rPr>
          <w:rFonts w:ascii="Arial" w:cs="Arial" w:eastAsia="Arial" w:hAnsi="Arial"/>
          <w:sz w:val="16"/>
          <w:szCs w:val="16"/>
          <w:color w:val="auto"/>
        </w:rPr>
      </w:pPr>
    </w:p>
    <w:p>
      <w:pPr>
        <w:ind w:left="352" w:right="360"/>
        <w:spacing w:after="0" w:line="332" w:lineRule="auto"/>
        <w:rPr>
          <w:rFonts w:ascii="Arial" w:cs="Arial" w:eastAsia="Arial" w:hAnsi="Arial"/>
          <w:sz w:val="16"/>
          <w:szCs w:val="16"/>
          <w:color w:val="auto"/>
        </w:rPr>
      </w:pPr>
      <w:r>
        <w:rPr>
          <w:rFonts w:ascii="Arial" w:cs="Arial" w:eastAsia="Arial" w:hAnsi="Arial"/>
          <w:sz w:val="16"/>
          <w:szCs w:val="16"/>
          <w:color w:val="auto"/>
        </w:rPr>
        <w:t>A participant must be employed by Winnebago Industries, Inc. at the end of the fiscal year to be eligible for any previous quarterly holdback allocations except as waived by the Chairman of the Board and CEO of Winnebago Industries, Inc. for normal retirement and disability.</w:t>
      </w:r>
    </w:p>
    <w:p>
      <w:pPr>
        <w:spacing w:after="0" w:line="160" w:lineRule="exact"/>
        <w:rPr>
          <w:rFonts w:ascii="Arial" w:cs="Arial" w:eastAsia="Arial" w:hAnsi="Arial"/>
          <w:sz w:val="16"/>
          <w:szCs w:val="16"/>
          <w:color w:val="auto"/>
        </w:rPr>
      </w:pPr>
    </w:p>
    <w:p>
      <w:pPr>
        <w:ind w:left="352" w:right="180" w:hanging="352"/>
        <w:spacing w:after="0" w:line="310" w:lineRule="auto"/>
        <w:tabs>
          <w:tab w:leader="none" w:pos="352" w:val="left"/>
        </w:tabs>
        <w:numPr>
          <w:ilvl w:val="0"/>
          <w:numId w:val="6"/>
        </w:numPr>
        <w:rPr>
          <w:rFonts w:ascii="Arial" w:cs="Arial" w:eastAsia="Arial" w:hAnsi="Arial"/>
          <w:sz w:val="16"/>
          <w:szCs w:val="16"/>
          <w:color w:val="auto"/>
        </w:rPr>
      </w:pPr>
      <w:r>
        <w:rPr>
          <w:rFonts w:ascii="Arial" w:cs="Arial" w:eastAsia="Arial" w:hAnsi="Arial"/>
          <w:sz w:val="16"/>
          <w:szCs w:val="16"/>
          <w:b w:val="1"/>
          <w:bCs w:val="1"/>
          <w:u w:val="single" w:color="auto"/>
          <w:color w:val="auto"/>
        </w:rPr>
        <w:t>Strategic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Human Resources Committee reserves the right to modify the core incentive eligibility by plus/minus 20% (of the calculated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Factor) based upon strategic organizational priorities. Strategic performance will be measured at the end of the fiscal year only. Strategic measurements may focus on one or more of the following strategic factors but are not limited to those stated.</w:t>
      </w:r>
    </w:p>
    <w:p>
      <w:pPr>
        <w:sectPr>
          <w:pgSz w:w="11900" w:h="16906" w:orient="portrait"/>
          <w:cols w:equalWidth="0" w:num="1">
            <w:col w:w="11392"/>
          </w:cols>
          <w:pgMar w:left="248" w:top="131" w:right="259" w:bottom="0" w:gutter="0" w:footer="0" w:header="0"/>
        </w:sectPr>
      </w:pPr>
    </w:p>
    <w:p>
      <w:pPr>
        <w:spacing w:after="0" w:line="184" w:lineRule="exact"/>
        <w:rPr>
          <w:sz w:val="20"/>
          <w:szCs w:val="20"/>
          <w:color w:val="auto"/>
        </w:rPr>
      </w:pPr>
    </w:p>
    <w:p>
      <w:pPr>
        <w:ind w:left="1712"/>
        <w:spacing w:after="0"/>
        <w:rPr>
          <w:sz w:val="20"/>
          <w:szCs w:val="20"/>
          <w:color w:val="auto"/>
        </w:rPr>
      </w:pPr>
      <w:r>
        <w:rPr>
          <w:rFonts w:ascii="Arial" w:cs="Arial" w:eastAsia="Arial" w:hAnsi="Arial"/>
          <w:sz w:val="18"/>
          <w:szCs w:val="18"/>
          <w:color w:val="auto"/>
        </w:rPr>
        <w:t>Revenue Growth</w:t>
      </w:r>
    </w:p>
    <w:p>
      <w:pPr>
        <w:spacing w:after="0" w:line="15" w:lineRule="exact"/>
        <w:rPr>
          <w:sz w:val="20"/>
          <w:szCs w:val="20"/>
          <w:color w:val="auto"/>
        </w:rPr>
      </w:pPr>
    </w:p>
    <w:p>
      <w:pPr>
        <w:ind w:left="1712"/>
        <w:spacing w:after="0"/>
        <w:rPr>
          <w:sz w:val="20"/>
          <w:szCs w:val="20"/>
          <w:color w:val="auto"/>
        </w:rPr>
      </w:pPr>
      <w:r>
        <w:rPr>
          <w:rFonts w:ascii="Arial" w:cs="Arial" w:eastAsia="Arial" w:hAnsi="Arial"/>
          <w:sz w:val="18"/>
          <w:szCs w:val="18"/>
          <w:color w:val="auto"/>
        </w:rPr>
        <w:t>Market Share</w:t>
      </w:r>
    </w:p>
    <w:p>
      <w:pPr>
        <w:spacing w:after="0" w:line="9" w:lineRule="exact"/>
        <w:rPr>
          <w:sz w:val="20"/>
          <w:szCs w:val="20"/>
          <w:color w:val="auto"/>
        </w:rPr>
      </w:pPr>
    </w:p>
    <w:p>
      <w:pPr>
        <w:ind w:left="1712"/>
        <w:spacing w:after="0"/>
        <w:rPr>
          <w:sz w:val="20"/>
          <w:szCs w:val="20"/>
          <w:color w:val="auto"/>
        </w:rPr>
      </w:pPr>
      <w:r>
        <w:rPr>
          <w:rFonts w:ascii="Arial" w:cs="Arial" w:eastAsia="Arial" w:hAnsi="Arial"/>
          <w:sz w:val="18"/>
          <w:szCs w:val="18"/>
          <w:color w:val="auto"/>
        </w:rPr>
        <w:t>Product Quality</w:t>
      </w:r>
    </w:p>
    <w:p>
      <w:pPr>
        <w:spacing w:after="0" w:line="9" w:lineRule="exact"/>
        <w:rPr>
          <w:sz w:val="20"/>
          <w:szCs w:val="20"/>
          <w:color w:val="auto"/>
        </w:rPr>
      </w:pPr>
    </w:p>
    <w:p>
      <w:pPr>
        <w:ind w:left="1712"/>
        <w:spacing w:after="0"/>
        <w:rPr>
          <w:sz w:val="20"/>
          <w:szCs w:val="20"/>
          <w:color w:val="auto"/>
        </w:rPr>
      </w:pPr>
      <w:r>
        <w:rPr>
          <w:rFonts w:ascii="Arial" w:cs="Arial" w:eastAsia="Arial" w:hAnsi="Arial"/>
          <w:sz w:val="16"/>
          <w:szCs w:val="16"/>
          <w:color w:val="auto"/>
        </w:rPr>
        <w:t>Product Introductions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Customer Satisfaction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Inventory Management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Technical Innovation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Ethical Business Practices</w:t>
      </w:r>
    </w:p>
    <w:p>
      <w:pPr>
        <w:spacing w:after="0" w:line="211" w:lineRule="exact"/>
        <w:rPr>
          <w:sz w:val="20"/>
          <w:szCs w:val="20"/>
          <w:color w:val="auto"/>
        </w:rPr>
      </w:pPr>
    </w:p>
    <w:p>
      <w:pPr>
        <w:sectPr>
          <w:pgSz w:w="11900" w:h="16906" w:orient="portrait"/>
          <w:cols w:equalWidth="0" w:num="2">
            <w:col w:w="4832" w:space="720"/>
            <w:col w:w="5840"/>
          </w:cols>
          <w:pgMar w:left="248" w:top="131" w:right="259" w:bottom="0" w:gutter="0" w:footer="0" w:header="0"/>
          <w:type w:val="continuous"/>
        </w:sectPr>
      </w:pPr>
    </w:p>
    <w:p>
      <w:pPr>
        <w:spacing w:after="0" w:line="63" w:lineRule="exact"/>
        <w:rPr>
          <w:sz w:val="20"/>
          <w:szCs w:val="20"/>
          <w:color w:val="auto"/>
        </w:rPr>
      </w:pPr>
    </w:p>
    <w:p>
      <w:pPr>
        <w:ind w:left="352" w:right="80" w:hanging="352"/>
        <w:spacing w:after="0" w:line="293" w:lineRule="auto"/>
        <w:tabs>
          <w:tab w:leader="none" w:pos="352" w:val="left"/>
        </w:tabs>
        <w:numPr>
          <w:ilvl w:val="0"/>
          <w:numId w:val="7"/>
        </w:numPr>
        <w:rPr>
          <w:rFonts w:ascii="Arial" w:cs="Arial" w:eastAsia="Arial" w:hAnsi="Arial"/>
          <w:sz w:val="16"/>
          <w:szCs w:val="16"/>
          <w:color w:val="auto"/>
        </w:rPr>
      </w:pPr>
      <w:r>
        <w:rPr>
          <w:rFonts w:ascii="Arial" w:cs="Arial" w:eastAsia="Arial" w:hAnsi="Arial"/>
          <w:sz w:val="16"/>
          <w:szCs w:val="16"/>
          <w:b w:val="1"/>
          <w:bCs w:val="1"/>
          <w:u w:val="single" w:color="auto"/>
          <w:color w:val="auto"/>
        </w:rPr>
        <w:t>Annual Supplementary Match.</w:t>
      </w:r>
      <w:r>
        <w:rPr>
          <w:rFonts w:ascii="Arial" w:cs="Arial" w:eastAsia="Arial" w:hAnsi="Arial"/>
          <w:sz w:val="16"/>
          <w:szCs w:val="16"/>
          <w:b w:val="1"/>
          <w:bCs w:val="1"/>
          <w:color w:val="auto"/>
        </w:rPr>
        <w:t xml:space="preserve"> </w:t>
      </w:r>
      <w:r>
        <w:rPr>
          <w:rFonts w:ascii="Arial" w:cs="Arial" w:eastAsia="Arial" w:hAnsi="Arial"/>
          <w:sz w:val="16"/>
          <w:szCs w:val="16"/>
          <w:color w:val="auto"/>
        </w:rPr>
        <w:t>Fifty percent (50%) of a participant’s cash incentive compensation earned for the year, pursuant to Paragraph 5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matched annually by the Company in the form of restricted company stock (or in cash if elected by the participant). The annual supplementary Company match shall be paid as soon as practical after the final year-end compensation accounting and payment of any remaining incentive compensation holdback for the year. Participants shall elect in writing within 45 days following the end of the fiscal year whether to receive the total of any annual supplementary company match in the form of restricted company stock or in the form of cash. A participant shall be eligible for the supplementary match only if such participant is actively employed at the end of the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52" w:right="20" w:hanging="352"/>
        <w:spacing w:after="0" w:line="254" w:lineRule="auto"/>
        <w:tabs>
          <w:tab w:leader="none" w:pos="35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the Company undergoes a change in control during the Plan year including, without limitation, an acquisition or merger</w:t>
      </w:r>
      <w:r>
        <w:rPr>
          <w:rFonts w:ascii="Arial" w:cs="Arial" w:eastAsia="Arial" w:hAnsi="Arial"/>
          <w:sz w:val="18"/>
          <w:szCs w:val="18"/>
          <w:b w:val="1"/>
          <w:bCs w:val="1"/>
          <w:color w:val="auto"/>
        </w:rPr>
        <w:t xml:space="preserve"> </w:t>
      </w:r>
      <w:r>
        <w:rPr>
          <w:rFonts w:ascii="Arial" w:cs="Arial" w:eastAsia="Arial" w:hAnsi="Arial"/>
          <w:sz w:val="18"/>
          <w:szCs w:val="18"/>
          <w:color w:val="auto"/>
        </w:rPr>
        <w:t>involving the Corporation (“Change in Control”), the Committee shall, prior to the effective date of the Change in Control (the “Effective Date”), make a good faith estimate with respect to the achievement of the financial performance through the end of the Plan year immediately preceding the Effective Date. In making such estimate, the Committee may compare the achievement of the finance performance against forecast through the Plan period and may consider such factors as it deems appropriate. The Committee shall exclude from any such estimate any and all costs and expenses arising out of or in connection with the Change in Control. Based on such estimate, the Committee shall make a full Plan year award within 15 days after the Effective Date to all participants. Any holdback for previous period(s) will be released and paid to the participant together with the annual supplementary cash match payment earned.</w:t>
      </w:r>
    </w:p>
    <w:p>
      <w:pPr>
        <w:spacing w:after="0" w:line="219" w:lineRule="exact"/>
        <w:rPr>
          <w:rFonts w:ascii="Arial" w:cs="Arial" w:eastAsia="Arial" w:hAnsi="Arial"/>
          <w:sz w:val="18"/>
          <w:szCs w:val="18"/>
          <w:color w:val="auto"/>
        </w:rPr>
      </w:pPr>
    </w:p>
    <w:p>
      <w:pPr>
        <w:ind w:left="352"/>
        <w:spacing w:after="0" w:line="290" w:lineRule="auto"/>
        <w:rPr>
          <w:rFonts w:ascii="Arial" w:cs="Arial" w:eastAsia="Arial" w:hAnsi="Arial"/>
          <w:sz w:val="18"/>
          <w:szCs w:val="18"/>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for the purposes of the Officers Incentive Compensation Plan shall mean the time when (i) any Person becomes an Acquiring Person,</w:t>
      </w:r>
      <w:r>
        <w:rPr>
          <w:rFonts w:ascii="Arial" w:cs="Arial" w:eastAsia="Arial" w:hAnsi="Arial"/>
          <w:sz w:val="16"/>
          <w:szCs w:val="16"/>
          <w:b w:val="1"/>
          <w:bCs w:val="1"/>
          <w:color w:val="auto"/>
        </w:rPr>
        <w:t xml:space="preserve"> </w:t>
      </w:r>
      <w:r>
        <w:rPr>
          <w:rFonts w:ascii="Arial" w:cs="Arial" w:eastAsia="Arial" w:hAnsi="Arial"/>
          <w:sz w:val="16"/>
          <w:szCs w:val="16"/>
          <w:color w:val="auto"/>
        </w:rPr>
        <w:t>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ectPr>
          <w:pgSz w:w="11900" w:h="16906" w:orient="portrait"/>
          <w:cols w:equalWidth="0" w:num="1">
            <w:col w:w="11392"/>
          </w:cols>
          <w:pgMar w:left="248" w:top="131" w:right="259" w:bottom="0" w:gutter="0" w:footer="0" w:header="0"/>
          <w:type w:val="continuous"/>
        </w:sectPr>
      </w:pPr>
    </w:p>
    <w:bookmarkStart w:id="5" w:name="page6"/>
    <w:bookmarkEnd w:id="5"/>
    <w:p>
      <w:pPr>
        <w:ind w:left="360"/>
        <w:spacing w:after="0"/>
        <w:rPr>
          <w:sz w:val="20"/>
          <w:szCs w:val="20"/>
          <w:color w:val="auto"/>
        </w:rPr>
      </w:pPr>
      <w:r>
        <w:rPr>
          <w:rFonts w:ascii="Arial" w:cs="Arial" w:eastAsia="Arial" w:hAnsi="Arial"/>
          <w:sz w:val="18"/>
          <w:szCs w:val="18"/>
          <w:color w:val="auto"/>
        </w:rPr>
        <w:t>For the purpose of the definition “Change of Control:”</w:t>
      </w:r>
    </w:p>
    <w:p>
      <w:pPr>
        <w:spacing w:after="0" w:line="252" w:lineRule="exact"/>
        <w:rPr>
          <w:sz w:val="20"/>
          <w:szCs w:val="20"/>
          <w:color w:val="auto"/>
        </w:rPr>
      </w:pPr>
    </w:p>
    <w:p>
      <w:pPr>
        <w:ind w:left="1040" w:right="20" w:hanging="538"/>
        <w:spacing w:after="0" w:line="291"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201" w:lineRule="exact"/>
        <w:rPr>
          <w:rFonts w:ascii="Arial" w:cs="Arial" w:eastAsia="Arial" w:hAnsi="Arial"/>
          <w:sz w:val="16"/>
          <w:szCs w:val="16"/>
          <w:color w:val="auto"/>
        </w:rPr>
      </w:pPr>
    </w:p>
    <w:p>
      <w:pPr>
        <w:ind w:left="1040" w:right="300" w:hanging="548"/>
        <w:spacing w:after="0" w:line="33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w:t>
      </w:r>
    </w:p>
    <w:p>
      <w:pPr>
        <w:spacing w:after="0" w:line="166" w:lineRule="exact"/>
        <w:rPr>
          <w:rFonts w:ascii="Arial" w:cs="Arial" w:eastAsia="Arial" w:hAnsi="Arial"/>
          <w:sz w:val="16"/>
          <w:szCs w:val="16"/>
          <w:color w:val="auto"/>
        </w:rPr>
      </w:pPr>
    </w:p>
    <w:p>
      <w:pPr>
        <w:ind w:left="1040" w:right="120" w:hanging="538"/>
        <w:spacing w:after="0" w:line="268"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040" w:hanging="548"/>
        <w:spacing w:after="0" w:line="294" w:lineRule="auto"/>
        <w:tabs>
          <w:tab w:leader="none" w:pos="10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196" w:lineRule="exact"/>
        <w:rPr>
          <w:rFonts w:ascii="Arial" w:cs="Arial" w:eastAsia="Arial" w:hAnsi="Arial"/>
          <w:sz w:val="16"/>
          <w:szCs w:val="16"/>
          <w:color w:val="auto"/>
        </w:rPr>
      </w:pPr>
    </w:p>
    <w:p>
      <w:pPr>
        <w:ind w:left="1040" w:hanging="538"/>
        <w:spacing w:after="0"/>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“Company” means Winnebago Industries, Inc., an Iowa corporation.</w:t>
      </w:r>
    </w:p>
    <w:p>
      <w:pPr>
        <w:spacing w:after="0" w:line="252" w:lineRule="exact"/>
        <w:rPr>
          <w:rFonts w:ascii="Arial" w:cs="Arial" w:eastAsia="Arial" w:hAnsi="Arial"/>
          <w:sz w:val="18"/>
          <w:szCs w:val="18"/>
          <w:color w:val="auto"/>
        </w:rPr>
      </w:pPr>
    </w:p>
    <w:p>
      <w:pPr>
        <w:ind w:left="1040" w:right="740" w:hanging="519"/>
        <w:spacing w:after="0" w:line="268"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“Person” means an individual, corporation, limited liability company, partnership, association, joint stock company, trust, unincorporated organization or government or political subdivision thereof.</w:t>
      </w:r>
    </w:p>
    <w:p>
      <w:pPr>
        <w:spacing w:after="0" w:line="206" w:lineRule="exact"/>
        <w:rPr>
          <w:rFonts w:ascii="Arial" w:cs="Arial" w:eastAsia="Arial" w:hAnsi="Arial"/>
          <w:sz w:val="18"/>
          <w:szCs w:val="18"/>
          <w:color w:val="auto"/>
        </w:rPr>
      </w:pPr>
    </w:p>
    <w:p>
      <w:pPr>
        <w:ind w:left="360" w:right="320" w:hanging="352"/>
        <w:spacing w:after="0" w:line="275"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preempted by federal law, the consideration and operation of the Plan shall be governed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Iowa.</w:t>
      </w:r>
    </w:p>
    <w:p>
      <w:pPr>
        <w:spacing w:after="0" w:line="200" w:lineRule="exact"/>
        <w:rPr>
          <w:rFonts w:ascii="Arial" w:cs="Arial" w:eastAsia="Arial" w:hAnsi="Arial"/>
          <w:sz w:val="18"/>
          <w:szCs w:val="18"/>
          <w:color w:val="auto"/>
        </w:rPr>
      </w:pPr>
    </w:p>
    <w:p>
      <w:pPr>
        <w:ind w:left="360" w:right="380" w:hanging="352"/>
        <w:spacing w:after="0" w:line="275"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Plan shall confer upon any employee the right to continue in the employ of the Company, or affect the right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terminate an employee’s employment at any time, with or without cause.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Approved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23241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371475</wp:posOffset>
            </wp:positionV>
            <wp:extent cx="746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color w:val="auto"/>
        </w:rPr>
        <w:t>Bruce D. Hertzke</w:t>
      </w:r>
      <w:r>
        <w:rPr>
          <w:sz w:val="20"/>
          <w:szCs w:val="20"/>
          <w:color w:val="auto"/>
        </w:rPr>
        <w:tab/>
      </w:r>
      <w:r>
        <w:rPr>
          <w:rFonts w:ascii="Arial" w:cs="Arial" w:eastAsia="Arial" w:hAnsi="Arial"/>
          <w:sz w:val="15"/>
          <w:szCs w:val="15"/>
          <w:color w:val="auto"/>
        </w:rPr>
        <w:t>Dated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538480</wp:posOffset>
            </wp:positionV>
            <wp:extent cx="23241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538480</wp:posOffset>
            </wp:positionV>
            <wp:extent cx="746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color w:val="auto"/>
        </w:rPr>
        <w:t>Gerald C. Kitch</w:t>
      </w:r>
      <w:r>
        <w:rPr>
          <w:sz w:val="20"/>
          <w:szCs w:val="20"/>
          <w:color w:val="auto"/>
        </w:rPr>
        <w:tab/>
      </w:r>
      <w:r>
        <w:rPr>
          <w:rFonts w:ascii="Arial" w:cs="Arial" w:eastAsia="Arial" w:hAnsi="Arial"/>
          <w:sz w:val="15"/>
          <w:szCs w:val="15"/>
          <w:color w:val="auto"/>
        </w:rPr>
        <w:t>Dated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Human Resources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Winnebago Industries Board of Directors</w:t>
      </w:r>
    </w:p>
    <w:p>
      <w:pPr>
        <w:sectPr>
          <w:pgSz w:w="11900" w:h="16838" w:orient="portrait"/>
          <w:cols w:equalWidth="0" w:num="1">
            <w:col w:w="11420"/>
          </w:cols>
          <w:pgMar w:left="240" w:top="3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2550160</wp:posOffset>
            </wp:positionH>
            <wp:positionV relativeFrom="page">
              <wp:posOffset>1461135</wp:posOffset>
            </wp:positionV>
            <wp:extent cx="2470150" cy="934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47015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
        <w:spacing w:after="0"/>
        <w:rPr>
          <w:sz w:val="20"/>
          <w:szCs w:val="20"/>
          <w:color w:val="auto"/>
        </w:rPr>
      </w:pPr>
      <w:r>
        <w:rPr>
          <w:rFonts w:ascii="Arial" w:cs="Arial" w:eastAsia="Arial" w:hAnsi="Arial"/>
          <w:sz w:val="24"/>
          <w:szCs w:val="24"/>
          <w:b w:val="1"/>
          <w:bCs w:val="1"/>
          <w:color w:val="auto"/>
        </w:rPr>
        <w:t>OFFICERS LONG-TERM INCENTIVE PLAN</w:t>
      </w:r>
    </w:p>
    <w:p>
      <w:pPr>
        <w:spacing w:after="0" w:line="305" w:lineRule="exact"/>
        <w:rPr>
          <w:sz w:val="20"/>
          <w:szCs w:val="20"/>
          <w:color w:val="auto"/>
        </w:rPr>
      </w:pPr>
    </w:p>
    <w:p>
      <w:pPr>
        <w:jc w:val="center"/>
        <w:ind w:right="-11"/>
        <w:spacing w:after="0"/>
        <w:rPr>
          <w:sz w:val="20"/>
          <w:szCs w:val="20"/>
          <w:color w:val="auto"/>
        </w:rPr>
      </w:pPr>
      <w:r>
        <w:rPr>
          <w:rFonts w:ascii="Arial" w:cs="Arial" w:eastAsia="Arial" w:hAnsi="Arial"/>
          <w:sz w:val="24"/>
          <w:szCs w:val="24"/>
          <w:b w:val="1"/>
          <w:bCs w:val="1"/>
          <w:color w:val="auto"/>
        </w:rPr>
        <w:t>FISCAL THREE-YEAR PERIOD</w:t>
      </w:r>
    </w:p>
    <w:p>
      <w:pPr>
        <w:spacing w:after="0" w:line="292"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2006, 2007 and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2033270</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32"/>
        <w:spacing w:after="0"/>
        <w:rPr>
          <w:sz w:val="20"/>
          <w:szCs w:val="20"/>
          <w:color w:val="auto"/>
        </w:rPr>
      </w:pPr>
      <w:r>
        <w:rPr>
          <w:rFonts w:ascii="Arial" w:cs="Arial" w:eastAsia="Arial" w:hAnsi="Arial"/>
          <w:sz w:val="24"/>
          <w:szCs w:val="24"/>
          <w:b w:val="1"/>
          <w:bCs w:val="1"/>
          <w:color w:val="auto"/>
        </w:rPr>
        <w:t>WINNEBAGO INDUSTRIES, INC.</w:t>
      </w:r>
    </w:p>
    <w:p>
      <w:pPr>
        <w:spacing w:after="0" w:line="36" w:lineRule="exact"/>
        <w:rPr>
          <w:sz w:val="20"/>
          <w:szCs w:val="20"/>
          <w:color w:val="auto"/>
        </w:rPr>
      </w:pPr>
    </w:p>
    <w:p>
      <w:pPr>
        <w:ind w:left="3192"/>
        <w:spacing w:after="0"/>
        <w:rPr>
          <w:sz w:val="20"/>
          <w:szCs w:val="20"/>
          <w:color w:val="auto"/>
        </w:rPr>
      </w:pPr>
      <w:r>
        <w:rPr>
          <w:rFonts w:ascii="Arial" w:cs="Arial" w:eastAsia="Arial" w:hAnsi="Arial"/>
          <w:sz w:val="24"/>
          <w:szCs w:val="24"/>
          <w:b w:val="1"/>
          <w:bCs w:val="1"/>
          <w:color w:val="auto"/>
        </w:rPr>
        <w:t>OFFICERS LONG-TERM INCENTIVE PLAN</w:t>
      </w:r>
    </w:p>
    <w:p>
      <w:pPr>
        <w:spacing w:after="0" w:line="8" w:lineRule="exact"/>
        <w:rPr>
          <w:sz w:val="20"/>
          <w:szCs w:val="20"/>
          <w:color w:val="auto"/>
        </w:rPr>
      </w:pPr>
    </w:p>
    <w:p>
      <w:pPr>
        <w:ind w:left="3332"/>
        <w:spacing w:after="0"/>
        <w:rPr>
          <w:sz w:val="20"/>
          <w:szCs w:val="20"/>
          <w:color w:val="auto"/>
        </w:rPr>
      </w:pPr>
      <w:r>
        <w:rPr>
          <w:rFonts w:ascii="Arial" w:cs="Arial" w:eastAsia="Arial" w:hAnsi="Arial"/>
          <w:sz w:val="24"/>
          <w:szCs w:val="24"/>
          <w:b w:val="1"/>
          <w:bCs w:val="1"/>
          <w:color w:val="auto"/>
        </w:rPr>
        <w:t>Fiscal Three-Year Period 2006, 2007 and 2008</w:t>
      </w:r>
    </w:p>
    <w:p>
      <w:pPr>
        <w:spacing w:after="0" w:line="291" w:lineRule="exact"/>
        <w:rPr>
          <w:sz w:val="20"/>
          <w:szCs w:val="20"/>
          <w:color w:val="auto"/>
        </w:rPr>
      </w:pPr>
    </w:p>
    <w:p>
      <w:pPr>
        <w:ind w:left="352" w:hanging="352"/>
        <w:spacing w:after="0" w:line="262" w:lineRule="auto"/>
        <w:tabs>
          <w:tab w:leader="none" w:pos="352"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color w:val="auto"/>
        </w:rPr>
        <w:t>. The purpose of the Winnebago Industries, Inc. Officers Long-Term Incentive Plan (the “Plan”) is to promote the long-term growth and profitability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Winnebago Industries, Inc. (the “Company”) by providing its officers with an incentive to achieve long-term corporate profit objectives and to attract and retain officers who will contribute to the achievement of growth and profitability of the Company.</w:t>
      </w:r>
    </w:p>
    <w:p>
      <w:pPr>
        <w:spacing w:after="0" w:line="213" w:lineRule="exact"/>
        <w:rPr>
          <w:rFonts w:ascii="Arial" w:cs="Arial" w:eastAsia="Arial" w:hAnsi="Arial"/>
          <w:sz w:val="18"/>
          <w:szCs w:val="18"/>
          <w:color w:val="auto"/>
        </w:rPr>
      </w:pPr>
    </w:p>
    <w:p>
      <w:pPr>
        <w:ind w:left="352" w:hanging="352"/>
        <w:spacing w:after="0"/>
        <w:tabs>
          <w:tab w:leader="none" w:pos="352"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p>
    <w:p>
      <w:pPr>
        <w:spacing w:after="0" w:line="252" w:lineRule="exact"/>
        <w:rPr>
          <w:rFonts w:ascii="Arial" w:cs="Arial" w:eastAsia="Arial" w:hAnsi="Arial"/>
          <w:sz w:val="18"/>
          <w:szCs w:val="18"/>
          <w:color w:val="auto"/>
        </w:rPr>
      </w:pPr>
    </w:p>
    <w:p>
      <w:pPr>
        <w:ind w:left="1032" w:hanging="465"/>
        <w:spacing w:after="0"/>
        <w:tabs>
          <w:tab w:leader="none" w:pos="1032" w:val="left"/>
        </w:tabs>
        <w:numPr>
          <w:ilvl w:val="1"/>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Human Resources Committee</w:t>
      </w:r>
      <w:r>
        <w:rPr>
          <w:rFonts w:ascii="Arial" w:cs="Arial" w:eastAsia="Arial" w:hAnsi="Arial"/>
          <w:sz w:val="16"/>
          <w:szCs w:val="16"/>
          <w:color w:val="auto"/>
        </w:rPr>
        <w:t>. The Plan shall be administered by a Committee (the “Committee”) appointed by the Board of Directors.</w:t>
      </w:r>
    </w:p>
    <w:p>
      <w:pPr>
        <w:spacing w:after="0" w:line="275" w:lineRule="exact"/>
        <w:rPr>
          <w:rFonts w:ascii="Arial" w:cs="Arial" w:eastAsia="Arial" w:hAnsi="Arial"/>
          <w:sz w:val="16"/>
          <w:szCs w:val="16"/>
          <w:color w:val="auto"/>
        </w:rPr>
      </w:pPr>
    </w:p>
    <w:p>
      <w:pPr>
        <w:ind w:left="1032" w:right="600" w:hanging="475"/>
        <w:spacing w:after="0" w:line="310" w:lineRule="auto"/>
        <w:tabs>
          <w:tab w:leader="none" w:pos="1032" w:val="left"/>
        </w:tabs>
        <w:numPr>
          <w:ilvl w:val="1"/>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Powers and Duties</w:t>
      </w:r>
      <w:r>
        <w:rPr>
          <w:rFonts w:ascii="Arial" w:cs="Arial" w:eastAsia="Arial" w:hAnsi="Arial"/>
          <w:sz w:val="16"/>
          <w:szCs w:val="16"/>
          <w:color w:val="auto"/>
        </w:rPr>
        <w:t>. The Committee shall have sole discretion and authority to make any and all determinations necessary or advisable for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78" w:lineRule="exact"/>
        <w:rPr>
          <w:rFonts w:ascii="Arial" w:cs="Arial" w:eastAsia="Arial" w:hAnsi="Arial"/>
          <w:sz w:val="16"/>
          <w:szCs w:val="16"/>
          <w:color w:val="auto"/>
        </w:rPr>
      </w:pPr>
    </w:p>
    <w:p>
      <w:pPr>
        <w:ind w:left="1032" w:right="300" w:hanging="465"/>
        <w:spacing w:after="0" w:line="275" w:lineRule="auto"/>
        <w:tabs>
          <w:tab w:leader="none" w:pos="1032" w:val="left"/>
        </w:tabs>
        <w:numPr>
          <w:ilvl w:val="1"/>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must approve the Plan prior to the beginning of each new fiscal three (3) year plan period. Each year a new</w:t>
      </w:r>
      <w:r>
        <w:rPr>
          <w:rFonts w:ascii="Arial" w:cs="Arial" w:eastAsia="Arial" w:hAnsi="Arial"/>
          <w:sz w:val="18"/>
          <w:szCs w:val="18"/>
          <w:b w:val="1"/>
          <w:bCs w:val="1"/>
          <w:color w:val="auto"/>
        </w:rPr>
        <w:t xml:space="preserve"> </w:t>
      </w:r>
      <w:r>
        <w:rPr>
          <w:rFonts w:ascii="Arial" w:cs="Arial" w:eastAsia="Arial" w:hAnsi="Arial"/>
          <w:sz w:val="18"/>
          <w:szCs w:val="18"/>
          <w:color w:val="auto"/>
        </w:rPr>
        <w:t>plan will be established for a new three-year period.</w:t>
      </w: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ind w:left="352" w:hanging="352"/>
        <w:spacing w:after="0"/>
        <w:tabs>
          <w:tab w:leader="none" w:pos="3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Participation Eligibility</w:t>
      </w:r>
      <w:r>
        <w:rPr>
          <w:rFonts w:ascii="Arial" w:cs="Arial" w:eastAsia="Arial" w:hAnsi="Arial"/>
          <w:sz w:val="18"/>
          <w:szCs w:val="18"/>
          <w:color w:val="auto"/>
        </w:rPr>
        <w:t>.</w:t>
      </w:r>
    </w:p>
    <w:p>
      <w:pPr>
        <w:spacing w:after="0" w:line="231" w:lineRule="exact"/>
        <w:rPr>
          <w:rFonts w:ascii="Arial" w:cs="Arial" w:eastAsia="Arial" w:hAnsi="Arial"/>
          <w:sz w:val="18"/>
          <w:szCs w:val="18"/>
          <w:b w:val="1"/>
          <w:bCs w:val="1"/>
          <w:color w:val="auto"/>
        </w:rPr>
      </w:pPr>
    </w:p>
    <w:p>
      <w:pPr>
        <w:ind w:left="1032" w:hanging="465"/>
        <w:spacing w:after="0"/>
        <w:tabs>
          <w:tab w:leader="none" w:pos="1032" w:val="left"/>
        </w:tabs>
        <w:numPr>
          <w:ilvl w:val="1"/>
          <w:numId w:val="12"/>
        </w:numPr>
        <w:rPr>
          <w:rFonts w:ascii="Arial" w:cs="Arial" w:eastAsia="Arial" w:hAnsi="Arial"/>
          <w:sz w:val="18"/>
          <w:szCs w:val="18"/>
          <w:color w:val="auto"/>
        </w:rPr>
      </w:pPr>
      <w:r>
        <w:rPr>
          <w:rFonts w:ascii="Arial" w:cs="Arial" w:eastAsia="Arial" w:hAnsi="Arial"/>
          <w:sz w:val="18"/>
          <w:szCs w:val="18"/>
          <w:color w:val="auto"/>
        </w:rPr>
        <w:t>Participants must be an officer of the Company with responsibilities that can have a real impact on the Corporation’s end results.</w:t>
      </w:r>
    </w:p>
    <w:p>
      <w:pPr>
        <w:spacing w:after="0" w:line="252" w:lineRule="exact"/>
        <w:rPr>
          <w:rFonts w:ascii="Arial" w:cs="Arial" w:eastAsia="Arial" w:hAnsi="Arial"/>
          <w:sz w:val="18"/>
          <w:szCs w:val="18"/>
          <w:color w:val="auto"/>
        </w:rPr>
      </w:pPr>
    </w:p>
    <w:p>
      <w:pPr>
        <w:ind w:left="1032" w:hanging="475"/>
        <w:spacing w:after="0"/>
        <w:tabs>
          <w:tab w:leader="none" w:pos="1032"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Committee will approve all initial participation prior to the beginning of each new program except as provided for in section c. below.</w:t>
      </w:r>
    </w:p>
    <w:p>
      <w:pPr>
        <w:sectPr>
          <w:pgSz w:w="11900" w:h="16838" w:orient="portrait"/>
          <w:cols w:equalWidth="0" w:num="1">
            <w:col w:w="11392"/>
          </w:cols>
          <w:pgMar w:left="248" w:top="1440" w:right="259" w:bottom="0" w:gutter="0" w:footer="0" w:header="0"/>
        </w:sectPr>
      </w:pPr>
    </w:p>
    <w:bookmarkStart w:id="7" w:name="page8"/>
    <w:bookmarkEnd w:id="7"/>
    <w:p>
      <w:pPr>
        <w:spacing w:after="0" w:line="19" w:lineRule="exact"/>
        <w:rPr>
          <w:sz w:val="20"/>
          <w:szCs w:val="20"/>
          <w:color w:val="auto"/>
        </w:rPr>
      </w:pPr>
    </w:p>
    <w:p>
      <w:pPr>
        <w:jc w:val="both"/>
        <w:ind w:left="1032" w:right="200" w:hanging="465"/>
        <w:spacing w:after="0" w:line="259" w:lineRule="auto"/>
        <w:tabs>
          <w:tab w:leader="none" w:pos="1032"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Chairman of the Board and CEO of Winnebago Industries, Inc. will make the determination on participation for new participants, for partial awards due to retirement, disability or death. Unless otherwise specified, participants must be employed as of the end of the three (3) year fiscal period to be eligible for any incentive award.</w:t>
      </w:r>
    </w:p>
    <w:p>
      <w:pPr>
        <w:spacing w:after="0" w:line="215" w:lineRule="exact"/>
        <w:rPr>
          <w:rFonts w:ascii="Arial" w:cs="Arial" w:eastAsia="Arial" w:hAnsi="Arial"/>
          <w:sz w:val="18"/>
          <w:szCs w:val="18"/>
          <w:color w:val="auto"/>
        </w:rPr>
      </w:pPr>
    </w:p>
    <w:p>
      <w:pPr>
        <w:ind w:left="352" w:hanging="352"/>
        <w:spacing w:after="0" w:line="309" w:lineRule="auto"/>
        <w:tabs>
          <w:tab w:leader="none" w:pos="352" w:val="left"/>
        </w:tabs>
        <w:numPr>
          <w:ilvl w:val="0"/>
          <w:numId w:val="14"/>
        </w:numPr>
        <w:rPr>
          <w:rFonts w:ascii="Arial" w:cs="Arial" w:eastAsia="Arial" w:hAnsi="Arial"/>
          <w:sz w:val="15"/>
          <w:szCs w:val="15"/>
          <w:color w:val="auto"/>
        </w:rPr>
      </w:pPr>
      <w:r>
        <w:rPr>
          <w:rFonts w:ascii="Arial" w:cs="Arial" w:eastAsia="Arial" w:hAnsi="Arial"/>
          <w:sz w:val="15"/>
          <w:szCs w:val="15"/>
          <w:b w:val="1"/>
          <w:bCs w:val="1"/>
          <w:u w:val="single" w:color="auto"/>
          <w:color w:val="auto"/>
        </w:rPr>
        <w:t>Nature of the Plan</w:t>
      </w:r>
      <w:r>
        <w:rPr>
          <w:rFonts w:ascii="Arial" w:cs="Arial" w:eastAsia="Arial" w:hAnsi="Arial"/>
          <w:sz w:val="15"/>
          <w:szCs w:val="15"/>
          <w:color w:val="auto"/>
        </w:rPr>
        <w:t>. The long-term incentive award is based upon financial performance of the Corporation. The Plan is a three (3) year (fiscal) program that</w:t>
      </w:r>
      <w:r>
        <w:rPr>
          <w:rFonts w:ascii="Arial" w:cs="Arial" w:eastAsia="Arial" w:hAnsi="Arial"/>
          <w:sz w:val="15"/>
          <w:szCs w:val="15"/>
          <w:b w:val="1"/>
          <w:bCs w:val="1"/>
          <w:color w:val="auto"/>
        </w:rPr>
        <w:t xml:space="preserve"> </w:t>
      </w:r>
      <w:r>
        <w:rPr>
          <w:rFonts w:ascii="Arial" w:cs="Arial" w:eastAsia="Arial" w:hAnsi="Arial"/>
          <w:sz w:val="15"/>
          <w:szCs w:val="15"/>
          <w:color w:val="auto"/>
        </w:rPr>
        <w:t>provides for an opportunity for an incentive award based on the achievement of long-term financial performance results as measured at the end of the three</w:t>
      </w:r>
    </w:p>
    <w:p>
      <w:pPr>
        <w:ind w:left="592" w:hanging="241"/>
        <w:spacing w:after="0"/>
        <w:tabs>
          <w:tab w:leader="none" w:pos="5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year fiscal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352" w:right="160"/>
        <w:spacing w:after="0" w:line="306" w:lineRule="auto"/>
        <w:rPr>
          <w:sz w:val="20"/>
          <w:szCs w:val="20"/>
          <w:color w:val="auto"/>
        </w:rPr>
      </w:pPr>
      <w:r>
        <w:rPr>
          <w:rFonts w:ascii="Arial" w:cs="Arial" w:eastAsia="Arial" w:hAnsi="Arial"/>
          <w:sz w:val="16"/>
          <w:szCs w:val="16"/>
          <w:color w:val="auto"/>
        </w:rPr>
        <w:t>The financial performance measurements for this Plan will be based upon one or more pre-established financial criteria. These financial performance measurements will provide an appropriate balance between quality and quantity of earnings. The Board establishes the financial measurements including a Target, a minimum threshold below which an incentive will not be paid and a maximum incentive level.</w:t>
      </w:r>
    </w:p>
    <w:p>
      <w:pPr>
        <w:spacing w:after="0" w:line="182" w:lineRule="exact"/>
        <w:rPr>
          <w:sz w:val="20"/>
          <w:szCs w:val="20"/>
          <w:color w:val="auto"/>
        </w:rPr>
      </w:pPr>
    </w:p>
    <w:p>
      <w:pPr>
        <w:ind w:left="352" w:right="100" w:hanging="352"/>
        <w:spacing w:after="0" w:line="256" w:lineRule="auto"/>
        <w:tabs>
          <w:tab w:leader="none" w:pos="352"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Payment</w:t>
      </w:r>
      <w:r>
        <w:rPr>
          <w:rFonts w:ascii="Arial" w:cs="Arial" w:eastAsia="Arial" w:hAnsi="Arial"/>
          <w:sz w:val="18"/>
          <w:szCs w:val="18"/>
          <w:color w:val="auto"/>
        </w:rPr>
        <w:t>. The long-term incentive award will be a performance stock grant made in restricted shares of the common stock of Winnebago</w:t>
      </w:r>
      <w:r>
        <w:rPr>
          <w:rFonts w:ascii="Arial" w:cs="Arial" w:eastAsia="Arial" w:hAnsi="Arial"/>
          <w:sz w:val="18"/>
          <w:szCs w:val="18"/>
          <w:b w:val="1"/>
          <w:bCs w:val="1"/>
          <w:color w:val="auto"/>
        </w:rPr>
        <w:t xml:space="preserve"> </w:t>
      </w:r>
      <w:r>
        <w:rPr>
          <w:rFonts w:ascii="Arial" w:cs="Arial" w:eastAsia="Arial" w:hAnsi="Arial"/>
          <w:sz w:val="18"/>
          <w:szCs w:val="18"/>
          <w:color w:val="auto"/>
        </w:rPr>
        <w:t>Industries, Inc. or in cash if elected by the participant. The amount of the participants’ long-term incentive award for the three (3) year fiscal period shall be in direct proportion to the financial performance expressed as a percentage (Financial Factor) against predetermined award targets for each participant. The results for the fiscal three (3) year period will be used in identifying the Financial Factor to be used for that plan period when calculating the participants long-term incentive awards.</w:t>
      </w:r>
    </w:p>
    <w:p>
      <w:pPr>
        <w:spacing w:after="0" w:line="225" w:lineRule="exact"/>
        <w:rPr>
          <w:rFonts w:ascii="Arial" w:cs="Arial" w:eastAsia="Arial" w:hAnsi="Arial"/>
          <w:sz w:val="18"/>
          <w:szCs w:val="18"/>
          <w:color w:val="auto"/>
        </w:rPr>
      </w:pPr>
    </w:p>
    <w:p>
      <w:pPr>
        <w:ind w:left="352"/>
        <w:spacing w:after="0" w:line="254" w:lineRule="auto"/>
        <w:rPr>
          <w:rFonts w:ascii="Arial" w:cs="Arial" w:eastAsia="Arial" w:hAnsi="Arial"/>
          <w:sz w:val="18"/>
          <w:szCs w:val="18"/>
          <w:color w:val="auto"/>
        </w:rPr>
      </w:pPr>
      <w:r>
        <w:rPr>
          <w:rFonts w:ascii="Arial" w:cs="Arial" w:eastAsia="Arial" w:hAnsi="Arial"/>
          <w:sz w:val="18"/>
          <w:szCs w:val="18"/>
          <w:color w:val="auto"/>
        </w:rPr>
        <w:t>The long-term incentive for the officers provides for an opportunity of 25% of the annualized base salary (Target) to be awarded in restricted stock or cash at 100% achievement of the financial long-term objectives. The annualized base salary figure used shall be the salary in place for each participant as of January 2006. The resultant stock unit share opportunity or cash award opportunity (at 100% of Plan) will be adjusted up or down as determined by actual financial performance expressed as a percentage (Financial Factor) at the end of the three (3) year fiscal period. Participants shall elect in writing within 45 days following the end of the three (3) year fiscal period whether to receive the total of any such long-term incentive award in the form of restricted company stock or in the form of cash.</w:t>
      </w:r>
    </w:p>
    <w:p>
      <w:pPr>
        <w:spacing w:after="0" w:line="225" w:lineRule="exact"/>
        <w:rPr>
          <w:rFonts w:ascii="Arial" w:cs="Arial" w:eastAsia="Arial" w:hAnsi="Arial"/>
          <w:sz w:val="18"/>
          <w:szCs w:val="18"/>
          <w:color w:val="auto"/>
        </w:rPr>
      </w:pPr>
    </w:p>
    <w:p>
      <w:pPr>
        <w:ind w:left="352" w:right="160"/>
        <w:spacing w:after="0" w:line="332" w:lineRule="auto"/>
        <w:rPr>
          <w:rFonts w:ascii="Arial" w:cs="Arial" w:eastAsia="Arial" w:hAnsi="Arial"/>
          <w:sz w:val="18"/>
          <w:szCs w:val="18"/>
          <w:color w:val="auto"/>
        </w:rPr>
      </w:pPr>
      <w:r>
        <w:rPr>
          <w:rFonts w:ascii="Arial" w:cs="Arial" w:eastAsia="Arial" w:hAnsi="Arial"/>
          <w:sz w:val="16"/>
          <w:szCs w:val="16"/>
          <w:color w:val="auto"/>
        </w:rPr>
        <w:t>A participant must be employed by Winnebago Industries, Inc. at the end of the fiscal three (3) year period to be eligible for any long-term incentive award except as waived by the Chairman of the Board and CEO of Winnebago Industries, Inc. for normal retirement and disability.</w:t>
      </w:r>
    </w:p>
    <w:p>
      <w:pPr>
        <w:spacing w:after="0" w:line="160" w:lineRule="exact"/>
        <w:rPr>
          <w:rFonts w:ascii="Arial" w:cs="Arial" w:eastAsia="Arial" w:hAnsi="Arial"/>
          <w:sz w:val="18"/>
          <w:szCs w:val="18"/>
          <w:color w:val="auto"/>
        </w:rPr>
      </w:pPr>
    </w:p>
    <w:p>
      <w:pPr>
        <w:ind w:left="352" w:hanging="352"/>
        <w:spacing w:after="0" w:line="291" w:lineRule="auto"/>
        <w:tabs>
          <w:tab w:leader="none" w:pos="352" w:val="left"/>
        </w:tabs>
        <w:numPr>
          <w:ilvl w:val="0"/>
          <w:numId w:val="15"/>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the Company undergoes a change in control during the fiscal three (3) year plan period including, without limitation, an</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or merger involving the Corporation (“Change in Control”), the Committee shall, prior to the effective date of the Change in Control (the “Effective Date”), make a good faith estimate with respect to the achievement of the financial performance through the end of the Plan three (3) 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Effective date to all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52"/>
        <w:spacing w:after="0"/>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for the purposes of the Officers Long-Term Incentive Plan shall mean the time when (i) any Person becomes an Acquiring Person, or</w:t>
      </w:r>
    </w:p>
    <w:p>
      <w:pPr>
        <w:spacing w:after="0" w:line="44" w:lineRule="exact"/>
        <w:rPr>
          <w:sz w:val="20"/>
          <w:szCs w:val="20"/>
          <w:color w:val="auto"/>
        </w:rPr>
      </w:pPr>
    </w:p>
    <w:p>
      <w:pPr>
        <w:ind w:left="352" w:hanging="1"/>
        <w:spacing w:after="0" w:line="288" w:lineRule="auto"/>
        <w:tabs>
          <w:tab w:leader="none" w:pos="61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204" w:lineRule="exact"/>
        <w:rPr>
          <w:sz w:val="20"/>
          <w:szCs w:val="20"/>
          <w:color w:val="auto"/>
        </w:rPr>
      </w:pPr>
    </w:p>
    <w:p>
      <w:pPr>
        <w:ind w:left="352"/>
        <w:spacing w:after="0"/>
        <w:rPr>
          <w:sz w:val="20"/>
          <w:szCs w:val="20"/>
          <w:color w:val="auto"/>
        </w:rPr>
      </w:pPr>
      <w:r>
        <w:rPr>
          <w:rFonts w:ascii="Arial" w:cs="Arial" w:eastAsia="Arial" w:hAnsi="Arial"/>
          <w:sz w:val="18"/>
          <w:szCs w:val="18"/>
          <w:color w:val="auto"/>
        </w:rPr>
        <w:t>For the purpose of the definition “Change of Control:”</w:t>
      </w:r>
    </w:p>
    <w:p>
      <w:pPr>
        <w:spacing w:after="0" w:line="252" w:lineRule="exact"/>
        <w:rPr>
          <w:sz w:val="20"/>
          <w:szCs w:val="20"/>
          <w:color w:val="auto"/>
        </w:rPr>
      </w:pPr>
    </w:p>
    <w:p>
      <w:pPr>
        <w:ind w:left="1032" w:hanging="538"/>
        <w:spacing w:after="0" w:line="291" w:lineRule="auto"/>
        <w:tabs>
          <w:tab w:leader="none" w:pos="10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201" w:lineRule="exact"/>
        <w:rPr>
          <w:rFonts w:ascii="Arial" w:cs="Arial" w:eastAsia="Arial" w:hAnsi="Arial"/>
          <w:sz w:val="16"/>
          <w:szCs w:val="16"/>
          <w:color w:val="auto"/>
        </w:rPr>
      </w:pPr>
    </w:p>
    <w:p>
      <w:pPr>
        <w:ind w:left="1032" w:right="280" w:hanging="548"/>
        <w:spacing w:after="0" w:line="332" w:lineRule="auto"/>
        <w:tabs>
          <w:tab w:leader="none" w:pos="10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w:t>
      </w:r>
    </w:p>
    <w:p>
      <w:pPr>
        <w:spacing w:after="0" w:line="166" w:lineRule="exact"/>
        <w:rPr>
          <w:rFonts w:ascii="Arial" w:cs="Arial" w:eastAsia="Arial" w:hAnsi="Arial"/>
          <w:sz w:val="16"/>
          <w:szCs w:val="16"/>
          <w:color w:val="auto"/>
        </w:rPr>
      </w:pPr>
    </w:p>
    <w:p>
      <w:pPr>
        <w:ind w:left="1032" w:right="100" w:hanging="538"/>
        <w:spacing w:after="0" w:line="268" w:lineRule="auto"/>
        <w:tabs>
          <w:tab w:leader="none" w:pos="10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w:t>
      </w:r>
    </w:p>
    <w:p>
      <w:pPr>
        <w:spacing w:after="0" w:line="212" w:lineRule="exact"/>
        <w:rPr>
          <w:rFonts w:ascii="Arial" w:cs="Arial" w:eastAsia="Arial" w:hAnsi="Arial"/>
          <w:sz w:val="18"/>
          <w:szCs w:val="18"/>
          <w:color w:val="auto"/>
        </w:rPr>
      </w:pPr>
    </w:p>
    <w:p>
      <w:pPr>
        <w:ind w:left="1032" w:hanging="548"/>
        <w:spacing w:after="0"/>
        <w:tabs>
          <w:tab w:leader="none" w:pos="10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“Associate” means (1) any corporate, partnership, limited liability company, entity or organization (other than the Company or a majority-owned</w:t>
      </w:r>
    </w:p>
    <w:p>
      <w:pPr>
        <w:sectPr>
          <w:pgSz w:w="11900" w:h="16857" w:orient="portrait"/>
          <w:cols w:equalWidth="0" w:num="1">
            <w:col w:w="11392"/>
          </w:cols>
          <w:pgMar w:left="248" w:top="131" w:right="259" w:bottom="0" w:gutter="0" w:footer="0" w:header="0"/>
        </w:sectPr>
      </w:pPr>
    </w:p>
    <w:bookmarkStart w:id="8" w:name="page9"/>
    <w:bookmarkEnd w:id="8"/>
    <w:p>
      <w:pPr>
        <w:ind w:left="1040"/>
        <w:spacing w:after="0" w:line="298" w:lineRule="auto"/>
        <w:rPr>
          <w:sz w:val="20"/>
          <w:szCs w:val="20"/>
          <w:color w:val="auto"/>
        </w:rPr>
      </w:pPr>
      <w:r>
        <w:rPr>
          <w:rFonts w:ascii="Arial" w:cs="Arial" w:eastAsia="Arial" w:hAnsi="Arial"/>
          <w:sz w:val="16"/>
          <w:szCs w:val="16"/>
          <w:color w:val="auto"/>
        </w:rPr>
        <w:t>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040" w:hanging="538"/>
        <w:spacing w:after="0"/>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“Company” means Winnebago Industries, Inc., an Iowa corporation.</w:t>
      </w:r>
    </w:p>
    <w:p>
      <w:pPr>
        <w:spacing w:after="0" w:line="252" w:lineRule="exact"/>
        <w:rPr>
          <w:rFonts w:ascii="Arial" w:cs="Arial" w:eastAsia="Arial" w:hAnsi="Arial"/>
          <w:sz w:val="18"/>
          <w:szCs w:val="18"/>
          <w:color w:val="auto"/>
        </w:rPr>
      </w:pPr>
    </w:p>
    <w:p>
      <w:pPr>
        <w:ind w:left="1040" w:right="740" w:hanging="519"/>
        <w:spacing w:after="0" w:line="268"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“Person” means an individual, corporation, limited liability company, partnership, association, joint stock company, trust, unincorporated organization or government or political subdivision thereof.</w:t>
      </w:r>
    </w:p>
    <w:p>
      <w:pPr>
        <w:spacing w:after="0" w:line="206" w:lineRule="exact"/>
        <w:rPr>
          <w:rFonts w:ascii="Arial" w:cs="Arial" w:eastAsia="Arial" w:hAnsi="Arial"/>
          <w:sz w:val="18"/>
          <w:szCs w:val="18"/>
          <w:color w:val="auto"/>
        </w:rPr>
      </w:pPr>
    </w:p>
    <w:p>
      <w:pPr>
        <w:ind w:left="360" w:right="280" w:hanging="352"/>
        <w:spacing w:after="0" w:line="275"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preempted by federal law, the consideration and operation of the Plan shall be governed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Iowa.</w:t>
      </w:r>
    </w:p>
    <w:p>
      <w:pPr>
        <w:spacing w:after="0" w:line="200" w:lineRule="exact"/>
        <w:rPr>
          <w:rFonts w:ascii="Arial" w:cs="Arial" w:eastAsia="Arial" w:hAnsi="Arial"/>
          <w:sz w:val="18"/>
          <w:szCs w:val="18"/>
          <w:color w:val="auto"/>
        </w:rPr>
      </w:pPr>
    </w:p>
    <w:p>
      <w:pPr>
        <w:ind w:left="360" w:right="340" w:hanging="352"/>
        <w:spacing w:after="0" w:line="275"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Plan shall confer upon any employee the right to continue in the employ of the Company, or affect the right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terminate an employee’s employment at any time, with or without cause.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Approved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23241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371475</wp:posOffset>
            </wp:positionV>
            <wp:extent cx="746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23241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360"/>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701675</wp:posOffset>
            </wp:positionV>
            <wp:extent cx="7461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433" w:lineRule="exact"/>
        <w:rPr>
          <w:sz w:val="20"/>
          <w:szCs w:val="20"/>
          <w:color w:val="auto"/>
        </w:rPr>
      </w:pPr>
    </w:p>
    <w:p>
      <w:pPr>
        <w:sectPr>
          <w:pgSz w:w="11900" w:h="16838" w:orient="portrait"/>
          <w:cols w:equalWidth="0" w:num="2">
            <w:col w:w="5920" w:space="720"/>
            <w:col w:w="478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Gerald C. Kitch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Human Resources Committee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of the Winnebago Industries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auto"/>
        </w:rPr>
        <w:t>Dated</w:t>
      </w:r>
    </w:p>
    <w:p>
      <w:pPr>
        <w:spacing w:after="0" w:line="650" w:lineRule="exact"/>
        <w:rPr>
          <w:sz w:val="20"/>
          <w:szCs w:val="20"/>
          <w:color w:val="auto"/>
        </w:rPr>
      </w:pPr>
    </w:p>
    <w:p>
      <w:pPr>
        <w:sectPr>
          <w:pgSz w:w="11900" w:h="16838" w:orient="portrait"/>
          <w:cols w:equalWidth="0" w:num="2">
            <w:col w:w="5920" w:space="720"/>
            <w:col w:w="478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3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o"/>
      <w:numFmt w:val="bullet"/>
      <w:start w:val="1"/>
    </w:lvl>
  </w:abstractNum>
  <w:abstractNum w:abstractNumId="1">
    <w:nsid w:val="216231B"/>
    <w:multiLevelType w:val="hybridMultilevel"/>
    <w:lvl w:ilvl="0">
      <w:lvlJc w:val="left"/>
      <w:lvlText w:val="(%1)"/>
      <w:numFmt w:val="lowerLetter"/>
      <w:start w:val="3"/>
    </w:lvl>
  </w:abstractNum>
  <w:abstractNum w:abstractNumId="2">
    <w:nsid w:val="1F16E9E8"/>
    <w:multiLevelType w:val="hybridMultilevel"/>
    <w:lvl w:ilvl="0">
      <w:lvlJc w:val="left"/>
      <w:lvlText w:val="%1."/>
      <w:numFmt w:val="decimal"/>
      <w:start w:val="1"/>
    </w:lvl>
    <w:lvl w:ilvl="1">
      <w:lvlJc w:val="left"/>
      <w:lvlText w:val="%2."/>
      <w:numFmt w:val="lowerLetter"/>
      <w:start w:val="1"/>
    </w:lvl>
  </w:abstractNum>
  <w:abstractNum w:abstractNumId="3">
    <w:nsid w:val="1190CDE7"/>
    <w:multiLevelType w:val="hybridMultilevel"/>
    <w:lvl w:ilvl="0">
      <w:lvlJc w:val="left"/>
      <w:lvlText w:val="%1"/>
      <w:numFmt w:val="decimal"/>
      <w:start w:val="1"/>
    </w:lvl>
    <w:lvl w:ilvl="1">
      <w:lvlJc w:val="left"/>
      <w:lvlText w:val="%2."/>
      <w:numFmt w:val="lowerLetter"/>
      <w:start w:val="3"/>
    </w:lvl>
  </w:abstractNum>
  <w:abstractNum w:abstractNumId="4">
    <w:nsid w:val="66EF438D"/>
    <w:multiLevelType w:val="hybridMultilevel"/>
    <w:lvl w:ilvl="0">
      <w:lvlJc w:val="left"/>
      <w:lvlText w:val="%1."/>
      <w:numFmt w:val="decimal"/>
      <w:start w:val="4"/>
    </w:lvl>
    <w:lvl w:ilvl="1">
      <w:lvlJc w:val="left"/>
      <w:lvlText w:val="%2"/>
      <w:numFmt w:val="lowerLetter"/>
      <w:start w:val="1"/>
    </w:lvl>
  </w:abstractNum>
  <w:abstractNum w:abstractNumId="5">
    <w:nsid w:val="140E0F76"/>
    <w:multiLevelType w:val="hybridMultilevel"/>
    <w:lvl w:ilvl="0">
      <w:lvlJc w:val="left"/>
      <w:lvlText w:val="%1."/>
      <w:numFmt w:val="decimal"/>
      <w:start w:val="5"/>
    </w:lvl>
  </w:abstractNum>
  <w:abstractNum w:abstractNumId="6">
    <w:nsid w:val="3352255A"/>
    <w:multiLevelType w:val="hybridMultilevel"/>
    <w:lvl w:ilvl="0">
      <w:lvlJc w:val="left"/>
      <w:lvlText w:val="%1."/>
      <w:numFmt w:val="decimal"/>
      <w:start w:val="7"/>
    </w:lvl>
  </w:abstractNum>
  <w:abstractNum w:abstractNumId="7">
    <w:nsid w:val="109CF92E"/>
    <w:multiLevelType w:val="hybridMultilevel"/>
    <w:lvl w:ilvl="0">
      <w:lvlJc w:val="left"/>
      <w:lvlText w:val="%1."/>
      <w:numFmt w:val="decimal"/>
      <w:start w:val="8"/>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decimal"/>
      <w:start w:val="1"/>
    </w:lvl>
    <w:lvl w:ilvl="1">
      <w:lvlJc w:val="left"/>
      <w:lvlText w:val="(%2)"/>
      <w:numFmt w:val="lowerLetter"/>
      <w:start w:val="4"/>
    </w:lvl>
  </w:abstractNum>
  <w:abstractNum w:abstractNumId="10">
    <w:nsid w:val="1BEFD79F"/>
    <w:multiLevelType w:val="hybridMultilevel"/>
    <w:lvl w:ilvl="0">
      <w:lvlJc w:val="left"/>
      <w:lvlText w:val="%1."/>
      <w:numFmt w:val="decimal"/>
      <w:start w:val="9"/>
    </w:lvl>
    <w:lvl w:ilvl="1">
      <w:lvlJc w:val="left"/>
      <w:lvlText w:val="%2"/>
      <w:numFmt w:val="lowerLetter"/>
      <w:start w:val="1"/>
    </w:lvl>
  </w:abstractNum>
  <w:abstractNum w:abstractNumId="11">
    <w:nsid w:val="41A7C4C9"/>
    <w:multiLevelType w:val="hybridMultilevel"/>
    <w:lvl w:ilvl="0">
      <w:lvlJc w:val="left"/>
      <w:lvlText w:val="%1."/>
      <w:numFmt w:val="decimal"/>
      <w:start w:val="1"/>
    </w:lvl>
    <w:lvl w:ilvl="1">
      <w:lvlJc w:val="left"/>
      <w:lvlText w:val="%2."/>
      <w:numFmt w:val="lowerLetter"/>
      <w:start w:val="1"/>
    </w:lvl>
  </w:abstractNum>
  <w:abstractNum w:abstractNumId="12">
    <w:nsid w:val="6B68079A"/>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3">
    <w:nsid w:val="4E6AFB66"/>
    <w:multiLevelType w:val="hybridMultilevel"/>
    <w:lvl w:ilvl="0">
      <w:lvlJc w:val="left"/>
      <w:lvlText w:val="%1."/>
      <w:numFmt w:val="decimal"/>
      <w:start w:val="4"/>
    </w:lvl>
    <w:lvl w:ilvl="1">
      <w:lvlJc w:val="left"/>
      <w:lvlText w:val="(%2)"/>
      <w:numFmt w:val="decimal"/>
      <w:start w:val="3"/>
    </w:lvl>
    <w:lvl w:ilvl="2">
      <w:lvlJc w:val="left"/>
      <w:lvlText w:val="%3"/>
      <w:numFmt w:val="lowerLetter"/>
      <w:start w:val="1"/>
    </w:lvl>
  </w:abstractNum>
  <w:abstractNum w:abstractNumId="14">
    <w:nsid w:val="25E45D32"/>
    <w:multiLevelType w:val="hybridMultilevel"/>
    <w:lvl w:ilvl="0">
      <w:lvlJc w:val="left"/>
      <w:lvlText w:val="%1."/>
      <w:numFmt w:val="decimal"/>
      <w:start w:val="5"/>
    </w:lvl>
  </w:abstractNum>
  <w:abstractNum w:abstractNumId="15">
    <w:nsid w:val="519B500D"/>
    <w:multiLevelType w:val="hybridMultilevel"/>
    <w:lvl w:ilvl="0">
      <w:lvlJc w:val="left"/>
      <w:lvlText w:val="(%1)"/>
      <w:numFmt w:val="lowerRoman"/>
      <w:start w:val="2"/>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5"/>
    </w:lvl>
  </w:abstractNum>
  <w:abstractNum w:abstractNumId="18">
    <w:nsid w:val="7C83E458"/>
    <w:multiLevelType w:val="hybridMultilevel"/>
    <w:lvl w:ilvl="0">
      <w:lvlJc w:val="left"/>
      <w:lvlText w:val="%1."/>
      <w:numFmt w:val="decimal"/>
      <w:start w:val="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2019-12-13T08:13:17Z</dcterms:created>
  <dcterms:modified xsi:type="dcterms:W3CDTF">2019-12-13T08:13:17Z</dcterms:modified>
</cp:coreProperties>
</file>