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28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WINNEBAGO INDUSTRIES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December 31, 2009</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w:t>
      </w:r>
    </w:p>
    <w:p>
      <w:pPr>
        <w:jc w:val="both"/>
        <w:ind w:right="2199" w:firstLine="105"/>
        <w:spacing w:after="0" w:line="236" w:lineRule="auto"/>
        <w:rPr>
          <w:sz w:val="20"/>
          <w:szCs w:val="20"/>
          <w:color w:val="auto"/>
        </w:rPr>
      </w:pPr>
      <w:r>
        <w:rPr>
          <w:rFonts w:ascii="Courier New" w:cs="Courier New" w:eastAsia="Courier New" w:hAnsi="Courier New"/>
          <w:sz w:val="18"/>
          <w:szCs w:val="18"/>
          <w:color w:val="auto"/>
        </w:rPr>
        <w:t>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38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TAMRO Capital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84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36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1,139,929</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32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32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9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w:t>
            </w:r>
          </w:p>
        </w:tc>
      </w:tr>
    </w:tbl>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960" w:right="4739" w:hanging="740"/>
        <w:spacing w:after="0" w:line="357" w:lineRule="auto"/>
        <w:tabs>
          <w:tab w:leader="none" w:pos="2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1,532,463</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740" w:right="3159" w:hanging="627"/>
        <w:spacing w:after="0" w:line="357"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1,532,463</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5.27%</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142"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8"/>
          <w:szCs w:val="18"/>
          <w:color w:val="auto"/>
        </w:rPr>
        <w:t>Item 1(a) Name of Issuer:</w:t>
      </w:r>
    </w:p>
    <w:p>
      <w:pPr>
        <w:ind w:left="134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340"/>
        <w:spacing w:after="0" w:line="238" w:lineRule="auto"/>
        <w:rPr>
          <w:sz w:val="20"/>
          <w:szCs w:val="20"/>
          <w:color w:val="auto"/>
        </w:rPr>
      </w:pPr>
      <w:r>
        <w:rPr>
          <w:rFonts w:ascii="Courier New" w:cs="Courier New" w:eastAsia="Courier New" w:hAnsi="Courier New"/>
          <w:sz w:val="18"/>
          <w:szCs w:val="18"/>
          <w:color w:val="auto"/>
        </w:rPr>
        <w:t>P.O. Box 152</w:t>
      </w:r>
    </w:p>
    <w:p>
      <w:pPr>
        <w:ind w:left="1340"/>
        <w:spacing w:after="0"/>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2(a) Name of Person Filing:</w:t>
      </w:r>
    </w:p>
    <w:p>
      <w:pPr>
        <w:ind w:left="1340"/>
        <w:spacing w:after="0" w:line="238" w:lineRule="auto"/>
        <w:rPr>
          <w:sz w:val="20"/>
          <w:szCs w:val="20"/>
          <w:color w:val="auto"/>
        </w:rPr>
      </w:pPr>
      <w:r>
        <w:rPr>
          <w:rFonts w:ascii="Courier New" w:cs="Courier New" w:eastAsia="Courier New" w:hAnsi="Courier New"/>
          <w:sz w:val="18"/>
          <w:szCs w:val="18"/>
          <w:color w:val="auto"/>
        </w:rPr>
        <w:t>TAMRO Capital Partners LLC</w:t>
      </w:r>
    </w:p>
    <w:p>
      <w:pPr>
        <w:spacing w:after="0" w:line="20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1660 Duke Street, Suite 200</w:t>
      </w:r>
    </w:p>
    <w:p>
      <w:pPr>
        <w:ind w:left="1340"/>
        <w:spacing w:after="0" w:line="238" w:lineRule="auto"/>
        <w:rPr>
          <w:sz w:val="20"/>
          <w:szCs w:val="20"/>
          <w:color w:val="auto"/>
        </w:rPr>
      </w:pPr>
      <w:r>
        <w:rPr>
          <w:rFonts w:ascii="Courier New" w:cs="Courier New" w:eastAsia="Courier New" w:hAnsi="Courier New"/>
          <w:sz w:val="18"/>
          <w:szCs w:val="18"/>
          <w:color w:val="auto"/>
        </w:rPr>
        <w:t>Alexandria, VA 22314</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2(c) Citizenship:</w:t>
      </w:r>
    </w:p>
    <w:p>
      <w:pPr>
        <w:ind w:left="134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2(d) Title of Class of Securities:</w:t>
      </w:r>
    </w:p>
    <w:p>
      <w:pPr>
        <w:ind w:left="13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Item 2(e) CUSIP Number:</w:t>
      </w:r>
    </w:p>
    <w:p>
      <w:pPr>
        <w:ind w:left="13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207" w:lineRule="exact"/>
        <w:rPr>
          <w:sz w:val="20"/>
          <w:szCs w:val="20"/>
          <w:color w:val="auto"/>
        </w:rPr>
      </w:pPr>
    </w:p>
    <w:p>
      <w:pPr>
        <w:ind w:left="1340" w:right="1999" w:hanging="1052"/>
        <w:spacing w:after="0" w:line="236" w:lineRule="auto"/>
        <w:tabs>
          <w:tab w:leader="none" w:pos="13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the Statement is being filed pursuant to Rule 13d-1(b), or 13d-2(b), check whether the person filing is a:</w:t>
      </w:r>
    </w:p>
    <w:p>
      <w:pPr>
        <w:spacing w:after="0" w:line="209" w:lineRule="exact"/>
        <w:rPr>
          <w:sz w:val="20"/>
          <w:szCs w:val="20"/>
          <w:color w:val="auto"/>
        </w:rPr>
      </w:pPr>
    </w:p>
    <w:p>
      <w:pPr>
        <w:ind w:left="2280" w:right="2519" w:hanging="944"/>
        <w:spacing w:after="0" w:line="235" w:lineRule="auto"/>
        <w:tabs>
          <w:tab w:leader="none" w:pos="17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 240.13d-1(b)(1)(ii)(E)</w:t>
      </w:r>
    </w:p>
    <w:p>
      <w:pPr>
        <w:spacing w:after="0" w:line="203" w:lineRule="exact"/>
        <w:rPr>
          <w:sz w:val="20"/>
          <w:szCs w:val="20"/>
          <w:color w:val="auto"/>
        </w:rPr>
      </w:pPr>
    </w:p>
    <w:p>
      <w:pPr>
        <w:ind w:left="280"/>
        <w:spacing w:after="0"/>
        <w:tabs>
          <w:tab w:leader="none" w:pos="13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860" w:right="4419" w:hanging="524"/>
        <w:spacing w:after="0" w:line="235" w:lineRule="auto"/>
        <w:tabs>
          <w:tab w:leader="none" w:pos="1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1,532,463</w:t>
      </w:r>
    </w:p>
    <w:p>
      <w:pPr>
        <w:spacing w:after="0" w:line="202" w:lineRule="exact"/>
        <w:rPr>
          <w:rFonts w:ascii="Courier New" w:cs="Courier New" w:eastAsia="Courier New" w:hAnsi="Courier New"/>
          <w:sz w:val="18"/>
          <w:szCs w:val="18"/>
          <w:color w:val="auto"/>
        </w:rPr>
      </w:pPr>
    </w:p>
    <w:p>
      <w:pPr>
        <w:ind w:left="1860" w:hanging="524"/>
        <w:spacing w:after="0"/>
        <w:tabs>
          <w:tab w:leader="none" w:pos="1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5.27%</w:t>
      </w:r>
    </w:p>
    <w:p>
      <w:pPr>
        <w:spacing w:after="0" w:line="201" w:lineRule="exact"/>
        <w:rPr>
          <w:rFonts w:ascii="Courier New" w:cs="Courier New" w:eastAsia="Courier New" w:hAnsi="Courier New"/>
          <w:sz w:val="18"/>
          <w:szCs w:val="18"/>
          <w:color w:val="auto"/>
        </w:rPr>
      </w:pPr>
    </w:p>
    <w:p>
      <w:pPr>
        <w:ind w:left="1860" w:hanging="524"/>
        <w:spacing w:after="0"/>
        <w:tabs>
          <w:tab w:leader="none" w:pos="1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1860" w:right="3159" w:hanging="524"/>
        <w:spacing w:after="0" w:line="235" w:lineRule="auto"/>
        <w:tabs>
          <w:tab w:leader="none" w:pos="1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1,139,929</w:t>
      </w:r>
    </w:p>
    <w:p>
      <w:pPr>
        <w:spacing w:after="0" w:line="208" w:lineRule="exact"/>
        <w:rPr>
          <w:rFonts w:ascii="Courier New" w:cs="Courier New" w:eastAsia="Courier New" w:hAnsi="Courier New"/>
          <w:sz w:val="18"/>
          <w:szCs w:val="18"/>
          <w:color w:val="auto"/>
        </w:rPr>
      </w:pPr>
    </w:p>
    <w:p>
      <w:pPr>
        <w:ind w:left="1960" w:right="2839" w:hanging="624"/>
        <w:spacing w:after="0" w:line="235" w:lineRule="auto"/>
        <w:tabs>
          <w:tab w:leader="none" w:pos="1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n/a</w:t>
      </w:r>
    </w:p>
    <w:p>
      <w:pPr>
        <w:spacing w:after="0" w:line="208" w:lineRule="exact"/>
        <w:rPr>
          <w:rFonts w:ascii="Courier New" w:cs="Courier New" w:eastAsia="Courier New" w:hAnsi="Courier New"/>
          <w:sz w:val="18"/>
          <w:szCs w:val="18"/>
          <w:color w:val="auto"/>
        </w:rPr>
      </w:pPr>
    </w:p>
    <w:p>
      <w:pPr>
        <w:ind w:left="1960" w:right="3039" w:hanging="624"/>
        <w:spacing w:after="0" w:line="235" w:lineRule="auto"/>
        <w:tabs>
          <w:tab w:leader="none" w:pos="1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7" w:lineRule="exact"/>
        <w:rPr>
          <w:rFonts w:ascii="Courier New" w:cs="Courier New" w:eastAsia="Courier New" w:hAnsi="Courier New"/>
          <w:sz w:val="18"/>
          <w:szCs w:val="18"/>
          <w:color w:val="auto"/>
        </w:rPr>
      </w:pPr>
    </w:p>
    <w:p>
      <w:pPr>
        <w:ind w:left="1960" w:right="2839" w:hanging="624"/>
        <w:spacing w:after="0" w:line="235" w:lineRule="auto"/>
        <w:tabs>
          <w:tab w:leader="none" w:pos="1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1,532,463</w:t>
      </w:r>
    </w:p>
    <w:p>
      <w:pPr>
        <w:spacing w:after="0" w:line="200" w:lineRule="exact"/>
        <w:rPr>
          <w:sz w:val="20"/>
          <w:szCs w:val="20"/>
          <w:color w:val="auto"/>
        </w:rPr>
      </w:pPr>
    </w:p>
    <w:p>
      <w:pPr>
        <w:spacing w:after="0" w:line="204"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019"/>
          </w:cols>
          <w:pgMar w:left="1440" w:top="717" w:right="1440" w:bottom="1440" w:gutter="0" w:footer="0" w:header="0"/>
        </w:sectPr>
      </w:pPr>
    </w:p>
    <w:bookmarkStart w:id="3" w:name="page4"/>
    <w:bookmarkEnd w:id="3"/>
    <w:p>
      <w:pPr>
        <w:ind w:left="1060"/>
        <w:spacing w:after="0"/>
        <w:tabs>
          <w:tab w:leader="none" w:pos="2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12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2120" w:right="219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2120" w:right="2099"/>
        <w:spacing w:after="0" w:line="237" w:lineRule="auto"/>
        <w:rPr>
          <w:sz w:val="20"/>
          <w:szCs w:val="20"/>
          <w:color w:val="auto"/>
        </w:rPr>
      </w:pPr>
      <w:r>
        <w:rPr>
          <w:rFonts w:ascii="Courier New" w:cs="Courier New" w:eastAsia="Courier New" w:hAnsi="Courier New"/>
          <w:sz w:val="18"/>
          <w:szCs w:val="18"/>
          <w:color w:val="auto"/>
        </w:rPr>
        <w:t>Securities reported on this Schedule 13G are beneficially owned by clients which clients may include investment companies registered under the Investment Company Act and/or employee benefit plans, pension funds, endowment funds or other institutional clients.</w:t>
      </w:r>
    </w:p>
    <w:p>
      <w:pPr>
        <w:spacing w:after="0" w:line="200" w:lineRule="exact"/>
        <w:rPr>
          <w:sz w:val="20"/>
          <w:szCs w:val="20"/>
          <w:color w:val="auto"/>
        </w:rPr>
      </w:pPr>
    </w:p>
    <w:p>
      <w:pPr>
        <w:spacing w:after="0" w:line="211" w:lineRule="exact"/>
        <w:rPr>
          <w:sz w:val="20"/>
          <w:szCs w:val="20"/>
          <w:color w:val="auto"/>
        </w:rPr>
      </w:pPr>
    </w:p>
    <w:p>
      <w:pPr>
        <w:ind w:left="2120" w:right="2099" w:hanging="1052"/>
        <w:spacing w:after="0" w:line="236" w:lineRule="auto"/>
        <w:tabs>
          <w:tab w:leader="none" w:pos="21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212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ind w:left="212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2220" w:right="20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were not acquired in connection with or as a participant in any transaction having such purpose or effect.</w:t>
      </w:r>
    </w:p>
    <w:p>
      <w:pPr>
        <w:spacing w:after="0" w:line="18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2010</w:t>
      </w:r>
    </w:p>
    <w:p>
      <w:pPr>
        <w:spacing w:after="0" w:line="20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TAMRO Capital Partners LLC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BETSY MARKUS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 Betsy Markus</w:t>
      </w:r>
    </w:p>
    <w:p>
      <w:pPr>
        <w:ind w:left="4640"/>
        <w:spacing w:after="0" w:line="238" w:lineRule="auto"/>
        <w:rPr>
          <w:sz w:val="20"/>
          <w:szCs w:val="20"/>
          <w:color w:val="auto"/>
        </w:rPr>
      </w:pPr>
      <w:r>
        <w:rPr>
          <w:rFonts w:ascii="Courier New" w:cs="Courier New" w:eastAsia="Courier New" w:hAnsi="Courier New"/>
          <w:sz w:val="18"/>
          <w:szCs w:val="18"/>
          <w:color w:val="auto"/>
        </w:rPr>
        <w:t>Title: COO and CCO</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
      <w:numFmt w:val="bullet"/>
      <w:start w:val="1"/>
    </w:lvl>
    <w:lvl w:ilvl="1">
      <w:lvlJc w:val="left"/>
      <w:lvlText w:val="%2"/>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8"/>
      <w:numFmt w:val="bullet"/>
      <w:start w:val="1"/>
    </w:lvl>
  </w:abstractNum>
  <w:abstractNum w:abstractNumId="5">
    <w:nsid w:val="5BD062C2"/>
    <w:multiLevelType w:val="hybridMultilevel"/>
    <w:lvl w:ilvl="0">
      <w:lvlJc w:val="left"/>
      <w:lvlText w:val="-"/>
      <w:numFmt w:val="bullet"/>
      <w:start w:val="1"/>
    </w:lvl>
    <w:lvl w:ilvl="1">
      <w:lvlJc w:val="left"/>
      <w:lvlText w:val="9"/>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2019-12-10T03:51:56Z</dcterms:created>
  <dcterms:modified xsi:type="dcterms:W3CDTF">2019-12-10T03:51:56Z</dcterms:modified>
</cp:coreProperties>
</file>