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1249680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14605</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June 27, 2013, as Exhibit 99.1 which is incorporated by reference herein. The press release was issued to report earnings for the third quarter of Fiscal 2013 ended June 1, 2013.</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27, 2013.</w:t>
      </w:r>
    </w:p>
    <w:p>
      <w:pPr>
        <w:sectPr>
          <w:pgSz w:w="11900" w:h="16838" w:orient="portrait"/>
          <w:cols w:equalWidth="0" w:num="1">
            <w:col w:w="11060"/>
          </w:cols>
          <w:pgMar w:left="240" w:top="571" w:right="5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tab/>
        <w:t>June 27,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40"/>
        <w:spacing w:after="0"/>
        <w:rPr>
          <w:sz w:val="20"/>
          <w:szCs w:val="20"/>
          <w:color w:val="auto"/>
        </w:rPr>
      </w:pPr>
      <w:r>
        <w:rPr>
          <w:sz w:val="1"/>
          <w:szCs w:val="1"/>
          <w:color w:val="auto"/>
        </w:rPr>
        <w:drawing>
          <wp:inline distT="0" distB="0" distL="0" distR="0">
            <wp:extent cx="1209040" cy="488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488950"/>
                    </a:xfrm>
                    <a:prstGeom prst="rect">
                      <a:avLst/>
                    </a:prstGeom>
                    <a:noFill/>
                    <a:ln>
                      <a:noFill/>
                    </a:ln>
                  </pic:spPr>
                </pic:pic>
              </a:graphicData>
            </a:graphic>
          </wp:inline>
        </w:drawing>
      </w:r>
      <w:r>
        <w:rPr>
          <w:rFonts w:ascii="Arial" w:cs="Arial" w:eastAsia="Arial" w:hAnsi="Arial"/>
          <w:sz w:val="86"/>
          <w:szCs w:val="86"/>
          <w:b w:val="1"/>
          <w:bCs w:val="1"/>
          <w:color w:val="auto"/>
        </w:rPr>
        <w:t xml:space="preserve"> News Release</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THIRD QUARTER OF FISCAL 2013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Third Quarter Revenue Increase of 40%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Third Quarter Operating Profit Increase of 191% --</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FOREST CITY, IOWA, June 27, 2013 - Winnebago Industries, Inc. (NYSE:WGO), a leading United States (U.S.) recreation vehicle manufacturer, today reported financial results for the Company's third quarter of Fiscal 2013.</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Revenues for the third quarter ended June 1, 2013 were $218.2 million, an increase of 40.1%, versus $155.7 million for the third quarter of Fiscal 2012. The Company reported operating income of $10.2 million for the quarter, an increase of 190.6% versus $3.5 million for the third quarter of Fiscal 2012. Net income for the third quarter of Fiscal 2013 was $7.7 million, an increase of 94.4%, versus $3.9 million for the third quarter of Fiscal 2012. Diluted earnings per share for the third quarter of Fiscal 2013 was $0.27, an increase of 107.7%, versus $0.13 for the third quarter of Fiscal 2012.</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Earnings in the third quarter were positively impacted by increased motorhome volumes, driven by higher dealer and retail consumer demand. The increased volumes, along with lower incentives, provided fixed cost leverage, higher operating margins, net income and earnings per share as compared to the same quarter last year. Net cash generated from operations was $19.2 million in the third quarter.</w:t>
      </w:r>
    </w:p>
    <w:p>
      <w:pPr>
        <w:spacing w:after="0" w:line="174"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Revenues for the first 40 weeks of Fiscal 2013 were $588.9 million, an increase of 40.5%, versus revenues of $419.1 million for the first 39 weeks of Fiscal 2012. The Company reported operating income of $29.1 million for the first nine months of Fiscal 2013, versus $3.0 million for the first nine months of Fiscal</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2012. Net income for the first nine months of Fiscal 2013 was $21.3 million, an increase of 425.0%, versus $4.1 million, for the first nine months of Fiscal 2012. Diluted earnings per share for the first nine months of Fiscal 2013 was $0.76 per diluted share, an increase of 442.9%, versus $0.14 per diluted share for the first nine months of Fiscal 2012.</w:t>
      </w:r>
    </w:p>
    <w:p>
      <w:pPr>
        <w:spacing w:after="0" w:line="17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worked extremely hard to deliver significant improvement in the third quarter as compared to the prior year,” said Winnebago Industries' Chairman, CEO and President Randy Potts. "We again increased our shipment volume in nearly every sector of our business due to the continued rise in customer demand."</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Potts continued, "We are very pleased with the marketplace response to our new 2014 motorhome and towable products, including the new Winnebago Forza and Itasca Solei. These products provide our dealers and retail customers with a new price point targeted at the largest growth component of the Class A diesel category. We are focused on bringing these exciting new products and others to market. Since the initial introduction to our dealer partners in late April at our Dealer Days event, we have moved forward with our planned staggered retail product rollouts which will continue throughout the coming months. We have had exceptional growth throughout Fiscal 2013, experiencing the best shipment quarter in over five years, while still increasing our sales order backlog."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June 27, 2013.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ectPr>
          <w:pgSz w:w="11900" w:h="16838" w:orient="portrait"/>
          <w:cols w:equalWidth="0" w:num="1">
            <w:col w:w="11420"/>
          </w:cols>
          <w:pgMar w:left="240" w:top="733" w:right="239" w:bottom="1440" w:gutter="0" w:footer="0" w:header="0"/>
        </w:sectPr>
      </w:pPr>
    </w:p>
    <w:bookmarkStart w:id="4" w:name="page5"/>
    <w:bookmarkEnd w:id="4"/>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60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Quarter Ended</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June 1, 2013</w:t>
            </w: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26, 2012</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218,199</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155,709</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197,002</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143,638</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92.2 %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21,197</w:t>
            </w:r>
          </w:p>
        </w:tc>
        <w:tc>
          <w:tcPr>
            <w:tcW w:w="2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6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12,071</w:t>
            </w:r>
          </w:p>
        </w:tc>
        <w:tc>
          <w:tcPr>
            <w:tcW w:w="2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54"/>
        </w:trPr>
        <w:tc>
          <w:tcPr>
            <w:tcW w:w="4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4,857</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4,331</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6,092</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10,949</w:t>
            </w:r>
          </w:p>
        </w:tc>
        <w:tc>
          <w:tcPr>
            <w:tcW w:w="2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auto"/>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8,544</w:t>
            </w:r>
          </w:p>
        </w:tc>
        <w:tc>
          <w:tcPr>
            <w:tcW w:w="2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4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10,248</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3,527</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402</w:t>
            </w:r>
          </w:p>
        </w:tc>
        <w:tc>
          <w:tcPr>
            <w:tcW w:w="2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47"/>
        </w:trPr>
        <w:tc>
          <w:tcPr>
            <w:tcW w:w="46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10,392</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3,929</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2,731</w:t>
            </w:r>
          </w:p>
        </w:tc>
        <w:tc>
          <w:tcPr>
            <w:tcW w:w="2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80"/>
        </w:trPr>
        <w:tc>
          <w:tcPr>
            <w:tcW w:w="4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7,661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3,941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54"/>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27,987</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29,225</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2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28,087</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29,263</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9"/>
        </w:trPr>
        <w:tc>
          <w:tcPr>
            <w:tcW w:w="4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ind w:left="420"/>
              <w:spacing w:after="0"/>
              <w:rPr>
                <w:sz w:val="20"/>
                <w:szCs w:val="20"/>
                <w:color w:val="auto"/>
              </w:rPr>
            </w:pPr>
            <w:r>
              <w:rPr>
                <w:rFonts w:ascii="Arial" w:cs="Arial" w:eastAsia="Arial" w:hAnsi="Arial"/>
                <w:sz w:val="16"/>
                <w:szCs w:val="16"/>
                <w:b w:val="1"/>
                <w:bCs w:val="1"/>
                <w:color w:val="auto"/>
              </w:rPr>
              <w:t>Nine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June 1, 2013</w:t>
            </w: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26, 2012</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588,919</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419,146</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529,784</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391,733</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93.5 %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59,135</w:t>
            </w:r>
          </w:p>
        </w:tc>
        <w:tc>
          <w:tcPr>
            <w:tcW w:w="2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27,413</w:t>
            </w:r>
          </w:p>
        </w:tc>
        <w:tc>
          <w:tcPr>
            <w:tcW w:w="2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54"/>
        </w:trPr>
        <w:tc>
          <w:tcPr>
            <w:tcW w:w="4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13,649</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12,485</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60"/>
        </w:trPr>
        <w:tc>
          <w:tcPr>
            <w:tcW w:w="46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16,392</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11,938</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3"/>
        </w:trPr>
        <w:tc>
          <w:tcPr>
            <w:tcW w:w="4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Loss on sale of asset held for sale</w:t>
            </w: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40" w:type="dxa"/>
            <w:vAlign w:val="bottom"/>
            <w:gridSpan w:val="3"/>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30,069</w:t>
            </w:r>
          </w:p>
        </w:tc>
        <w:tc>
          <w:tcPr>
            <w:tcW w:w="2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top w:val="single" w:sz="8" w:color="auto"/>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24,423</w:t>
            </w:r>
          </w:p>
        </w:tc>
        <w:tc>
          <w:tcPr>
            <w:tcW w:w="2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29,066</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2,990</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739</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549</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29,805</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3,539</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8,468</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(525)</w:t>
            </w:r>
          </w:p>
        </w:tc>
        <w:tc>
          <w:tcPr>
            <w:tcW w:w="2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21,337</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4,064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0.14</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0.14</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2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28,128</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29,171</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28,218</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29,243</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p>
      <w:pPr>
        <w:spacing w:after="0" w:line="16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nine months ended June 1, 2013 and May 26, 2012 contained 40 weeks and 39 weeks, respectively.</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42,422</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62,683</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4,605</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31,421</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22,726</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112,951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87,094</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6,718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 and prepaid</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2,416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1,603</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10,515</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8,453</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211,048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187,068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20,158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19,978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22"/>
                <w:szCs w:val="22"/>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4,385</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24,826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23,127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28,112</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30,520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12,537</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13,886</w:t>
            </w:r>
          </w:p>
        </w:tc>
      </w:tr>
      <w:tr>
        <w:trPr>
          <w:trHeight w:val="24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302,871</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286,072</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7"/>
        </w:trPr>
        <w:tc>
          <w:tcPr>
            <w:tcW w:w="7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28,398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24,920</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2"/>
                <w:szCs w:val="22"/>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246"/>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41,088</w:t>
            </w:r>
          </w:p>
        </w:tc>
        <w:tc>
          <w:tcPr>
            <w:tcW w:w="3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35,750</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69,486</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61,018</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4,931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5,228</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70,354</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75,135</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75,285</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80,363</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158,100</w:t>
            </w:r>
          </w:p>
        </w:tc>
        <w:tc>
          <w:tcPr>
            <w:tcW w:w="3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144,691</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302,871</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286,072</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1,</w:t>
            </w:r>
          </w:p>
        </w:tc>
        <w:tc>
          <w:tcPr>
            <w:tcW w:w="3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26,</w:t>
            </w:r>
          </w:p>
        </w:tc>
      </w:tr>
      <w:tr>
        <w:trPr>
          <w:trHeight w:val="228"/>
        </w:trPr>
        <w:tc>
          <w:tcPr>
            <w:tcW w:w="7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21,337</w:t>
            </w:r>
          </w:p>
        </w:tc>
        <w:tc>
          <w:tcPr>
            <w:tcW w:w="2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4,064</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3,190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3,786</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844</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1,258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863</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(1,243)</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6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510</w:t>
            </w:r>
          </w:p>
        </w:tc>
      </w:tr>
      <w:tr>
        <w:trPr>
          <w:trHeight w:val="280"/>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r>
      <w:tr>
        <w:trPr>
          <w:trHeight w:val="260"/>
        </w:trPr>
        <w:tc>
          <w:tcPr>
            <w:tcW w:w="7660" w:type="dxa"/>
            <w:vAlign w:val="bottom"/>
          </w:tcPr>
          <w:p>
            <w:pPr>
              <w:ind w:left="220"/>
              <w:spacing w:after="0"/>
              <w:rPr>
                <w:sz w:val="20"/>
                <w:szCs w:val="20"/>
                <w:color w:val="auto"/>
              </w:rPr>
            </w:pPr>
            <w:r>
              <w:rPr>
                <w:rFonts w:ascii="Arial" w:cs="Arial" w:eastAsia="Arial" w:hAnsi="Arial"/>
                <w:sz w:val="16"/>
                <w:szCs w:val="16"/>
                <w:color w:val="auto"/>
              </w:rPr>
              <w:t>(Gain) loss on disposal of property</w:t>
            </w:r>
          </w:p>
        </w:tc>
        <w:tc>
          <w:tcPr>
            <w:tcW w:w="36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20</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(281)</w:t>
            </w:r>
          </w:p>
        </w:tc>
      </w:tr>
      <w:tr>
        <w:trPr>
          <w:trHeight w:val="260"/>
        </w:trPr>
        <w:tc>
          <w:tcPr>
            <w:tcW w:w="7660" w:type="dxa"/>
            <w:vAlign w:val="bottom"/>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36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(853)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(523)</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579</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(26,295)</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(1,283)</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36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(10,819)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1,893</w:t>
            </w:r>
          </w:p>
        </w:tc>
      </w:tr>
      <w:tr>
        <w:trPr>
          <w:trHeight w:val="280"/>
        </w:trPr>
        <w:tc>
          <w:tcPr>
            <w:tcW w:w="7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(234)</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105</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9,895</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4,950</w:t>
            </w:r>
          </w:p>
        </w:tc>
      </w:tr>
      <w:tr>
        <w:trPr>
          <w:trHeight w:val="273"/>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(3,359)</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(3,053)</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(6,934)</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11,749</w:t>
            </w:r>
          </w:p>
        </w:tc>
      </w:tr>
      <w:tr>
        <w:trPr>
          <w:trHeight w:val="284"/>
        </w:trPr>
        <w:tc>
          <w:tcPr>
            <w:tcW w:w="7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life insurance</w:t>
            </w:r>
          </w:p>
        </w:tc>
        <w:tc>
          <w:tcPr>
            <w:tcW w:w="36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1,004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1,404</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(3,322)</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(1,527)</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36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COLI borrowings</w:t>
            </w: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692</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(558)</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(2,110)</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w:t>
            </w:r>
          </w:p>
        </w:tc>
      </w:tr>
      <w:tr>
        <w:trPr>
          <w:trHeight w:val="284"/>
        </w:trPr>
        <w:tc>
          <w:tcPr>
            <w:tcW w:w="7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6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(11,123)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(343)</w:t>
            </w:r>
          </w:p>
        </w:tc>
      </w:tr>
      <w:tr>
        <w:trPr>
          <w:trHeight w:val="273"/>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(11,217)</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(310)</w:t>
            </w:r>
          </w:p>
        </w:tc>
      </w:tr>
      <w:tr>
        <w:trPr>
          <w:trHeight w:val="284"/>
        </w:trPr>
        <w:tc>
          <w:tcPr>
            <w:tcW w:w="7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(20,261)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11,524</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c>
          <w:tcPr>
            <w:tcW w:w="2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8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42,422</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80,831</w:t>
            </w:r>
          </w:p>
        </w:tc>
      </w:tr>
      <w:tr>
        <w:trPr>
          <w:trHeight w:val="267"/>
        </w:trPr>
        <w:tc>
          <w:tcPr>
            <w:tcW w:w="76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9,946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w:t>
            </w:r>
          </w:p>
        </w:tc>
      </w:tr>
    </w:tbl>
    <w:p>
      <w:pPr>
        <w:spacing w:after="0" w:line="165"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The nine months ended June 1, 2013 and May 26, 2012 contained 40 weeks and 39 weeks, respectively.</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Deliveries</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2500" w:type="dxa"/>
            <w:vAlign w:val="bottom"/>
          </w:tcPr>
          <w:p>
            <w:pPr>
              <w:spacing w:after="0"/>
              <w:rPr>
                <w:sz w:val="17"/>
                <w:szCs w:val="17"/>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460" w:type="dxa"/>
            <w:vAlign w:val="bottom"/>
          </w:tcPr>
          <w:p>
            <w:pPr>
              <w:jc w:val="center"/>
              <w:ind w:right="79"/>
              <w:spacing w:after="0"/>
              <w:rPr>
                <w:sz w:val="20"/>
                <w:szCs w:val="20"/>
                <w:color w:val="auto"/>
              </w:rPr>
            </w:pPr>
            <w:r>
              <w:rPr>
                <w:rFonts w:ascii="Arial" w:cs="Arial" w:eastAsia="Arial" w:hAnsi="Arial"/>
                <w:sz w:val="16"/>
                <w:szCs w:val="16"/>
                <w:b w:val="1"/>
                <w:bCs w:val="1"/>
                <w:color w:val="auto"/>
              </w:rPr>
              <w:t>May 26,</w:t>
            </w: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4"/>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rPr>
              <w:t>2013</w:t>
            </w:r>
          </w:p>
        </w:tc>
        <w:tc>
          <w:tcPr>
            <w:tcW w:w="144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2012</w:t>
            </w:r>
          </w:p>
        </w:tc>
        <w:tc>
          <w:tcPr>
            <w:tcW w:w="144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gas</w:t>
            </w: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656</w:t>
            </w:r>
          </w:p>
        </w:tc>
        <w:tc>
          <w:tcPr>
            <w:tcW w:w="1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33.2%</w:t>
            </w:r>
          </w:p>
        </w:tc>
        <w:tc>
          <w:tcPr>
            <w:tcW w:w="200" w:type="dxa"/>
            <w:vAlign w:val="bottom"/>
          </w:tcPr>
          <w:p>
            <w:pPr>
              <w:spacing w:after="0"/>
              <w:rPr>
                <w:sz w:val="20"/>
                <w:szCs w:val="20"/>
                <w:color w:val="auto"/>
              </w:rPr>
            </w:pPr>
          </w:p>
        </w:tc>
        <w:tc>
          <w:tcPr>
            <w:tcW w:w="1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429</w:t>
            </w:r>
          </w:p>
        </w:tc>
        <w:tc>
          <w:tcPr>
            <w:tcW w:w="1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33.5%</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52.9 %</w:t>
            </w:r>
          </w:p>
        </w:tc>
      </w:tr>
      <w:tr>
        <w:trPr>
          <w:trHeight w:val="27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diesel</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234</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38.0 %</w:t>
            </w:r>
          </w:p>
        </w:tc>
      </w:tr>
      <w:tr>
        <w:trPr>
          <w:trHeight w:val="247"/>
        </w:trPr>
        <w:tc>
          <w:tcPr>
            <w:tcW w:w="2500" w:type="dxa"/>
            <w:vAlign w:val="bottom"/>
          </w:tcPr>
          <w:p>
            <w:pPr>
              <w:ind w:left="260"/>
              <w:spacing w:after="0"/>
              <w:rPr>
                <w:sz w:val="20"/>
                <w:szCs w:val="20"/>
                <w:color w:val="auto"/>
              </w:rPr>
            </w:pPr>
            <w:r>
              <w:rPr>
                <w:rFonts w:ascii="Arial" w:cs="Arial" w:eastAsia="Arial" w:hAnsi="Arial"/>
                <w:sz w:val="16"/>
                <w:szCs w:val="16"/>
                <w:color w:val="auto"/>
              </w:rPr>
              <w:t>Total Class A</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979</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49.5%</w:t>
            </w:r>
          </w:p>
        </w:tc>
        <w:tc>
          <w:tcPr>
            <w:tcW w:w="200" w:type="dxa"/>
            <w:vAlign w:val="bottom"/>
          </w:tcPr>
          <w:p>
            <w:pPr>
              <w:spacing w:after="0"/>
              <w:rPr>
                <w:sz w:val="21"/>
                <w:szCs w:val="21"/>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663</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51.8%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47.7 %</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w:t>
            </w:r>
          </w:p>
        </w:tc>
      </w:tr>
      <w:tr>
        <w:trPr>
          <w:trHeight w:val="26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921</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46.6%</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530</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41.4%</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73.8 %</w:t>
            </w:r>
          </w:p>
        </w:tc>
      </w:tr>
      <w:tr>
        <w:trPr>
          <w:trHeight w:val="240"/>
        </w:trPr>
        <w:tc>
          <w:tcPr>
            <w:tcW w:w="2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motorhomes</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1,978</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1,280</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54.5 %</w:t>
            </w:r>
          </w:p>
        </w:tc>
      </w:tr>
      <w:tr>
        <w:trPr>
          <w:trHeight w:val="20"/>
        </w:trPr>
        <w:tc>
          <w:tcPr>
            <w:tcW w:w="2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6"/>
        </w:trPr>
        <w:tc>
          <w:tcPr>
            <w:tcW w:w="2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82.3%</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55.3%</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64.4 %</w:t>
            </w:r>
          </w:p>
        </w:tc>
      </w:tr>
      <w:tr>
        <w:trPr>
          <w:trHeight w:val="26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17.7%</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289</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44.7%</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(56.4)%</w:t>
            </w:r>
          </w:p>
        </w:tc>
      </w:tr>
      <w:tr>
        <w:trPr>
          <w:trHeight w:val="240"/>
        </w:trPr>
        <w:tc>
          <w:tcPr>
            <w:tcW w:w="2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towables</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646</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r>
      <w:tr>
        <w:trPr>
          <w:trHeight w:val="20"/>
        </w:trPr>
        <w:tc>
          <w:tcPr>
            <w:tcW w:w="2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83"/>
        </w:trPr>
        <w:tc>
          <w:tcPr>
            <w:tcW w:w="25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Nine Months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Ended</w:t>
            </w:r>
          </w:p>
        </w:tc>
        <w:tc>
          <w:tcPr>
            <w:tcW w:w="1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98"/>
              </w:rPr>
              <w:t>Change</w:t>
            </w:r>
          </w:p>
        </w:tc>
      </w:tr>
      <w:tr>
        <w:trPr>
          <w:trHeight w:val="191"/>
        </w:trPr>
        <w:tc>
          <w:tcPr>
            <w:tcW w:w="250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Product</w:t>
            </w:r>
          </w:p>
        </w:tc>
        <w:tc>
          <w:tcPr>
            <w:tcW w:w="1460" w:type="dxa"/>
            <w:vAlign w:val="bottom"/>
          </w:tcPr>
          <w:p>
            <w:pPr>
              <w:jc w:val="center"/>
              <w:ind w:right="79"/>
              <w:spacing w:after="0"/>
              <w:rPr>
                <w:sz w:val="20"/>
                <w:szCs w:val="20"/>
                <w:color w:val="auto"/>
              </w:rPr>
            </w:pPr>
            <w:r>
              <w:rPr>
                <w:rFonts w:ascii="Arial" w:cs="Arial" w:eastAsia="Arial" w:hAnsi="Arial"/>
                <w:sz w:val="16"/>
                <w:szCs w:val="16"/>
                <w:b w:val="1"/>
                <w:bCs w:val="1"/>
                <w:color w:val="auto"/>
              </w:rPr>
              <w:t>May 26,</w:t>
            </w:r>
          </w:p>
        </w:tc>
        <w:tc>
          <w:tcPr>
            <w:tcW w:w="14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Product</w:t>
            </w: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4"/>
        </w:trPr>
        <w:tc>
          <w:tcPr>
            <w:tcW w:w="2500" w:type="dxa"/>
            <w:vAlign w:val="bottom"/>
          </w:tcPr>
          <w:p>
            <w:pPr>
              <w:ind w:left="20"/>
              <w:spacing w:after="0"/>
              <w:rPr>
                <w:sz w:val="20"/>
                <w:szCs w:val="20"/>
                <w:color w:val="auto"/>
              </w:rPr>
            </w:pPr>
            <w:r>
              <w:rPr>
                <w:rFonts w:ascii="Arial" w:cs="Arial" w:eastAsia="Arial" w:hAnsi="Arial"/>
                <w:sz w:val="16"/>
                <w:szCs w:val="16"/>
                <w:color w:val="auto"/>
              </w:rPr>
              <w:t>(In units)</w:t>
            </w: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rPr>
              <w:t>2013</w:t>
            </w:r>
          </w:p>
        </w:tc>
        <w:tc>
          <w:tcPr>
            <w:tcW w:w="1440" w:type="dxa"/>
            <w:vAlign w:val="bottom"/>
            <w:gridSpan w:val="2"/>
          </w:tcPr>
          <w:p>
            <w:pPr>
              <w:jc w:val="right"/>
              <w:ind w:right="5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2012</w:t>
            </w:r>
          </w:p>
        </w:tc>
        <w:tc>
          <w:tcPr>
            <w:tcW w:w="1440" w:type="dxa"/>
            <w:vAlign w:val="bottom"/>
            <w:gridSpan w:val="2"/>
          </w:tcPr>
          <w:p>
            <w:pPr>
              <w:jc w:val="right"/>
              <w:ind w:right="5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0"/>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gas</w:t>
            </w:r>
          </w:p>
        </w:tc>
        <w:tc>
          <w:tcPr>
            <w:tcW w:w="1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1,779</w:t>
            </w:r>
          </w:p>
        </w:tc>
        <w:tc>
          <w:tcPr>
            <w:tcW w:w="1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20"/>
                <w:szCs w:val="20"/>
                <w:color w:val="auto"/>
              </w:rPr>
            </w:pPr>
          </w:p>
        </w:tc>
        <w:tc>
          <w:tcPr>
            <w:tcW w:w="1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1,163</w:t>
            </w:r>
          </w:p>
        </w:tc>
        <w:tc>
          <w:tcPr>
            <w:tcW w:w="1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35.0%</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53.0 %</w:t>
            </w:r>
          </w:p>
        </w:tc>
      </w:tr>
      <w:tr>
        <w:trPr>
          <w:trHeight w:val="27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diesel</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989</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701</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41.1 %</w:t>
            </w:r>
          </w:p>
        </w:tc>
      </w:tr>
      <w:tr>
        <w:trPr>
          <w:trHeight w:val="247"/>
        </w:trPr>
        <w:tc>
          <w:tcPr>
            <w:tcW w:w="2500" w:type="dxa"/>
            <w:vAlign w:val="bottom"/>
          </w:tcPr>
          <w:p>
            <w:pPr>
              <w:ind w:left="260"/>
              <w:spacing w:after="0"/>
              <w:rPr>
                <w:sz w:val="20"/>
                <w:szCs w:val="20"/>
                <w:color w:val="auto"/>
              </w:rPr>
            </w:pPr>
            <w:r>
              <w:rPr>
                <w:rFonts w:ascii="Arial" w:cs="Arial" w:eastAsia="Arial" w:hAnsi="Arial"/>
                <w:sz w:val="16"/>
                <w:szCs w:val="16"/>
                <w:color w:val="auto"/>
              </w:rPr>
              <w:t>Total Class A</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2,768</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56.1%</w:t>
            </w:r>
          </w:p>
        </w:tc>
        <w:tc>
          <w:tcPr>
            <w:tcW w:w="200" w:type="dxa"/>
            <w:vAlign w:val="bottom"/>
          </w:tcPr>
          <w:p>
            <w:pPr>
              <w:spacing w:after="0"/>
              <w:rPr>
                <w:sz w:val="21"/>
                <w:szCs w:val="21"/>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1,864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56.1%</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904</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48.5 %</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215</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22.3 %</w:t>
            </w:r>
          </w:p>
        </w:tc>
      </w:tr>
      <w:tr>
        <w:trPr>
          <w:trHeight w:val="26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1,900</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38.5%</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1,242</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37.4%</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53.0 %</w:t>
            </w:r>
          </w:p>
        </w:tc>
      </w:tr>
      <w:tr>
        <w:trPr>
          <w:trHeight w:val="240"/>
        </w:trPr>
        <w:tc>
          <w:tcPr>
            <w:tcW w:w="2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motor homes</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4,931</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3,321</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48.5 %</w:t>
            </w:r>
          </w:p>
        </w:tc>
      </w:tr>
      <w:tr>
        <w:trPr>
          <w:trHeight w:val="20"/>
        </w:trPr>
        <w:tc>
          <w:tcPr>
            <w:tcW w:w="2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6"/>
        </w:trPr>
        <w:tc>
          <w:tcPr>
            <w:tcW w:w="2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1,433</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78.8%</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928</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56.5%</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54.4 %</w:t>
            </w:r>
          </w:p>
        </w:tc>
      </w:tr>
      <w:tr>
        <w:trPr>
          <w:trHeight w:val="26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21.2%</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43.5%</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(46.2)%</w:t>
            </w:r>
          </w:p>
        </w:tc>
      </w:tr>
      <w:tr>
        <w:trPr>
          <w:trHeight w:val="240"/>
        </w:trPr>
        <w:tc>
          <w:tcPr>
            <w:tcW w:w="2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towables</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1,818</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1,643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10.7 %</w:t>
            </w:r>
          </w:p>
        </w:tc>
      </w:tr>
      <w:tr>
        <w:trPr>
          <w:trHeight w:val="20"/>
        </w:trPr>
        <w:tc>
          <w:tcPr>
            <w:tcW w:w="2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21"/>
          <w:szCs w:val="21"/>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nine months ended June 1, 2013 and May 26, 2012 contained 40 weeks and 39 weeks,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Backlog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gridSpan w:val="4"/>
          </w:tcPr>
          <w:p>
            <w:pPr>
              <w:jc w:val="right"/>
              <w:ind w:right="1200"/>
              <w:spacing w:after="0"/>
              <w:rPr>
                <w:sz w:val="20"/>
                <w:szCs w:val="20"/>
                <w:color w:val="auto"/>
              </w:rPr>
            </w:pPr>
            <w:r>
              <w:rPr>
                <w:rFonts w:ascii="Arial" w:cs="Arial" w:eastAsia="Arial" w:hAnsi="Arial"/>
                <w:sz w:val="16"/>
                <w:szCs w:val="16"/>
                <w:b w:val="1"/>
                <w:bCs w:val="1"/>
                <w:color w:val="auto"/>
              </w:rPr>
              <w:t>June 1, 2013</w:t>
            </w:r>
          </w:p>
        </w:tc>
        <w:tc>
          <w:tcPr>
            <w:tcW w:w="2440" w:type="dxa"/>
            <w:vAlign w:val="bottom"/>
            <w:gridSpan w:val="3"/>
          </w:tcPr>
          <w:p>
            <w:pPr>
              <w:ind w:left="540"/>
              <w:spacing w:after="0"/>
              <w:rPr>
                <w:sz w:val="20"/>
                <w:szCs w:val="20"/>
                <w:color w:val="auto"/>
              </w:rPr>
            </w:pPr>
            <w:r>
              <w:rPr>
                <w:rFonts w:ascii="Arial" w:cs="Arial" w:eastAsia="Arial" w:hAnsi="Arial"/>
                <w:sz w:val="16"/>
                <w:szCs w:val="16"/>
                <w:b w:val="1"/>
                <w:bCs w:val="1"/>
                <w:color w:val="auto"/>
              </w:rPr>
              <w:t>May 26, 2012</w:t>
            </w:r>
          </w:p>
        </w:tc>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318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Units</w:t>
            </w:r>
          </w:p>
        </w:tc>
        <w:tc>
          <w:tcPr>
            <w:tcW w:w="1300" w:type="dxa"/>
            <w:vAlign w:val="bottom"/>
            <w:tcBorders>
              <w:top w:val="single" w:sz="8" w:color="auto"/>
              <w:bottom w:val="single" w:sz="8" w:color="auto"/>
            </w:tcBorders>
          </w:tcPr>
          <w:p>
            <w:pPr>
              <w:jc w:val="right"/>
              <w:ind w:right="66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220" w:type="dxa"/>
            <w:vAlign w:val="bottom"/>
            <w:tcBorders>
              <w:top w:val="single" w:sz="8" w:color="auto"/>
              <w:bottom w:val="single" w:sz="8" w:color="auto"/>
            </w:tcBorders>
          </w:tcPr>
          <w:p>
            <w:pPr>
              <w:jc w:val="right"/>
              <w:ind w:right="48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3180" w:type="dxa"/>
            <w:vAlign w:val="bottom"/>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1,397</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479</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719"/>
              <w:spacing w:after="0"/>
              <w:rPr>
                <w:sz w:val="20"/>
                <w:szCs w:val="20"/>
                <w:color w:val="auto"/>
              </w:rPr>
            </w:pPr>
            <w:r>
              <w:rPr>
                <w:rFonts w:ascii="Arial" w:cs="Arial" w:eastAsia="Arial" w:hAnsi="Arial"/>
                <w:sz w:val="16"/>
                <w:szCs w:val="16"/>
                <w:color w:val="auto"/>
              </w:rPr>
              <w:t>918</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191.6 %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499</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257</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242</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94.2 %</w:t>
            </w:r>
          </w:p>
        </w:tc>
      </w:tr>
      <w:tr>
        <w:trPr>
          <w:trHeight w:val="247"/>
        </w:trPr>
        <w:tc>
          <w:tcPr>
            <w:tcW w:w="3180" w:type="dxa"/>
            <w:vAlign w:val="bottom"/>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1,896</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736</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719"/>
              <w:spacing w:after="0"/>
              <w:rPr>
                <w:sz w:val="20"/>
                <w:szCs w:val="20"/>
                <w:color w:val="auto"/>
              </w:rPr>
            </w:pPr>
            <w:r>
              <w:rPr>
                <w:rFonts w:ascii="Arial" w:cs="Arial" w:eastAsia="Arial" w:hAnsi="Arial"/>
                <w:sz w:val="16"/>
                <w:szCs w:val="16"/>
                <w:color w:val="auto"/>
              </w:rPr>
              <w:t>1,160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157.6 %</w:t>
            </w:r>
          </w:p>
        </w:tc>
      </w:tr>
      <w:tr>
        <w:trPr>
          <w:trHeight w:val="28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149</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120</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29</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24.2 %</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801</w:t>
            </w: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381</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420</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110.2 %</w:t>
            </w:r>
          </w:p>
        </w:tc>
      </w:tr>
      <w:tr>
        <w:trPr>
          <w:trHeight w:val="243"/>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2,846</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1,237</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1,609</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130.1 %</w:t>
            </w:r>
          </w:p>
        </w:tc>
      </w:tr>
      <w:tr>
        <w:trPr>
          <w:trHeight w:val="20"/>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359</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301</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58</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19.3 %</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w:t>
            </w: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204</w:t>
            </w: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(120)</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(58.8)%</w:t>
            </w:r>
          </w:p>
        </w:tc>
      </w:tr>
      <w:tr>
        <w:trPr>
          <w:trHeight w:val="243"/>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443</w:t>
            </w:r>
          </w:p>
        </w:tc>
        <w:tc>
          <w:tcPr>
            <w:tcW w:w="13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505</w:t>
            </w:r>
          </w:p>
        </w:tc>
        <w:tc>
          <w:tcPr>
            <w:tcW w:w="12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(62)</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r>
      <w:tr>
        <w:trPr>
          <w:trHeight w:val="20"/>
        </w:trPr>
        <w:tc>
          <w:tcPr>
            <w:tcW w:w="44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3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70"/>
        </w:trPr>
        <w:tc>
          <w:tcPr>
            <w:tcW w:w="4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Motorhome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292,307</w:t>
            </w:r>
          </w:p>
        </w:tc>
        <w:tc>
          <w:tcPr>
            <w:tcW w:w="1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131,418</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719"/>
              <w:spacing w:after="0"/>
              <w:rPr>
                <w:sz w:val="20"/>
                <w:szCs w:val="20"/>
                <w:color w:val="auto"/>
              </w:rPr>
            </w:pPr>
            <w:r>
              <w:rPr>
                <w:rFonts w:ascii="Arial" w:cs="Arial" w:eastAsia="Arial" w:hAnsi="Arial"/>
                <w:sz w:val="16"/>
                <w:szCs w:val="16"/>
                <w:color w:val="auto"/>
              </w:rPr>
              <w:t>160,889</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122.4 %</w:t>
            </w:r>
          </w:p>
        </w:tc>
      </w:tr>
      <w:tr>
        <w:trPr>
          <w:trHeight w:val="28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9,562</w:t>
            </w: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12,487</w:t>
            </w: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(2,925)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(23.4)%</w:t>
            </w:r>
          </w:p>
        </w:tc>
      </w:tr>
    </w:tbl>
    <w:p>
      <w:pPr>
        <w:spacing w:after="0" w:line="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18"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Dealer Inventory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198"/>
        </w:trPr>
        <w:tc>
          <w:tcPr>
            <w:tcW w:w="604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1,</w:t>
            </w: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May 26,</w:t>
            </w: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60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694</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r>
      <w:tr>
        <w:trPr>
          <w:trHeight w:val="251"/>
        </w:trPr>
        <w:tc>
          <w:tcPr>
            <w:tcW w:w="6040" w:type="dxa"/>
            <w:vAlign w:val="bottom"/>
          </w:tcPr>
          <w:p>
            <w:pPr>
              <w:ind w:left="40"/>
              <w:spacing w:after="0"/>
              <w:rPr>
                <w:sz w:val="20"/>
                <w:szCs w:val="20"/>
                <w:color w:val="auto"/>
              </w:rPr>
            </w:pPr>
            <w:r>
              <w:rPr>
                <w:rFonts w:ascii="Arial" w:cs="Arial" w:eastAsia="Arial" w:hAnsi="Arial"/>
                <w:sz w:val="16"/>
                <w:szCs w:val="16"/>
                <w:color w:val="auto"/>
              </w:rPr>
              <w:t>Towables</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1"/>
                <w:szCs w:val="21"/>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color w:val="auto"/>
              </w:rPr>
              <w:t>272</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19.9%</w:t>
            </w:r>
          </w:p>
        </w:tc>
      </w:tr>
    </w:tbl>
    <w:p>
      <w:pPr>
        <w:spacing w:after="0" w:line="1" w:lineRule="exact"/>
        <w:rPr>
          <w:sz w:val="20"/>
          <w:szCs w:val="20"/>
          <w:color w:val="auto"/>
        </w:rPr>
      </w:pPr>
    </w:p>
    <w:sectPr>
      <w:pgSz w:w="11900" w:h="16838" w:orient="portrait"/>
      <w:cols w:equalWidth="0" w:num="1">
        <w:col w:w="11420"/>
      </w:cols>
      <w:pgMar w:left="240" w:top="576" w:right="239" w:bottom="48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2019-12-05T16:48:46Z</dcterms:created>
  <dcterms:modified xsi:type="dcterms:W3CDTF">2019-12-05T16:48:46Z</dcterms:modified>
</cp:coreProperties>
</file>