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West Christopher David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620"/>
              <w:spacing w:after="0"/>
              <w:rPr>
                <w:sz w:val="20"/>
                <w:szCs w:val="20"/>
                <w:color w:val="auto"/>
              </w:rPr>
            </w:pPr>
            <w:r>
              <w:rPr>
                <w:rFonts w:ascii="Arial" w:cs="Arial" w:eastAsia="Arial" w:hAnsi="Arial"/>
                <w:sz w:val="18"/>
                <w:szCs w:val="18"/>
                <w:color w:val="0000FF"/>
              </w:rPr>
              <w:t>VP - Operations</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09/26/2017</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09/26/2017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3"/>
              </w:rPr>
              <w:t>560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44.1</w:t>
            </w:r>
          </w:p>
        </w:tc>
        <w:tc>
          <w:tcPr>
            <w:tcW w:w="126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4,440</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09/26/16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2"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total amount of Winnebago Stock Units held by reporting person in Winnebago Industries, Inc. as of reporting date.</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09/27/2017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85700"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2019-12-03T23:33:53Z</dcterms:created>
  <dcterms:modified xsi:type="dcterms:W3CDTF">2019-12-03T23:33:53Z</dcterms:modified>
</cp:coreProperties>
</file>